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jc w:val="center"/>
        <w:textAlignment w:val="auto"/>
        <w:outlineLvl w:val="0"/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jc w:val="center"/>
        <w:textAlignment w:val="auto"/>
        <w:outlineLvl w:val="0"/>
        <w:rPr>
          <w:rFonts w:ascii="方正小标宋简体" w:cs="方正小标宋简体" w:eastAsia="方正小标宋简体" w:hAnsi="黑体" w:hint="eastAsia"/>
          <w:color w:val="000000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  <w:fldChar w:fldCharType="begin"/>
      </w: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  <w:instrText xml:space="preserve"> HYPERLINK "http://www.pengxi.gov.cn/ggl/201703/javascript:" </w:instrText>
      </w: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  <w:fldChar w:fldCharType="separate"/>
      </w: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  <w:t>蓬溪县</w:t>
      </w: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  <w:lang w:eastAsia="zh-CN"/>
        </w:rPr>
        <w:t>民政局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jc w:val="center"/>
        <w:textAlignment w:val="auto"/>
        <w:outlineLvl w:val="0"/>
        <w:rPr>
          <w:rFonts w:ascii="方正小标宋简体" w:cs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  <w:t>2019年政府信息公开工作年度报告</w:t>
      </w:r>
      <w:r>
        <w:rPr>
          <w:rFonts w:ascii="方正小标宋简体" w:cs="方正小标宋简体" w:eastAsia="方正小标宋简体" w:hAnsi="黑体" w:hint="eastAsia"/>
          <w:color w:val="000000"/>
          <w:sz w:val="44"/>
          <w:szCs w:val="44"/>
        </w:rPr>
        <w:fldChar w:fldCharType="end"/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jc w:val="center"/>
        <w:textAlignment w:val="auto"/>
        <w:outlineLvl w:val="0"/>
        <w:rPr>
          <w:rFonts w:ascii="方正小标宋简体" w:cs="方正小标宋简体" w:eastAsia="方正小标宋简体" w:hAnsi="方正小标宋简体"/>
          <w:color w:val="000000"/>
          <w:sz w:val="44"/>
          <w:szCs w:val="44"/>
          <w:shd w:val="clear" w:color="auto" w:fill="ffffff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left="0" w:right="0" w:firstLine="640" w:firstLineChars="200"/>
        <w:jc w:val="left"/>
        <w:textAlignment w:val="auto"/>
        <w:rPr>
          <w:rFonts w:ascii="仿宋_GB2312" w:cs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</w:rPr>
        <w:t>根据《中华人民共和国政府信息公开条例》及相关规定，特向社会公布《蓬溪县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民政局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</w:rPr>
        <w:t>2019年政府信息公开工作年度报告》。本报告包括总体情况、主动公开政府信息情况、收到和处理政府信息公开申请情况、政府信息公开行政复议和行政诉讼情况、存在的主要问题及改进情况、其他需要报告的事项等六个部分。年报电子版通过蓬溪县人民政府网站（www.pengxi.gov.cn）全文公开，如有疑问请与蓬溪县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民政局办公室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</w:rPr>
        <w:t>联系（地址：蓬溪县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蜀北下路306号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</w:rPr>
        <w:t>，邮编：629100；联系电话：0825-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5395995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</w:rPr>
        <w:t>）。</w:t>
      </w:r>
    </w:p>
    <w:p>
      <w:pPr>
        <w:pStyle w:val="style1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jc w:val="left"/>
        <w:textAlignment w:val="auto"/>
        <w:rPr>
          <w:rFonts w:ascii="黑体" w:cs="黑体" w:eastAsia="黑体" w:hAnsi="黑体" w:hint="eastAsia"/>
          <w:b w:val="false"/>
          <w:bCs w:val="false"/>
          <w:kern w:val="2"/>
          <w:sz w:val="32"/>
          <w:szCs w:val="32"/>
          <w:lang w:val="en-US" w:bidi="ar-SA" w:eastAsia="zh-CN"/>
        </w:rPr>
      </w:pPr>
      <w:r>
        <w:rPr>
          <w:rFonts w:ascii="黑体" w:cs="黑体" w:eastAsia="黑体" w:hAnsi="黑体" w:hint="eastAsia"/>
          <w:b w:val="false"/>
          <w:bCs w:val="false"/>
          <w:kern w:val="2"/>
          <w:sz w:val="32"/>
          <w:szCs w:val="32"/>
          <w:lang w:val="en-US" w:bidi="ar-SA" w:eastAsia="zh-CN"/>
        </w:rPr>
        <w:t>一、总体情况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left="0" w:right="0" w:firstLine="640" w:firstLineChars="200"/>
        <w:jc w:val="left"/>
        <w:textAlignment w:val="auto"/>
        <w:rPr>
          <w:rFonts w:ascii="仿宋_GB2312" w:cs="Times New Roman" w:eastAsia="仿宋_GB2312" w:hAnsi="Times New Roman" w:hint="eastAsia"/>
          <w:color w:val="ff0000"/>
          <w:kern w:val="0"/>
          <w:sz w:val="32"/>
          <w:szCs w:val="32"/>
          <w:lang w:eastAsia="zh-CN"/>
        </w:rPr>
      </w:pP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我局坚持“以公开为常态，不公开为例外”原则，全面落实信息公开条例。坚持将政府信息公开工作作为重要工作常抓不懈；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坚持政务信息公开“三审”制度，坚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持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做到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“主要领导负总责、分管领导具体负责，业务股室具体实施”的工作机制，做到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eastAsia="zh-CN"/>
        </w:rPr>
        <w:t>工作透明，信息公开。通过政府信息公开目录管理系统累计主动公开政府信息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1662条，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</w:rPr>
        <w:t>2019</w:t>
      </w:r>
      <w:r>
        <w:rPr>
          <w:rFonts w:ascii="仿宋_GB2312" w:cs="Times New Roman" w:eastAsia="仿宋_GB2312" w:hAnsi="Times New Roman" w:hint="eastAsia"/>
          <w:color w:val="000000"/>
          <w:kern w:val="0"/>
          <w:sz w:val="32"/>
          <w:szCs w:val="32"/>
          <w:lang w:val="en-US" w:eastAsia="zh-CN"/>
        </w:rPr>
        <w:t>年新增主动公开政府信息265条。</w:t>
      </w:r>
    </w:p>
    <w:p>
      <w:pPr>
        <w:pStyle w:val="style2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textAlignment w:val="auto"/>
        <w:rPr>
          <w:rFonts w:ascii="仿宋_GB2312" w:cs="仿宋_GB2312" w:eastAsia="仿宋_GB2312" w:hAnsi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eastAsia="zh-CN"/>
        </w:rPr>
        <w:t>一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eastAsia="zh-CN"/>
        </w:rPr>
        <w:t>完善工作机制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val="en-US" w:eastAsia="zh-CN"/>
        </w:rPr>
        <w:t>。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2"/>
          <w:sz w:val="32"/>
          <w:szCs w:val="32"/>
          <w:shd w:val="clear" w:color="auto" w:fill="ffffff"/>
        </w:rPr>
        <w:t>我局坚持将政府信息公开工作纳入重要议事日程</w:t>
      </w:r>
      <w:r>
        <w:rPr>
          <w:rFonts w:hint="eastAsia"/>
          <w:b w:val="false"/>
          <w:bCs w:val="false"/>
          <w:color w:val="000000"/>
          <w:kern w:val="2"/>
        </w:rPr>
        <w:t>，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2"/>
          <w:sz w:val="32"/>
          <w:szCs w:val="32"/>
          <w:shd w:val="clear" w:color="auto" w:fill="ffffff"/>
        </w:rPr>
        <w:t>坚持“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  <w:lang w:val="en-US" w:eastAsia="zh-CN"/>
        </w:rPr>
        <w:t>主要领导负总责、分管领导具体负责，业务股室具体实施</w:t>
      </w:r>
      <w:r>
        <w:rPr>
          <w:rFonts w:hint="eastAsia"/>
          <w:b w:val="false"/>
          <w:bCs w:val="false"/>
          <w:color w:val="000000"/>
          <w:kern w:val="2"/>
        </w:rPr>
        <w:t>”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2"/>
          <w:sz w:val="32"/>
          <w:szCs w:val="32"/>
          <w:shd w:val="clear" w:color="auto" w:fill="ffffff"/>
        </w:rPr>
        <w:t>的工作机制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2"/>
          <w:sz w:val="32"/>
          <w:szCs w:val="32"/>
          <w:shd w:val="clear" w:color="auto" w:fill="ffffff"/>
          <w:lang w:val="en-US" w:eastAsia="zh-CN"/>
        </w:rPr>
        <w:t>确保工作顺利开展</w:t>
      </w:r>
      <w:r>
        <w:rPr>
          <w:rFonts w:ascii="仿宋_GB2312" w:cs="仿宋_GB2312" w:eastAsia="仿宋_GB2312" w:hAnsi="仿宋_GB2312" w:hint="eastAsia"/>
          <w:color w:val="000000"/>
          <w:kern w:val="2"/>
          <w:sz w:val="32"/>
          <w:szCs w:val="32"/>
          <w:shd w:val="clear" w:color="auto" w:fill="ffffff"/>
        </w:rPr>
        <w:t>。</w:t>
      </w:r>
      <w:r>
        <w:rPr>
          <w:rFonts w:ascii="仿宋_GB2312" w:cs="仿宋_GB2312" w:eastAsia="仿宋_GB2312" w:hAnsi="仿宋_GB2312"/>
          <w:color w:val="000000"/>
          <w:kern w:val="2"/>
          <w:sz w:val="32"/>
          <w:szCs w:val="32"/>
          <w:shd w:val="clear" w:color="auto" w:fill="ffffff"/>
        </w:rPr>
        <w:t xml:space="preserve"> 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76"/>
        <w:ind w:left="0" w:right="0" w:firstLine="640" w:firstLineChars="200"/>
        <w:jc w:val="both"/>
        <w:textAlignment w:val="auto"/>
        <w:rPr>
          <w:rStyle w:val="style87"/>
          <w:rFonts w:ascii="仿宋_GB2312" w:cs="仿宋_GB2312" w:eastAsia="仿宋_GB2312" w:hAnsi="仿宋_GB2312"/>
          <w:b w:val="false"/>
          <w:color w:val="000000"/>
          <w:sz w:val="32"/>
          <w:szCs w:val="32"/>
          <w:shd w:val="clear" w:color="auto" w:fill="ffffff"/>
        </w:rPr>
      </w:pP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kern w:val="2"/>
          <w:sz w:val="32"/>
          <w:szCs w:val="32"/>
          <w:lang w:val="en-US" w:bidi="ar-SA" w:eastAsia="zh-CN"/>
        </w:rPr>
        <w:t>（二）强化制度保障。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</w:rPr>
        <w:t>结合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  <w:lang w:val="en-US" w:eastAsia="zh-CN"/>
        </w:rPr>
        <w:t>单位情况和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</w:rPr>
        <w:t>信息公开工作实际，完善政府信息公开工作制度，细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  <w:lang w:val="en-US" w:eastAsia="zh-CN"/>
        </w:rPr>
        <w:t>化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</w:rPr>
        <w:t>主动公开工作流程，规范依申请公开各环节及程序，完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  <w:lang w:val="en-US" w:eastAsia="zh-CN"/>
        </w:rPr>
        <w:t>善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</w:rPr>
        <w:t>信息公开协调机制和发布机制，保障信息公开工作的正常运转，确保信息公开工作更为规范。</w:t>
      </w:r>
    </w:p>
    <w:p>
      <w:pPr>
        <w:pStyle w:val="style94"/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76"/>
        <w:ind w:left="0" w:right="0" w:firstLine="640" w:firstLineChars="200"/>
        <w:jc w:val="both"/>
        <w:textAlignment w:val="auto"/>
        <w:rPr>
          <w:rStyle w:val="style87"/>
          <w:rFonts w:ascii="仿宋_GB2312" w:cs="仿宋_GB2312" w:eastAsia="仿宋_GB2312" w:hAnsi="仿宋_GB2312"/>
          <w:b w:val="false"/>
          <w:color w:val="000000"/>
          <w:sz w:val="32"/>
          <w:szCs w:val="32"/>
          <w:shd w:val="clear" w:color="auto" w:fill="ffffff"/>
        </w:rPr>
      </w:pP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kern w:val="2"/>
          <w:sz w:val="32"/>
          <w:szCs w:val="32"/>
          <w:lang w:val="en-US" w:bidi="ar-SA" w:eastAsia="zh-CN"/>
        </w:rPr>
        <w:t>（三）规范日常工作。</w:t>
      </w:r>
      <w:r>
        <w:rPr>
          <w:rStyle w:val="style87"/>
          <w:rFonts w:ascii="仿宋_GB2312" w:cs="仿宋_GB2312" w:eastAsia="仿宋_GB2312" w:hAnsi="仿宋_GB2312" w:hint="eastAsia"/>
          <w:b w:val="false"/>
          <w:color w:val="000000"/>
          <w:sz w:val="32"/>
          <w:szCs w:val="32"/>
          <w:shd w:val="clear" w:color="auto" w:fill="ffffff"/>
        </w:rPr>
        <w:t>按照相关要求，主动做好公开政府信息的维护、更新和政务信息报送工作。积极了解掌握政府信息依申请公开工作情况，确保按时规范办理。</w:t>
      </w:r>
    </w:p>
    <w:p>
      <w:pPr>
        <w:pStyle w:val="style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textAlignment w:val="auto"/>
        <w:rPr>
          <w:b w:val="false"/>
          <w:bCs w:val="false"/>
          <w:color w:val="000000"/>
        </w:rPr>
      </w:pPr>
      <w:r>
        <w:rPr>
          <w:rFonts w:hint="eastAsia"/>
          <w:b w:val="false"/>
          <w:bCs w:val="false"/>
          <w:color w:val="000000"/>
        </w:rPr>
        <w:t>二、主动公开政府信息情况</w:t>
      </w:r>
    </w:p>
    <w:p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ind w:left="0" w:right="0"/>
        <w:textAlignment w:val="auto"/>
        <w:rPr>
          <w:color w:val="ffffff"/>
          <w:sz w:val="13"/>
        </w:rPr>
      </w:pPr>
    </w:p>
    <w:tbl>
      <w:tblPr>
        <w:tblStyle w:val="style105"/>
        <w:tblW w:w="81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187"/>
        <w:gridCol w:w="1863"/>
        <w:gridCol w:w="1646"/>
        <w:gridCol w:w="1881"/>
      </w:tblGrid>
      <w:tr>
        <w:trPr>
          <w:trHeight w:val="364" w:hRule="exact"/>
          <w:jc w:val="center"/>
        </w:trPr>
        <w:tc>
          <w:tcPr>
            <w:tcW w:w="8143" w:type="dxa"/>
            <w:gridSpan w:val="5"/>
            <w:tcBorders/>
            <w:shd w:val="clear" w:color="auto" w:fill="c5d9f0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ffffff"/>
                <w:sz w:val="20"/>
              </w:rPr>
            </w:pPr>
            <w:r>
              <w:rPr>
                <w:color w:val="auto"/>
                <w:sz w:val="20"/>
              </w:rPr>
              <w:t>第二十条第（一）项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 w:firstLine="10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本年新制作数量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 w:firstLine="98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本年新公开数量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对外公开总数量</w:t>
            </w:r>
          </w:p>
        </w:tc>
      </w:tr>
      <w:tr>
        <w:tblPrEx/>
        <w:trPr>
          <w:trHeight w:val="310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规章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</w:tr>
      <w:tr>
        <w:tblPrEx/>
        <w:trPr>
          <w:trHeight w:val="334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规范性文件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sz w:val="20"/>
                <w:lang w:val="zh-CN" w:bidi="zh-CN"/>
              </w:rPr>
            </w:pPr>
            <w:r>
              <w:rPr>
                <w:rFonts w:ascii="宋体" w:cs="宋体" w:eastAsia="宋体" w:hAnsi="宋体"/>
                <w:color w:val="000000"/>
                <w:sz w:val="20"/>
                <w:lang w:val="zh-CN" w:bidi="zh-CN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sz w:val="20"/>
                <w:lang w:val="zh-CN" w:bidi="zh-CN"/>
              </w:rPr>
            </w:pPr>
            <w:r>
              <w:rPr>
                <w:rFonts w:ascii="宋体" w:cs="宋体" w:eastAsia="宋体" w:hAnsi="宋体"/>
                <w:color w:val="000000"/>
                <w:sz w:val="20"/>
                <w:lang w:val="zh-CN" w:bidi="zh-CN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sz w:val="20"/>
                <w:lang w:val="zh-CN" w:bidi="zh-CN"/>
              </w:rPr>
            </w:pPr>
            <w:r>
              <w:rPr>
                <w:rFonts w:ascii="宋体" w:cs="宋体" w:eastAsia="宋体" w:hAnsi="宋体"/>
                <w:color w:val="000000"/>
                <w:sz w:val="20"/>
                <w:lang w:val="zh-CN" w:bidi="zh-CN"/>
              </w:rPr>
              <w:t>0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8143" w:type="dxa"/>
            <w:gridSpan w:val="5"/>
            <w:tcBorders/>
            <w:shd w:val="clear" w:color="auto" w:fill="c5d9f0"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第二十条第（五）项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上一年项目数量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本年增/减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处理决定数量</w:t>
            </w:r>
          </w:p>
        </w:tc>
      </w:tr>
      <w:tr>
        <w:tblPrEx/>
        <w:trPr>
          <w:trHeight w:val="310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行政许可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eastAsia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/>
        <w:trPr>
          <w:trHeight w:val="320" w:hRule="atLeast"/>
          <w:jc w:val="center"/>
        </w:trPr>
        <w:tc>
          <w:tcPr>
            <w:tcW w:w="1566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其他对外管理服务事项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行政检查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/>
        <w:trPr>
          <w:trHeight w:val="367" w:hRule="atLeast"/>
          <w:jc w:val="center"/>
        </w:trPr>
        <w:tc>
          <w:tcPr>
            <w:tcW w:w="1566" w:type="dxa"/>
            <w:vMerge w:val="continue"/>
            <w:tcBorders>
              <w:top w:val="nil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行政确认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/>
              </w:rPr>
              <w:t>0</w:t>
            </w:r>
          </w:p>
        </w:tc>
      </w:tr>
      <w:tr>
        <w:tblPrEx/>
        <w:trPr>
          <w:trHeight w:val="322" w:hRule="atLeast"/>
          <w:jc w:val="center"/>
        </w:trPr>
        <w:tc>
          <w:tcPr>
            <w:tcW w:w="8143" w:type="dxa"/>
            <w:gridSpan w:val="5"/>
            <w:tcBorders/>
            <w:shd w:val="clear" w:color="auto" w:fill="c5d9f0"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第二十条第（六）项</w:t>
            </w:r>
          </w:p>
        </w:tc>
      </w:tr>
      <w:tr>
        <w:tblPrEx/>
        <w:trPr>
          <w:trHeight w:val="455" w:hRule="atLeast"/>
          <w:jc w:val="center"/>
        </w:trPr>
        <w:tc>
          <w:tcPr>
            <w:tcW w:w="2753" w:type="dxa"/>
            <w:gridSpan w:val="2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上一年项目数量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本年增/减</w:t>
            </w:r>
          </w:p>
        </w:tc>
        <w:tc>
          <w:tcPr>
            <w:tcW w:w="1881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处理决定数量</w:t>
            </w:r>
          </w:p>
        </w:tc>
      </w:tr>
      <w:tr>
        <w:tblPrEx/>
        <w:trPr>
          <w:trHeight w:val="360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行政处罚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eastAsia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eastAsia="宋体" w:hint="default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w w:val="99"/>
                <w:sz w:val="20"/>
                <w:lang w:val="en-US" w:eastAsia="zh-CN"/>
              </w:rPr>
              <w:t>0</w:t>
            </w:r>
          </w:p>
        </w:tc>
      </w:tr>
      <w:tr>
        <w:tblPrEx/>
        <w:trPr>
          <w:trHeight w:val="90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行政强制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eastAsia="宋体" w:hint="eastAsia"/>
                <w:color w:val="000000"/>
                <w:sz w:val="20"/>
                <w:lang w:eastAsia="zh-CN"/>
              </w:rPr>
            </w:pPr>
            <w:r>
              <w:rPr>
                <w:rFonts w:eastAsia="宋体" w:hint="default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1646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</w:tr>
      <w:tr>
        <w:tblPrEx/>
        <w:trPr>
          <w:trHeight w:val="372" w:hRule="atLeast"/>
          <w:jc w:val="center"/>
        </w:trPr>
        <w:tc>
          <w:tcPr>
            <w:tcW w:w="8143" w:type="dxa"/>
            <w:gridSpan w:val="5"/>
            <w:tcBorders/>
            <w:shd w:val="clear" w:color="auto" w:fill="c5d9f0"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第二十条第（八）项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上一年项目数量</w:t>
            </w:r>
          </w:p>
        </w:tc>
        <w:tc>
          <w:tcPr>
            <w:tcW w:w="3527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本年增/减</w:t>
            </w:r>
          </w:p>
        </w:tc>
      </w:tr>
      <w:tr>
        <w:tblPrEx/>
        <w:trPr>
          <w:trHeight w:val="359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行政事业性收费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  <w:tc>
          <w:tcPr>
            <w:tcW w:w="3527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w w:val="99"/>
                <w:sz w:val="20"/>
              </w:rPr>
              <w:t>0</w:t>
            </w:r>
          </w:p>
        </w:tc>
      </w:tr>
      <w:tr>
        <w:tblPrEx/>
        <w:trPr>
          <w:trHeight w:val="397" w:hRule="atLeast"/>
          <w:jc w:val="center"/>
        </w:trPr>
        <w:tc>
          <w:tcPr>
            <w:tcW w:w="8143" w:type="dxa"/>
            <w:gridSpan w:val="5"/>
            <w:tcBorders/>
            <w:shd w:val="clear" w:color="auto" w:fill="c5d9f0"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第二十条第（九）项</w:t>
            </w:r>
          </w:p>
        </w:tc>
      </w:tr>
      <w:tr>
        <w:tblPrEx/>
        <w:trPr>
          <w:trHeight w:val="372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采购项目数量</w:t>
            </w:r>
          </w:p>
        </w:tc>
        <w:tc>
          <w:tcPr>
            <w:tcW w:w="3527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采购总金额（万元，保留四位小数）</w:t>
            </w:r>
          </w:p>
        </w:tc>
      </w:tr>
      <w:tr>
        <w:tblPrEx/>
        <w:trPr>
          <w:trHeight w:val="367" w:hRule="atLeast"/>
          <w:jc w:val="center"/>
        </w:trPr>
        <w:tc>
          <w:tcPr>
            <w:tcW w:w="2753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政府集中采购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3527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lang w:val="en-US"/>
              </w:rPr>
              <w:t>0</w:t>
            </w:r>
          </w:p>
        </w:tc>
      </w:tr>
    </w:tbl>
    <w:p>
      <w:pPr>
        <w:pStyle w:val="style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jc w:val="left"/>
        <w:textAlignment w:val="auto"/>
        <w:rPr>
          <w:color w:val="000000"/>
          <w:sz w:val="13"/>
        </w:rPr>
      </w:pPr>
      <w:r>
        <w:rPr>
          <w:rFonts w:hint="eastAsia"/>
          <w:b w:val="false"/>
          <w:bCs w:val="false"/>
          <w:color w:val="000000"/>
        </w:rPr>
        <w:t>三、收到和处理政府信息公开申请情况</w:t>
      </w:r>
    </w:p>
    <w:tbl>
      <w:tblPr>
        <w:tblStyle w:val="style105"/>
        <w:tblW w:w="83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640"/>
        <w:gridCol w:w="2638"/>
        <w:gridCol w:w="650"/>
        <w:gridCol w:w="637"/>
        <w:gridCol w:w="713"/>
        <w:gridCol w:w="787"/>
        <w:gridCol w:w="813"/>
        <w:gridCol w:w="562"/>
        <w:gridCol w:w="342"/>
      </w:tblGrid>
      <w:tr>
        <w:trPr>
          <w:trHeight w:val="313" w:hRule="atLeast"/>
          <w:jc w:val="center"/>
        </w:trPr>
        <w:tc>
          <w:tcPr>
            <w:tcW w:w="3874" w:type="dxa"/>
            <w:gridSpan w:val="3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4504" w:type="dxa"/>
            <w:gridSpan w:val="7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申请人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情</w:t>
            </w:r>
            <w:r>
              <w:rPr>
                <w:color w:val="000000"/>
                <w:sz w:val="18"/>
                <w:szCs w:val="18"/>
              </w:rPr>
              <w:t>况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3874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自然人</w:t>
            </w:r>
          </w:p>
        </w:tc>
        <w:tc>
          <w:tcPr>
            <w:tcW w:w="3512" w:type="dxa"/>
            <w:gridSpan w:val="5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法人或其他组织</w:t>
            </w:r>
          </w:p>
        </w:tc>
        <w:tc>
          <w:tcPr>
            <w:tcW w:w="342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总计</w:t>
            </w:r>
          </w:p>
        </w:tc>
      </w:tr>
      <w:tr>
        <w:tblPrEx/>
        <w:trPr>
          <w:trHeight w:val="476" w:hRule="atLeast"/>
          <w:jc w:val="center"/>
        </w:trPr>
        <w:tc>
          <w:tcPr>
            <w:tcW w:w="3874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商业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科研</w:t>
            </w: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机构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社会公益组织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法律服务机构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342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</w:tr>
      <w:tr>
        <w:tblPrEx/>
        <w:trPr>
          <w:trHeight w:val="90" w:hRule="atLeast"/>
          <w:jc w:val="center"/>
        </w:trPr>
        <w:tc>
          <w:tcPr>
            <w:tcW w:w="3874" w:type="dxa"/>
            <w:gridSpan w:val="3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一、本年新收政府信息公开申请数量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3874" w:type="dxa"/>
            <w:gridSpan w:val="3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二、上年结转政府信息公开申请数量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596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三、本年度办理结果</w:t>
            </w:r>
          </w:p>
        </w:tc>
        <w:tc>
          <w:tcPr>
            <w:tcW w:w="3278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（一）予以公开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625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3278" w:type="dxa"/>
            <w:gridSpan w:val="2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（三） 不予公开</w:t>
            </w: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437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15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449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</w:tr>
      <w:tr>
        <w:tblPrEx/>
        <w:trPr>
          <w:trHeight w:val="412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240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99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（四） 无法提供</w:t>
            </w: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</w:tr>
      <w:tr>
        <w:tblPrEx/>
        <w:trPr>
          <w:trHeight w:val="354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2638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2.没有现成信息需要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22" w:hRule="atLeast"/>
          <w:jc w:val="center"/>
        </w:trPr>
        <w:tc>
          <w:tcPr>
            <w:tcW w:w="596" w:type="dxa"/>
            <w:vMerge w:val="restart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40" w:type="dxa"/>
            <w:vMerge w:val="restart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638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另行制作</w:t>
            </w:r>
          </w:p>
        </w:tc>
        <w:tc>
          <w:tcPr>
            <w:tcW w:w="650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>
              <w:top w:val="nil"/>
            </w:tcBorders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</w:tr>
      <w:tr>
        <w:tblPrEx/>
        <w:trPr>
          <w:trHeight w:val="274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26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3.补正后申请内容仍不明确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w w:val="99"/>
                <w:sz w:val="21"/>
                <w:szCs w:val="21"/>
              </w:rPr>
              <w:t>0</w:t>
            </w:r>
          </w:p>
        </w:tc>
      </w:tr>
      <w:tr>
        <w:tblPrEx/>
        <w:trPr>
          <w:trHeight w:val="287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restart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（五） 不予处理</w:t>
            </w:r>
          </w:p>
        </w:tc>
        <w:tc>
          <w:tcPr>
            <w:tcW w:w="26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eastAsia="宋体" w:hAnsi="Times New Roman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</w:tr>
      <w:tr>
        <w:tblPrEx/>
        <w:trPr>
          <w:trHeight w:val="248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</w:tr>
      <w:tr>
        <w:tblPrEx/>
        <w:trPr>
          <w:trHeight w:val="213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</w:tr>
      <w:tr>
        <w:tblPrEx/>
        <w:trPr>
          <w:trHeight w:val="63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3278" w:type="dxa"/>
            <w:gridSpan w:val="2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13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3278" w:type="dxa"/>
            <w:gridSpan w:val="2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  <w:tr>
        <w:tblPrEx/>
        <w:trPr>
          <w:trHeight w:val="311" w:hRule="atLeast"/>
          <w:jc w:val="center"/>
        </w:trPr>
        <w:tc>
          <w:tcPr>
            <w:tcW w:w="3874" w:type="dxa"/>
            <w:gridSpan w:val="3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50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3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7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342" w:type="dxa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Times New Roman" w:cs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1"/>
                <w:szCs w:val="21"/>
                <w:lang w:val="en-US"/>
              </w:rPr>
              <w:t>0</w:t>
            </w:r>
          </w:p>
        </w:tc>
      </w:tr>
    </w:tbl>
    <w:p>
      <w:pPr>
        <w:pStyle w:val="style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jc w:val="left"/>
        <w:textAlignment w:val="auto"/>
        <w:rPr>
          <w:color w:val="000000"/>
          <w:sz w:val="13"/>
        </w:rPr>
      </w:pPr>
      <w:r>
        <w:rPr>
          <w:rFonts w:hint="eastAsia"/>
          <w:b w:val="false"/>
          <w:bCs w:val="false"/>
          <w:color w:val="000000"/>
          <w:sz w:val="32"/>
          <w:szCs w:val="32"/>
        </w:rPr>
        <w:t>四、政府信息公开行政复议、行政诉讼情况</w:t>
      </w:r>
    </w:p>
    <w:tbl>
      <w:tblPr>
        <w:tblStyle w:val="style105"/>
        <w:tblW w:w="85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613"/>
        <w:gridCol w:w="512"/>
        <w:gridCol w:w="538"/>
        <w:gridCol w:w="521"/>
        <w:gridCol w:w="549"/>
        <w:gridCol w:w="607"/>
        <w:gridCol w:w="605"/>
        <w:gridCol w:w="605"/>
        <w:gridCol w:w="605"/>
        <w:gridCol w:w="605"/>
        <w:gridCol w:w="605"/>
        <w:gridCol w:w="605"/>
        <w:gridCol w:w="608"/>
        <w:gridCol w:w="442"/>
      </w:tblGrid>
      <w:tr>
        <w:trPr>
          <w:trHeight w:val="311" w:hRule="atLeast"/>
          <w:jc w:val="center"/>
        </w:trPr>
        <w:tc>
          <w:tcPr>
            <w:tcW w:w="2718" w:type="dxa"/>
            <w:gridSpan w:val="5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行政复议</w:t>
            </w:r>
          </w:p>
        </w:tc>
        <w:tc>
          <w:tcPr>
            <w:tcW w:w="5836" w:type="dxa"/>
            <w:gridSpan w:val="10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行政诉讼</w:t>
            </w:r>
          </w:p>
        </w:tc>
      </w:tr>
      <w:tr>
        <w:tblPrEx/>
        <w:trPr>
          <w:trHeight w:val="313" w:hRule="atLeast"/>
          <w:jc w:val="center"/>
        </w:trPr>
        <w:tc>
          <w:tcPr>
            <w:tcW w:w="534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结果维持</w:t>
            </w:r>
          </w:p>
        </w:tc>
        <w:tc>
          <w:tcPr>
            <w:tcW w:w="613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结果纠正</w:t>
            </w:r>
          </w:p>
        </w:tc>
        <w:tc>
          <w:tcPr>
            <w:tcW w:w="512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其他结果</w:t>
            </w:r>
          </w:p>
        </w:tc>
        <w:tc>
          <w:tcPr>
            <w:tcW w:w="538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尚未审结</w:t>
            </w:r>
          </w:p>
        </w:tc>
        <w:tc>
          <w:tcPr>
            <w:tcW w:w="521" w:type="dxa"/>
            <w:vMerge w:val="restart"/>
            <w:tcBorders/>
            <w:vAlign w:val="center"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总计</w:t>
            </w:r>
          </w:p>
        </w:tc>
        <w:tc>
          <w:tcPr>
            <w:tcW w:w="2971" w:type="dxa"/>
            <w:gridSpan w:val="5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未经复议直接起诉</w:t>
            </w:r>
          </w:p>
        </w:tc>
        <w:tc>
          <w:tcPr>
            <w:tcW w:w="2865" w:type="dxa"/>
            <w:gridSpan w:val="5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复议后起诉</w:t>
            </w:r>
          </w:p>
        </w:tc>
      </w:tr>
      <w:tr>
        <w:tblPrEx/>
        <w:trPr>
          <w:trHeight w:val="659" w:hRule="atLeast"/>
          <w:jc w:val="center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color w:val="000000"/>
                <w:sz w:val="2"/>
                <w:szCs w:val="2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521" w:type="dxa"/>
            <w:vMerge w:val="continue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</w:tc>
        <w:tc>
          <w:tcPr>
            <w:tcW w:w="549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结果维持</w:t>
            </w:r>
          </w:p>
        </w:tc>
        <w:tc>
          <w:tcPr>
            <w:tcW w:w="607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结果纠正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其他结果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尚未审结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总计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结果维持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结果纠正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其他结果</w:t>
            </w:r>
          </w:p>
        </w:tc>
        <w:tc>
          <w:tcPr>
            <w:tcW w:w="60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尚未审结</w:t>
            </w:r>
          </w:p>
        </w:tc>
        <w:tc>
          <w:tcPr>
            <w:tcW w:w="442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</w:p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92"/>
              <w:ind w:left="0" w:right="0"/>
              <w:jc w:val="center"/>
              <w:textAlignment w:val="auto"/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</w:pPr>
            <w:r>
              <w:rPr>
                <w:rFonts w:ascii="宋体" w:cs="宋体" w:eastAsia="宋体" w:hAnsi="宋体"/>
                <w:color w:val="000000"/>
                <w:kern w:val="2"/>
                <w:sz w:val="20"/>
                <w:szCs w:val="24"/>
                <w:lang w:val="zh-CN" w:bidi="zh-CN" w:eastAsia="zh-CN"/>
              </w:rPr>
              <w:t>总计</w:t>
            </w:r>
          </w:p>
        </w:tc>
      </w:tr>
      <w:tr>
        <w:tblPrEx/>
        <w:trPr>
          <w:trHeight w:val="314" w:hRule="atLeast"/>
          <w:jc w:val="center"/>
        </w:trPr>
        <w:tc>
          <w:tcPr>
            <w:tcW w:w="534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13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  <w:lang w:val="en-US"/>
              </w:rPr>
              <w:t>0</w:t>
            </w:r>
          </w:p>
        </w:tc>
        <w:tc>
          <w:tcPr>
            <w:tcW w:w="53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521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  <w:lang w:val="en-US"/>
              </w:rPr>
              <w:t>0</w:t>
            </w:r>
          </w:p>
        </w:tc>
        <w:tc>
          <w:tcPr>
            <w:tcW w:w="607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/>
          </w:tcPr>
          <w:p>
            <w:pPr>
              <w:pStyle w:val="style4097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0" w:right="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pStyle w:val="style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textAlignment w:val="auto"/>
        <w:rPr>
          <w:b w:val="false"/>
          <w:bCs w:val="false"/>
          <w:color w:val="000000"/>
        </w:rPr>
      </w:pPr>
      <w:r>
        <w:rPr>
          <w:rFonts w:hint="eastAsia"/>
          <w:b w:val="false"/>
          <w:bCs w:val="false"/>
          <w:color w:val="000000"/>
        </w:rPr>
        <w:t>五、政府信息公开工作存在的主要问题及改进情况</w:t>
      </w:r>
    </w:p>
    <w:p>
      <w:pPr>
        <w:pStyle w:val="style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textAlignment w:val="auto"/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019年，县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民政局认真贯彻《条例》要求，认真开展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政府信息公开工作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，取得了一定的成绩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，但同时也存在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一些不足，主要有：一是信息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公开不及时、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对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公开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的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内容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要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进一步深化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；二对政府信息主动性不高；三是对公文内容校对不严格，导致打开格式不一致。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val="en-US" w:eastAsia="zh-CN"/>
        </w:rPr>
        <w:t>2020年，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我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局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将通过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以下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几个方面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进行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整改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：一是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在县委、县政府的指导之下新一部加强政府政务信息公开工作，二是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加强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工作人员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培训，提高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信息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公开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内容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质量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  <w:lang w:eastAsia="zh-CN"/>
        </w:rPr>
        <w:t>；三是及时主动向社会公开可以公开的信息；四是加强对信息公开内容的审核校对力度，确保准确性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sz w:val="32"/>
          <w:szCs w:val="32"/>
        </w:rPr>
        <w:t>。</w:t>
      </w:r>
    </w:p>
    <w:p>
      <w:pPr>
        <w:pStyle w:val="style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exact" w:line="576"/>
        <w:ind w:left="0" w:right="0" w:firstLine="640" w:firstLineChars="200"/>
        <w:textAlignment w:val="auto"/>
        <w:rPr>
          <w:b w:val="false"/>
          <w:bCs w:val="false"/>
          <w:color w:val="000000"/>
        </w:rPr>
      </w:pPr>
      <w:r>
        <w:rPr>
          <w:rFonts w:hint="eastAsia"/>
          <w:b w:val="false"/>
          <w:bCs w:val="false"/>
          <w:color w:val="000000"/>
        </w:rPr>
        <w:t>六、其他需要报告的事项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left="0" w:right="0"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无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6"/>
        <w:ind w:right="0" w:rightChars="0"/>
        <w:jc w:val="right"/>
        <w:textAlignment w:val="auto"/>
        <w:rPr>
          <w:rFonts w:ascii="仿宋_GB2312" w:eastAsia="仿宋_GB2312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蓬溪县</w:t>
      </w:r>
      <w:r>
        <w:rPr>
          <w:rFonts w:ascii="仿宋_GB2312" w:eastAsia="仿宋_GB2312" w:hint="eastAsia"/>
          <w:color w:val="000000"/>
          <w:kern w:val="0"/>
          <w:sz w:val="32"/>
          <w:szCs w:val="32"/>
          <w:lang w:eastAsia="zh-CN"/>
        </w:rPr>
        <w:t>民政局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/>
      </w:pPr>
      <w:r>
        <w:rPr>
          <w:rFonts w:ascii="仿宋_GB2312" w:eastAsia="仿宋_GB2312" w:hint="eastAsia"/>
          <w:color w:val="000000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2020年1月</w:t>
      </w:r>
      <w:r>
        <w:rPr>
          <w:rFonts w:ascii="仿宋_GB2312" w:eastAsia="仿宋_GB2312" w:hint="eastAsia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sectPr>
      <w:footerReference w:type="default" r:id="rId2"/>
      <w:pgSz w:w="11850" w:h="16783" w:orient="portrait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100" w:after="100" w:lineRule="exact" w:line="560"/>
      <w:outlineLvl w:val="0"/>
    </w:pPr>
    <w:rPr>
      <w:rFonts w:ascii="Times New Roman" w:cs="Times New Roman" w:eastAsia="黑体" w:hAnsi="Times New Roman"/>
      <w:b/>
      <w:bCs/>
      <w:kern w:val="44"/>
      <w:sz w:val="32"/>
      <w:szCs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60" w:after="60" w:lineRule="exact" w:line="560"/>
      <w:outlineLvl w:val="1"/>
    </w:pPr>
    <w:rPr>
      <w:rFonts w:ascii="Arial" w:cs="Times New Roman" w:eastAsia="黑体" w:hAnsi="Arial"/>
      <w:b/>
      <w:bCs/>
      <w:sz w:val="30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宋体" w:cs="宋体" w:eastAsia="宋体" w:hAnsi="宋体"/>
      <w:sz w:val="32"/>
      <w:szCs w:val="32"/>
      <w:lang w:val="zh-CN" w:bidi="zh-CN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Autospacing="true"/>
      <w:jc w:val="left"/>
    </w:pPr>
    <w:rPr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paragraph" w:customStyle="1" w:styleId="style4097">
    <w:name w:val="Table Paragraph"/>
    <w:basedOn w:val="style0"/>
    <w:next w:val="style4097"/>
    <w:qFormat/>
    <w:uiPriority w:val="1"/>
    <w:pPr/>
    <w:rPr>
      <w:rFonts w:ascii="宋体" w:cs="宋体" w:eastAsia="宋体" w:hAnsi="宋体"/>
      <w:lang w:val="zh-CN" w:bidi="zh-C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Words>1826</Words>
  <Pages>1</Pages>
  <Characters>1900</Characters>
  <Application>WPS Office</Application>
  <DocSecurity>0</DocSecurity>
  <Paragraphs>450</Paragraphs>
  <ScaleCrop>false</ScaleCrop>
  <LinksUpToDate>false</LinksUpToDate>
  <CharactersWithSpaces>1949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2020-01-29T01:59:00Z</dcterms:created>
  <dc:creator>风吹扬雪</dc:creator>
  <lastModifiedBy>vivo X9</lastModifiedBy>
  <lastPrinted>2020-01-29T02:10:00Z</lastPrinted>
  <dcterms:modified xsi:type="dcterms:W3CDTF">2020-01-29T10:04:31Z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