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4" w:lineRule="atLeast"/>
        <w:ind w:left="0" w:right="599" w:firstLine="0"/>
        <w:jc w:val="left"/>
        <w:rPr>
          <w:rFonts w:hint="default" w:ascii="宋体" w:eastAsia="宋体"/>
          <w:color w:val="333333"/>
          <w:spacing w:val="0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u w:val="none"/>
          <w:lang w:val="en-US" w:eastAsia="zh-CN"/>
        </w:rPr>
        <w:t>附件1：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4" w:lineRule="atLeast"/>
        <w:ind w:left="0" w:right="599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44"/>
          <w:szCs w:val="44"/>
          <w:u w:val="none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44"/>
          <w:szCs w:val="44"/>
          <w:u w:val="none"/>
        </w:rPr>
        <w:t>年蓬溪县应急管理局安全生产重点检查工作计划表</w:t>
      </w:r>
    </w:p>
    <w:tbl>
      <w:tblPr>
        <w:tblStyle w:val="4"/>
        <w:tblW w:w="13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"/>
        <w:gridCol w:w="2246"/>
        <w:gridCol w:w="4533"/>
        <w:gridCol w:w="2040"/>
        <w:gridCol w:w="4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65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序号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行业领域</w:t>
            </w: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检查单位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计划检查次数（次）</w:t>
            </w:r>
          </w:p>
        </w:tc>
        <w:tc>
          <w:tcPr>
            <w:tcW w:w="4094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计划需占用工作日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1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危险化学品生产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企业（3家）</w:t>
            </w:r>
          </w:p>
        </w:tc>
        <w:tc>
          <w:tcPr>
            <w:tcW w:w="45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四川聚泰材料有限公司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3家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次/家=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</w:p>
        </w:tc>
        <w:tc>
          <w:tcPr>
            <w:tcW w:w="4094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人/次=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/>
        </w:tc>
        <w:tc>
          <w:tcPr>
            <w:tcW w:w="45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四川之江高新材料股份有限公司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/>
        </w:tc>
        <w:tc>
          <w:tcPr>
            <w:tcW w:w="45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遂宁鼎世生物科技有限公司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危险化学品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  <w:t>储存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企业（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家）</w:t>
            </w: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中国石化销售有限公司四川遂宁石油分公司蓬溪油库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家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次/家=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</w:p>
        </w:tc>
        <w:tc>
          <w:tcPr>
            <w:tcW w:w="4094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人/次=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  <w:lang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危险化学品经营企业（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家）</w:t>
            </w: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蓬溪县顺路加油站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家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×1次/家=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</w:p>
        </w:tc>
        <w:tc>
          <w:tcPr>
            <w:tcW w:w="4094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人/次=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中石油蓬溪乐安加油站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蓬溪县煜坤能源有限公司加油站加气南站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中石化龙洞加油站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4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烟花爆竹批发企业企业（2家）</w:t>
            </w:r>
          </w:p>
        </w:tc>
        <w:tc>
          <w:tcPr>
            <w:tcW w:w="45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蓬溪县常明烟花爆竹有限责任公司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2家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次/家=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</w:p>
        </w:tc>
        <w:tc>
          <w:tcPr>
            <w:tcW w:w="4094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人/次=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/>
        </w:tc>
        <w:tc>
          <w:tcPr>
            <w:tcW w:w="45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蓬溪县腾达烟花爆竹有限责任公司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  <w:t>非煤矿山企业（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2家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蓬溪县建华页岩机砖厂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leftChars="0" w:right="134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家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次/家=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</w:p>
        </w:tc>
        <w:tc>
          <w:tcPr>
            <w:tcW w:w="4094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leftChars="0" w:right="134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人/次=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</w:pP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蓬溪县明月文明机砖厂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  <w:t>工贸企业（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5家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蓬溪县民欣香桂有限责任公司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leftChars="0" w:right="134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家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次/家=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</w:p>
        </w:tc>
        <w:tc>
          <w:tcPr>
            <w:tcW w:w="4094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leftChars="0" w:right="134" w:rightChars="0" w:firstLine="0" w:firstLineChars="0"/>
              <w:jc w:val="center"/>
              <w:rPr>
                <w:rFonts w:hint="eastAsia" w:ascii="微软雅黑" w:hAnsi="Times New Roman" w:eastAsia="微软雅黑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人/次=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</w:pP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蓬溪县光明纺织有限责任公司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leftChars="0" w:right="134" w:rightChars="0" w:firstLine="0" w:firstLineChars="0"/>
              <w:jc w:val="center"/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leftChars="0" w:right="134" w:rightChars="0" w:firstLine="0" w:firstLineChars="0"/>
              <w:jc w:val="center"/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eastAsia="zh-CN"/>
              </w:rPr>
            </w:pP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四川家家喜木业有限责任公司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leftChars="0" w:right="134" w:rightChars="0" w:firstLine="0" w:firstLineChars="0"/>
              <w:jc w:val="center"/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leftChars="0" w:right="134" w:rightChars="0" w:firstLine="0" w:firstLineChars="0"/>
              <w:jc w:val="center"/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</w:pP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四川豪运来智能家居有限公司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134"/>
              <w:jc w:val="center"/>
              <w:textAlignment w:val="auto"/>
              <w:outlineLvl w:val="9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四川锂源新材料有限公司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5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小计</w:t>
            </w:r>
          </w:p>
        </w:tc>
        <w:tc>
          <w:tcPr>
            <w:tcW w:w="4533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default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094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default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68</w:t>
            </w: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4" w:lineRule="atLeast"/>
        <w:ind w:left="0" w:right="599" w:firstLine="0"/>
        <w:jc w:val="left"/>
        <w:rPr>
          <w:rFonts w:hint="default" w:ascii="宋体" w:eastAsia="宋体"/>
          <w:color w:val="333333"/>
          <w:spacing w:val="0"/>
          <w:sz w:val="36"/>
          <w:szCs w:val="36"/>
          <w:u w:val="none"/>
          <w:lang w:val="en-US" w:eastAsia="zh-CN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u w:val="none"/>
          <w:lang w:val="en-US" w:eastAsia="zh-CN"/>
        </w:rPr>
        <w:t>附件2：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4" w:lineRule="atLeast"/>
        <w:ind w:left="0" w:right="599" w:firstLine="0"/>
        <w:jc w:val="center"/>
        <w:rPr>
          <w:rFonts w:hint="eastAsia"/>
        </w:rPr>
      </w:pPr>
      <w:r>
        <w:rPr>
          <w:rFonts w:hint="eastAsia" w:ascii="宋体" w:hAnsi="宋体" w:cs="宋体"/>
          <w:color w:val="333333"/>
          <w:spacing w:val="0"/>
          <w:sz w:val="44"/>
          <w:szCs w:val="44"/>
          <w:u w:val="none"/>
          <w:lang w:eastAsia="zh-CN"/>
        </w:rPr>
        <w:t>2022</w:t>
      </w:r>
      <w:r>
        <w:rPr>
          <w:rFonts w:hint="eastAsia" w:ascii="宋体" w:hAnsi="宋体" w:eastAsia="宋体" w:cs="宋体"/>
          <w:color w:val="333333"/>
          <w:spacing w:val="0"/>
          <w:sz w:val="44"/>
          <w:szCs w:val="44"/>
          <w:u w:val="none"/>
        </w:rPr>
        <w:t>年蓬溪县应急管理局安全生产</w:t>
      </w:r>
      <w:r>
        <w:rPr>
          <w:rFonts w:hint="eastAsia" w:ascii="宋体" w:hAnsi="宋体" w:eastAsia="宋体" w:cs="宋体"/>
          <w:color w:val="333333"/>
          <w:spacing w:val="0"/>
          <w:sz w:val="44"/>
          <w:szCs w:val="44"/>
          <w:u w:val="none"/>
          <w:lang w:eastAsia="zh-CN"/>
        </w:rPr>
        <w:t>一般</w:t>
      </w:r>
      <w:r>
        <w:rPr>
          <w:rFonts w:hint="eastAsia" w:ascii="宋体" w:hAnsi="宋体" w:eastAsia="宋体" w:cs="宋体"/>
          <w:color w:val="333333"/>
          <w:spacing w:val="0"/>
          <w:sz w:val="44"/>
          <w:szCs w:val="44"/>
          <w:u w:val="none"/>
        </w:rPr>
        <w:t>检查工作计划表</w:t>
      </w:r>
    </w:p>
    <w:tbl>
      <w:tblPr>
        <w:tblStyle w:val="4"/>
        <w:tblW w:w="13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"/>
        <w:gridCol w:w="2246"/>
        <w:gridCol w:w="3750"/>
        <w:gridCol w:w="2823"/>
        <w:gridCol w:w="4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65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序号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行业领域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检查单位</w:t>
            </w:r>
          </w:p>
        </w:tc>
        <w:tc>
          <w:tcPr>
            <w:tcW w:w="2823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计划检查次数（次）</w:t>
            </w:r>
          </w:p>
        </w:tc>
        <w:tc>
          <w:tcPr>
            <w:tcW w:w="4094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Style w:val="6"/>
                <w:rFonts w:hint="eastAsia" w:ascii="仿宋" w:eastAsia="仿宋"/>
                <w:bCs/>
                <w:color w:val="333333"/>
                <w:spacing w:val="0"/>
                <w:szCs w:val="24"/>
                <w:u w:val="none"/>
              </w:rPr>
              <w:t>计划需占用工作日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1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危险化学品经营企业（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家）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蓬溪县祥兴压缩天然气洁能有限责任公司</w:t>
            </w:r>
          </w:p>
        </w:tc>
        <w:tc>
          <w:tcPr>
            <w:tcW w:w="2823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 xml:space="preserve"> 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家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次/家=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</w:p>
        </w:tc>
        <w:tc>
          <w:tcPr>
            <w:tcW w:w="4094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人/次=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/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延长壳牌（四川）石油有限公司遂宁蓬溪思源路加油站</w:t>
            </w:r>
          </w:p>
        </w:tc>
        <w:tc>
          <w:tcPr>
            <w:tcW w:w="2823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2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leftChars="0" w:right="134" w:rightChars="0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工矿商贸企业（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家）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四川华顺海天化纤有限责任公司</w:t>
            </w:r>
          </w:p>
        </w:tc>
        <w:tc>
          <w:tcPr>
            <w:tcW w:w="2823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家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×1次/家=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</w:p>
        </w:tc>
        <w:tc>
          <w:tcPr>
            <w:tcW w:w="4094" w:type="dxa"/>
            <w:vMerge w:val="restart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微软雅黑" w:eastAsia="微软雅黑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次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×</w:t>
            </w:r>
            <w:r>
              <w:rPr>
                <w:rFonts w:hint="eastAsia"/>
                <w:color w:val="000000"/>
                <w:spacing w:val="0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eastAsia="宋体"/>
                <w:color w:val="000000"/>
                <w:spacing w:val="0"/>
                <w:szCs w:val="24"/>
                <w:u w:val="none"/>
              </w:rPr>
              <w:t>人/次=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" w:eastAsia="仿宋"/>
                <w:color w:val="000000"/>
                <w:spacing w:val="0"/>
                <w:szCs w:val="24"/>
                <w:u w:val="none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/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四川飘香远大有限公司</w:t>
            </w:r>
          </w:p>
        </w:tc>
        <w:tc>
          <w:tcPr>
            <w:tcW w:w="2823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56" w:type="dxa"/>
            <w:vMerge w:val="continue"/>
            <w:noWrap w:val="0"/>
            <w:vAlign w:val="center"/>
          </w:tcPr>
          <w:p/>
        </w:tc>
        <w:tc>
          <w:tcPr>
            <w:tcW w:w="2246" w:type="dxa"/>
            <w:vMerge w:val="continue"/>
            <w:noWrap w:val="0"/>
            <w:vAlign w:val="center"/>
          </w:tcPr>
          <w:p/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四川省川胜电缆有限公司</w:t>
            </w:r>
          </w:p>
        </w:tc>
        <w:tc>
          <w:tcPr>
            <w:tcW w:w="2823" w:type="dxa"/>
            <w:vMerge w:val="continue"/>
            <w:noWrap w:val="0"/>
            <w:vAlign w:val="center"/>
          </w:tcPr>
          <w:p/>
        </w:tc>
        <w:tc>
          <w:tcPr>
            <w:tcW w:w="409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四川省川中线缆有限公司</w:t>
            </w:r>
          </w:p>
        </w:tc>
        <w:tc>
          <w:tcPr>
            <w:tcW w:w="282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四川泓兴荣食品有限公司</w:t>
            </w:r>
          </w:p>
        </w:tc>
        <w:tc>
          <w:tcPr>
            <w:tcW w:w="282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四川欧铂亚门业有限公司</w:t>
            </w:r>
          </w:p>
        </w:tc>
        <w:tc>
          <w:tcPr>
            <w:tcW w:w="282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4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四川新新门业有限公司</w:t>
            </w:r>
          </w:p>
        </w:tc>
        <w:tc>
          <w:tcPr>
            <w:tcW w:w="282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409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Times New Roman" w:eastAsia="仿宋" w:cs="Times New Roman"/>
                <w:snapToGrid/>
                <w:color w:val="333333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" w:hRule="atLeast"/>
        </w:trPr>
        <w:tc>
          <w:tcPr>
            <w:tcW w:w="65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  <w:tc>
          <w:tcPr>
            <w:tcW w:w="2246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9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  <w:t>小计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eastAsia" w:ascii="仿宋" w:eastAsia="仿宋"/>
                <w:color w:val="333333"/>
                <w:spacing w:val="0"/>
                <w:szCs w:val="24"/>
                <w:u w:val="none"/>
              </w:rPr>
            </w:pPr>
          </w:p>
        </w:tc>
        <w:tc>
          <w:tcPr>
            <w:tcW w:w="2823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default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094" w:type="dxa"/>
            <w:noWrap w:val="0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4" w:lineRule="atLeast"/>
              <w:ind w:left="0" w:right="134"/>
              <w:jc w:val="center"/>
              <w:rPr>
                <w:rFonts w:hint="default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color w:val="333333"/>
                <w:spacing w:val="0"/>
                <w:szCs w:val="24"/>
                <w:u w:val="none"/>
                <w:lang w:val="en-US" w:eastAsia="zh-CN"/>
              </w:rPr>
              <w:t>36</w:t>
            </w:r>
          </w:p>
        </w:tc>
      </w:tr>
    </w:tbl>
    <w:p>
      <w:pPr>
        <w:spacing w:line="560" w:lineRule="exact"/>
        <w:ind w:left="0"/>
        <w:rPr>
          <w:rFonts w:hint="eastAsia" w:ascii="仿宋_GB2312" w:eastAsia="仿宋_GB2312"/>
          <w:bCs/>
          <w:color w:val="000000"/>
          <w:kern w:val="0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4993005</wp:posOffset>
              </wp:positionH>
              <wp:positionV relativeFrom="paragraph">
                <wp:posOffset>-106045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15pt;margin-top:-8.3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sZ4n2AAAAAwBAAAPAAAAAAAAAAEAIAAAACIAAABkcnMvZG93&#10;bnJldi54bWxQSwECFAAUAAAACACHTuJA1fWDnscBAACZAwAADgAAAAAAAAABACAAAAAn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63263"/>
    <w:rsid w:val="33E0146D"/>
    <w:rsid w:val="505E003C"/>
    <w:rsid w:val="5C1C3249"/>
    <w:rsid w:val="5EB83C06"/>
    <w:rsid w:val="7FBA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Normal (Web)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4"/>
      <w:szCs w:val="28"/>
      <w:u w:val="none" w:color="auto"/>
      <w:shd w:val="clear" w:color="auto" w:fill="auto"/>
      <w:vertAlign w:val="baseline"/>
      <w:lang w:val="en-US" w:eastAsia="zh-CN" w:bidi="ar-SA"/>
    </w:rPr>
  </w:style>
  <w:style w:type="character" w:styleId="6">
    <w:name w:val="Strong"/>
    <w:qFormat/>
    <w:uiPriority w:val="0"/>
    <w:rPr>
      <w:rFonts w:cs="Times New Roman"/>
      <w:b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3478</Words>
  <Characters>3667</Characters>
  <Lines>0</Lines>
  <Paragraphs>0</Paragraphs>
  <TotalTime>10</TotalTime>
  <ScaleCrop>false</ScaleCrop>
  <LinksUpToDate>false</LinksUpToDate>
  <CharactersWithSpaces>3770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2022-03-22T00:51:00Z</dcterms:created>
  <dc:creator>Administrator</dc:creator>
  <cp:lastModifiedBy>曾晶</cp:lastModifiedBy>
  <cp:lastPrinted>2022-03-22T01:00:00Z</cp:lastPrinted>
  <dcterms:modified xsi:type="dcterms:W3CDTF">2022-03-23T03:49:43Z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811FC394259B492A8163CF7C46BA4546</vt:lpwstr>
  </property>
</Properties>
</file>