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sz w:val="36"/>
          <w:szCs w:val="36"/>
        </w:rPr>
      </w:pPr>
    </w:p>
    <w:p>
      <w:pPr>
        <w:rPr>
          <w:rFonts w:hint="default" w:ascii="Times New Roman" w:hAnsi="Times New Roman" w:eastAsia="仿宋_GB2312" w:cs="Times New Roman"/>
          <w:sz w:val="36"/>
          <w:szCs w:val="36"/>
        </w:rPr>
      </w:pPr>
    </w:p>
    <w:p>
      <w:pPr>
        <w:rPr>
          <w:rFonts w:hint="default" w:ascii="Times New Roman" w:hAnsi="Times New Roman" w:eastAsia="仿宋_GB2312" w:cs="Times New Roman"/>
          <w:sz w:val="36"/>
          <w:szCs w:val="36"/>
        </w:rPr>
      </w:pPr>
    </w:p>
    <w:p>
      <w:pPr>
        <w:rPr>
          <w:rFonts w:hint="default" w:ascii="Times New Roman" w:hAnsi="Times New Roman" w:eastAsia="仿宋_GB2312" w:cs="Times New Roman"/>
          <w:sz w:val="36"/>
          <w:szCs w:val="36"/>
        </w:rPr>
      </w:pPr>
    </w:p>
    <w:p>
      <w:pPr>
        <w:rPr>
          <w:rFonts w:hint="default" w:ascii="Times New Roman" w:hAnsi="Times New Roman" w:eastAsia="仿宋_GB2312" w:cs="Times New Roman"/>
          <w:sz w:val="36"/>
          <w:szCs w:val="36"/>
        </w:rPr>
      </w:pPr>
    </w:p>
    <w:p>
      <w:pPr>
        <w:adjustRightInd w:val="0"/>
        <w:snapToGrid w:val="0"/>
        <w:jc w:val="center"/>
        <w:outlineLvl w:val="0"/>
        <w:rPr>
          <w:rFonts w:hint="default" w:ascii="Times New Roman" w:hAnsi="Times New Roman" w:eastAsia="黑体" w:cs="Times New Roman"/>
          <w:bCs/>
          <w:sz w:val="72"/>
          <w:szCs w:val="72"/>
        </w:rPr>
      </w:pPr>
      <w:r>
        <w:rPr>
          <w:rFonts w:hint="default" w:ascii="Times New Roman" w:hAnsi="Times New Roman" w:eastAsia="黑体" w:cs="Times New Roman"/>
          <w:bCs/>
          <w:sz w:val="72"/>
          <w:szCs w:val="72"/>
        </w:rPr>
        <w:t>建设项目环境影响报告表</w:t>
      </w:r>
    </w:p>
    <w:p>
      <w:pPr>
        <w:adjustRightInd w:val="0"/>
        <w:snapToGrid w:val="0"/>
        <w:spacing w:before="192" w:beforeLines="80"/>
        <w:jc w:val="center"/>
        <w:rPr>
          <w:rFonts w:hint="default" w:ascii="Times New Roman" w:hAnsi="Times New Roman" w:eastAsia="黑体" w:cs="Times New Roman"/>
          <w:bCs/>
          <w:sz w:val="48"/>
          <w:szCs w:val="48"/>
        </w:rPr>
      </w:pPr>
      <w:r>
        <w:rPr>
          <w:rFonts w:hint="default" w:ascii="Times New Roman" w:hAnsi="Times New Roman" w:eastAsia="黑体" w:cs="Times New Roman"/>
          <w:bCs/>
          <w:sz w:val="48"/>
          <w:szCs w:val="48"/>
        </w:rPr>
        <w:t>（污染影响类</w:t>
      </w:r>
      <w:r>
        <w:rPr>
          <w:rFonts w:hint="default" w:ascii="Times New Roman" w:hAnsi="Times New Roman" w:eastAsia="黑体" w:cs="Times New Roman"/>
          <w:bCs/>
          <w:sz w:val="48"/>
          <w:szCs w:val="48"/>
          <w:lang w:val="en-US" w:eastAsia="zh-CN"/>
        </w:rPr>
        <w:t>送审本</w:t>
      </w:r>
      <w:r>
        <w:rPr>
          <w:rFonts w:hint="default" w:ascii="Times New Roman" w:hAnsi="Times New Roman" w:eastAsia="黑体" w:cs="Times New Roman"/>
          <w:bCs/>
          <w:sz w:val="48"/>
          <w:szCs w:val="48"/>
        </w:rPr>
        <w:t>）</w:t>
      </w: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9"/>
        <w:rPr>
          <w:rFonts w:hint="default" w:ascii="Times New Roman" w:hAnsi="Times New Roman" w:eastAsia="黑体" w:cs="Times New Roman"/>
          <w:color w:val="000000"/>
          <w:kern w:val="44"/>
          <w:sz w:val="44"/>
          <w:szCs w:val="44"/>
        </w:rPr>
      </w:pPr>
    </w:p>
    <w:p>
      <w:pPr>
        <w:jc w:val="center"/>
        <w:rPr>
          <w:rFonts w:hint="default" w:ascii="Times New Roman" w:hAnsi="Times New Roman" w:eastAsia="黑体" w:cs="Times New Roman"/>
          <w:b/>
          <w:color w:val="0000FF"/>
          <w:sz w:val="52"/>
          <w:szCs w:val="52"/>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黑体" w:cs="Times New Roman"/>
          <w:sz w:val="32"/>
          <w:szCs w:val="4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黑体" w:cs="Times New Roman"/>
          <w:sz w:val="32"/>
          <w:szCs w:val="4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黑体" w:cs="Times New Roman"/>
          <w:sz w:val="32"/>
          <w:szCs w:val="44"/>
        </w:rPr>
      </w:pPr>
    </w:p>
    <w:p>
      <w:pPr>
        <w:adjustRightInd w:val="0"/>
        <w:snapToGrid w:val="0"/>
        <w:spacing w:line="288" w:lineRule="auto"/>
        <w:ind w:firstLine="1040"/>
        <w:rPr>
          <w:rFonts w:hint="default" w:ascii="Times New Roman" w:hAnsi="Times New Roman" w:eastAsia="黑体" w:cs="Times New Roman"/>
          <w:sz w:val="36"/>
          <w:szCs w:val="36"/>
          <w:u w:val="single"/>
          <w:lang w:val="en-US" w:eastAsia="zh-CN"/>
        </w:rPr>
      </w:pPr>
      <w:r>
        <w:rPr>
          <w:rFonts w:hint="default" w:ascii="Times New Roman" w:hAnsi="Times New Roman" w:eastAsia="黑体" w:cs="Times New Roman"/>
          <w:sz w:val="36"/>
          <w:szCs w:val="36"/>
        </w:rPr>
        <w:t xml:space="preserve">项目名称： </w:t>
      </w:r>
      <w:r>
        <w:rPr>
          <w:rFonts w:hint="default" w:ascii="Times New Roman" w:hAnsi="Times New Roman" w:eastAsia="黑体" w:cs="Times New Roman"/>
          <w:sz w:val="36"/>
          <w:szCs w:val="36"/>
          <w:u w:val="single"/>
        </w:rPr>
        <w:t xml:space="preserve">年产1万吨塑料管材及管件项目   </w:t>
      </w:r>
      <w:r>
        <w:rPr>
          <w:rFonts w:hint="default" w:ascii="Times New Roman" w:hAnsi="Times New Roman" w:eastAsia="黑体" w:cs="Times New Roman"/>
          <w:sz w:val="36"/>
          <w:szCs w:val="36"/>
          <w:u w:val="single"/>
          <w:lang w:val="en-US" w:eastAsia="zh-CN"/>
        </w:rPr>
        <w:t xml:space="preserve">  </w:t>
      </w:r>
    </w:p>
    <w:p>
      <w:pPr>
        <w:adjustRightInd w:val="0"/>
        <w:snapToGrid w:val="0"/>
        <w:spacing w:line="288" w:lineRule="auto"/>
        <w:ind w:left="3957" w:leftChars="513" w:hanging="2880" w:hangingChars="800"/>
        <w:rPr>
          <w:rFonts w:hint="default" w:ascii="Times New Roman" w:hAnsi="Times New Roman" w:eastAsia="黑体" w:cs="Times New Roman"/>
          <w:sz w:val="36"/>
          <w:szCs w:val="36"/>
          <w:u w:val="single"/>
          <w:lang w:val="en-US" w:eastAsia="zh-CN"/>
        </w:rPr>
      </w:pPr>
      <w:r>
        <w:rPr>
          <w:rFonts w:hint="default" w:ascii="Times New Roman" w:hAnsi="Times New Roman" w:eastAsia="黑体" w:cs="Times New Roman"/>
          <w:sz w:val="36"/>
          <w:szCs w:val="36"/>
        </w:rPr>
        <w:t>建设单位（盖章）：</w:t>
      </w:r>
      <w:r>
        <w:rPr>
          <w:rFonts w:hint="default" w:ascii="Times New Roman" w:hAnsi="Times New Roman" w:eastAsia="黑体" w:cs="Times New Roman"/>
          <w:sz w:val="36"/>
          <w:szCs w:val="36"/>
          <w:u w:val="single"/>
          <w:lang w:val="en-US" w:eastAsia="zh-CN"/>
        </w:rPr>
        <w:t xml:space="preserve"> </w:t>
      </w:r>
      <w:r>
        <w:rPr>
          <w:rFonts w:hint="default" w:ascii="Times New Roman" w:hAnsi="Times New Roman" w:eastAsia="黑体" w:cs="Times New Roman"/>
          <w:sz w:val="36"/>
          <w:szCs w:val="36"/>
          <w:u w:val="single"/>
        </w:rPr>
        <w:t xml:space="preserve">吉林省川隆塑胶制品有限公司蓬溪分公司 </w:t>
      </w:r>
      <w:r>
        <w:rPr>
          <w:rFonts w:hint="default" w:ascii="Times New Roman" w:hAnsi="Times New Roman" w:eastAsia="黑体" w:cs="Times New Roman"/>
          <w:sz w:val="36"/>
          <w:szCs w:val="36"/>
          <w:u w:val="single"/>
          <w:lang w:val="en-US" w:eastAsia="zh-CN"/>
        </w:rPr>
        <w:t xml:space="preserve">  </w:t>
      </w:r>
      <w:r>
        <w:rPr>
          <w:rFonts w:hint="default" w:ascii="Times New Roman" w:hAnsi="Times New Roman" w:eastAsia="黑体" w:cs="Times New Roman"/>
          <w:sz w:val="36"/>
          <w:szCs w:val="36"/>
          <w:u w:val="single"/>
        </w:rPr>
        <w:t xml:space="preserve"> </w:t>
      </w:r>
      <w:r>
        <w:rPr>
          <w:rFonts w:hint="default" w:ascii="Times New Roman" w:hAnsi="Times New Roman" w:eastAsia="黑体" w:cs="Times New Roman"/>
          <w:sz w:val="36"/>
          <w:szCs w:val="36"/>
          <w:u w:val="single"/>
          <w:lang w:val="en-US" w:eastAsia="zh-CN"/>
        </w:rPr>
        <w:t xml:space="preserve">             </w:t>
      </w:r>
    </w:p>
    <w:p>
      <w:pPr>
        <w:adjustRightInd w:val="0"/>
        <w:snapToGrid w:val="0"/>
        <w:spacing w:line="288" w:lineRule="auto"/>
        <w:ind w:firstLine="1040"/>
        <w:rPr>
          <w:rFonts w:hint="default" w:ascii="Times New Roman" w:hAnsi="Times New Roman" w:eastAsia="黑体" w:cs="Times New Roman"/>
          <w:sz w:val="36"/>
          <w:szCs w:val="36"/>
          <w:u w:val="single"/>
        </w:rPr>
      </w:pPr>
      <w:r>
        <w:rPr>
          <w:rFonts w:hint="default" w:ascii="Times New Roman" w:hAnsi="Times New Roman" w:eastAsia="黑体" w:cs="Times New Roman"/>
          <w:sz w:val="36"/>
          <w:szCs w:val="36"/>
        </w:rPr>
        <w:t>编制日期：</w:t>
      </w:r>
      <w:r>
        <w:rPr>
          <w:rFonts w:hint="default" w:ascii="Times New Roman" w:hAnsi="Times New Roman" w:eastAsia="黑体" w:cs="Times New Roman"/>
          <w:sz w:val="36"/>
          <w:szCs w:val="36"/>
          <w:u w:val="single"/>
        </w:rPr>
        <w:t xml:space="preserve">       </w:t>
      </w:r>
      <w:r>
        <w:rPr>
          <w:rFonts w:hint="default" w:ascii="Times New Roman" w:hAnsi="Times New Roman" w:eastAsia="黑体" w:cs="Times New Roman"/>
          <w:sz w:val="36"/>
          <w:szCs w:val="36"/>
          <w:u w:val="single"/>
          <w:lang w:val="en-US" w:eastAsia="zh-CN"/>
        </w:rPr>
        <w:t xml:space="preserve">   2021年6月</w:t>
      </w:r>
      <w:r>
        <w:rPr>
          <w:rFonts w:hint="default" w:ascii="Times New Roman" w:hAnsi="Times New Roman" w:eastAsia="黑体" w:cs="Times New Roman"/>
          <w:sz w:val="36"/>
          <w:szCs w:val="36"/>
          <w:u w:val="single"/>
        </w:rPr>
        <w:t xml:space="preserve">            </w:t>
      </w:r>
      <w:r>
        <w:rPr>
          <w:rFonts w:hint="default" w:ascii="Times New Roman" w:hAnsi="Times New Roman" w:eastAsia="黑体" w:cs="Times New Roman"/>
          <w:sz w:val="36"/>
          <w:szCs w:val="36"/>
          <w:u w:val="single"/>
          <w:lang w:val="en-US" w:eastAsia="zh-CN"/>
        </w:rPr>
        <w:t xml:space="preserve"> </w:t>
      </w:r>
    </w:p>
    <w:p>
      <w:pPr>
        <w:adjustRightInd w:val="0"/>
        <w:snapToGrid w:val="0"/>
        <w:spacing w:line="288" w:lineRule="auto"/>
        <w:ind w:firstLine="1040"/>
        <w:rPr>
          <w:rFonts w:hint="default" w:ascii="Times New Roman" w:hAnsi="Times New Roman" w:eastAsia="黑体" w:cs="Times New Roman"/>
          <w:sz w:val="36"/>
          <w:szCs w:val="36"/>
        </w:rPr>
      </w:pPr>
      <w:bookmarkStart w:id="0" w:name="_Hlk57884087"/>
    </w:p>
    <w:p>
      <w:pPr>
        <w:adjustRightInd w:val="0"/>
        <w:snapToGrid w:val="0"/>
        <w:spacing w:line="288" w:lineRule="auto"/>
        <w:ind w:firstLine="1040"/>
        <w:rPr>
          <w:rFonts w:hint="default" w:ascii="Times New Roman" w:hAnsi="Times New Roman" w:eastAsia="黑体" w:cs="Times New Roman"/>
          <w:sz w:val="36"/>
          <w:szCs w:val="36"/>
        </w:rPr>
      </w:pPr>
    </w:p>
    <w:p>
      <w:pPr>
        <w:adjustRightInd w:val="0"/>
        <w:snapToGrid w:val="0"/>
        <w:spacing w:line="288" w:lineRule="auto"/>
        <w:ind w:firstLine="1040"/>
        <w:rPr>
          <w:rFonts w:hint="default" w:ascii="Times New Roman" w:hAnsi="Times New Roman" w:eastAsia="黑体" w:cs="Times New Roman"/>
          <w:sz w:val="36"/>
          <w:szCs w:val="36"/>
        </w:rPr>
      </w:pPr>
    </w:p>
    <w:p>
      <w:pPr>
        <w:adjustRightInd w:val="0"/>
        <w:snapToGrid w:val="0"/>
        <w:spacing w:line="288" w:lineRule="auto"/>
        <w:ind w:firstLine="1040"/>
        <w:rPr>
          <w:rFonts w:hint="default" w:ascii="Times New Roman" w:hAnsi="Times New Roman" w:eastAsia="黑体" w:cs="Times New Roman"/>
          <w:sz w:val="36"/>
          <w:szCs w:val="36"/>
        </w:rPr>
      </w:pPr>
    </w:p>
    <w:p>
      <w:pPr>
        <w:adjustRightInd w:val="0"/>
        <w:snapToGrid w:val="0"/>
        <w:spacing w:line="288" w:lineRule="auto"/>
        <w:ind w:firstLine="1040"/>
        <w:rPr>
          <w:rFonts w:hint="default" w:ascii="Times New Roman" w:hAnsi="Times New Roman" w:eastAsia="黑体" w:cs="Times New Roman"/>
          <w:sz w:val="36"/>
          <w:szCs w:val="36"/>
        </w:rPr>
      </w:pPr>
    </w:p>
    <w:p>
      <w:pPr>
        <w:adjustRightInd w:val="0"/>
        <w:snapToGrid w:val="0"/>
        <w:spacing w:line="288" w:lineRule="auto"/>
        <w:ind w:firstLine="1040"/>
        <w:rPr>
          <w:rFonts w:hint="default" w:ascii="Times New Roman" w:hAnsi="Times New Roman" w:eastAsia="黑体" w:cs="Times New Roman"/>
          <w:sz w:val="36"/>
          <w:szCs w:val="36"/>
        </w:rPr>
      </w:pPr>
    </w:p>
    <w:bookmarkEnd w:id="0"/>
    <w:p>
      <w:pPr>
        <w:adjustRightInd w:val="0"/>
        <w:snapToGrid w:val="0"/>
        <w:spacing w:line="288" w:lineRule="auto"/>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中华人民共和国生态环境部制</w:t>
      </w:r>
    </w:p>
    <w:p>
      <w:pPr>
        <w:adjustRightInd w:val="0"/>
        <w:snapToGrid w:val="0"/>
        <w:spacing w:line="288" w:lineRule="auto"/>
        <w:ind w:firstLine="1040"/>
        <w:rPr>
          <w:rFonts w:hint="default" w:ascii="Times New Roman" w:hAnsi="Times New Roman" w:eastAsia="仿宋_GB2312" w:cs="Times New Roman"/>
          <w:sz w:val="36"/>
          <w:szCs w:val="36"/>
        </w:rPr>
      </w:pPr>
    </w:p>
    <w:p>
      <w:pPr>
        <w:adjustRightInd w:val="0"/>
        <w:snapToGrid w:val="0"/>
        <w:spacing w:line="288" w:lineRule="auto"/>
        <w:ind w:firstLine="1040"/>
        <w:rPr>
          <w:rFonts w:hint="default" w:ascii="Times New Roman" w:hAnsi="Times New Roman" w:eastAsia="仿宋_GB2312" w:cs="Times New Roman"/>
          <w:sz w:val="36"/>
          <w:szCs w:val="36"/>
        </w:rPr>
      </w:pPr>
    </w:p>
    <w:p>
      <w:pPr>
        <w:adjustRightInd w:val="0"/>
        <w:snapToGrid w:val="0"/>
        <w:spacing w:line="288" w:lineRule="auto"/>
        <w:ind w:firstLine="1040"/>
        <w:rPr>
          <w:rFonts w:hint="default" w:ascii="Times New Roman" w:hAnsi="Times New Roman" w:eastAsia="仿宋_GB2312" w:cs="Times New Roman"/>
          <w:sz w:val="36"/>
          <w:szCs w:val="36"/>
        </w:rPr>
      </w:pPr>
    </w:p>
    <w:p>
      <w:pPr>
        <w:adjustRightInd w:val="0"/>
        <w:snapToGrid w:val="0"/>
        <w:spacing w:line="288" w:lineRule="auto"/>
        <w:rPr>
          <w:rFonts w:hint="eastAsia" w:ascii="Times New Roman" w:hAnsi="Times New Roman" w:eastAsia="仿宋_GB2312" w:cs="Times New Roman"/>
          <w:sz w:val="36"/>
          <w:szCs w:val="36"/>
          <w:lang w:eastAsia="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Times New Roman" w:hAnsi="Times New Roman" w:eastAsia="仿宋_GB2312" w:cs="Times New Roman"/>
          <w:sz w:val="36"/>
          <w:szCs w:val="36"/>
          <w:lang w:eastAsia="zh-CN"/>
        </w:rPr>
        <w:drawing>
          <wp:inline distT="0" distB="0" distL="114300" distR="114300">
            <wp:extent cx="5608955" cy="7929245"/>
            <wp:effectExtent l="0" t="0" r="14605" b="10795"/>
            <wp:docPr id="15" name="图片 15" descr="隆塑_页面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隆塑_页面_8"/>
                    <pic:cNvPicPr>
                      <a:picLocks noChangeAspect="1"/>
                    </pic:cNvPicPr>
                  </pic:nvPicPr>
                  <pic:blipFill>
                    <a:blip r:embed="rId8"/>
                    <a:stretch>
                      <a:fillRect/>
                    </a:stretch>
                  </pic:blipFill>
                  <pic:spPr>
                    <a:xfrm>
                      <a:off x="0" y="0"/>
                      <a:ext cx="5608955" cy="7929245"/>
                    </a:xfrm>
                    <a:prstGeom prst="rect">
                      <a:avLst/>
                    </a:prstGeom>
                  </pic:spPr>
                </pic:pic>
              </a:graphicData>
            </a:graphic>
          </wp:inline>
        </w:drawing>
      </w:r>
      <w:r>
        <w:rPr>
          <w:rFonts w:hint="eastAsia" w:ascii="Times New Roman" w:hAnsi="Times New Roman" w:eastAsia="仿宋_GB2312" w:cs="Times New Roman"/>
          <w:sz w:val="36"/>
          <w:szCs w:val="36"/>
          <w:lang w:eastAsia="zh-CN"/>
        </w:rPr>
        <w:drawing>
          <wp:inline distT="0" distB="0" distL="114300" distR="114300">
            <wp:extent cx="5608955" cy="7929245"/>
            <wp:effectExtent l="0" t="0" r="14605" b="10795"/>
            <wp:docPr id="12" name="图片 12" descr="隆塑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隆塑_页面_5"/>
                    <pic:cNvPicPr>
                      <a:picLocks noChangeAspect="1"/>
                    </pic:cNvPicPr>
                  </pic:nvPicPr>
                  <pic:blipFill>
                    <a:blip r:embed="rId9"/>
                    <a:stretch>
                      <a:fillRect/>
                    </a:stretch>
                  </pic:blipFill>
                  <pic:spPr>
                    <a:xfrm>
                      <a:off x="0" y="0"/>
                      <a:ext cx="5608955" cy="7929245"/>
                    </a:xfrm>
                    <a:prstGeom prst="rect">
                      <a:avLst/>
                    </a:prstGeom>
                  </pic:spPr>
                </pic:pic>
              </a:graphicData>
            </a:graphic>
          </wp:inline>
        </w:drawing>
      </w:r>
      <w:r>
        <w:rPr>
          <w:rFonts w:hint="eastAsia" w:ascii="Times New Roman" w:hAnsi="Times New Roman" w:eastAsia="仿宋_GB2312" w:cs="Times New Roman"/>
          <w:sz w:val="36"/>
          <w:szCs w:val="36"/>
          <w:lang w:eastAsia="zh-CN"/>
        </w:rPr>
        <w:drawing>
          <wp:inline distT="0" distB="0" distL="114300" distR="114300">
            <wp:extent cx="5608955" cy="7929245"/>
            <wp:effectExtent l="0" t="0" r="14605" b="10795"/>
            <wp:docPr id="3" name="图片 3" descr="隆塑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隆塑_页面_1"/>
                    <pic:cNvPicPr>
                      <a:picLocks noChangeAspect="1"/>
                    </pic:cNvPicPr>
                  </pic:nvPicPr>
                  <pic:blipFill>
                    <a:blip r:embed="rId10"/>
                    <a:stretch>
                      <a:fillRect/>
                    </a:stretch>
                  </pic:blipFill>
                  <pic:spPr>
                    <a:xfrm>
                      <a:off x="0" y="0"/>
                      <a:ext cx="5608955" cy="7929245"/>
                    </a:xfrm>
                    <a:prstGeom prst="rect">
                      <a:avLst/>
                    </a:prstGeom>
                  </pic:spPr>
                </pic:pic>
              </a:graphicData>
            </a:graphic>
          </wp:inline>
        </w:drawing>
      </w:r>
      <w:r>
        <w:rPr>
          <w:rFonts w:hint="eastAsia" w:ascii="Times New Roman" w:hAnsi="Times New Roman" w:eastAsia="仿宋_GB2312" w:cs="Times New Roman"/>
          <w:sz w:val="36"/>
          <w:szCs w:val="36"/>
          <w:lang w:eastAsia="zh-CN"/>
        </w:rPr>
        <w:drawing>
          <wp:inline distT="0" distB="0" distL="114300" distR="114300">
            <wp:extent cx="5608955" cy="7929245"/>
            <wp:effectExtent l="0" t="0" r="14605" b="10795"/>
            <wp:docPr id="8" name="图片 8" descr="隆塑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隆塑_页面_2"/>
                    <pic:cNvPicPr>
                      <a:picLocks noChangeAspect="1"/>
                    </pic:cNvPicPr>
                  </pic:nvPicPr>
                  <pic:blipFill>
                    <a:blip r:embed="rId11"/>
                    <a:stretch>
                      <a:fillRect/>
                    </a:stretch>
                  </pic:blipFill>
                  <pic:spPr>
                    <a:xfrm>
                      <a:off x="0" y="0"/>
                      <a:ext cx="5608955" cy="7929245"/>
                    </a:xfrm>
                    <a:prstGeom prst="rect">
                      <a:avLst/>
                    </a:prstGeom>
                  </pic:spPr>
                </pic:pic>
              </a:graphicData>
            </a:graphic>
          </wp:inline>
        </w:drawing>
      </w:r>
      <w:r>
        <w:rPr>
          <w:rFonts w:hint="eastAsia" w:ascii="Times New Roman" w:hAnsi="Times New Roman" w:eastAsia="仿宋_GB2312" w:cs="Times New Roman"/>
          <w:sz w:val="36"/>
          <w:szCs w:val="36"/>
          <w:lang w:eastAsia="zh-CN"/>
        </w:rPr>
        <w:drawing>
          <wp:inline distT="0" distB="0" distL="114300" distR="114300">
            <wp:extent cx="5608955" cy="7929245"/>
            <wp:effectExtent l="0" t="0" r="14605" b="10795"/>
            <wp:docPr id="13" name="图片 13" descr="隆塑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隆塑_页面_6"/>
                    <pic:cNvPicPr>
                      <a:picLocks noChangeAspect="1"/>
                    </pic:cNvPicPr>
                  </pic:nvPicPr>
                  <pic:blipFill>
                    <a:blip r:embed="rId12"/>
                    <a:stretch>
                      <a:fillRect/>
                    </a:stretch>
                  </pic:blipFill>
                  <pic:spPr>
                    <a:xfrm>
                      <a:off x="0" y="0"/>
                      <a:ext cx="5608955" cy="7929245"/>
                    </a:xfrm>
                    <a:prstGeom prst="rect">
                      <a:avLst/>
                    </a:prstGeom>
                  </pic:spPr>
                </pic:pic>
              </a:graphicData>
            </a:graphic>
          </wp:inline>
        </w:drawing>
      </w:r>
      <w:r>
        <w:rPr>
          <w:rFonts w:hint="eastAsia" w:ascii="Times New Roman" w:hAnsi="Times New Roman" w:eastAsia="仿宋_GB2312" w:cs="Times New Roman"/>
          <w:sz w:val="36"/>
          <w:szCs w:val="36"/>
          <w:lang w:eastAsia="zh-CN"/>
        </w:rPr>
        <w:drawing>
          <wp:inline distT="0" distB="0" distL="114300" distR="114300">
            <wp:extent cx="5608955" cy="7929245"/>
            <wp:effectExtent l="0" t="0" r="14605" b="10795"/>
            <wp:docPr id="11" name="图片 11" descr="隆塑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隆塑_页面_4"/>
                    <pic:cNvPicPr>
                      <a:picLocks noChangeAspect="1"/>
                    </pic:cNvPicPr>
                  </pic:nvPicPr>
                  <pic:blipFill>
                    <a:blip r:embed="rId13"/>
                    <a:stretch>
                      <a:fillRect/>
                    </a:stretch>
                  </pic:blipFill>
                  <pic:spPr>
                    <a:xfrm>
                      <a:off x="0" y="0"/>
                      <a:ext cx="5608955" cy="7929245"/>
                    </a:xfrm>
                    <a:prstGeom prst="rect">
                      <a:avLst/>
                    </a:prstGeom>
                  </pic:spPr>
                </pic:pic>
              </a:graphicData>
            </a:graphic>
          </wp:inline>
        </w:drawing>
      </w:r>
      <w:r>
        <w:rPr>
          <w:rFonts w:hint="eastAsia" w:ascii="Times New Roman" w:hAnsi="Times New Roman" w:eastAsia="仿宋_GB2312" w:cs="Times New Roman"/>
          <w:sz w:val="36"/>
          <w:szCs w:val="36"/>
          <w:lang w:eastAsia="zh-CN"/>
        </w:rPr>
        <w:drawing>
          <wp:inline distT="0" distB="0" distL="114300" distR="114300">
            <wp:extent cx="5608955" cy="7929245"/>
            <wp:effectExtent l="0" t="0" r="14605" b="10795"/>
            <wp:docPr id="14" name="图片 14" descr="隆塑_页面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隆塑_页面_7"/>
                    <pic:cNvPicPr>
                      <a:picLocks noChangeAspect="1"/>
                    </pic:cNvPicPr>
                  </pic:nvPicPr>
                  <pic:blipFill>
                    <a:blip r:embed="rId14"/>
                    <a:stretch>
                      <a:fillRect/>
                    </a:stretch>
                  </pic:blipFill>
                  <pic:spPr>
                    <a:xfrm>
                      <a:off x="0" y="0"/>
                      <a:ext cx="5608955" cy="7929245"/>
                    </a:xfrm>
                    <a:prstGeom prst="rect">
                      <a:avLst/>
                    </a:prstGeom>
                  </pic:spPr>
                </pic:pic>
              </a:graphicData>
            </a:graphic>
          </wp:inline>
        </w:drawing>
      </w: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一、建设项目基本情况</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55"/>
        <w:gridCol w:w="2114"/>
        <w:gridCol w:w="1947"/>
        <w:gridCol w:w="30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1755"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建设项目名称</w:t>
            </w:r>
          </w:p>
        </w:tc>
        <w:tc>
          <w:tcPr>
            <w:tcW w:w="7115" w:type="dxa"/>
            <w:gridSpan w:val="3"/>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eastAsia="zh-CN"/>
              </w:rPr>
              <w:t>年产1万吨塑料管材及管件项目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0" w:hRule="atLeast"/>
          <w:jc w:val="center"/>
        </w:trPr>
        <w:tc>
          <w:tcPr>
            <w:tcW w:w="1755"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项目代码</w:t>
            </w:r>
          </w:p>
        </w:tc>
        <w:tc>
          <w:tcPr>
            <w:tcW w:w="7115" w:type="dxa"/>
            <w:gridSpan w:val="3"/>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color w:val="auto"/>
                <w:kern w:val="0"/>
                <w:sz w:val="24"/>
                <w:szCs w:val="24"/>
                <w:lang w:eastAsia="zh-CN"/>
              </w:rPr>
              <w:t>2105-510921-04-01-575113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1755"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w:t>
            </w:r>
          </w:p>
          <w:p>
            <w:pPr>
              <w:adjustRightInd w:val="0"/>
              <w:snapToGrid w:val="0"/>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联系人</w:t>
            </w:r>
          </w:p>
        </w:tc>
        <w:tc>
          <w:tcPr>
            <w:tcW w:w="2114" w:type="dxa"/>
            <w:noWrap w:val="0"/>
            <w:vAlign w:val="center"/>
          </w:tcPr>
          <w:p>
            <w:pPr>
              <w:adjustRightInd w:val="0"/>
              <w:snapToGrid w:val="0"/>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李怀东</w:t>
            </w:r>
          </w:p>
        </w:tc>
        <w:tc>
          <w:tcPr>
            <w:tcW w:w="1947" w:type="dxa"/>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联系方式</w:t>
            </w:r>
          </w:p>
        </w:tc>
        <w:tc>
          <w:tcPr>
            <w:tcW w:w="3054" w:type="dxa"/>
            <w:noWrap w:val="0"/>
            <w:vAlign w:val="center"/>
          </w:tcPr>
          <w:p>
            <w:pPr>
              <w:adjustRightInd w:val="0"/>
              <w:snapToGrid w:val="0"/>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13578888555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1755"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建设地点</w:t>
            </w:r>
          </w:p>
        </w:tc>
        <w:tc>
          <w:tcPr>
            <w:tcW w:w="7115" w:type="dxa"/>
            <w:gridSpan w:val="3"/>
            <w:noWrap w:val="0"/>
            <w:vAlign w:val="center"/>
          </w:tcPr>
          <w:p>
            <w:pPr>
              <w:adjustRightInd w:val="0"/>
              <w:snapToGrid w:val="0"/>
              <w:spacing w:line="240" w:lineRule="auto"/>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四川省遂宁市蓬溪县赤城镇上游工业园聚财路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1755"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地理坐标</w:t>
            </w:r>
          </w:p>
        </w:tc>
        <w:tc>
          <w:tcPr>
            <w:tcW w:w="7115" w:type="dxa"/>
            <w:gridSpan w:val="3"/>
            <w:noWrap w:val="0"/>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u w:val="single"/>
                <w:lang w:val="en-US" w:eastAsia="zh-CN"/>
              </w:rPr>
              <w:t>105</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度</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u w:val="single"/>
                <w:lang w:val="en-US" w:eastAsia="zh-CN"/>
              </w:rPr>
              <w:t>41</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分</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u w:val="single"/>
                <w:lang w:val="en-US" w:eastAsia="zh-CN"/>
              </w:rPr>
              <w:t>0.41622</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秒，</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u w:val="single"/>
                <w:lang w:val="en-US" w:eastAsia="zh-CN"/>
              </w:rPr>
              <w:t>30</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度</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u w:val="single"/>
                <w:lang w:val="en-US" w:eastAsia="zh-CN"/>
              </w:rPr>
              <w:t>44</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分</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u w:val="single"/>
                <w:lang w:val="en-US" w:eastAsia="zh-CN"/>
              </w:rPr>
              <w:t>4851532</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1755"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国民经济</w:t>
            </w:r>
          </w:p>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p>
        </w:tc>
        <w:tc>
          <w:tcPr>
            <w:tcW w:w="2114" w:type="dxa"/>
            <w:noWrap w:val="0"/>
            <w:vAlign w:val="center"/>
          </w:tcPr>
          <w:p>
            <w:pPr>
              <w:adjustRightInd w:val="0"/>
              <w:snapToGrid w:val="0"/>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塑料板、管、型材制造（C2922）</w:t>
            </w:r>
          </w:p>
        </w:tc>
        <w:tc>
          <w:tcPr>
            <w:tcW w:w="1947" w:type="dxa"/>
            <w:noWrap w:val="0"/>
            <w:vAlign w:val="center"/>
          </w:tcPr>
          <w:p>
            <w:pPr>
              <w:adjustRightInd w:val="0"/>
              <w:snapToGrid w:val="0"/>
              <w:spacing w:line="240" w:lineRule="auto"/>
              <w:jc w:val="center"/>
              <w:rPr>
                <w:rFonts w:hint="default" w:ascii="Times New Roman" w:hAnsi="Times New Roman" w:cs="Times New Roman"/>
                <w:sz w:val="24"/>
                <w:szCs w:val="24"/>
              </w:rPr>
            </w:pPr>
            <w:bookmarkStart w:id="1" w:name="_Hlk49843745"/>
            <w:r>
              <w:rPr>
                <w:rFonts w:hint="default" w:ascii="Times New Roman" w:hAnsi="Times New Roman" w:cs="Times New Roman"/>
                <w:sz w:val="24"/>
                <w:szCs w:val="24"/>
              </w:rPr>
              <w:t>建设项目</w:t>
            </w:r>
          </w:p>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bookmarkEnd w:id="1"/>
          </w:p>
        </w:tc>
        <w:tc>
          <w:tcPr>
            <w:tcW w:w="3054" w:type="dxa"/>
            <w:noWrap w:val="0"/>
            <w:vAlign w:val="center"/>
          </w:tcPr>
          <w:p>
            <w:pPr>
              <w:adjustRightInd w:val="0"/>
              <w:snapToGrid w:val="0"/>
              <w:spacing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eastAsia="zh-CN"/>
              </w:rPr>
              <w:t>二十六、橡胶和塑料制品业29  53塑料制品业292</w:t>
            </w:r>
            <w:r>
              <w:rPr>
                <w:rFonts w:hint="eastAsia" w:ascii="Times New Roman" w:hAnsi="Times New Roman" w:eastAsia="宋体" w:cs="Times New Roman"/>
                <w:color w:val="auto"/>
                <w:sz w:val="24"/>
              </w:rPr>
              <w:t>其他（年用非溶剂型低VOCs含量涂料10吨以下的除外）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1755"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建设性质</w:t>
            </w:r>
          </w:p>
        </w:tc>
        <w:tc>
          <w:tcPr>
            <w:tcW w:w="2114" w:type="dxa"/>
            <w:noWrap w:val="0"/>
            <w:vAlign w:val="center"/>
          </w:tcPr>
          <w:p>
            <w:pPr>
              <w:spacing w:line="240" w:lineRule="auto"/>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新建（迁建）</w:t>
            </w:r>
          </w:p>
          <w:p>
            <w:pPr>
              <w:spacing w:line="240" w:lineRule="auto"/>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改建</w:t>
            </w:r>
          </w:p>
          <w:p>
            <w:pPr>
              <w:spacing w:line="240" w:lineRule="auto"/>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扩建</w:t>
            </w:r>
          </w:p>
          <w:p>
            <w:pPr>
              <w:spacing w:line="240" w:lineRule="auto"/>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技术改造</w:t>
            </w:r>
          </w:p>
        </w:tc>
        <w:tc>
          <w:tcPr>
            <w:tcW w:w="1947" w:type="dxa"/>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建设项目</w:t>
            </w:r>
          </w:p>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申报情形</w:t>
            </w:r>
          </w:p>
        </w:tc>
        <w:tc>
          <w:tcPr>
            <w:tcW w:w="3054" w:type="dxa"/>
            <w:noWrap w:val="0"/>
            <w:vAlign w:val="center"/>
          </w:tcPr>
          <w:p>
            <w:pPr>
              <w:spacing w:line="240" w:lineRule="auto"/>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52"/>
            </w:r>
            <w:r>
              <w:rPr>
                <w:rFonts w:hint="default" w:ascii="Times New Roman" w:hAnsi="Times New Roman" w:cs="Times New Roman"/>
                <w:sz w:val="24"/>
                <w:szCs w:val="24"/>
              </w:rPr>
              <w:t>首次申报项目</w:t>
            </w:r>
          </w:p>
          <w:p>
            <w:pPr>
              <w:spacing w:line="240" w:lineRule="auto"/>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不予批准后再次申报项目</w:t>
            </w:r>
          </w:p>
          <w:p>
            <w:pPr>
              <w:spacing w:line="240" w:lineRule="auto"/>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超五年重新审核项目</w:t>
            </w:r>
          </w:p>
          <w:p>
            <w:pPr>
              <w:spacing w:line="240" w:lineRule="auto"/>
              <w:jc w:val="left"/>
              <w:rPr>
                <w:rFonts w:hint="default" w:ascii="Times New Roman" w:hAnsi="Times New Roman" w:cs="Times New Roman"/>
                <w:sz w:val="24"/>
                <w:szCs w:val="24"/>
              </w:rPr>
            </w:pPr>
            <w:r>
              <w:rPr>
                <w:rFonts w:hint="default" w:ascii="Times New Roman" w:hAnsi="Times New Roman" w:cs="Times New Roman"/>
                <w:sz w:val="24"/>
                <w:szCs w:val="24"/>
              </w:rPr>
              <w:sym w:font="Wingdings 2" w:char="00A3"/>
            </w:r>
            <w:r>
              <w:rPr>
                <w:rFonts w:hint="default" w:ascii="Times New Roman" w:hAnsi="Times New Roman" w:cs="Times New Roman"/>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1755"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项目审批（核准/</w:t>
            </w:r>
          </w:p>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备案）部门（选填）</w:t>
            </w:r>
          </w:p>
        </w:tc>
        <w:tc>
          <w:tcPr>
            <w:tcW w:w="2114" w:type="dxa"/>
            <w:noWrap w:val="0"/>
            <w:vAlign w:val="center"/>
          </w:tcPr>
          <w:p>
            <w:pPr>
              <w:adjustRightInd w:val="0"/>
              <w:snapToGrid w:val="0"/>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蓬溪县行政审批局</w:t>
            </w:r>
          </w:p>
        </w:tc>
        <w:tc>
          <w:tcPr>
            <w:tcW w:w="1947" w:type="dxa"/>
            <w:noWrap w:val="0"/>
            <w:vAlign w:val="center"/>
          </w:tcPr>
          <w:p>
            <w:pPr>
              <w:adjustRightInd w:val="0"/>
              <w:snapToGrid w:val="0"/>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3054" w:type="dxa"/>
            <w:noWrap w:val="0"/>
            <w:vAlign w:val="center"/>
          </w:tcPr>
          <w:p>
            <w:pPr>
              <w:adjustRightInd w:val="0"/>
              <w:snapToGrid w:val="0"/>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lang w:eastAsia="zh-CN"/>
              </w:rPr>
              <w:t>川投资备</w:t>
            </w:r>
            <w:r>
              <w:rPr>
                <w:rFonts w:hint="eastAsia" w:cs="Times New Roman"/>
                <w:color w:val="auto"/>
                <w:kern w:val="0"/>
                <w:sz w:val="24"/>
                <w:szCs w:val="24"/>
                <w:lang w:val="en-US" w:eastAsia="zh-CN"/>
              </w:rPr>
              <w:t>[</w:t>
            </w:r>
            <w:r>
              <w:rPr>
                <w:rFonts w:hint="default" w:ascii="Times New Roman" w:hAnsi="Times New Roman" w:cs="Times New Roman"/>
                <w:color w:val="auto"/>
                <w:kern w:val="0"/>
                <w:sz w:val="24"/>
                <w:szCs w:val="24"/>
                <w:lang w:eastAsia="zh-CN"/>
              </w:rPr>
              <w:t>2105-510921-04-01-575113</w:t>
            </w:r>
            <w:r>
              <w:rPr>
                <w:rFonts w:hint="eastAsia" w:cs="Times New Roman"/>
                <w:color w:val="auto"/>
                <w:kern w:val="0"/>
                <w:sz w:val="24"/>
                <w:szCs w:val="24"/>
                <w:lang w:val="en-US" w:eastAsia="zh-CN"/>
              </w:rPr>
              <w:t>]</w:t>
            </w:r>
            <w:r>
              <w:rPr>
                <w:rFonts w:hint="default" w:ascii="Times New Roman" w:hAnsi="Times New Roman" w:cs="Times New Roman"/>
                <w:color w:val="auto"/>
                <w:kern w:val="0"/>
                <w:sz w:val="24"/>
                <w:szCs w:val="24"/>
                <w:lang w:eastAsia="zh-CN"/>
              </w:rPr>
              <w:t>FGQB-0099号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0" w:hRule="atLeast"/>
          <w:jc w:val="center"/>
        </w:trPr>
        <w:tc>
          <w:tcPr>
            <w:tcW w:w="1755"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总投资（万元）</w:t>
            </w:r>
          </w:p>
        </w:tc>
        <w:tc>
          <w:tcPr>
            <w:tcW w:w="2114"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1000</w:t>
            </w:r>
          </w:p>
        </w:tc>
        <w:tc>
          <w:tcPr>
            <w:tcW w:w="1947"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3054"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1755"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环保投资占比（%）</w:t>
            </w:r>
          </w:p>
        </w:tc>
        <w:tc>
          <w:tcPr>
            <w:tcW w:w="2114"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highlight w:val="none"/>
                <w:lang w:val="en-US" w:eastAsia="zh-CN"/>
              </w:rPr>
              <w:t>3.1%</w:t>
            </w:r>
          </w:p>
        </w:tc>
        <w:tc>
          <w:tcPr>
            <w:tcW w:w="1947"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3054"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2021.8-2021.9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 w:hRule="atLeast"/>
          <w:jc w:val="center"/>
        </w:trPr>
        <w:tc>
          <w:tcPr>
            <w:tcW w:w="1755"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eastAsia="宋体" w:cs="Times New Roman"/>
                <w:b w:val="0"/>
                <w:bCs w:val="0"/>
                <w:kern w:val="0"/>
                <w:sz w:val="24"/>
                <w:szCs w:val="24"/>
                <w:lang w:val="en-US" w:eastAsia="zh-CN" w:bidi="ar-SA"/>
              </w:rPr>
              <w:t>是否开工建设</w:t>
            </w:r>
          </w:p>
        </w:tc>
        <w:tc>
          <w:tcPr>
            <w:tcW w:w="2114" w:type="dxa"/>
            <w:noWrap w:val="0"/>
            <w:vAlign w:val="center"/>
          </w:tcPr>
          <w:p>
            <w:pPr>
              <w:adjustRightInd w:val="0"/>
              <w:snapToGrid w:val="0"/>
              <w:spacing w:line="24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sym w:font="Wingdings 2" w:char="0052"/>
            </w:r>
            <w:r>
              <w:rPr>
                <w:rFonts w:hint="default" w:ascii="Times New Roman" w:hAnsi="Times New Roman" w:eastAsia="宋体" w:cs="Times New Roman"/>
                <w:sz w:val="24"/>
                <w:szCs w:val="24"/>
              </w:rPr>
              <w:t>否</w:t>
            </w:r>
          </w:p>
          <w:p>
            <w:pPr>
              <w:adjustRightInd w:val="0"/>
              <w:snapToGrid w:val="0"/>
              <w:spacing w:line="240" w:lineRule="auto"/>
              <w:rPr>
                <w:rFonts w:hint="default" w:ascii="Times New Roman" w:hAnsi="Times New Roman" w:cs="Times New Roman"/>
                <w:sz w:val="24"/>
                <w:szCs w:val="24"/>
              </w:rPr>
            </w:pP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是：</w:t>
            </w:r>
            <w:r>
              <w:rPr>
                <w:rFonts w:hint="default" w:ascii="Times New Roman" w:hAnsi="Times New Roman" w:eastAsia="宋体" w:cs="Times New Roman"/>
                <w:sz w:val="24"/>
                <w:szCs w:val="24"/>
                <w:u w:val="single"/>
              </w:rPr>
              <w:t xml:space="preserve">             </w:t>
            </w:r>
          </w:p>
        </w:tc>
        <w:tc>
          <w:tcPr>
            <w:tcW w:w="1947" w:type="dxa"/>
            <w:noWrap w:val="0"/>
            <w:tcMar>
              <w:top w:w="16" w:type="dxa"/>
              <w:left w:w="16" w:type="dxa"/>
              <w:right w:w="16" w:type="dxa"/>
            </w:tcMar>
            <w:vAlign w:val="center"/>
          </w:tcPr>
          <w:p>
            <w:pPr>
              <w:adjustRightInd w:val="0"/>
              <w:snapToGrid w:val="0"/>
              <w:spacing w:line="240" w:lineRule="auto"/>
              <w:jc w:val="center"/>
              <w:rPr>
                <w:rFonts w:hint="default" w:ascii="Times New Roman" w:hAnsi="Times New Roman" w:cs="Times New Roman"/>
                <w:spacing w:val="-6"/>
                <w:sz w:val="24"/>
                <w:szCs w:val="24"/>
              </w:rPr>
            </w:pPr>
            <w:r>
              <w:rPr>
                <w:rFonts w:hint="default" w:ascii="Times New Roman" w:hAnsi="Times New Roman" w:cs="Times New Roman"/>
                <w:spacing w:val="-6"/>
                <w:sz w:val="24"/>
                <w:szCs w:val="24"/>
              </w:rPr>
              <w:t>用地（用海）</w:t>
            </w:r>
          </w:p>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pacing w:val="-6"/>
                <w:sz w:val="24"/>
                <w:szCs w:val="24"/>
              </w:rPr>
              <w:t>面积（m</w:t>
            </w:r>
            <w:r>
              <w:rPr>
                <w:rFonts w:hint="default" w:ascii="Times New Roman" w:hAnsi="Times New Roman" w:cs="Times New Roman"/>
                <w:spacing w:val="-6"/>
                <w:sz w:val="24"/>
                <w:szCs w:val="24"/>
                <w:vertAlign w:val="superscript"/>
              </w:rPr>
              <w:t>2</w:t>
            </w:r>
            <w:r>
              <w:rPr>
                <w:rFonts w:hint="default" w:ascii="Times New Roman" w:hAnsi="Times New Roman" w:cs="Times New Roman"/>
                <w:spacing w:val="-6"/>
                <w:sz w:val="24"/>
                <w:szCs w:val="24"/>
              </w:rPr>
              <w:t>）</w:t>
            </w:r>
          </w:p>
        </w:tc>
        <w:tc>
          <w:tcPr>
            <w:tcW w:w="3054" w:type="dxa"/>
            <w:noWrap w:val="0"/>
            <w:vAlign w:val="center"/>
          </w:tcPr>
          <w:p>
            <w:pPr>
              <w:adjustRightInd w:val="0"/>
              <w:snapToGrid w:val="0"/>
              <w:spacing w:line="240" w:lineRule="auto"/>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3330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755" w:type="dxa"/>
            <w:noWrap w:val="0"/>
            <w:vAlign w:val="center"/>
          </w:tcPr>
          <w:p>
            <w:pPr>
              <w:pStyle w:val="24"/>
              <w:bidi w:val="0"/>
              <w:spacing w:line="240" w:lineRule="auto"/>
              <w:ind w:left="0" w:leftChars="0" w:firstLine="0" w:firstLineChars="0"/>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专项评价设置情况</w:t>
            </w:r>
          </w:p>
        </w:tc>
        <w:tc>
          <w:tcPr>
            <w:tcW w:w="7115" w:type="dxa"/>
            <w:gridSpan w:val="3"/>
            <w:noWrap w:val="0"/>
            <w:vAlign w:val="center"/>
          </w:tcPr>
          <w:p>
            <w:pPr>
              <w:autoSpaceDE w:val="0"/>
              <w:autoSpaceDN w:val="0"/>
              <w:adjustRightInd w:val="0"/>
              <w:snapToGrid w:val="0"/>
              <w:spacing w:line="240" w:lineRule="auto"/>
              <w:jc w:val="center"/>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2"/>
                <w:sz w:val="24"/>
                <w:szCs w:val="24"/>
                <w:lang w:val="en-US" w:eastAsia="zh-CN" w:bidi="ar-S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55" w:type="dxa"/>
            <w:noWrap w:val="0"/>
            <w:vAlign w:val="center"/>
          </w:tcPr>
          <w:p>
            <w:pPr>
              <w:pStyle w:val="24"/>
              <w:bidi w:val="0"/>
              <w:spacing w:line="240" w:lineRule="auto"/>
              <w:ind w:left="0" w:leftChars="0" w:firstLine="0" w:firstLineChars="0"/>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规划情况</w:t>
            </w:r>
          </w:p>
        </w:tc>
        <w:tc>
          <w:tcPr>
            <w:tcW w:w="7115" w:type="dxa"/>
            <w:gridSpan w:val="3"/>
            <w:noWrap w:val="0"/>
            <w:vAlign w:val="center"/>
          </w:tcPr>
          <w:p>
            <w:pPr>
              <w:pStyle w:val="24"/>
              <w:bidi w:val="0"/>
              <w:spacing w:line="240" w:lineRule="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规划环评审批部门：蓬溪县人民政府</w:t>
            </w:r>
          </w:p>
          <w:p>
            <w:pPr>
              <w:pStyle w:val="24"/>
              <w:bidi w:val="0"/>
              <w:spacing w:line="240" w:lineRule="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规划环评名称：《</w:t>
            </w:r>
            <w:r>
              <w:rPr>
                <w:rFonts w:hint="default" w:ascii="Times New Roman" w:hAnsi="Times New Roman" w:cs="Times New Roman"/>
                <w:sz w:val="24"/>
                <w:szCs w:val="24"/>
                <w:lang w:val="en-US" w:eastAsia="zh-CN"/>
              </w:rPr>
              <w:t>蓬溪县上游工业园门业基地控制详细规划（2018-2030）</w:t>
            </w:r>
            <w:r>
              <w:rPr>
                <w:rFonts w:hint="default" w:ascii="Times New Roman" w:hAnsi="Times New Roman" w:cs="Times New Roman"/>
                <w:sz w:val="24"/>
                <w:szCs w:val="24"/>
                <w:lang w:eastAsia="zh-CN"/>
              </w:rPr>
              <w:t>》；</w:t>
            </w:r>
          </w:p>
          <w:p>
            <w:pPr>
              <w:pStyle w:val="24"/>
              <w:bidi w:val="0"/>
              <w:spacing w:line="240" w:lineRule="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批复号：蓬府</w:t>
            </w:r>
            <w:r>
              <w:rPr>
                <w:rFonts w:hint="default" w:ascii="Times New Roman" w:hAnsi="Times New Roman" w:cs="Times New Roman"/>
                <w:sz w:val="24"/>
                <w:szCs w:val="24"/>
              </w:rPr>
              <w:t>函〔201</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74</w:t>
            </w:r>
            <w:r>
              <w:rPr>
                <w:rFonts w:hint="default" w:ascii="Times New Roman" w:hAnsi="Times New Roman" w:cs="Times New Roman"/>
                <w:sz w:val="24"/>
                <w:szCs w:val="24"/>
              </w:rPr>
              <w:t>号</w:t>
            </w:r>
            <w:r>
              <w:rPr>
                <w:rFonts w:hint="default" w:ascii="Times New Roman" w:hAnsi="Times New Roman" w:cs="Times New Roman"/>
                <w:sz w:val="24"/>
                <w:szCs w:val="24"/>
                <w:lang w:eastAsia="zh-CN"/>
              </w:rPr>
              <w:t>；</w:t>
            </w:r>
          </w:p>
          <w:p>
            <w:pPr>
              <w:pStyle w:val="24"/>
              <w:bidi w:val="0"/>
              <w:spacing w:line="240" w:lineRule="auto"/>
              <w:ind w:left="0" w:leftChars="0" w:firstLine="480" w:firstLineChars="200"/>
              <w:rPr>
                <w:rFonts w:hint="default" w:ascii="Times New Roman" w:hAnsi="Times New Roman" w:eastAsia="宋体" w:cs="Times New Roman"/>
                <w:kern w:val="0"/>
                <w:sz w:val="24"/>
                <w:szCs w:val="24"/>
                <w:lang w:val="en-US" w:eastAsia="zh-CN"/>
              </w:rPr>
            </w:pPr>
            <w:r>
              <w:rPr>
                <w:rFonts w:hint="default" w:ascii="Times New Roman" w:hAnsi="Times New Roman" w:cs="Times New Roman"/>
                <w:sz w:val="24"/>
                <w:szCs w:val="24"/>
                <w:lang w:eastAsia="zh-CN"/>
              </w:rPr>
              <w:t>批复时间：</w:t>
            </w:r>
            <w:r>
              <w:rPr>
                <w:rFonts w:hint="default" w:ascii="Times New Roman" w:hAnsi="Times New Roman" w:cs="Times New Roman"/>
                <w:sz w:val="24"/>
                <w:szCs w:val="24"/>
              </w:rPr>
              <w:t>201</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rPr>
              <w:t>年</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rPr>
              <w:t>月</w:t>
            </w:r>
            <w:r>
              <w:rPr>
                <w:rFonts w:hint="default" w:ascii="Times New Roman" w:hAnsi="Times New Roman" w:cs="Times New Roman"/>
                <w:sz w:val="24"/>
                <w:szCs w:val="24"/>
                <w:lang w:val="en-US" w:eastAsia="zh-CN"/>
              </w:rPr>
              <w:t>25日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55" w:type="dxa"/>
            <w:noWrap w:val="0"/>
            <w:vAlign w:val="center"/>
          </w:tcPr>
          <w:p>
            <w:pPr>
              <w:pStyle w:val="24"/>
              <w:bidi w:val="0"/>
              <w:spacing w:line="240" w:lineRule="auto"/>
              <w:ind w:left="0" w:leftChars="0" w:firstLine="0" w:firstLineChars="0"/>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规划环境影响</w:t>
            </w:r>
          </w:p>
          <w:p>
            <w:pPr>
              <w:pStyle w:val="24"/>
              <w:bidi w:val="0"/>
              <w:spacing w:line="240" w:lineRule="auto"/>
              <w:ind w:left="0" w:leftChars="0" w:firstLine="0" w:firstLineChars="0"/>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评价情况</w:t>
            </w:r>
          </w:p>
        </w:tc>
        <w:tc>
          <w:tcPr>
            <w:tcW w:w="7115" w:type="dxa"/>
            <w:gridSpan w:val="3"/>
            <w:noWrap w:val="0"/>
            <w:vAlign w:val="center"/>
          </w:tcPr>
          <w:p>
            <w:pPr>
              <w:pStyle w:val="24"/>
              <w:bidi w:val="0"/>
              <w:spacing w:line="240" w:lineRule="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已开展园区规划环评。</w:t>
            </w:r>
          </w:p>
          <w:p>
            <w:pPr>
              <w:pStyle w:val="24"/>
              <w:bidi w:val="0"/>
              <w:spacing w:line="240" w:lineRule="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规划环评审批机关：遂宁市环境保护局；</w:t>
            </w:r>
          </w:p>
          <w:p>
            <w:pPr>
              <w:pStyle w:val="24"/>
              <w:bidi w:val="0"/>
              <w:spacing w:line="240" w:lineRule="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规划环评名称：《</w:t>
            </w:r>
            <w:r>
              <w:rPr>
                <w:rFonts w:hint="default" w:ascii="Times New Roman" w:hAnsi="Times New Roman" w:cs="Times New Roman"/>
                <w:sz w:val="24"/>
                <w:szCs w:val="24"/>
                <w:lang w:val="en-US" w:eastAsia="zh-CN"/>
              </w:rPr>
              <w:t>蓬溪县上游工业集中发展区规划调整环境影响报告书</w:t>
            </w:r>
            <w:r>
              <w:rPr>
                <w:rFonts w:hint="default" w:ascii="Times New Roman" w:hAnsi="Times New Roman" w:cs="Times New Roman"/>
                <w:sz w:val="24"/>
                <w:szCs w:val="24"/>
                <w:lang w:eastAsia="zh-CN"/>
              </w:rPr>
              <w:t>》；</w:t>
            </w:r>
          </w:p>
          <w:p>
            <w:pPr>
              <w:pStyle w:val="24"/>
              <w:bidi w:val="0"/>
              <w:spacing w:line="240" w:lineRule="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批复号：遂环</w:t>
            </w:r>
            <w:r>
              <w:rPr>
                <w:rFonts w:hint="default" w:ascii="Times New Roman" w:hAnsi="Times New Roman" w:cs="Times New Roman"/>
                <w:sz w:val="24"/>
                <w:szCs w:val="24"/>
              </w:rPr>
              <w:t>函〔201</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67</w:t>
            </w:r>
            <w:r>
              <w:rPr>
                <w:rFonts w:hint="default" w:ascii="Times New Roman" w:hAnsi="Times New Roman" w:cs="Times New Roman"/>
                <w:sz w:val="24"/>
                <w:szCs w:val="24"/>
              </w:rPr>
              <w:t>号</w:t>
            </w:r>
            <w:r>
              <w:rPr>
                <w:rFonts w:hint="default" w:ascii="Times New Roman" w:hAnsi="Times New Roman" w:cs="Times New Roman"/>
                <w:sz w:val="24"/>
                <w:szCs w:val="24"/>
                <w:lang w:eastAsia="zh-CN"/>
              </w:rPr>
              <w:t>；</w:t>
            </w:r>
          </w:p>
          <w:p>
            <w:pPr>
              <w:pStyle w:val="24"/>
              <w:bidi w:val="0"/>
              <w:spacing w:line="240" w:lineRule="auto"/>
              <w:rPr>
                <w:rFonts w:hint="default" w:ascii="Times New Roman" w:hAnsi="Times New Roman" w:eastAsia="宋体" w:cs="Times New Roman"/>
                <w:kern w:val="0"/>
                <w:sz w:val="24"/>
                <w:szCs w:val="24"/>
                <w:lang w:val="en-US" w:eastAsia="zh-CN"/>
              </w:rPr>
            </w:pPr>
            <w:r>
              <w:rPr>
                <w:rFonts w:hint="default" w:ascii="Times New Roman" w:hAnsi="Times New Roman" w:cs="Times New Roman"/>
                <w:sz w:val="24"/>
                <w:szCs w:val="24"/>
                <w:lang w:eastAsia="zh-CN"/>
              </w:rPr>
              <w:t>批复时间：</w:t>
            </w:r>
            <w:r>
              <w:rPr>
                <w:rFonts w:hint="default" w:ascii="Times New Roman" w:hAnsi="Times New Roman" w:cs="Times New Roman"/>
                <w:sz w:val="24"/>
                <w:szCs w:val="24"/>
              </w:rPr>
              <w:t>201</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年</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月</w:t>
            </w:r>
            <w:r>
              <w:rPr>
                <w:rFonts w:hint="default" w:ascii="Times New Roman" w:hAnsi="Times New Roman" w:cs="Times New Roman"/>
                <w:sz w:val="24"/>
                <w:szCs w:val="24"/>
                <w:lang w:val="en-US" w:eastAsia="zh-CN"/>
              </w:rPr>
              <w:t>9日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870" w:type="dxa"/>
            <w:gridSpan w:val="4"/>
            <w:noWrap w:val="0"/>
            <w:vAlign w:val="center"/>
          </w:tcPr>
          <w:p>
            <w:pPr>
              <w:autoSpaceDE w:val="0"/>
              <w:autoSpaceDN w:val="0"/>
              <w:adjustRightInd w:val="0"/>
              <w:snapToGrid w:val="0"/>
              <w:spacing w:line="240" w:lineRule="auto"/>
              <w:jc w:val="left"/>
              <w:rPr>
                <w:rFonts w:hint="default" w:ascii="Times New Roman" w:hAnsi="Times New Roman" w:cs="Times New Roman"/>
                <w:kern w:val="0"/>
                <w:sz w:val="24"/>
                <w:szCs w:val="24"/>
              </w:rPr>
            </w:pPr>
            <w:r>
              <w:rPr>
                <w:rFonts w:hint="default" w:ascii="Times New Roman" w:hAnsi="Times New Roman" w:cs="Times New Roman"/>
                <w:kern w:val="0"/>
                <w:sz w:val="24"/>
                <w:szCs w:val="24"/>
              </w:rPr>
              <w:t>规划及规划环境影响评价符合性分析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70" w:type="dxa"/>
            <w:gridSpan w:val="4"/>
            <w:noWrap w:val="0"/>
            <w:vAlign w:val="center"/>
          </w:tcPr>
          <w:p>
            <w:pPr>
              <w:pStyle w:val="24"/>
              <w:bidi w:val="0"/>
              <w:spacing w:line="360" w:lineRule="auto"/>
              <w:ind w:firstLine="720"/>
              <w:rPr>
                <w:rFonts w:hint="default" w:ascii="Times New Roman" w:hAnsi="Times New Roman" w:cs="Times New Roman"/>
                <w:b/>
                <w:bCs/>
                <w:sz w:val="24"/>
                <w:szCs w:val="24"/>
                <w:lang w:val="zh-CN"/>
              </w:rPr>
            </w:pPr>
            <w:r>
              <w:rPr>
                <w:rFonts w:hint="default" w:ascii="Times New Roman" w:hAnsi="Times New Roman" w:cs="Times New Roman"/>
                <w:b/>
                <w:bCs/>
                <w:sz w:val="24"/>
                <w:szCs w:val="24"/>
                <w:lang w:val="zh-CN"/>
              </w:rPr>
              <w:t>（1）产业政策符合性分析</w:t>
            </w:r>
          </w:p>
          <w:p>
            <w:pPr>
              <w:spacing w:line="360" w:lineRule="auto"/>
              <w:ind w:firstLine="480" w:firstLineChars="200"/>
              <w:rPr>
                <w:rFonts w:hint="default" w:ascii="Times New Roman" w:hAnsi="Times New Roman" w:cs="Times New Roman"/>
                <w:sz w:val="24"/>
                <w:lang w:eastAsia="zh-CN"/>
              </w:rPr>
            </w:pPr>
            <w:r>
              <w:rPr>
                <w:rFonts w:hint="default" w:ascii="Times New Roman" w:hAnsi="Times New Roman" w:cs="Times New Roman"/>
                <w:sz w:val="24"/>
                <w:szCs w:val="24"/>
              </w:rPr>
              <w:t>根据《国民经济行业分类》（GB/T4754-2017）（2019修正）可知，本项目属于“</w:t>
            </w:r>
            <w:r>
              <w:rPr>
                <w:rFonts w:hint="default" w:ascii="Times New Roman" w:hAnsi="Times New Roman" w:cs="Times New Roman"/>
                <w:sz w:val="24"/>
                <w:szCs w:val="24"/>
                <w:lang w:eastAsia="zh-CN"/>
              </w:rPr>
              <w:t>C2922</w:t>
            </w:r>
            <w:r>
              <w:rPr>
                <w:rFonts w:hint="default" w:ascii="Times New Roman" w:hAnsi="Times New Roman" w:cs="Times New Roman"/>
                <w:sz w:val="24"/>
                <w:szCs w:val="24"/>
                <w:lang w:val="en-US" w:eastAsia="zh-CN"/>
              </w:rPr>
              <w:t xml:space="preserve"> 塑料板、管、型材制造</w:t>
            </w:r>
            <w:r>
              <w:rPr>
                <w:rFonts w:hint="default" w:ascii="Times New Roman" w:hAnsi="Times New Roman" w:cs="Times New Roman"/>
                <w:sz w:val="24"/>
                <w:szCs w:val="24"/>
              </w:rPr>
              <w:t>”。</w:t>
            </w:r>
            <w:r>
              <w:rPr>
                <w:rFonts w:hint="default" w:ascii="Times New Roman" w:hAnsi="Times New Roman" w:cs="Times New Roman"/>
                <w:bCs/>
                <w:sz w:val="24"/>
              </w:rPr>
              <w:t>根据《产业结构调整指导目录（2019年本）》</w:t>
            </w:r>
            <w:r>
              <w:rPr>
                <w:rFonts w:hint="default" w:ascii="Times New Roman" w:hAnsi="Times New Roman" w:cs="Times New Roman"/>
                <w:sz w:val="24"/>
              </w:rPr>
              <w:t>，本项目不属于其中规定的鼓励类、限制类、淘汰类项目，根据国务院《促进产业结构调整暂行规定》（国发[2005]40号），第十三条“不属于鼓励类、限制类和淘汰类，且符合国家有关法律、法规和政策规定，视为允许类”，因此，本项目为允许类，该建设项目符合国家产业政策。另外，本项目于</w:t>
            </w:r>
            <w:r>
              <w:rPr>
                <w:rFonts w:hint="default" w:ascii="Times New Roman" w:hAnsi="Times New Roman" w:cs="Times New Roman"/>
                <w:sz w:val="24"/>
                <w:lang w:eastAsia="zh-CN"/>
              </w:rPr>
              <w:t>2021年</w:t>
            </w:r>
            <w:r>
              <w:rPr>
                <w:rFonts w:hint="default" w:ascii="Times New Roman" w:hAnsi="Times New Roman" w:cs="Times New Roman"/>
                <w:sz w:val="24"/>
                <w:lang w:val="en-US" w:eastAsia="zh-CN"/>
              </w:rPr>
              <w:t>5</w:t>
            </w:r>
            <w:r>
              <w:rPr>
                <w:rFonts w:hint="default" w:ascii="Times New Roman" w:hAnsi="Times New Roman" w:cs="Times New Roman"/>
                <w:sz w:val="24"/>
                <w:lang w:eastAsia="zh-CN"/>
              </w:rPr>
              <w:t>月</w:t>
            </w:r>
            <w:r>
              <w:rPr>
                <w:rFonts w:hint="default" w:ascii="Times New Roman" w:hAnsi="Times New Roman" w:cs="Times New Roman"/>
                <w:sz w:val="24"/>
                <w:lang w:val="en-US" w:eastAsia="zh-CN"/>
              </w:rPr>
              <w:t>18</w:t>
            </w:r>
            <w:r>
              <w:rPr>
                <w:rFonts w:hint="default" w:ascii="Times New Roman" w:hAnsi="Times New Roman" w:cs="Times New Roman"/>
                <w:sz w:val="24"/>
                <w:lang w:eastAsia="zh-CN"/>
              </w:rPr>
              <w:t>日蓬溪县行政审批局</w:t>
            </w:r>
            <w:r>
              <w:rPr>
                <w:rFonts w:hint="default" w:ascii="Times New Roman" w:hAnsi="Times New Roman" w:cs="Times New Roman"/>
                <w:sz w:val="24"/>
              </w:rPr>
              <w:t>以</w:t>
            </w:r>
            <w:r>
              <w:rPr>
                <w:rFonts w:hint="default" w:ascii="Times New Roman" w:hAnsi="Times New Roman" w:cs="Times New Roman"/>
                <w:sz w:val="24"/>
                <w:lang w:eastAsia="zh-CN"/>
              </w:rPr>
              <w:t>川投资备【2105-510921-04-01-575113】FGQB-0099号</w:t>
            </w:r>
            <w:r>
              <w:rPr>
                <w:rFonts w:hint="default" w:ascii="Times New Roman" w:hAnsi="Times New Roman" w:cs="Times New Roman"/>
                <w:sz w:val="24"/>
              </w:rPr>
              <w:t>项目备案表对本项目进行了备案支持。</w:t>
            </w:r>
          </w:p>
          <w:p>
            <w:pPr>
              <w:pStyle w:val="24"/>
              <w:bidi w:val="0"/>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lang w:val="en-US" w:eastAsia="zh-CN"/>
              </w:rPr>
              <w:t>2</w:t>
            </w:r>
            <w:r>
              <w:rPr>
                <w:rFonts w:hint="default" w:ascii="Times New Roman" w:hAnsi="Times New Roman" w:cs="Times New Roman"/>
                <w:b/>
                <w:bCs/>
                <w:sz w:val="24"/>
                <w:szCs w:val="24"/>
                <w:lang w:eastAsia="zh-CN"/>
              </w:rPr>
              <w:t>）</w:t>
            </w:r>
            <w:r>
              <w:rPr>
                <w:rFonts w:hint="default" w:ascii="Times New Roman" w:hAnsi="Times New Roman" w:cs="Times New Roman"/>
                <w:b/>
                <w:bCs/>
                <w:sz w:val="24"/>
                <w:szCs w:val="24"/>
              </w:rPr>
              <w:t>与</w:t>
            </w:r>
            <w:r>
              <w:rPr>
                <w:rFonts w:hint="default" w:ascii="Times New Roman" w:hAnsi="Times New Roman" w:cs="Times New Roman"/>
                <w:b/>
                <w:bCs/>
                <w:sz w:val="24"/>
                <w:szCs w:val="24"/>
                <w:lang w:eastAsia="zh-CN"/>
              </w:rPr>
              <w:t>蓬溪县工业园区</w:t>
            </w:r>
            <w:r>
              <w:rPr>
                <w:rFonts w:hint="default" w:ascii="Times New Roman" w:hAnsi="Times New Roman" w:cs="Times New Roman"/>
                <w:b/>
                <w:bCs/>
                <w:sz w:val="24"/>
                <w:szCs w:val="24"/>
              </w:rPr>
              <w:t>规划情况符合性分析</w:t>
            </w:r>
          </w:p>
          <w:p>
            <w:pPr>
              <w:widowControl w:val="0"/>
              <w:adjustRightInd/>
              <w:spacing w:line="360" w:lineRule="auto"/>
              <w:ind w:left="0" w:right="0" w:firstLine="480" w:firstLineChars="200"/>
              <w:jc w:val="both"/>
              <w:textAlignment w:val="baseline"/>
              <w:rPr>
                <w:rFonts w:hint="default" w:ascii="Times New Roman" w:hAnsi="Times New Roman" w:eastAsia="宋体" w:cs="Times New Roman"/>
                <w:bCs/>
                <w:color w:val="auto"/>
                <w:kern w:val="0"/>
                <w:sz w:val="24"/>
                <w:szCs w:val="24"/>
                <w:lang w:val="en-US" w:eastAsia="zh-CN" w:bidi="ar-SA"/>
              </w:rPr>
            </w:pPr>
            <w:r>
              <w:rPr>
                <w:rFonts w:hint="default" w:ascii="Times New Roman" w:hAnsi="Times New Roman" w:eastAsia="宋体" w:cs="Times New Roman"/>
                <w:bCs/>
                <w:color w:val="auto"/>
                <w:kern w:val="0"/>
                <w:sz w:val="24"/>
                <w:szCs w:val="24"/>
                <w:lang w:val="en-US" w:eastAsia="zh-CN" w:bidi="ar-SA"/>
              </w:rPr>
              <w:t>本项目选址于蓬溪县上游工业园成立于2007年，位于蓬溪县县城城南，2008年1月，遂宁市环境保护局出具《关于蓬溪县上游工业集中发展区区域开发环境影响报告书的批复》（遂环函〔2008〕4号）。根据蓬溪县上游工业园管理委员会《关于上游工业集中发展区规划调整的请示》（蓬上游工业园[2012]40号）以及蓬溪县人民政府《关于同意调整上游工业集中发展区主导产业的批复》（蓬府函〔2012〕78号）文，蓬溪县人民政府于2012年对工业集中发展区规划进行了调整，此次调整保持规划面积不变，在原主导产业中增加门业，并以门业为主。调整后园区主导产业包括纺织产业、门业及门业配套产业、电子产业、食品产业、南部仓储物流。2013年5月9日，遂宁市环境保护局以遂环函〔2013〕67号通过了《蓬溪县上游工业集中发展区规划调整环境影响报告书》。</w:t>
            </w:r>
          </w:p>
          <w:p>
            <w:pPr>
              <w:widowControl w:val="0"/>
              <w:adjustRightInd/>
              <w:spacing w:line="360" w:lineRule="auto"/>
              <w:ind w:left="0" w:right="0" w:firstLine="480" w:firstLineChars="200"/>
              <w:jc w:val="both"/>
              <w:textAlignment w:val="baseline"/>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规划环评入园企业清洁生产要求：规划区入驻企业应采用国际、国内先进水平的生产工艺、设备及污染治理技术，污染物产生及能耗、物耗、水耗等各项指标至少应达到清洁生产二级水平或国内先进水平。根据规划环评上游工业园行业准入如下：</w:t>
            </w:r>
          </w:p>
          <w:p>
            <w:pPr>
              <w:widowControl w:val="0"/>
              <w:adjustRightInd/>
              <w:spacing w:line="360" w:lineRule="auto"/>
              <w:ind w:left="0" w:right="0" w:firstLine="482" w:firstLineChars="200"/>
              <w:jc w:val="center"/>
              <w:textAlignment w:val="baseline"/>
              <w:rPr>
                <w:rFonts w:hint="default" w:ascii="Times New Roman" w:hAnsi="Times New Roman" w:eastAsia="宋体" w:cs="Times New Roman"/>
                <w:b/>
                <w:bCs/>
                <w:color w:val="auto"/>
                <w:kern w:val="2"/>
                <w:sz w:val="24"/>
                <w:szCs w:val="24"/>
                <w:lang w:val="zh-CN" w:eastAsia="zh-CN" w:bidi="ar-SA"/>
              </w:rPr>
            </w:pPr>
            <w:r>
              <w:rPr>
                <w:rFonts w:hint="default" w:ascii="Times New Roman" w:hAnsi="Times New Roman" w:eastAsia="宋体" w:cs="Times New Roman"/>
                <w:b/>
                <w:bCs/>
                <w:color w:val="auto"/>
                <w:kern w:val="2"/>
                <w:sz w:val="24"/>
                <w:szCs w:val="24"/>
                <w:lang w:val="zh-CN" w:eastAsia="zh-CN" w:bidi="ar-SA"/>
              </w:rPr>
              <w:t>表1-1</w:t>
            </w:r>
            <w:r>
              <w:rPr>
                <w:rFonts w:hint="default" w:ascii="Times New Roman" w:hAnsi="Times New Roman" w:eastAsia="宋体" w:cs="Times New Roman"/>
                <w:b/>
                <w:bCs/>
                <w:color w:val="auto"/>
                <w:kern w:val="2"/>
                <w:sz w:val="24"/>
                <w:szCs w:val="24"/>
                <w:lang w:val="en-US" w:eastAsia="zh-CN" w:bidi="ar-SA"/>
              </w:rPr>
              <w:t xml:space="preserve"> </w:t>
            </w:r>
            <w:r>
              <w:rPr>
                <w:rFonts w:hint="default" w:ascii="Times New Roman" w:hAnsi="Times New Roman" w:eastAsia="宋体" w:cs="Times New Roman"/>
                <w:b/>
                <w:bCs/>
                <w:color w:val="auto"/>
                <w:kern w:val="2"/>
                <w:sz w:val="24"/>
                <w:szCs w:val="24"/>
                <w:lang w:val="zh-CN" w:eastAsia="zh-CN" w:bidi="ar-SA"/>
              </w:rPr>
              <w:t>本项目与园区行业准入符合性对比</w:t>
            </w:r>
          </w:p>
          <w:tbl>
            <w:tblPr>
              <w:tblStyle w:val="1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4085"/>
              <w:gridCol w:w="2581"/>
              <w:gridCol w:w="9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1"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1"/>
                      <w:sz w:val="21"/>
                      <w:szCs w:val="21"/>
                      <w:lang w:val="en-US" w:eastAsia="zh-CN"/>
                    </w:rPr>
                  </w:pPr>
                  <w:r>
                    <w:rPr>
                      <w:rFonts w:hint="default" w:ascii="Times New Roman" w:hAnsi="Times New Roman" w:eastAsia="宋体" w:cs="Times New Roman"/>
                      <w:b/>
                      <w:bCs/>
                      <w:color w:val="auto"/>
                      <w:spacing w:val="1"/>
                      <w:sz w:val="21"/>
                      <w:szCs w:val="21"/>
                      <w:lang w:val="en-US" w:eastAsia="zh-CN"/>
                    </w:rPr>
                    <w:t>类型</w:t>
                  </w:r>
                </w:p>
              </w:tc>
              <w:tc>
                <w:tcPr>
                  <w:tcW w:w="2360"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pacing w:val="1"/>
                      <w:sz w:val="21"/>
                      <w:szCs w:val="21"/>
                    </w:rPr>
                    <w:t>蓬溪县上游工业集中发展区区域开发环境影响报告书要求</w:t>
                  </w:r>
                </w:p>
              </w:tc>
              <w:tc>
                <w:tcPr>
                  <w:tcW w:w="1491"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pacing w:val="1"/>
                      <w:sz w:val="21"/>
                      <w:szCs w:val="21"/>
                    </w:rPr>
                    <w:t>本项目情况</w:t>
                  </w:r>
                </w:p>
              </w:tc>
              <w:tc>
                <w:tcPr>
                  <w:tcW w:w="546"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pacing w:val="1"/>
                      <w:sz w:val="21"/>
                      <w:szCs w:val="21"/>
                    </w:rPr>
                  </w:pPr>
                  <w:r>
                    <w:rPr>
                      <w:rFonts w:hint="default" w:ascii="Times New Roman" w:hAnsi="Times New Roman" w:eastAsia="宋体" w:cs="Times New Roman"/>
                      <w:b/>
                      <w:bCs/>
                      <w:color w:val="auto"/>
                      <w:spacing w:val="1"/>
                      <w:sz w:val="21"/>
                      <w:szCs w:val="21"/>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1"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鼓励入园项目</w:t>
                  </w:r>
                </w:p>
              </w:tc>
              <w:tc>
                <w:tcPr>
                  <w:tcW w:w="2360"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1）园区主导产业；（2）与园区主导产业相配套产业，企业效益明显，对区域不造成明显污染，遵循清洁生产及循环经济的项目；（3）在用水、节水、排水设计等方面达到国内先进水平、清洁生产标准达到或由于国家先进水平的项目。</w:t>
                  </w:r>
                </w:p>
              </w:tc>
              <w:tc>
                <w:tcPr>
                  <w:tcW w:w="1491" w:type="pct"/>
                  <w:vMerge w:val="restar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1"/>
                      <w:sz w:val="21"/>
                      <w:szCs w:val="21"/>
                    </w:rPr>
                  </w:pPr>
                  <w:r>
                    <w:rPr>
                      <w:rFonts w:hint="default" w:ascii="Times New Roman" w:hAnsi="Times New Roman" w:cs="Times New Roman"/>
                      <w:iCs/>
                      <w:sz w:val="21"/>
                      <w:szCs w:val="21"/>
                    </w:rPr>
                    <w:t>本项目为塑料管生产项目，不属于园区鼓励类及环境准入负面清单，为园区</w:t>
                  </w:r>
                  <w:r>
                    <w:rPr>
                      <w:rFonts w:hint="default" w:ascii="Times New Roman" w:hAnsi="Times New Roman" w:cs="Times New Roman"/>
                      <w:b/>
                      <w:bCs/>
                      <w:iCs/>
                      <w:sz w:val="21"/>
                      <w:szCs w:val="21"/>
                      <w:u w:val="single"/>
                    </w:rPr>
                    <w:t>允许类</w:t>
                  </w:r>
                  <w:r>
                    <w:rPr>
                      <w:rFonts w:hint="default" w:ascii="Times New Roman" w:hAnsi="Times New Roman" w:cs="Times New Roman"/>
                      <w:iCs/>
                      <w:sz w:val="21"/>
                      <w:szCs w:val="21"/>
                    </w:rPr>
                    <w:t>，同时本项目采用国内先进生产工艺、设备，符合园区清洁生产门槛</w:t>
                  </w:r>
                  <w:r>
                    <w:rPr>
                      <w:rFonts w:hint="default" w:ascii="Times New Roman" w:hAnsi="Times New Roman" w:cs="Times New Roman"/>
                      <w:iCs/>
                      <w:sz w:val="21"/>
                      <w:szCs w:val="21"/>
                      <w:lang w:eastAsia="zh-CN"/>
                    </w:rPr>
                    <w:t>，</w:t>
                  </w:r>
                  <w:r>
                    <w:rPr>
                      <w:rFonts w:hint="default" w:ascii="Times New Roman" w:hAnsi="Times New Roman" w:eastAsia="宋体" w:cs="Times New Roman"/>
                      <w:color w:val="auto"/>
                      <w:spacing w:val="1"/>
                      <w:sz w:val="21"/>
                      <w:szCs w:val="21"/>
                    </w:rPr>
                    <w:t>符合蓬溪县上游工业园区行业准入要求</w:t>
                  </w:r>
                </w:p>
              </w:tc>
              <w:tc>
                <w:tcPr>
                  <w:tcW w:w="546" w:type="pct"/>
                  <w:vMerge w:val="restar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符合蓬溪县上游工业集中发展区规划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1"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禁止、限制类</w:t>
                  </w:r>
                </w:p>
              </w:tc>
              <w:tc>
                <w:tcPr>
                  <w:tcW w:w="2360"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（1）焦化、黄磷、水泥等大气污染物排放量大的企业；（2）化工、印染、皮革、化学制浆造纸、化学合成原料药、生物发酵原料药等废水排放量大且难于处理的企业；（3）不符合国家产业政策的企业。</w:t>
                  </w:r>
                </w:p>
              </w:tc>
              <w:tc>
                <w:tcPr>
                  <w:tcW w:w="1491" w:type="pct"/>
                  <w:vMerge w:val="continue"/>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1"/>
                      <w:sz w:val="21"/>
                      <w:szCs w:val="21"/>
                    </w:rPr>
                  </w:pPr>
                </w:p>
              </w:tc>
              <w:tc>
                <w:tcPr>
                  <w:tcW w:w="546" w:type="pct"/>
                  <w:vMerge w:val="continue"/>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1"/>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1"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1"/>
                      <w:sz w:val="21"/>
                      <w:szCs w:val="21"/>
                      <w:lang w:val="en-US" w:eastAsia="zh-CN"/>
                    </w:rPr>
                  </w:pPr>
                  <w:r>
                    <w:rPr>
                      <w:rFonts w:hint="default" w:ascii="Times New Roman" w:hAnsi="Times New Roman" w:eastAsia="宋体" w:cs="Times New Roman"/>
                      <w:color w:val="auto"/>
                      <w:spacing w:val="1"/>
                      <w:sz w:val="21"/>
                      <w:szCs w:val="21"/>
                      <w:lang w:val="en-US" w:eastAsia="zh-CN"/>
                    </w:rPr>
                    <w:t>允许类</w:t>
                  </w:r>
                </w:p>
              </w:tc>
              <w:tc>
                <w:tcPr>
                  <w:tcW w:w="2360"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除上述禁止、限制、鼓励类以外，符合国家现行产业政策和相关规定要求、选址与周围环境相容，满足清洁生产，遵循清洁生产，遵循循环经济的项目。</w:t>
                  </w:r>
                </w:p>
              </w:tc>
              <w:tc>
                <w:tcPr>
                  <w:tcW w:w="1491" w:type="pct"/>
                  <w:vMerge w:val="continue"/>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1"/>
                      <w:sz w:val="21"/>
                      <w:szCs w:val="21"/>
                    </w:rPr>
                  </w:pPr>
                </w:p>
              </w:tc>
              <w:tc>
                <w:tcPr>
                  <w:tcW w:w="546" w:type="pct"/>
                  <w:vMerge w:val="continue"/>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pacing w:val="1"/>
                      <w:sz w:val="21"/>
                      <w:szCs w:val="21"/>
                    </w:rPr>
                  </w:pPr>
                </w:p>
              </w:tc>
            </w:tr>
          </w:tbl>
          <w:p>
            <w:pPr>
              <w:widowControl w:val="0"/>
              <w:adjustRightInd/>
              <w:spacing w:line="360" w:lineRule="auto"/>
              <w:ind w:left="0" w:right="0" w:firstLine="480" w:firstLineChars="200"/>
              <w:jc w:val="both"/>
              <w:textAlignment w:val="baseline"/>
              <w:rPr>
                <w:rFonts w:hint="default" w:ascii="Times New Roman" w:hAnsi="Times New Roman" w:cs="Times New Roman"/>
                <w:kern w:val="0"/>
                <w:sz w:val="24"/>
                <w:szCs w:val="24"/>
                <w:lang w:val="en-US"/>
              </w:rPr>
            </w:pPr>
            <w:r>
              <w:rPr>
                <w:rFonts w:hint="default" w:ascii="Times New Roman" w:hAnsi="Times New Roman" w:eastAsia="宋体" w:cs="Times New Roman"/>
                <w:color w:val="auto"/>
                <w:kern w:val="0"/>
                <w:sz w:val="24"/>
                <w:szCs w:val="24"/>
                <w:highlight w:val="none"/>
                <w:lang w:val="en-US" w:eastAsia="zh-CN" w:bidi="ar-SA"/>
              </w:rPr>
              <w:t>本项目为塑料管道生产项目，不属于园区鼓励类及环境准入负面清单，为园区允许类因此，项目的建设符合该工业区功能定位要求</w:t>
            </w:r>
            <w:r>
              <w:rPr>
                <w:rFonts w:hint="eastAsia" w:cs="Times New Roman"/>
                <w:color w:val="auto"/>
                <w:kern w:val="0"/>
                <w:sz w:val="24"/>
                <w:szCs w:val="24"/>
                <w:highlight w:val="none"/>
                <w:lang w:val="en-US" w:eastAsia="zh-CN" w:bidi="ar-SA"/>
              </w:rPr>
              <w:t>，同时本项目取得四川蓬溪经济开发区管理委员会出具的入园证明。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870" w:type="dxa"/>
            <w:gridSpan w:val="4"/>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sz w:val="24"/>
                <w:szCs w:val="24"/>
              </w:rPr>
            </w:pPr>
            <w:r>
              <w:rPr>
                <w:rFonts w:hint="default" w:ascii="Times New Roman" w:hAnsi="Times New Roman" w:cs="Times New Roman"/>
                <w:b/>
                <w:bCs/>
                <w:sz w:val="24"/>
                <w:szCs w:val="24"/>
              </w:rPr>
              <w:t>其他符合性分析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8870" w:type="dxa"/>
            <w:gridSpan w:val="4"/>
            <w:noWrap w:val="0"/>
            <w:vAlign w:val="center"/>
          </w:tcPr>
          <w:p>
            <w:pPr>
              <w:pStyle w:val="24"/>
              <w:bidi w:val="0"/>
              <w:spacing w:line="360" w:lineRule="auto"/>
              <w:rPr>
                <w:rFonts w:hint="default" w:ascii="Times New Roman" w:hAnsi="Times New Roman" w:cs="Times New Roman"/>
                <w:b/>
                <w:bCs/>
                <w:sz w:val="24"/>
                <w:szCs w:val="24"/>
                <w:lang w:val="zh-CN"/>
              </w:rPr>
            </w:pPr>
            <w:r>
              <w:rPr>
                <w:rFonts w:hint="default" w:ascii="Times New Roman" w:hAnsi="Times New Roman" w:cs="Times New Roman"/>
                <w:b/>
                <w:bCs/>
                <w:sz w:val="24"/>
                <w:szCs w:val="24"/>
                <w:lang w:val="zh-CN"/>
              </w:rPr>
              <w:t>（</w:t>
            </w:r>
            <w:r>
              <w:rPr>
                <w:rFonts w:hint="default" w:ascii="Times New Roman" w:hAnsi="Times New Roman" w:cs="Times New Roman"/>
                <w:b/>
                <w:bCs/>
                <w:sz w:val="24"/>
                <w:szCs w:val="24"/>
                <w:lang w:val="en-US" w:eastAsia="zh-CN"/>
              </w:rPr>
              <w:t>1</w:t>
            </w:r>
            <w:r>
              <w:rPr>
                <w:rFonts w:hint="default" w:ascii="Times New Roman" w:hAnsi="Times New Roman" w:cs="Times New Roman"/>
                <w:b/>
                <w:bCs/>
                <w:sz w:val="24"/>
                <w:szCs w:val="24"/>
                <w:lang w:val="zh-CN"/>
              </w:rPr>
              <w:t>）与《四川省长江经济带发展负面清单实施细则（试行）》符合性分析</w:t>
            </w:r>
          </w:p>
          <w:p>
            <w:pPr>
              <w:pStyle w:val="24"/>
              <w:bidi w:val="0"/>
              <w:spacing w:line="360" w:lineRule="auto"/>
              <w:rPr>
                <w:rFonts w:hint="default" w:ascii="Times New Roman" w:hAnsi="Times New Roman" w:cs="Times New Roman"/>
                <w:sz w:val="24"/>
                <w:szCs w:val="24"/>
                <w:lang w:val="zh-CN"/>
              </w:rPr>
            </w:pPr>
            <w:r>
              <w:rPr>
                <w:rFonts w:hint="default" w:ascii="Times New Roman" w:hAnsi="Times New Roman" w:cs="Times New Roman"/>
                <w:sz w:val="24"/>
                <w:szCs w:val="24"/>
              </w:rPr>
              <w:t>2019年8月27日四川省推动长江经济带发展领导小组发布了</w:t>
            </w:r>
            <w:r>
              <w:rPr>
                <w:rFonts w:hint="default" w:ascii="Times New Roman" w:hAnsi="Times New Roman" w:cs="Times New Roman"/>
                <w:sz w:val="24"/>
                <w:szCs w:val="24"/>
                <w:lang w:val="zh-CN"/>
              </w:rPr>
              <w:t>《四川省长江经济带发展负面清单实施细则（试行）》（川长江办〔</w:t>
            </w:r>
            <w:r>
              <w:rPr>
                <w:rFonts w:hint="default" w:ascii="Times New Roman" w:hAnsi="Times New Roman" w:cs="Times New Roman"/>
                <w:sz w:val="24"/>
                <w:szCs w:val="24"/>
              </w:rPr>
              <w:t>2019</w:t>
            </w:r>
            <w:r>
              <w:rPr>
                <w:rFonts w:hint="default" w:ascii="Times New Roman" w:hAnsi="Times New Roman" w:cs="Times New Roman"/>
                <w:sz w:val="24"/>
                <w:szCs w:val="24"/>
                <w:lang w:val="zh-CN"/>
              </w:rPr>
              <w:t>〕</w:t>
            </w:r>
            <w:r>
              <w:rPr>
                <w:rFonts w:hint="default" w:ascii="Times New Roman" w:hAnsi="Times New Roman" w:cs="Times New Roman"/>
                <w:sz w:val="24"/>
                <w:szCs w:val="24"/>
              </w:rPr>
              <w:t>8号</w:t>
            </w:r>
            <w:r>
              <w:rPr>
                <w:rFonts w:hint="default" w:ascii="Times New Roman" w:hAnsi="Times New Roman" w:cs="Times New Roman"/>
                <w:sz w:val="24"/>
                <w:szCs w:val="24"/>
                <w:lang w:val="zh-CN"/>
              </w:rPr>
              <w:t>）。根据文件精神，……禁止在长江干流和主要支流（包括：岷江干流、 沱江干流、赤水河干流、嘉陵江干流、雅砻江干流）1 公里〔指长江干支流岸线边界（即水利部门河道管理范围边界）向陆域纵深</w:t>
            </w:r>
            <w:r>
              <w:rPr>
                <w:rFonts w:hint="default" w:ascii="Times New Roman" w:hAnsi="Times New Roman" w:cs="Times New Roman"/>
                <w:sz w:val="24"/>
                <w:szCs w:val="24"/>
              </w:rPr>
              <w:t>1</w:t>
            </w:r>
            <w:r>
              <w:rPr>
                <w:rFonts w:hint="default" w:ascii="Times New Roman" w:hAnsi="Times New Roman" w:cs="Times New Roman"/>
                <w:sz w:val="24"/>
                <w:szCs w:val="24"/>
                <w:lang w:val="zh-CN"/>
              </w:rPr>
              <w:t>公里〕范围内新建、扩建化工园区和化工项目。……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p>
            <w:pPr>
              <w:pStyle w:val="24"/>
              <w:bidi w:val="0"/>
              <w:spacing w:line="360" w:lineRule="auto"/>
              <w:rPr>
                <w:rFonts w:hint="default" w:ascii="Times New Roman" w:hAnsi="Times New Roman" w:cs="Times New Roman"/>
                <w:sz w:val="24"/>
                <w:szCs w:val="24"/>
                <w:lang w:val="zh-CN"/>
              </w:rPr>
            </w:pPr>
            <w:r>
              <w:rPr>
                <w:rFonts w:hint="default" w:ascii="Times New Roman" w:hAnsi="Times New Roman" w:cs="Times New Roman"/>
                <w:sz w:val="24"/>
                <w:szCs w:val="24"/>
                <w:lang w:val="zh-CN"/>
              </w:rPr>
              <w:t>本项目位于嘉陵江一级支流涪江流域，项目不属于化工项目，不属于落后产能，属于蓬溪县上游工业园及</w:t>
            </w:r>
            <w:r>
              <w:rPr>
                <w:rFonts w:hint="default" w:ascii="Times New Roman" w:hAnsi="Times New Roman" w:cs="Times New Roman"/>
                <w:sz w:val="24"/>
                <w:szCs w:val="24"/>
              </w:rPr>
              <w:t>《产业结构调整指导目录（2019年本）》中的</w:t>
            </w:r>
            <w:r>
              <w:rPr>
                <w:rFonts w:hint="eastAsia" w:ascii="Times New Roman" w:hAnsi="Times New Roman" w:cs="Times New Roman"/>
                <w:sz w:val="24"/>
                <w:szCs w:val="24"/>
                <w:lang w:val="en-US" w:eastAsia="zh-CN"/>
              </w:rPr>
              <w:t>允许</w:t>
            </w:r>
            <w:r>
              <w:rPr>
                <w:rFonts w:hint="default" w:ascii="Times New Roman" w:hAnsi="Times New Roman" w:cs="Times New Roman"/>
                <w:sz w:val="24"/>
                <w:szCs w:val="24"/>
              </w:rPr>
              <w:t>类</w:t>
            </w:r>
            <w:r>
              <w:rPr>
                <w:rFonts w:hint="default" w:ascii="Times New Roman" w:hAnsi="Times New Roman" w:cs="Times New Roman"/>
                <w:sz w:val="24"/>
                <w:szCs w:val="24"/>
                <w:lang w:val="zh-CN"/>
              </w:rPr>
              <w:t>，因此本项目的建设符合《四川省长江经济带发展负面清单实施细则（试行）》（川长江办〔</w:t>
            </w:r>
            <w:r>
              <w:rPr>
                <w:rFonts w:hint="default" w:ascii="Times New Roman" w:hAnsi="Times New Roman" w:cs="Times New Roman"/>
                <w:sz w:val="24"/>
                <w:szCs w:val="24"/>
              </w:rPr>
              <w:t>2019</w:t>
            </w:r>
            <w:r>
              <w:rPr>
                <w:rFonts w:hint="default" w:ascii="Times New Roman" w:hAnsi="Times New Roman" w:cs="Times New Roman"/>
                <w:sz w:val="24"/>
                <w:szCs w:val="24"/>
                <w:lang w:val="zh-CN"/>
              </w:rPr>
              <w:t>〕</w:t>
            </w:r>
            <w:r>
              <w:rPr>
                <w:rFonts w:hint="default" w:ascii="Times New Roman" w:hAnsi="Times New Roman" w:cs="Times New Roman"/>
                <w:sz w:val="24"/>
                <w:szCs w:val="24"/>
              </w:rPr>
              <w:t>8号</w:t>
            </w:r>
            <w:r>
              <w:rPr>
                <w:rFonts w:hint="default" w:ascii="Times New Roman" w:hAnsi="Times New Roman" w:cs="Times New Roman"/>
                <w:sz w:val="24"/>
                <w:szCs w:val="24"/>
                <w:lang w:val="zh-CN"/>
              </w:rPr>
              <w:t>）要求。</w:t>
            </w:r>
          </w:p>
          <w:p>
            <w:pPr>
              <w:pStyle w:val="24"/>
              <w:bidi w:val="0"/>
              <w:spacing w:line="360" w:lineRule="auto"/>
              <w:rPr>
                <w:rFonts w:hint="default" w:ascii="Times New Roman" w:hAnsi="Times New Roman" w:cs="Times New Roman"/>
                <w:b/>
                <w:bCs/>
                <w:color w:val="0000FF"/>
                <w:sz w:val="24"/>
                <w:szCs w:val="24"/>
                <w:lang w:val="en-US" w:eastAsia="zh-CN"/>
              </w:rPr>
            </w:pPr>
            <w:r>
              <w:rPr>
                <w:rFonts w:hint="default" w:ascii="Times New Roman" w:hAnsi="Times New Roman" w:cs="Times New Roman"/>
                <w:b/>
                <w:bCs/>
                <w:color w:val="0000FF"/>
                <w:sz w:val="24"/>
                <w:szCs w:val="24"/>
                <w:lang w:val="en-US"/>
              </w:rPr>
              <w:t>（</w:t>
            </w:r>
            <w:r>
              <w:rPr>
                <w:rFonts w:hint="default" w:ascii="Times New Roman" w:hAnsi="Times New Roman" w:cs="Times New Roman"/>
                <w:b/>
                <w:bCs/>
                <w:color w:val="0000FF"/>
                <w:sz w:val="24"/>
                <w:szCs w:val="24"/>
                <w:lang w:val="en-US" w:eastAsia="zh-CN"/>
              </w:rPr>
              <w:t>2</w:t>
            </w:r>
            <w:r>
              <w:rPr>
                <w:rFonts w:hint="default" w:ascii="Times New Roman" w:hAnsi="Times New Roman" w:cs="Times New Roman"/>
                <w:b/>
                <w:bCs/>
                <w:color w:val="0000FF"/>
                <w:sz w:val="24"/>
                <w:szCs w:val="24"/>
                <w:lang w:val="en-US"/>
              </w:rPr>
              <w:t>）</w:t>
            </w:r>
            <w:r>
              <w:rPr>
                <w:rFonts w:hint="default" w:ascii="Times New Roman" w:hAnsi="Times New Roman" w:cs="Times New Roman"/>
                <w:b/>
                <w:bCs/>
                <w:color w:val="0000FF"/>
                <w:sz w:val="24"/>
                <w:szCs w:val="24"/>
                <w:lang w:val="en-US" w:eastAsia="zh-CN"/>
              </w:rPr>
              <w:t>“三线一单”符合性分析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项目位于</w:t>
            </w:r>
            <w:r>
              <w:rPr>
                <w:rFonts w:hint="default" w:ascii="Times New Roman" w:hAnsi="Times New Roman" w:eastAsia="宋体" w:cs="Times New Roman"/>
                <w:color w:val="auto"/>
                <w:sz w:val="24"/>
                <w:szCs w:val="24"/>
                <w:lang w:eastAsia="zh-CN"/>
              </w:rPr>
              <w:t>遂宁市蓬溪县上游工业园</w:t>
            </w:r>
            <w:r>
              <w:rPr>
                <w:rFonts w:hint="default" w:ascii="Times New Roman" w:hAnsi="Times New Roman" w:eastAsia="宋体" w:cs="Times New Roman"/>
                <w:color w:val="auto"/>
                <w:sz w:val="24"/>
                <w:szCs w:val="24"/>
              </w:rPr>
              <w:t>，根据《四川省人民政府关于印发四川省生态保护红线方案的通知》（川府发</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2018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24号）内容，遂宁市涉及的生态保护红线为：盆中城市饮用水源—水土保持生态保护红线，内容如下：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分布：该区位于四川省东部成都平原及盆地丘陵区，行政区涉及成都市、自贡市、德阳市、绵阳市、广元市、遂宁市、内江市、乐山市、南充市、眉山市、广安市、达州市、巴中市、资阳市，总面积0.08万平方公里，占生态保护红线总面积的0.54%，占全省幅员面积的0.17%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功能：四川盆地区是成渝经济区的重要组成部分，是成渝城市群核心区域，人口密集，经济发展，城镇化率大于50%，该区主体功能区定位为重点开发区域和农产品主产区，其主导功能为人居保障和农林产品提供，该区的生态保护红线主要以保障城市饮水安全的饮用水水源保护区为主，还有零散分布于四川盆地及成都平原</w:t>
            </w:r>
            <w:r>
              <w:rPr>
                <w:rFonts w:hint="default" w:ascii="Times New Roman" w:hAnsi="Times New Roman" w:eastAsia="宋体" w:cs="Times New Roman"/>
                <w:color w:val="auto"/>
                <w:sz w:val="24"/>
                <w:szCs w:val="24"/>
                <w:lang w:eastAsia="zh-CN"/>
              </w:rPr>
              <w:t>地区</w:t>
            </w:r>
            <w:r>
              <w:rPr>
                <w:rFonts w:hint="default" w:ascii="Times New Roman" w:hAnsi="Times New Roman" w:eastAsia="宋体" w:cs="Times New Roman"/>
                <w:color w:val="auto"/>
                <w:sz w:val="24"/>
                <w:szCs w:val="24"/>
              </w:rPr>
              <w:t>自然保护区、风景名胜区、湿地公园、地质公园等各类生态保护重要区域，它们在维护区域水土保持功能方面发挥着重要作用。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要保护地：本区域分布有32处饮用水水源保护区、6个省级自然保护区、3个国家级风景名胜区、10个省级风景名胜区、1个世界地质公园、5个国家地质公园、1个省级地质公园、2个国家湿地公园、4个省级湿地公园、14个国家级水产种质资源保护区、1个省级水产种质资源保护区、1处世界文化与自然遗产地的部分或全部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保护重点：严格按照现有相关法律法规对禁止开发区域的管理要求，对生态保护红线实施严格保护，严格控制人为因素对区内自然生态的干扰</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本项目所在地蓬溪县上游工业园无生态红线，</w:t>
            </w:r>
            <w:r>
              <w:rPr>
                <w:rFonts w:hint="default" w:ascii="Times New Roman" w:hAnsi="Times New Roman" w:eastAsia="宋体" w:cs="Times New Roman"/>
                <w:color w:val="auto"/>
                <w:sz w:val="24"/>
                <w:szCs w:val="24"/>
              </w:rPr>
              <w:t>因此项目选址《四川省人民政府关于印发四川省生态保护红线方案的通知》（川府发</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2018</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24号）是相协调的。</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环境质量底线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default" w:ascii="Times New Roman" w:hAnsi="Times New Roman" w:cs="Times New Roman"/>
                <w:bCs/>
                <w:color w:val="auto"/>
                <w:sz w:val="24"/>
                <w:szCs w:val="24"/>
                <w:lang w:eastAsia="zh-CN"/>
              </w:rPr>
              <w:t>遂宁市污染防治攻坚战领导小组办公室</w:t>
            </w:r>
            <w:r>
              <w:rPr>
                <w:rFonts w:hint="default" w:ascii="Times New Roman" w:hAnsi="Times New Roman" w:cs="Times New Roman"/>
                <w:bCs/>
                <w:color w:val="auto"/>
                <w:sz w:val="24"/>
                <w:szCs w:val="24"/>
                <w:lang w:val="en-US" w:eastAsia="zh-CN"/>
              </w:rPr>
              <w:t>2021年1月22日发布的《</w:t>
            </w:r>
            <w:r>
              <w:rPr>
                <w:rFonts w:hint="default" w:ascii="Times New Roman" w:hAnsi="Times New Roman" w:cs="Times New Roman"/>
                <w:bCs/>
                <w:color w:val="auto"/>
                <w:sz w:val="24"/>
                <w:szCs w:val="24"/>
                <w:lang w:eastAsia="zh-CN"/>
              </w:rPr>
              <w:t>遂宁市污染防治攻坚战领导小组办公室关于</w:t>
            </w:r>
            <w:r>
              <w:rPr>
                <w:rFonts w:hint="default" w:ascii="Times New Roman" w:hAnsi="Times New Roman" w:cs="Times New Roman"/>
                <w:bCs/>
                <w:color w:val="auto"/>
                <w:sz w:val="24"/>
                <w:szCs w:val="24"/>
                <w:lang w:val="en-US" w:eastAsia="zh-CN"/>
              </w:rPr>
              <w:t>2020年度全市环境空气质量的通报》遂污防攻坚办〔2021〕2号</w:t>
            </w:r>
            <w:r>
              <w:rPr>
                <w:rFonts w:hint="default" w:ascii="Times New Roman" w:hAnsi="Times New Roman" w:eastAsia="宋体" w:cs="Times New Roman"/>
                <w:color w:val="auto"/>
                <w:sz w:val="24"/>
                <w:szCs w:val="24"/>
              </w:rPr>
              <w:t>，项目所在区域内环境空气中</w:t>
            </w:r>
            <w:r>
              <w:rPr>
                <w:rFonts w:hint="default" w:ascii="Times New Roman" w:hAnsi="Times New Roman" w:eastAsia="宋体" w:cs="Times New Roman"/>
                <w:color w:val="auto"/>
                <w:sz w:val="24"/>
                <w:szCs w:val="24"/>
                <w:lang w:val="en-US" w:eastAsia="zh-CN"/>
              </w:rPr>
              <w:t>PM</w:t>
            </w:r>
            <w:r>
              <w:rPr>
                <w:rFonts w:hint="default" w:ascii="Times New Roman" w:hAnsi="Times New Roman" w:eastAsia="宋体" w:cs="Times New Roman"/>
                <w:color w:val="auto"/>
                <w:sz w:val="24"/>
                <w:szCs w:val="24"/>
                <w:vertAlign w:val="subscript"/>
                <w:lang w:val="en-US" w:eastAsia="zh-CN"/>
              </w:rPr>
              <w:t>2.5</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、CO、PM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均满足《环境空气质量标准》（GB 3095-2012）二级标准要求</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项目所在区域大气环境质量</w:t>
            </w:r>
            <w:r>
              <w:rPr>
                <w:rFonts w:hint="default" w:ascii="Times New Roman" w:hAnsi="Times New Roman" w:eastAsia="宋体" w:cs="Times New Roman"/>
                <w:color w:val="auto"/>
                <w:sz w:val="24"/>
                <w:szCs w:val="24"/>
                <w:lang w:eastAsia="zh-CN"/>
              </w:rPr>
              <w:t>较好</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根据遂宁市生态环境局发布的环境质量公告，项目附近地表水芝溪河红江渡口断面</w:t>
            </w:r>
            <w:r>
              <w:rPr>
                <w:rFonts w:hint="default" w:ascii="Times New Roman" w:hAnsi="Times New Roman" w:eastAsia="宋体" w:cs="Times New Roman"/>
                <w:color w:val="auto"/>
                <w:sz w:val="24"/>
                <w:szCs w:val="24"/>
              </w:rPr>
              <w:t>满足</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3 \* ROMAN</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I</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val="en-US" w:eastAsia="zh-CN"/>
              </w:rPr>
              <w:t>II</w:t>
            </w:r>
            <w:r>
              <w:rPr>
                <w:rFonts w:hint="default" w:ascii="Times New Roman" w:hAnsi="Times New Roman" w:eastAsia="宋体" w:cs="Times New Roman"/>
                <w:color w:val="auto"/>
                <w:sz w:val="24"/>
                <w:szCs w:val="24"/>
              </w:rPr>
              <w:t>类</w:t>
            </w:r>
            <w:r>
              <w:rPr>
                <w:rFonts w:hint="default" w:ascii="Times New Roman" w:hAnsi="Times New Roman" w:eastAsia="宋体" w:cs="Times New Roman"/>
                <w:color w:val="auto"/>
                <w:sz w:val="24"/>
                <w:szCs w:val="24"/>
                <w:lang w:eastAsia="zh-CN"/>
              </w:rPr>
              <w:t>地表水水质</w:t>
            </w:r>
            <w:r>
              <w:rPr>
                <w:rFonts w:hint="default" w:ascii="Times New Roman" w:hAnsi="Times New Roman" w:eastAsia="宋体" w:cs="Times New Roman"/>
                <w:color w:val="auto"/>
                <w:sz w:val="24"/>
                <w:szCs w:val="24"/>
              </w:rPr>
              <w:t>标准要求</w:t>
            </w:r>
            <w:r>
              <w:rPr>
                <w:rFonts w:hint="default" w:ascii="Times New Roman" w:hAnsi="Times New Roman" w:eastAsia="宋体" w:cs="Times New Roman"/>
                <w:color w:val="auto"/>
                <w:sz w:val="24"/>
                <w:szCs w:val="24"/>
                <w:lang w:eastAsia="zh-CN"/>
              </w:rPr>
              <w:t>（法定为</w:t>
            </w:r>
            <w:r>
              <w:rPr>
                <w:rFonts w:hint="default" w:ascii="Times New Roman" w:hAnsi="Times New Roman" w:eastAsia="宋体" w:cs="Times New Roman"/>
                <w:color w:val="auto"/>
                <w:sz w:val="24"/>
                <w:szCs w:val="24"/>
                <w:lang w:val="en-US" w:eastAsia="zh-CN"/>
              </w:rPr>
              <w:t>III类水质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，表明区域地</w:t>
            </w:r>
            <w:r>
              <w:rPr>
                <w:rFonts w:hint="default" w:ascii="Times New Roman" w:hAnsi="Times New Roman" w:eastAsia="宋体" w:cs="Times New Roman"/>
                <w:color w:val="auto"/>
                <w:sz w:val="24"/>
                <w:szCs w:val="24"/>
                <w:lang w:eastAsia="zh-CN"/>
              </w:rPr>
              <w:t>表</w:t>
            </w:r>
            <w:r>
              <w:rPr>
                <w:rFonts w:hint="default" w:ascii="Times New Roman" w:hAnsi="Times New Roman" w:eastAsia="宋体" w:cs="Times New Roman"/>
                <w:color w:val="auto"/>
                <w:sz w:val="24"/>
                <w:szCs w:val="24"/>
              </w:rPr>
              <w:t>水质量现状较好；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资源利用上线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本项目位于</w:t>
            </w:r>
            <w:r>
              <w:rPr>
                <w:rFonts w:hint="default" w:ascii="Times New Roman" w:hAnsi="Times New Roman" w:eastAsia="宋体" w:cs="Times New Roman"/>
                <w:bCs/>
                <w:color w:val="auto"/>
                <w:kern w:val="0"/>
                <w:sz w:val="24"/>
                <w:szCs w:val="24"/>
                <w:lang w:val="en-US" w:eastAsia="zh-CN" w:bidi="ar-SA"/>
              </w:rPr>
              <w:t>蓬溪县上游工业园</w:t>
            </w:r>
            <w:r>
              <w:rPr>
                <w:rFonts w:hint="default" w:ascii="Times New Roman" w:hAnsi="Times New Roman" w:eastAsia="宋体" w:cs="Times New Roman"/>
                <w:color w:val="auto"/>
                <w:sz w:val="24"/>
                <w:szCs w:val="24"/>
                <w:lang w:eastAsia="zh-CN"/>
              </w:rPr>
              <w:t>内</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租用</w:t>
            </w:r>
            <w:r>
              <w:rPr>
                <w:rFonts w:hint="default" w:ascii="Times New Roman" w:hAnsi="Times New Roman" w:cs="Times New Roman"/>
                <w:color w:val="auto"/>
                <w:sz w:val="24"/>
                <w:szCs w:val="24"/>
                <w:lang w:eastAsia="zh-CN"/>
              </w:rPr>
              <w:t>遂宁市齐科环保设备有限公司</w:t>
            </w:r>
            <w:r>
              <w:rPr>
                <w:rFonts w:hint="default" w:ascii="Times New Roman" w:hAnsi="Times New Roman" w:eastAsia="宋体" w:cs="Times New Roman"/>
                <w:color w:val="auto"/>
                <w:sz w:val="24"/>
                <w:szCs w:val="24"/>
                <w:lang w:eastAsia="zh-CN"/>
              </w:rPr>
              <w:t>既有厂房建设生产线，项目用地为园区规划工业用地地块，不新增用地</w:t>
            </w:r>
            <w:r>
              <w:rPr>
                <w:rFonts w:hint="default" w:ascii="Times New Roman" w:hAnsi="Times New Roman" w:eastAsia="宋体" w:cs="Times New Roman"/>
                <w:color w:val="auto"/>
                <w:sz w:val="24"/>
                <w:szCs w:val="24"/>
              </w:rPr>
              <w:t>。项目用电来自所在区域内已有电网，电量充足，能够为项目的用电提供保障；</w:t>
            </w:r>
            <w:r>
              <w:rPr>
                <w:rFonts w:hint="default" w:ascii="Times New Roman" w:hAnsi="Times New Roman" w:eastAsia="宋体" w:cs="Times New Roman"/>
                <w:color w:val="auto"/>
                <w:sz w:val="24"/>
                <w:szCs w:val="24"/>
                <w:lang w:eastAsia="zh-CN"/>
              </w:rPr>
              <w:t>项目用气、用水为区域市政管网供给</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项目能源、资源消耗合理，故</w:t>
            </w:r>
            <w:r>
              <w:rPr>
                <w:rFonts w:hint="default" w:ascii="Times New Roman" w:hAnsi="Times New Roman" w:eastAsia="宋体" w:cs="Times New Roman"/>
                <w:color w:val="auto"/>
                <w:sz w:val="24"/>
                <w:szCs w:val="24"/>
              </w:rPr>
              <w:t>本项目实施不</w:t>
            </w:r>
            <w:r>
              <w:rPr>
                <w:rFonts w:hint="default" w:ascii="Times New Roman" w:hAnsi="Times New Roman" w:eastAsia="宋体" w:cs="Times New Roman"/>
                <w:color w:val="auto"/>
                <w:sz w:val="24"/>
                <w:szCs w:val="24"/>
                <w:lang w:eastAsia="zh-CN"/>
              </w:rPr>
              <w:t>会</w:t>
            </w:r>
            <w:r>
              <w:rPr>
                <w:rFonts w:hint="default" w:ascii="Times New Roman" w:hAnsi="Times New Roman" w:eastAsia="宋体" w:cs="Times New Roman"/>
                <w:color w:val="auto"/>
                <w:sz w:val="24"/>
                <w:szCs w:val="24"/>
              </w:rPr>
              <w:t>触及资源利用上限。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环境准入负面清单</w:t>
            </w:r>
          </w:p>
          <w:p>
            <w:pPr>
              <w:pStyle w:val="24"/>
              <w:bidi w:val="0"/>
              <w:spacing w:line="360" w:lineRule="auto"/>
              <w:rPr>
                <w:rFonts w:hint="default" w:ascii="Times New Roman" w:hAnsi="Times New Roman" w:cs="Times New Roman"/>
                <w:sz w:val="24"/>
                <w:szCs w:val="24"/>
                <w:lang w:val="zh-CN"/>
              </w:rPr>
            </w:pPr>
            <w:r>
              <w:rPr>
                <w:rFonts w:hint="default" w:ascii="Times New Roman" w:hAnsi="Times New Roman" w:cs="Times New Roman"/>
                <w:sz w:val="24"/>
                <w:szCs w:val="24"/>
              </w:rPr>
              <w:t>根据《产业结构调整指导目录（2019年本）》，本项目属于</w:t>
            </w:r>
            <w:r>
              <w:rPr>
                <w:rFonts w:hint="default" w:ascii="Times New Roman" w:hAnsi="Times New Roman" w:cs="Times New Roman"/>
                <w:sz w:val="24"/>
                <w:szCs w:val="24"/>
                <w:lang w:val="en-US" w:eastAsia="zh-CN"/>
              </w:rPr>
              <w:t>允许</w:t>
            </w:r>
            <w:r>
              <w:rPr>
                <w:rFonts w:hint="default" w:ascii="Times New Roman" w:hAnsi="Times New Roman" w:cs="Times New Roman"/>
                <w:sz w:val="24"/>
                <w:szCs w:val="24"/>
              </w:rPr>
              <w:t>类</w:t>
            </w:r>
            <w:r>
              <w:rPr>
                <w:rFonts w:hint="default" w:ascii="Times New Roman" w:hAnsi="Times New Roman" w:cs="Times New Roman"/>
                <w:sz w:val="24"/>
                <w:szCs w:val="24"/>
                <w:lang w:val="zh-CN"/>
              </w:rPr>
              <w:t>，同时根据</w:t>
            </w:r>
            <w:r>
              <w:rPr>
                <w:rFonts w:hint="default" w:ascii="Times New Roman" w:hAnsi="Times New Roman" w:cs="Times New Roman"/>
                <w:sz w:val="24"/>
                <w:szCs w:val="24"/>
              </w:rPr>
              <w:t>《</w:t>
            </w:r>
            <w:r>
              <w:rPr>
                <w:rFonts w:hint="default" w:ascii="Times New Roman" w:hAnsi="Times New Roman" w:cs="Times New Roman"/>
                <w:bCs/>
                <w:color w:val="auto"/>
                <w:kern w:val="0"/>
                <w:sz w:val="24"/>
                <w:szCs w:val="24"/>
                <w:lang w:val="en-US" w:eastAsia="zh-CN" w:bidi="ar-SA"/>
              </w:rPr>
              <w:t>蓬溪县上游工业园规划调整环境影响报告书</w:t>
            </w:r>
            <w:r>
              <w:rPr>
                <w:rFonts w:hint="default" w:ascii="Times New Roman" w:hAnsi="Times New Roman" w:cs="Times New Roman"/>
                <w:sz w:val="24"/>
                <w:szCs w:val="24"/>
              </w:rPr>
              <w:t>》</w:t>
            </w:r>
            <w:r>
              <w:rPr>
                <w:rFonts w:hint="default" w:ascii="Times New Roman" w:hAnsi="Times New Roman" w:cs="Times New Roman"/>
                <w:sz w:val="24"/>
                <w:szCs w:val="24"/>
                <w:lang w:val="zh-CN"/>
              </w:rPr>
              <w:t>本项目属于</w:t>
            </w:r>
            <w:r>
              <w:rPr>
                <w:rFonts w:hint="default" w:ascii="Times New Roman" w:hAnsi="Times New Roman" w:eastAsia="宋体" w:cs="Times New Roman"/>
                <w:bCs/>
                <w:color w:val="auto"/>
                <w:kern w:val="0"/>
                <w:sz w:val="24"/>
                <w:szCs w:val="24"/>
                <w:lang w:val="en-US" w:eastAsia="zh-CN" w:bidi="ar-SA"/>
              </w:rPr>
              <w:t>蓬溪县</w:t>
            </w:r>
            <w:r>
              <w:rPr>
                <w:rFonts w:hint="default" w:ascii="Times New Roman" w:hAnsi="Times New Roman" w:cs="Times New Roman"/>
                <w:bCs/>
                <w:color w:val="auto"/>
                <w:kern w:val="0"/>
                <w:sz w:val="24"/>
                <w:szCs w:val="24"/>
                <w:lang w:val="en-US" w:eastAsia="zh-CN" w:bidi="ar-SA"/>
              </w:rPr>
              <w:t>上游工业园</w:t>
            </w:r>
            <w:r>
              <w:rPr>
                <w:rFonts w:hint="default" w:ascii="Times New Roman" w:hAnsi="Times New Roman" w:cs="Times New Roman"/>
                <w:sz w:val="24"/>
                <w:szCs w:val="24"/>
                <w:lang w:val="zh-CN"/>
              </w:rPr>
              <w:t>规划环评中的</w:t>
            </w:r>
            <w:r>
              <w:rPr>
                <w:rFonts w:hint="default" w:ascii="Times New Roman" w:hAnsi="Times New Roman" w:cs="Times New Roman"/>
                <w:sz w:val="24"/>
                <w:szCs w:val="24"/>
                <w:lang w:val="en-US" w:eastAsia="zh-CN"/>
              </w:rPr>
              <w:t>允许</w:t>
            </w:r>
            <w:r>
              <w:rPr>
                <w:rFonts w:hint="default" w:ascii="Times New Roman" w:hAnsi="Times New Roman" w:cs="Times New Roman"/>
                <w:sz w:val="24"/>
                <w:szCs w:val="24"/>
                <w:lang w:val="zh-CN"/>
              </w:rPr>
              <w:t>入园行业，因此本项目满足环境准入要求。</w:t>
            </w:r>
          </w:p>
          <w:p>
            <w:pPr>
              <w:pStyle w:val="24"/>
              <w:bidi w:val="0"/>
              <w:spacing w:line="360" w:lineRule="auto"/>
              <w:rPr>
                <w:rFonts w:hint="default" w:ascii="Times New Roman" w:hAnsi="Times New Roman" w:cs="Times New Roman"/>
                <w:b/>
                <w:bCs/>
                <w:sz w:val="24"/>
                <w:szCs w:val="24"/>
              </w:rPr>
            </w:pPr>
            <w:r>
              <w:rPr>
                <w:rFonts w:hint="default" w:ascii="Times New Roman" w:hAnsi="Times New Roman" w:cs="Times New Roman"/>
                <w:b/>
                <w:bCs/>
                <w:sz w:val="24"/>
                <w:szCs w:val="24"/>
                <w:highlight w:val="none"/>
                <w:lang w:val="zh-CN"/>
              </w:rPr>
              <w:t>（</w:t>
            </w:r>
            <w:r>
              <w:rPr>
                <w:rFonts w:hint="default" w:ascii="Times New Roman" w:hAnsi="Times New Roman" w:cs="Times New Roman"/>
                <w:b/>
                <w:bCs/>
                <w:sz w:val="24"/>
                <w:szCs w:val="24"/>
                <w:highlight w:val="none"/>
                <w:lang w:val="en-US" w:eastAsia="zh-CN"/>
              </w:rPr>
              <w:t>3</w:t>
            </w:r>
            <w:r>
              <w:rPr>
                <w:rFonts w:hint="default" w:ascii="Times New Roman" w:hAnsi="Times New Roman" w:cs="Times New Roman"/>
                <w:b/>
                <w:bCs/>
                <w:sz w:val="24"/>
                <w:szCs w:val="24"/>
                <w:highlight w:val="none"/>
                <w:lang w:val="zh-CN"/>
              </w:rPr>
              <w:t>）</w:t>
            </w:r>
            <w:r>
              <w:rPr>
                <w:rFonts w:hint="default" w:ascii="Times New Roman" w:hAnsi="Times New Roman" w:cs="Times New Roman"/>
                <w:b/>
                <w:bCs/>
                <w:sz w:val="24"/>
                <w:szCs w:val="24"/>
                <w:highlight w:val="none"/>
              </w:rPr>
              <w:t>与大气污染防治等相关规划符合性分析</w:t>
            </w:r>
          </w:p>
          <w:p>
            <w:pPr>
              <w:spacing w:line="36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表1-</w:t>
            </w:r>
            <w:r>
              <w:rPr>
                <w:rFonts w:hint="default" w:ascii="Times New Roman" w:hAnsi="Times New Roman" w:cs="Times New Roman"/>
                <w:b/>
                <w:bCs/>
                <w:sz w:val="24"/>
                <w:szCs w:val="24"/>
                <w:lang w:val="en-US" w:eastAsia="zh-CN"/>
              </w:rPr>
              <w:t>2</w:t>
            </w:r>
            <w:r>
              <w:rPr>
                <w:rFonts w:hint="default" w:ascii="Times New Roman" w:hAnsi="Times New Roman" w:cs="Times New Roman"/>
                <w:b/>
                <w:bCs/>
                <w:sz w:val="24"/>
                <w:szCs w:val="24"/>
              </w:rPr>
              <w:t xml:space="preserve"> 项目与大气污染防治相关政策规划符合性一览表</w:t>
            </w:r>
          </w:p>
          <w:tbl>
            <w:tblPr>
              <w:tblStyle w:val="16"/>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4053"/>
              <w:gridCol w:w="1934"/>
              <w:gridCol w:w="8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6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99" w:leftChars="-47" w:right="-160" w:rightChars="-76"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名称</w:t>
                  </w:r>
                </w:p>
              </w:tc>
              <w:tc>
                <w:tcPr>
                  <w:tcW w:w="405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政策要求</w:t>
                  </w:r>
                </w:p>
              </w:tc>
              <w:tc>
                <w:tcPr>
                  <w:tcW w:w="193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项目情况</w:t>
                  </w:r>
                </w:p>
              </w:tc>
              <w:tc>
                <w:tcPr>
                  <w:tcW w:w="87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638" w:type="dxa"/>
                  <w:noWrap w:val="0"/>
                  <w:vAlign w:val="center"/>
                </w:tcPr>
                <w:p>
                  <w:pPr>
                    <w:pStyle w:val="24"/>
                    <w:bidi w:val="0"/>
                    <w:spacing w:line="240" w:lineRule="auto"/>
                    <w:ind w:left="0" w:leftChars="0" w:firstLine="0" w:firstLineChars="0"/>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zh-CN"/>
                    </w:rPr>
                    <w:t>《大气污染物防治行动计划》国发〔2013〕37 号</w:t>
                  </w:r>
                </w:p>
              </w:tc>
              <w:tc>
                <w:tcPr>
                  <w:tcW w:w="4053" w:type="dxa"/>
                  <w:noWrap w:val="0"/>
                  <w:vAlign w:val="center"/>
                </w:tcPr>
                <w:p>
                  <w:pPr>
                    <w:pStyle w:val="24"/>
                    <w:bidi w:val="0"/>
                    <w:spacing w:line="240" w:lineRule="auto"/>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《大气污染物防治行动计划》国发〔2013〕37 号要求“在石化、有机化工、表面涂装、包装印刷等行业实施挥发性有机物综合整治，完善涂料、胶粘剂等产品挥发性有机物限值标准，推广使用水性涂料，鼓励生产、销售和使用低毒、低挥发性有机溶剂”。</w:t>
                  </w:r>
                </w:p>
              </w:tc>
              <w:tc>
                <w:tcPr>
                  <w:tcW w:w="1934" w:type="dxa"/>
                  <w:noWrap w:val="0"/>
                  <w:vAlign w:val="center"/>
                </w:tcPr>
                <w:p>
                  <w:pPr>
                    <w:pStyle w:val="24"/>
                    <w:bidi w:val="0"/>
                    <w:spacing w:line="240" w:lineRule="auto"/>
                    <w:jc w:val="center"/>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lang w:val="en-US" w:eastAsia="zh-CN"/>
                    </w:rPr>
                    <w:t>本项目属于塑料管材及管件制造项目，不涉及工业涂装，营运过程产生的挥发性有机物通过采取相关防治措施后能够实现达标排放。</w:t>
                  </w:r>
                </w:p>
              </w:tc>
              <w:tc>
                <w:tcPr>
                  <w:tcW w:w="87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638" w:type="dxa"/>
                  <w:noWrap w:val="0"/>
                  <w:vAlign w:val="center"/>
                </w:tcPr>
                <w:p>
                  <w:pPr>
                    <w:keepNext w:val="0"/>
                    <w:keepLines w:val="0"/>
                    <w:widowControl/>
                    <w:suppressLineNumbers w:val="0"/>
                    <w:spacing w:line="240" w:lineRule="auto"/>
                    <w:jc w:val="center"/>
                    <w:rPr>
                      <w:rFonts w:hint="default" w:ascii="Times New Roman" w:hAnsi="Times New Roman" w:cs="Times New Roman"/>
                      <w:b w:val="0"/>
                      <w:bCs w:val="0"/>
                      <w:sz w:val="21"/>
                      <w:szCs w:val="21"/>
                    </w:rPr>
                  </w:pPr>
                  <w:r>
                    <w:rPr>
                      <w:rFonts w:hint="default" w:ascii="Times New Roman" w:hAnsi="Times New Roman" w:eastAsia="宋体" w:cs="Times New Roman"/>
                      <w:b w:val="0"/>
                      <w:bCs w:val="0"/>
                      <w:kern w:val="2"/>
                      <w:sz w:val="21"/>
                      <w:szCs w:val="21"/>
                      <w:lang w:val="en-US" w:eastAsia="zh-CN" w:bidi="ar-SA"/>
                    </w:rPr>
                    <w:t>“十三五”挥发性有机物污染防治工作方案</w:t>
                  </w:r>
                </w:p>
              </w:tc>
              <w:tc>
                <w:tcPr>
                  <w:tcW w:w="4053" w:type="dxa"/>
                  <w:noWrap w:val="0"/>
                  <w:vAlign w:val="center"/>
                </w:tcPr>
                <w:p>
                  <w:pPr>
                    <w:keepNext w:val="0"/>
                    <w:keepLines w:val="0"/>
                    <w:widowControl/>
                    <w:suppressLineNumbers w:val="0"/>
                    <w:spacing w:line="240" w:lineRule="auto"/>
                    <w:jc w:val="center"/>
                    <w:rPr>
                      <w:rFonts w:hint="default" w:ascii="Times New Roman" w:hAnsi="Times New Roman" w:cs="Times New Roman"/>
                      <w:b w:val="0"/>
                      <w:bCs w:val="0"/>
                      <w:sz w:val="21"/>
                      <w:szCs w:val="21"/>
                    </w:rPr>
                  </w:pPr>
                  <w:r>
                    <w:rPr>
                      <w:rFonts w:hint="default" w:ascii="Times New Roman" w:hAnsi="Times New Roman" w:eastAsia="宋体" w:cs="Times New Roman"/>
                      <w:b w:val="0"/>
                      <w:bCs w:val="0"/>
                      <w:color w:val="000000"/>
                      <w:kern w:val="0"/>
                      <w:sz w:val="21"/>
                      <w:szCs w:val="21"/>
                      <w:lang w:val="en-US" w:eastAsia="zh-CN" w:bidi="ar"/>
                    </w:rPr>
                    <w:t>严格建设项目环境准入提高 VOCs 排放重点行业环保准入门槛严格控制新增污染物排放量。重点地区要严格限制石化、化工、包装印刷、工业涂装等高VOCs排放建设项目。新建涉VOCs排放的工业企业要入园区</w:t>
                  </w:r>
                </w:p>
              </w:tc>
              <w:tc>
                <w:tcPr>
                  <w:tcW w:w="1934" w:type="dxa"/>
                  <w:vMerge w:val="restart"/>
                  <w:noWrap w:val="0"/>
                  <w:vAlign w:val="center"/>
                </w:tcPr>
                <w:p>
                  <w:pPr>
                    <w:spacing w:line="240" w:lineRule="auto"/>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本项目位于四川省遂宁市蓬溪县赤城镇上游工业园聚财路，生产过程中产生的VOCs有机废气集中收集后，“UV光解+二级活 性炭吸附装置”进行处</w:t>
                  </w:r>
                  <w:r>
                    <w:rPr>
                      <w:rFonts w:hint="default" w:ascii="Times New Roman" w:hAnsi="Times New Roman" w:cs="Times New Roman"/>
                      <w:b w:val="0"/>
                      <w:bCs w:val="0"/>
                      <w:sz w:val="21"/>
                      <w:szCs w:val="21"/>
                      <w:lang w:val="en-US" w:eastAsia="zh-CN"/>
                    </w:rPr>
                    <w:t>理</w:t>
                  </w:r>
                  <w:r>
                    <w:rPr>
                      <w:rFonts w:hint="default" w:ascii="Times New Roman" w:hAnsi="Times New Roman" w:cs="Times New Roman"/>
                      <w:iCs/>
                      <w:szCs w:val="21"/>
                    </w:rPr>
                    <w:t>由15米高排气筒排放，</w:t>
                  </w:r>
                  <w:r>
                    <w:rPr>
                      <w:rFonts w:hint="default" w:ascii="Times New Roman" w:hAnsi="Times New Roman" w:eastAsia="宋体" w:cs="Times New Roman"/>
                      <w:b w:val="0"/>
                      <w:bCs w:val="0"/>
                      <w:sz w:val="21"/>
                      <w:szCs w:val="21"/>
                      <w:lang w:val="en-US" w:eastAsia="zh-CN"/>
                    </w:rPr>
                    <w:t>VOCs有机废气的收集和处理效率均达到90%以上，可使生产过程中产生的VOCs有机废气得到有效控制。</w:t>
                  </w:r>
                </w:p>
              </w:tc>
              <w:tc>
                <w:tcPr>
                  <w:tcW w:w="87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638"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 w:val="0"/>
                      <w:bCs w:val="0"/>
                      <w:sz w:val="21"/>
                      <w:szCs w:val="21"/>
                      <w:lang w:eastAsia="zh-CN"/>
                    </w:rPr>
                  </w:pPr>
                  <w:r>
                    <w:rPr>
                      <w:rFonts w:hint="default" w:ascii="Times New Roman" w:hAnsi="Times New Roman" w:cs="Times New Roman"/>
                      <w:b w:val="0"/>
                      <w:bCs w:val="0"/>
                      <w:sz w:val="21"/>
                      <w:szCs w:val="21"/>
                    </w:rPr>
                    <w:t>《四川省挥发性有机物污染防治实施方案（2018</w:t>
                  </w:r>
                  <w:r>
                    <w:rPr>
                      <w:rFonts w:hint="default" w:ascii="Times New Roman" w:hAnsi="Times New Roman" w:cs="Times New Roman"/>
                      <w:b w:val="0"/>
                      <w:bCs w:val="0"/>
                      <w:sz w:val="21"/>
                      <w:szCs w:val="21"/>
                      <w:highlight w:val="none"/>
                      <w:lang w:eastAsia="zh-CN"/>
                    </w:rPr>
                    <w:t>—2020年</w:t>
                  </w:r>
                  <w:r>
                    <w:rPr>
                      <w:rFonts w:hint="default" w:ascii="Times New Roman" w:hAnsi="Times New Roman" w:cs="Times New Roman"/>
                      <w:b w:val="0"/>
                      <w:bCs w:val="0"/>
                      <w:sz w:val="21"/>
                      <w:szCs w:val="21"/>
                    </w:rPr>
                    <w:t>）》</w:t>
                  </w:r>
                  <w:r>
                    <w:rPr>
                      <w:rFonts w:hint="default" w:ascii="Times New Roman" w:hAnsi="Times New Roman" w:cs="Times New Roman"/>
                      <w:b w:val="0"/>
                      <w:bCs w:val="0"/>
                      <w:sz w:val="21"/>
                      <w:szCs w:val="21"/>
                      <w:lang w:eastAsia="zh-CN"/>
                    </w:rPr>
                    <w:t>（参考）</w:t>
                  </w:r>
                </w:p>
              </w:tc>
              <w:tc>
                <w:tcPr>
                  <w:tcW w:w="4053" w:type="dxa"/>
                  <w:noWrap w:val="0"/>
                  <w:vAlign w:val="center"/>
                </w:tcPr>
                <w:p>
                  <w:pPr>
                    <w:spacing w:line="240" w:lineRule="auto"/>
                    <w:ind w:firstLine="420" w:firstLineChars="200"/>
                    <w:jc w:val="left"/>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根据《关于印发〈四川省挥发性有机物污染防治实施方案（2018-2020年）的通知》（川环发</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2018</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44号）</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新建涉VOCs排放的工业企业要入工业园区…</w:t>
                  </w:r>
                </w:p>
              </w:tc>
              <w:tc>
                <w:tcPr>
                  <w:tcW w:w="1934" w:type="dxa"/>
                  <w:vMerge w:val="continue"/>
                  <w:noWrap w:val="0"/>
                  <w:vAlign w:val="center"/>
                </w:tcPr>
                <w:p>
                  <w:pPr>
                    <w:spacing w:line="240" w:lineRule="auto"/>
                    <w:jc w:val="center"/>
                    <w:rPr>
                      <w:rFonts w:hint="default" w:ascii="Times New Roman" w:hAnsi="Times New Roman" w:eastAsia="宋体" w:cs="Times New Roman"/>
                      <w:b w:val="0"/>
                      <w:bCs w:val="0"/>
                      <w:sz w:val="21"/>
                      <w:szCs w:val="21"/>
                      <w:lang w:val="en-US" w:eastAsia="zh-CN"/>
                    </w:rPr>
                  </w:pPr>
                </w:p>
              </w:tc>
              <w:tc>
                <w:tcPr>
                  <w:tcW w:w="87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638"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bCs w:val="0"/>
                      <w:sz w:val="21"/>
                      <w:szCs w:val="21"/>
                    </w:rPr>
                  </w:pPr>
                  <w:r>
                    <w:rPr>
                      <w:rFonts w:ascii="Times New Roman" w:hAnsi="Times New Roman" w:cs="Times New Roman"/>
                      <w:bCs/>
                      <w:color w:val="0000FF"/>
                      <w:kern w:val="0"/>
                      <w:sz w:val="21"/>
                      <w:szCs w:val="21"/>
                    </w:rPr>
                    <w:t>《打赢蓝天保卫战三年行动计划》（国发[2018]22 号）</w:t>
                  </w:r>
                </w:p>
              </w:tc>
              <w:tc>
                <w:tcPr>
                  <w:tcW w:w="4053" w:type="dxa"/>
                  <w:noWrap w:val="0"/>
                  <w:vAlign w:val="center"/>
                </w:tcPr>
                <w:p>
                  <w:pPr>
                    <w:spacing w:line="240" w:lineRule="auto"/>
                    <w:ind w:firstLine="420" w:firstLineChars="200"/>
                    <w:jc w:val="left"/>
                    <w:rPr>
                      <w:rFonts w:hint="default" w:ascii="Times New Roman" w:hAnsi="Times New Roman" w:eastAsia="宋体" w:cs="Times New Roman"/>
                      <w:b w:val="0"/>
                      <w:bCs w:val="0"/>
                      <w:sz w:val="21"/>
                      <w:szCs w:val="21"/>
                    </w:rPr>
                  </w:pPr>
                  <w:r>
                    <w:rPr>
                      <w:rFonts w:ascii="Times New Roman" w:hAnsi="Times New Roman" w:cs="Times New Roman"/>
                      <w:bCs/>
                      <w:color w:val="0000FF"/>
                      <w:kern w:val="0"/>
                      <w:sz w:val="21"/>
                      <w:szCs w:val="21"/>
                    </w:rPr>
                    <w:t>制定石化、化工、工业涂装、包装印刷等VOCs排放重点行业和油品储运销综合整治方案，出台泄漏检测与修复标准，编制VOCs治理技术指南。重点区域 禁止建设生产和使用高VOCs含量的溶剂型涂料、油 墨、胶粘剂等项目，加大餐饮油烟治理力度。开展VOCs 整治专项执法行动，严厉打击违法排污行为，对治理效果差、技术服务能力弱、运营管理水平低的治理单位，公布名单，实行联合惩戒，扶持培育VOCs 治理和服务专业化规模化龙头企业。2020年，VOCs排放总量较2015 年下降10%以上。</w:t>
                  </w:r>
                </w:p>
              </w:tc>
              <w:tc>
                <w:tcPr>
                  <w:tcW w:w="1934" w:type="dxa"/>
                  <w:vMerge w:val="restart"/>
                  <w:noWrap w:val="0"/>
                  <w:vAlign w:val="center"/>
                </w:tcPr>
                <w:p>
                  <w:pPr>
                    <w:spacing w:line="240" w:lineRule="auto"/>
                    <w:jc w:val="center"/>
                    <w:rPr>
                      <w:rFonts w:hint="eastAsia" w:ascii="Times New Roman" w:hAnsi="Times New Roman"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本项目废气属于低浓度、大风量的有机废气，采用“UV光解+二级活性炭吸附装置”处理</w:t>
                  </w:r>
                  <w:r>
                    <w:rPr>
                      <w:rFonts w:hint="eastAsia" w:ascii="Times New Roman" w:hAnsi="Times New Roman" w:cs="Times New Roman"/>
                      <w:b w:val="0"/>
                      <w:bCs w:val="0"/>
                      <w:color w:val="0000FF"/>
                      <w:sz w:val="21"/>
                      <w:szCs w:val="21"/>
                      <w:lang w:val="en-US" w:eastAsia="zh-CN"/>
                    </w:rPr>
                    <w:t>；同时在生产过程</w:t>
                  </w:r>
                </w:p>
                <w:p>
                  <w:pPr>
                    <w:spacing w:line="240" w:lineRule="auto"/>
                    <w:jc w:val="center"/>
                    <w:rPr>
                      <w:rFonts w:hint="eastAsia" w:ascii="Times New Roman" w:hAnsi="Times New Roman" w:cs="Times New Roman"/>
                      <w:b w:val="0"/>
                      <w:bCs w:val="0"/>
                      <w:color w:val="0000FF"/>
                      <w:sz w:val="21"/>
                      <w:szCs w:val="21"/>
                      <w:lang w:val="en-US" w:eastAsia="zh-CN"/>
                    </w:rPr>
                  </w:pPr>
                  <w:r>
                    <w:rPr>
                      <w:rFonts w:hint="eastAsia" w:ascii="Times New Roman" w:hAnsi="Times New Roman" w:cs="Times New Roman"/>
                      <w:b w:val="0"/>
                      <w:bCs w:val="0"/>
                      <w:color w:val="0000FF"/>
                      <w:sz w:val="21"/>
                      <w:szCs w:val="21"/>
                      <w:lang w:val="en-US" w:eastAsia="zh-CN"/>
                    </w:rPr>
                    <w:t>中不使用含有</w:t>
                  </w:r>
                </w:p>
                <w:p>
                  <w:pPr>
                    <w:spacing w:line="240" w:lineRule="auto"/>
                    <w:jc w:val="center"/>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color w:val="0000FF"/>
                      <w:sz w:val="21"/>
                      <w:szCs w:val="21"/>
                      <w:lang w:val="en-US" w:eastAsia="zh-CN"/>
                    </w:rPr>
                    <w:t>VOCs的原辅料</w:t>
                  </w:r>
                </w:p>
              </w:tc>
              <w:tc>
                <w:tcPr>
                  <w:tcW w:w="87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rPr>
                  </w:pPr>
                  <w:r>
                    <w:rPr>
                      <w:rFonts w:hint="eastAsia" w:cs="Times New Roman"/>
                      <w:b w:val="0"/>
                      <w:bCs w:val="0"/>
                      <w:color w:val="0000FF"/>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638" w:type="dxa"/>
                  <w:noWrap w:val="0"/>
                  <w:vAlign w:val="center"/>
                </w:tcPr>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bCs/>
                      <w:color w:val="0000FF"/>
                      <w:kern w:val="0"/>
                      <w:sz w:val="21"/>
                      <w:szCs w:val="21"/>
                    </w:rPr>
                  </w:pPr>
                  <w:r>
                    <w:rPr>
                      <w:bCs/>
                      <w:color w:val="0000FF"/>
                      <w:kern w:val="0"/>
                      <w:sz w:val="21"/>
                      <w:szCs w:val="21"/>
                    </w:rPr>
                    <w:t>《四川省打赢蓝天保卫战实施方案》</w:t>
                  </w:r>
                  <w:r>
                    <w:rPr>
                      <w:rFonts w:hint="eastAsia"/>
                      <w:bCs/>
                      <w:color w:val="0000FF"/>
                      <w:kern w:val="0"/>
                      <w:sz w:val="21"/>
                      <w:szCs w:val="21"/>
                    </w:rPr>
                    <w:t>川府发〔2019〕4号</w:t>
                  </w:r>
                </w:p>
                <w:p>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bCs w:val="0"/>
                      <w:color w:val="0000FF"/>
                      <w:sz w:val="21"/>
                      <w:szCs w:val="21"/>
                    </w:rPr>
                  </w:pPr>
                </w:p>
              </w:tc>
              <w:tc>
                <w:tcPr>
                  <w:tcW w:w="4053" w:type="dxa"/>
                  <w:noWrap w:val="0"/>
                  <w:vAlign w:val="center"/>
                </w:tcPr>
                <w:p>
                  <w:pPr>
                    <w:spacing w:line="240" w:lineRule="auto"/>
                    <w:ind w:firstLine="420" w:firstLineChars="200"/>
                    <w:jc w:val="left"/>
                    <w:rPr>
                      <w:rFonts w:hint="default" w:ascii="Times New Roman" w:hAnsi="Times New Roman" w:eastAsia="宋体" w:cs="Times New Roman"/>
                      <w:b w:val="0"/>
                      <w:bCs w:val="0"/>
                      <w:color w:val="0000FF"/>
                      <w:sz w:val="21"/>
                      <w:szCs w:val="21"/>
                    </w:rPr>
                  </w:pPr>
                  <w:r>
                    <w:rPr>
                      <w:rFonts w:hint="eastAsia" w:ascii="Times New Roman" w:hAnsi="Times New Roman" w:eastAsia="宋体" w:cs="Times New Roman"/>
                      <w:b w:val="0"/>
                      <w:bCs w:val="0"/>
                      <w:color w:val="0000FF"/>
                      <w:sz w:val="21"/>
                      <w:szCs w:val="21"/>
                      <w:lang w:val="en-US" w:eastAsia="zh-CN"/>
                    </w:rPr>
                    <w:t xml:space="preserve">《四川省打赢蓝天保卫战实施方案》 </w:t>
                  </w:r>
                </w:p>
                <w:p>
                  <w:pPr>
                    <w:spacing w:line="240" w:lineRule="auto"/>
                    <w:ind w:firstLine="420" w:firstLineChars="200"/>
                    <w:jc w:val="left"/>
                    <w:rPr>
                      <w:rFonts w:hint="default" w:ascii="Times New Roman" w:hAnsi="Times New Roman" w:eastAsia="宋体" w:cs="Times New Roman"/>
                      <w:b w:val="0"/>
                      <w:bCs w:val="0"/>
                      <w:color w:val="0000FF"/>
                      <w:sz w:val="21"/>
                      <w:szCs w:val="21"/>
                    </w:rPr>
                  </w:pPr>
                  <w:r>
                    <w:rPr>
                      <w:rFonts w:hint="eastAsia" w:ascii="Times New Roman" w:hAnsi="Times New Roman" w:eastAsia="宋体" w:cs="Times New Roman"/>
                      <w:b w:val="0"/>
                      <w:bCs w:val="0"/>
                      <w:color w:val="0000FF"/>
                      <w:sz w:val="21"/>
                      <w:szCs w:val="21"/>
                      <w:lang w:val="en-US" w:eastAsia="zh-CN"/>
                    </w:rPr>
                    <w:t xml:space="preserve">三、重点任务 </w:t>
                  </w:r>
                </w:p>
                <w:p>
                  <w:pPr>
                    <w:spacing w:line="240" w:lineRule="auto"/>
                    <w:ind w:firstLine="420" w:firstLineChars="200"/>
                    <w:jc w:val="left"/>
                    <w:rPr>
                      <w:rFonts w:hint="default" w:ascii="Times New Roman" w:hAnsi="Times New Roman" w:eastAsia="宋体" w:cs="Times New Roman"/>
                      <w:b w:val="0"/>
                      <w:bCs w:val="0"/>
                      <w:color w:val="0000FF"/>
                      <w:sz w:val="21"/>
                      <w:szCs w:val="21"/>
                    </w:rPr>
                  </w:pPr>
                  <w:r>
                    <w:rPr>
                      <w:rFonts w:hint="eastAsia" w:ascii="Times New Roman" w:hAnsi="Times New Roman" w:eastAsia="宋体" w:cs="Times New Roman"/>
                      <w:b w:val="0"/>
                      <w:bCs w:val="0"/>
                      <w:color w:val="0000FF"/>
                      <w:sz w:val="21"/>
                      <w:szCs w:val="21"/>
                      <w:lang w:val="en-US" w:eastAsia="zh-CN"/>
                    </w:rPr>
                    <w:t>（一）调整产业结构，深化工业污染 治理。</w:t>
                  </w:r>
                </w:p>
                <w:p>
                  <w:pPr>
                    <w:spacing w:line="240" w:lineRule="auto"/>
                    <w:ind w:firstLine="420" w:firstLineChars="200"/>
                    <w:jc w:val="left"/>
                    <w:rPr>
                      <w:rFonts w:hint="default" w:ascii="Times New Roman" w:hAnsi="Times New Roman" w:eastAsia="宋体" w:cs="Times New Roman"/>
                      <w:b w:val="0"/>
                      <w:bCs w:val="0"/>
                      <w:color w:val="0000FF"/>
                      <w:sz w:val="21"/>
                      <w:szCs w:val="21"/>
                    </w:rPr>
                  </w:pPr>
                  <w:r>
                    <w:rPr>
                      <w:rFonts w:hint="default" w:ascii="Times New Roman" w:hAnsi="Times New Roman" w:eastAsia="宋体" w:cs="Times New Roman"/>
                      <w:b w:val="0"/>
                      <w:bCs w:val="0"/>
                      <w:color w:val="0000FF"/>
                      <w:sz w:val="21"/>
                      <w:szCs w:val="21"/>
                      <w:lang w:val="en-US" w:eastAsia="zh-CN"/>
                    </w:rPr>
                    <w:t>…</w:t>
                  </w:r>
                  <w:r>
                    <w:rPr>
                      <w:rFonts w:hint="eastAsia" w:ascii="Times New Roman" w:hAnsi="Times New Roman" w:eastAsia="宋体" w:cs="Times New Roman"/>
                      <w:b w:val="0"/>
                      <w:bCs w:val="0"/>
                      <w:color w:val="0000FF"/>
                      <w:sz w:val="21"/>
                      <w:szCs w:val="21"/>
                      <w:lang w:val="en-US" w:eastAsia="zh-CN"/>
                    </w:rPr>
                    <w:t>强化挥发性有机物综合治理。严格 涉及</w:t>
                  </w:r>
                  <w:r>
                    <w:rPr>
                      <w:rFonts w:hint="default" w:ascii="Times New Roman" w:hAnsi="Times New Roman" w:eastAsia="宋体" w:cs="Times New Roman"/>
                      <w:b w:val="0"/>
                      <w:bCs w:val="0"/>
                      <w:color w:val="0000FF"/>
                      <w:sz w:val="21"/>
                      <w:szCs w:val="21"/>
                      <w:lang w:val="en-US" w:eastAsia="zh-CN"/>
                    </w:rPr>
                    <w:t>VOCs</w:t>
                  </w:r>
                  <w:r>
                    <w:rPr>
                      <w:rFonts w:hint="eastAsia" w:ascii="Times New Roman" w:hAnsi="Times New Roman" w:eastAsia="宋体" w:cs="Times New Roman"/>
                      <w:b w:val="0"/>
                      <w:bCs w:val="0"/>
                      <w:color w:val="0000FF"/>
                      <w:sz w:val="21"/>
                      <w:szCs w:val="21"/>
                      <w:lang w:val="en-US" w:eastAsia="zh-CN"/>
                    </w:rPr>
                    <w:t>排放的建设项目环境准入，加强 源头控制。提高涉及</w:t>
                  </w:r>
                  <w:r>
                    <w:rPr>
                      <w:rFonts w:hint="default" w:ascii="Times New Roman" w:hAnsi="Times New Roman" w:eastAsia="宋体" w:cs="Times New Roman"/>
                      <w:b w:val="0"/>
                      <w:bCs w:val="0"/>
                      <w:color w:val="0000FF"/>
                      <w:sz w:val="21"/>
                      <w:szCs w:val="21"/>
                      <w:lang w:val="en-US" w:eastAsia="zh-CN"/>
                    </w:rPr>
                    <w:t>VOCs</w:t>
                  </w:r>
                  <w:r>
                    <w:rPr>
                      <w:rFonts w:hint="eastAsia" w:ascii="Times New Roman" w:hAnsi="Times New Roman" w:eastAsia="宋体" w:cs="Times New Roman"/>
                      <w:b w:val="0"/>
                      <w:bCs w:val="0"/>
                      <w:color w:val="0000FF"/>
                      <w:sz w:val="21"/>
                      <w:szCs w:val="21"/>
                      <w:lang w:val="en-US" w:eastAsia="zh-CN"/>
                    </w:rPr>
                    <w:t>排放行业环保准入门槛，新建涉及</w:t>
                  </w:r>
                  <w:r>
                    <w:rPr>
                      <w:rFonts w:hint="default" w:ascii="Times New Roman" w:hAnsi="Times New Roman" w:eastAsia="宋体" w:cs="Times New Roman"/>
                      <w:b w:val="0"/>
                      <w:bCs w:val="0"/>
                      <w:color w:val="0000FF"/>
                      <w:sz w:val="21"/>
                      <w:szCs w:val="21"/>
                      <w:lang w:val="en-US" w:eastAsia="zh-CN"/>
                    </w:rPr>
                    <w:t>VOCs</w:t>
                  </w:r>
                  <w:r>
                    <w:rPr>
                      <w:rFonts w:hint="eastAsia" w:ascii="Times New Roman" w:hAnsi="Times New Roman" w:eastAsia="宋体" w:cs="Times New Roman"/>
                      <w:b w:val="0"/>
                      <w:bCs w:val="0"/>
                      <w:color w:val="0000FF"/>
                      <w:sz w:val="21"/>
                      <w:szCs w:val="21"/>
                      <w:lang w:val="en-US" w:eastAsia="zh-CN"/>
                    </w:rPr>
                    <w:t>排放的工业企业入驻园区，实行区域内</w:t>
                  </w:r>
                  <w:r>
                    <w:rPr>
                      <w:rFonts w:hint="default" w:ascii="Times New Roman" w:hAnsi="Times New Roman" w:eastAsia="宋体" w:cs="Times New Roman"/>
                      <w:b w:val="0"/>
                      <w:bCs w:val="0"/>
                      <w:color w:val="0000FF"/>
                      <w:sz w:val="21"/>
                      <w:szCs w:val="21"/>
                      <w:lang w:val="en-US" w:eastAsia="zh-CN"/>
                    </w:rPr>
                    <w:t>VOCs</w:t>
                  </w:r>
                  <w:r>
                    <w:rPr>
                      <w:rFonts w:hint="eastAsia" w:ascii="Times New Roman" w:hAnsi="Times New Roman" w:eastAsia="宋体" w:cs="Times New Roman"/>
                      <w:b w:val="0"/>
                      <w:bCs w:val="0"/>
                      <w:color w:val="0000FF"/>
                      <w:sz w:val="21"/>
                      <w:szCs w:val="21"/>
                      <w:lang w:val="en-US" w:eastAsia="zh-CN"/>
                    </w:rPr>
                    <w:t>排放等量或倍量削减替代。</w:t>
                  </w:r>
                </w:p>
              </w:tc>
              <w:tc>
                <w:tcPr>
                  <w:tcW w:w="1934" w:type="dxa"/>
                  <w:vMerge w:val="continue"/>
                  <w:noWrap w:val="0"/>
                  <w:vAlign w:val="center"/>
                </w:tcPr>
                <w:p>
                  <w:pPr>
                    <w:spacing w:line="240" w:lineRule="auto"/>
                    <w:jc w:val="center"/>
                    <w:rPr>
                      <w:rFonts w:hint="default" w:ascii="Times New Roman" w:hAnsi="Times New Roman" w:eastAsia="宋体" w:cs="Times New Roman"/>
                      <w:b w:val="0"/>
                      <w:bCs w:val="0"/>
                      <w:sz w:val="21"/>
                      <w:szCs w:val="21"/>
                      <w:lang w:val="en-US" w:eastAsia="zh-CN"/>
                    </w:rPr>
                  </w:pPr>
                </w:p>
              </w:tc>
              <w:tc>
                <w:tcPr>
                  <w:tcW w:w="87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lang w:val="en-US" w:eastAsia="zh-CN"/>
                    </w:rPr>
                  </w:pPr>
                  <w:r>
                    <w:rPr>
                      <w:rFonts w:hint="eastAsia" w:cs="Times New Roman"/>
                      <w:b w:val="0"/>
                      <w:bCs w:val="0"/>
                      <w:color w:val="0000FF"/>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638" w:type="dxa"/>
                  <w:noWrap w:val="0"/>
                  <w:vAlign w:val="center"/>
                </w:tcPr>
                <w:p>
                  <w:pPr>
                    <w:spacing w:line="240" w:lineRule="auto"/>
                    <w:ind w:firstLine="420" w:firstLineChars="200"/>
                    <w:jc w:val="left"/>
                    <w:rPr>
                      <w:rFonts w:hint="eastAsia" w:ascii="Times New Roman" w:hAnsi="Times New Roman" w:eastAsia="宋体" w:cs="Times New Roman"/>
                      <w:b w:val="0"/>
                      <w:bCs w:val="0"/>
                      <w:color w:val="0000FF"/>
                      <w:sz w:val="21"/>
                      <w:szCs w:val="21"/>
                      <w:lang w:val="en-US" w:eastAsia="zh-CN"/>
                    </w:rPr>
                  </w:pPr>
                  <w:r>
                    <w:rPr>
                      <w:rFonts w:hint="eastAsia" w:ascii="Times New Roman" w:hAnsi="Times New Roman" w:eastAsia="宋体" w:cs="Times New Roman"/>
                      <w:b w:val="0"/>
                      <w:bCs w:val="0"/>
                      <w:color w:val="0000FF"/>
                      <w:sz w:val="21"/>
                      <w:szCs w:val="21"/>
                      <w:lang w:val="en-US" w:eastAsia="zh-CN"/>
                    </w:rPr>
                    <w:t>《关于印发</w:t>
                  </w:r>
                  <w:r>
                    <w:rPr>
                      <w:rFonts w:hint="default" w:ascii="Times New Roman" w:hAnsi="Times New Roman" w:eastAsia="宋体" w:cs="Times New Roman"/>
                      <w:b w:val="0"/>
                      <w:bCs w:val="0"/>
                      <w:color w:val="0000FF"/>
                      <w:sz w:val="21"/>
                      <w:szCs w:val="21"/>
                      <w:lang w:val="en-US" w:eastAsia="zh-CN"/>
                    </w:rPr>
                    <w:t>&lt;</w:t>
                  </w:r>
                  <w:r>
                    <w:rPr>
                      <w:rFonts w:hint="eastAsia" w:ascii="Times New Roman" w:hAnsi="Times New Roman" w:eastAsia="宋体" w:cs="Times New Roman"/>
                      <w:b w:val="0"/>
                      <w:bCs w:val="0"/>
                      <w:color w:val="0000FF"/>
                      <w:sz w:val="21"/>
                      <w:szCs w:val="21"/>
                      <w:lang w:val="en-US" w:eastAsia="zh-CN"/>
                    </w:rPr>
                    <w:t>重点行业挥发性有机物综合治理方案</w:t>
                  </w:r>
                  <w:r>
                    <w:rPr>
                      <w:rFonts w:hint="default" w:ascii="Times New Roman" w:hAnsi="Times New Roman" w:eastAsia="宋体" w:cs="Times New Roman"/>
                      <w:b w:val="0"/>
                      <w:bCs w:val="0"/>
                      <w:color w:val="0000FF"/>
                      <w:sz w:val="21"/>
                      <w:szCs w:val="21"/>
                      <w:lang w:val="en-US" w:eastAsia="zh-CN"/>
                    </w:rPr>
                    <w:t>&gt;</w:t>
                  </w:r>
                  <w:r>
                    <w:rPr>
                      <w:rFonts w:hint="eastAsia" w:ascii="Times New Roman" w:hAnsi="Times New Roman" w:eastAsia="宋体" w:cs="Times New Roman"/>
                      <w:b w:val="0"/>
                      <w:bCs w:val="0"/>
                      <w:color w:val="0000FF"/>
                      <w:sz w:val="21"/>
                      <w:szCs w:val="21"/>
                      <w:lang w:val="en-US" w:eastAsia="zh-CN"/>
                    </w:rPr>
                    <w:t>的通知》（环大气〔</w:t>
                  </w:r>
                  <w:r>
                    <w:rPr>
                      <w:rFonts w:hint="default" w:ascii="Times New Roman" w:hAnsi="Times New Roman" w:eastAsia="宋体" w:cs="Times New Roman"/>
                      <w:b w:val="0"/>
                      <w:bCs w:val="0"/>
                      <w:color w:val="0000FF"/>
                      <w:sz w:val="21"/>
                      <w:szCs w:val="21"/>
                      <w:lang w:val="en-US" w:eastAsia="zh-CN"/>
                    </w:rPr>
                    <w:t>2019</w:t>
                  </w:r>
                  <w:r>
                    <w:rPr>
                      <w:rFonts w:hint="eastAsia" w:ascii="Times New Roman" w:hAnsi="Times New Roman" w:eastAsia="宋体" w:cs="Times New Roman"/>
                      <w:b w:val="0"/>
                      <w:bCs w:val="0"/>
                      <w:color w:val="0000FF"/>
                      <w:sz w:val="21"/>
                      <w:szCs w:val="21"/>
                      <w:lang w:val="en-US" w:eastAsia="zh-CN"/>
                    </w:rPr>
                    <w:t>〕</w:t>
                  </w:r>
                  <w:r>
                    <w:rPr>
                      <w:rFonts w:hint="default" w:ascii="Times New Roman" w:hAnsi="Times New Roman" w:eastAsia="宋体" w:cs="Times New Roman"/>
                      <w:b w:val="0"/>
                      <w:bCs w:val="0"/>
                      <w:color w:val="0000FF"/>
                      <w:sz w:val="21"/>
                      <w:szCs w:val="21"/>
                      <w:lang w:val="en-US" w:eastAsia="zh-CN"/>
                    </w:rPr>
                    <w:t>53</w:t>
                  </w:r>
                  <w:r>
                    <w:rPr>
                      <w:rFonts w:hint="eastAsia" w:ascii="Times New Roman" w:hAnsi="Times New Roman" w:eastAsia="宋体" w:cs="Times New Roman"/>
                      <w:b w:val="0"/>
                      <w:bCs w:val="0"/>
                      <w:color w:val="0000FF"/>
                      <w:sz w:val="21"/>
                      <w:szCs w:val="21"/>
                      <w:lang w:val="en-US" w:eastAsia="zh-CN"/>
                    </w:rPr>
                    <w:t>号）</w:t>
                  </w:r>
                </w:p>
                <w:p>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cs="Times New Roman"/>
                      <w:b w:val="0"/>
                      <w:bCs w:val="0"/>
                      <w:color w:val="0000FF"/>
                      <w:sz w:val="21"/>
                      <w:szCs w:val="21"/>
                    </w:rPr>
                  </w:pPr>
                </w:p>
              </w:tc>
              <w:tc>
                <w:tcPr>
                  <w:tcW w:w="4053" w:type="dxa"/>
                  <w:noWrap w:val="0"/>
                  <w:vAlign w:val="center"/>
                </w:tcPr>
                <w:p>
                  <w:pPr>
                    <w:spacing w:line="240" w:lineRule="auto"/>
                    <w:jc w:val="left"/>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（三）推进建设适宜高效的治污设施。企业新建治污设施或对现有 治污设施实施改造，应依据排放废气的浓度、组分、风量，温度、 湿度、压力，以及生产工况等，合理选择治理技术。鼓励企业采用 多种技术的组合工艺，提高 VOCs 治理效率。低浓度、大风量废气， 宜采用沸石转轮吸附、活性炭吸附、减风增浓等浓缩技术，提高 VOCs 浓度后净化处理；高浓度废气，优先进行溶剂回收，难以回 收的，宜采用高温焚烧、催化燃烧等技术。油气（溶剂）回收宜采 用冷凝+吸附、吸附+吸收、膜分离+吸附等技术。低温等离子、光 催化、光氧化技术主要适用于恶臭异味等治理；生物法主要适用于 低浓度 VOCs 废气治理和恶臭异味治理。非水溶性的 VOCs 废气禁 止采用水或水溶液喷淋吸收处理。采用一次性活性炭吸附技术的， 应定期更换活性炭，废旧活性炭应再生或处理处置。有条件的工业 园区和产业集群等，推广集中喷涂、溶剂集中回收、活性炭集中再 生等，加强资源共享，提高 VOCs 治理效率。</w:t>
                  </w:r>
                </w:p>
              </w:tc>
              <w:tc>
                <w:tcPr>
                  <w:tcW w:w="1934" w:type="dxa"/>
                  <w:noWrap w:val="0"/>
                  <w:vAlign w:val="center"/>
                </w:tcPr>
                <w:p>
                  <w:pPr>
                    <w:spacing w:line="240" w:lineRule="auto"/>
                    <w:ind w:firstLine="420" w:firstLineChars="200"/>
                    <w:jc w:val="left"/>
                    <w:rPr>
                      <w:rFonts w:hint="default" w:ascii="Times New Roman" w:hAnsi="Times New Roman" w:eastAsia="宋体" w:cs="Times New Roman"/>
                      <w:b w:val="0"/>
                      <w:bCs w:val="0"/>
                      <w:color w:val="0000FF"/>
                      <w:sz w:val="21"/>
                      <w:szCs w:val="21"/>
                      <w:lang w:val="en-US" w:eastAsia="zh-CN"/>
                    </w:rPr>
                  </w:pPr>
                  <w:r>
                    <w:rPr>
                      <w:rFonts w:hint="default" w:ascii="Times New Roman" w:hAnsi="Times New Roman" w:eastAsia="宋体" w:cs="Times New Roman"/>
                      <w:b w:val="0"/>
                      <w:bCs w:val="0"/>
                      <w:color w:val="0000FF"/>
                      <w:sz w:val="21"/>
                      <w:szCs w:val="21"/>
                      <w:lang w:val="en-US" w:eastAsia="zh-CN"/>
                    </w:rPr>
                    <w:t>本项目废气属于低浓度、大风量的有机废气，采用“UV光解+二级活性炭吸附装置”处理，属于 鼓励的有机废气处理工艺；</w:t>
                  </w:r>
                </w:p>
              </w:tc>
              <w:tc>
                <w:tcPr>
                  <w:tcW w:w="879" w:type="dxa"/>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0000FF"/>
                      <w:sz w:val="21"/>
                      <w:szCs w:val="21"/>
                      <w:lang w:val="en-US" w:eastAsia="zh-CN"/>
                    </w:rPr>
                  </w:pPr>
                  <w:r>
                    <w:rPr>
                      <w:rFonts w:hint="eastAsia" w:cs="Times New Roman"/>
                      <w:b w:val="0"/>
                      <w:bCs w:val="0"/>
                      <w:color w:val="0000FF"/>
                      <w:sz w:val="21"/>
                      <w:szCs w:val="21"/>
                      <w:lang w:val="en-US" w:eastAsia="zh-CN"/>
                    </w:rPr>
                    <w:t>符合</w:t>
                  </w:r>
                </w:p>
              </w:tc>
            </w:tr>
          </w:tbl>
          <w:p>
            <w:pPr>
              <w:pStyle w:val="24"/>
              <w:bidi w:val="0"/>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zh-CN"/>
              </w:rPr>
              <w:t>根据以上分析，本项目的建设符合大气污染防治的政策要求。</w:t>
            </w:r>
          </w:p>
          <w:p>
            <w:pPr>
              <w:pStyle w:val="24"/>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4"/>
                <w:szCs w:val="24"/>
                <w:lang w:val="en-US" w:eastAsia="zh-CN"/>
              </w:rPr>
            </w:pPr>
          </w:p>
        </w:tc>
      </w:tr>
    </w:tbl>
    <w:p>
      <w:pPr>
        <w:spacing w:line="360" w:lineRule="auto"/>
        <w:outlineLvl w:val="0"/>
        <w:rPr>
          <w:rFonts w:hint="default" w:ascii="Times New Roman" w:hAnsi="Times New Roman" w:eastAsia="黑体" w:cs="Times New Roman"/>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二、建设项目工程分析</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3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738" w:type="dxa"/>
            <w:noWrap w:val="0"/>
            <w:vAlign w:val="center"/>
          </w:tcPr>
          <w:p>
            <w:pPr>
              <w:pStyle w:val="14"/>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4"/>
                <w:szCs w:val="24"/>
              </w:rPr>
              <w:t>建设内容</w:t>
            </w:r>
          </w:p>
        </w:tc>
        <w:tc>
          <w:tcPr>
            <w:tcW w:w="8322" w:type="dxa"/>
            <w:noWrap w:val="0"/>
            <w:vAlign w:val="top"/>
          </w:tcPr>
          <w:p>
            <w:pPr>
              <w:pStyle w:val="24"/>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rPr>
            </w:pPr>
            <w:r>
              <w:rPr>
                <w:rFonts w:hint="default" w:ascii="Times New Roman" w:hAnsi="Times New Roman" w:cs="Times New Roman"/>
                <w:b/>
                <w:bCs/>
              </w:rPr>
              <w:t>1、项目名称、建设性质、建设单位、建设地点、建设投资</w:t>
            </w:r>
          </w:p>
          <w:p>
            <w:pPr>
              <w:pStyle w:val="24"/>
              <w:bidi w:val="0"/>
              <w:spacing w:line="360" w:lineRule="auto"/>
              <w:rPr>
                <w:rFonts w:hint="default" w:ascii="Times New Roman" w:hAnsi="Times New Roman" w:cs="Times New Roman"/>
                <w:lang w:eastAsia="zh-CN"/>
              </w:rPr>
            </w:pPr>
            <w:r>
              <w:rPr>
                <w:rFonts w:hint="default" w:ascii="Times New Roman" w:hAnsi="Times New Roman" w:cs="Times New Roman"/>
                <w:lang w:eastAsia="zh-CN"/>
              </w:rPr>
              <w:t>项目名称：年产1万吨塑料管材及管件项目</w:t>
            </w:r>
          </w:p>
          <w:p>
            <w:pPr>
              <w:pStyle w:val="24"/>
              <w:bidi w:val="0"/>
              <w:spacing w:line="360" w:lineRule="auto"/>
              <w:rPr>
                <w:rFonts w:hint="default" w:ascii="Times New Roman" w:hAnsi="Times New Roman" w:cs="Times New Roman"/>
                <w:lang w:eastAsia="zh-CN"/>
              </w:rPr>
            </w:pPr>
            <w:r>
              <w:rPr>
                <w:rFonts w:hint="default" w:ascii="Times New Roman" w:hAnsi="Times New Roman" w:cs="Times New Roman"/>
                <w:lang w:eastAsia="zh-CN"/>
              </w:rPr>
              <w:t>建设性质：新建</w:t>
            </w:r>
          </w:p>
          <w:p>
            <w:pPr>
              <w:pStyle w:val="24"/>
              <w:bidi w:val="0"/>
              <w:spacing w:line="360" w:lineRule="auto"/>
              <w:rPr>
                <w:rFonts w:hint="default" w:ascii="Times New Roman" w:hAnsi="Times New Roman" w:cs="Times New Roman"/>
                <w:lang w:eastAsia="zh-CN"/>
              </w:rPr>
            </w:pPr>
            <w:r>
              <w:rPr>
                <w:rFonts w:hint="default" w:ascii="Times New Roman" w:hAnsi="Times New Roman" w:cs="Times New Roman"/>
                <w:lang w:eastAsia="zh-CN"/>
              </w:rPr>
              <w:t>建设单位：吉林省川隆塑胶制品有限公司蓬溪分公司</w:t>
            </w:r>
          </w:p>
          <w:p>
            <w:pPr>
              <w:pStyle w:val="24"/>
              <w:bidi w:val="0"/>
              <w:spacing w:line="360" w:lineRule="auto"/>
              <w:rPr>
                <w:rFonts w:hint="default" w:ascii="Times New Roman" w:hAnsi="Times New Roman" w:cs="Times New Roman"/>
                <w:highlight w:val="none"/>
                <w:lang w:eastAsia="zh-CN"/>
              </w:rPr>
            </w:pPr>
            <w:r>
              <w:rPr>
                <w:rFonts w:hint="default" w:ascii="Times New Roman" w:hAnsi="Times New Roman" w:cs="Times New Roman"/>
                <w:lang w:eastAsia="zh-CN"/>
              </w:rPr>
              <w:t>建设地点：四川省遂宁市蓬溪</w:t>
            </w:r>
            <w:r>
              <w:rPr>
                <w:rFonts w:hint="default" w:ascii="Times New Roman" w:hAnsi="Times New Roman" w:cs="Times New Roman"/>
                <w:highlight w:val="none"/>
                <w:lang w:eastAsia="zh-CN"/>
              </w:rPr>
              <w:t>县赤城镇上游工业园聚财路</w:t>
            </w:r>
          </w:p>
          <w:p>
            <w:pPr>
              <w:pStyle w:val="24"/>
              <w:bidi w:val="0"/>
              <w:spacing w:line="360" w:lineRule="auto"/>
              <w:rPr>
                <w:rFonts w:hint="default" w:ascii="Times New Roman" w:hAnsi="Times New Roman" w:cs="Times New Roman"/>
                <w:highlight w:val="none"/>
                <w:lang w:eastAsia="zh-CN"/>
              </w:rPr>
            </w:pPr>
            <w:r>
              <w:rPr>
                <w:rFonts w:hint="default" w:ascii="Times New Roman" w:hAnsi="Times New Roman" w:cs="Times New Roman"/>
                <w:highlight w:val="none"/>
                <w:lang w:eastAsia="zh-CN"/>
              </w:rPr>
              <w:t>建设投资：</w:t>
            </w:r>
            <w:r>
              <w:rPr>
                <w:rFonts w:hint="default" w:ascii="Times New Roman" w:hAnsi="Times New Roman" w:cs="Times New Roman"/>
                <w:highlight w:val="none"/>
                <w:lang w:val="en-US" w:eastAsia="zh-CN"/>
              </w:rPr>
              <w:t>1000</w:t>
            </w:r>
            <w:r>
              <w:rPr>
                <w:rFonts w:hint="default" w:ascii="Times New Roman" w:hAnsi="Times New Roman" w:cs="Times New Roman"/>
                <w:highlight w:val="none"/>
                <w:lang w:eastAsia="zh-CN"/>
              </w:rPr>
              <w:t>万元，其中环保投资</w:t>
            </w:r>
            <w:r>
              <w:rPr>
                <w:rFonts w:hint="default" w:ascii="Times New Roman" w:hAnsi="Times New Roman" w:cs="Times New Roman"/>
                <w:highlight w:val="none"/>
                <w:lang w:val="en-US" w:eastAsia="zh-CN"/>
              </w:rPr>
              <w:t>31万元，占总投资3.1%</w:t>
            </w:r>
            <w:r>
              <w:rPr>
                <w:rFonts w:hint="default" w:ascii="Times New Roman" w:hAnsi="Times New Roman" w:cs="Times New Roman"/>
                <w:highlight w:val="none"/>
                <w:lang w:eastAsia="zh-CN"/>
              </w:rPr>
              <w:t>。</w:t>
            </w:r>
          </w:p>
          <w:p>
            <w:pPr>
              <w:pStyle w:val="24"/>
              <w:bidi w:val="0"/>
              <w:spacing w:line="360" w:lineRule="auto"/>
              <w:rPr>
                <w:rFonts w:hint="default" w:ascii="Times New Roman" w:hAnsi="Times New Roman" w:cs="Times New Roman"/>
                <w:b/>
                <w:bCs/>
              </w:rPr>
            </w:pPr>
            <w:r>
              <w:rPr>
                <w:rFonts w:hint="default" w:ascii="Times New Roman" w:hAnsi="Times New Roman" w:cs="Times New Roman"/>
                <w:b/>
                <w:bCs/>
              </w:rPr>
              <w:t>2、建设内容及规模</w:t>
            </w:r>
          </w:p>
          <w:p>
            <w:pPr>
              <w:pStyle w:val="24"/>
              <w:bidi w:val="0"/>
              <w:spacing w:line="360" w:lineRule="auto"/>
              <w:ind w:left="0" w:leftChars="0" w:firstLine="480" w:firstLineChars="200"/>
              <w:rPr>
                <w:rFonts w:hint="default" w:ascii="Times New Roman" w:hAnsi="Times New Roman" w:cs="Times New Roman"/>
                <w:lang w:eastAsia="zh-CN"/>
              </w:rPr>
            </w:pPr>
            <w:r>
              <w:rPr>
                <w:rFonts w:hint="default" w:ascii="Times New Roman" w:hAnsi="Times New Roman" w:cs="Times New Roman"/>
              </w:rPr>
              <w:t>本项</w:t>
            </w:r>
            <w:r>
              <w:rPr>
                <w:rFonts w:hint="default" w:ascii="Times New Roman" w:hAnsi="Times New Roman" w:cs="Times New Roman"/>
                <w:lang w:eastAsia="zh-CN"/>
              </w:rPr>
              <w:t>目租赁遂宁市齐科环保设备有限公司原有生产厂房，</w:t>
            </w:r>
            <w:r>
              <w:rPr>
                <w:rFonts w:hint="eastAsia" w:ascii="Times New Roman" w:hAnsi="Times New Roman" w:cs="Times New Roman"/>
                <w:lang w:val="en-US" w:eastAsia="zh-CN"/>
              </w:rPr>
              <w:t>厂房面积为</w:t>
            </w:r>
            <w:r>
              <w:rPr>
                <w:rFonts w:hint="default" w:ascii="Times New Roman" w:hAnsi="Times New Roman" w:cs="Times New Roman"/>
                <w:lang w:eastAsia="zh-CN"/>
              </w:rPr>
              <w:t>2880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eastAsia" w:ascii="Times New Roman" w:hAnsi="Times New Roman" w:cs="Times New Roman"/>
                <w:lang w:eastAsia="zh-CN"/>
              </w:rPr>
              <w:t>，</w:t>
            </w:r>
            <w:r>
              <w:rPr>
                <w:rFonts w:hint="eastAsia" w:ascii="Times New Roman" w:hAnsi="Times New Roman" w:cs="Times New Roman"/>
                <w:lang w:val="en-US" w:eastAsia="zh-CN"/>
              </w:rPr>
              <w:t>办公室450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eastAsia" w:ascii="Times New Roman" w:hAnsi="Times New Roman" w:cs="Times New Roman"/>
                <w:lang w:eastAsia="zh-CN"/>
              </w:rPr>
              <w:t>，</w:t>
            </w:r>
            <w:r>
              <w:rPr>
                <w:rFonts w:hint="default" w:ascii="Times New Roman" w:hAnsi="Times New Roman" w:cs="Times New Roman"/>
                <w:lang w:eastAsia="zh-CN"/>
              </w:rPr>
              <w:t>新增PVC注塑机、挤塑机；PP-R注塑机、挤塑机；</w:t>
            </w:r>
            <w:r>
              <w:rPr>
                <w:rFonts w:hint="default" w:ascii="Times New Roman" w:hAnsi="Times New Roman" w:cs="Times New Roman"/>
                <w:lang w:val="en-US" w:eastAsia="zh-CN"/>
              </w:rPr>
              <w:t>PE挤塑机、</w:t>
            </w:r>
            <w:r>
              <w:rPr>
                <w:rFonts w:hint="default" w:ascii="Times New Roman" w:hAnsi="Times New Roman" w:cs="Times New Roman"/>
                <w:lang w:eastAsia="zh-CN"/>
              </w:rPr>
              <w:t>烘干机以及真空吸料机等设备，实现年产1万吨塑料管材及管件。</w:t>
            </w:r>
          </w:p>
          <w:p>
            <w:pPr>
              <w:spacing w:line="360" w:lineRule="auto"/>
              <w:ind w:firstLine="482" w:firstLineChars="200"/>
              <w:textAlignment w:val="baseline"/>
              <w:rPr>
                <w:rFonts w:hint="default" w:ascii="Times New Roman" w:hAnsi="Times New Roman" w:cs="Times New Roman"/>
                <w:b/>
                <w:sz w:val="24"/>
                <w:lang w:val="zh-CN"/>
              </w:rPr>
            </w:pPr>
            <w:r>
              <w:rPr>
                <w:rFonts w:hint="default" w:ascii="Times New Roman" w:hAnsi="Times New Roman" w:cs="Times New Roman"/>
                <w:b/>
                <w:sz w:val="24"/>
                <w:lang w:val="zh-CN"/>
              </w:rPr>
              <w:t>3、产品方案</w:t>
            </w:r>
          </w:p>
          <w:p>
            <w:pPr>
              <w:pStyle w:val="9"/>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本项目产品方案及生产规模见表</w:t>
            </w:r>
            <w:r>
              <w:rPr>
                <w:rFonts w:hint="default" w:ascii="Times New Roman" w:hAnsi="Times New Roman" w:cs="Times New Roman"/>
                <w:sz w:val="24"/>
                <w:lang w:val="en-US" w:eastAsia="zh-CN"/>
              </w:rPr>
              <w:t>2</w:t>
            </w:r>
            <w:r>
              <w:rPr>
                <w:rFonts w:hint="default" w:ascii="Times New Roman" w:hAnsi="Times New Roman" w:cs="Times New Roman"/>
                <w:sz w:val="24"/>
              </w:rPr>
              <w:t>-</w:t>
            </w:r>
            <w:r>
              <w:rPr>
                <w:rFonts w:hint="default" w:ascii="Times New Roman" w:hAnsi="Times New Roman" w:cs="Times New Roman"/>
                <w:sz w:val="24"/>
                <w:lang w:val="en-US" w:eastAsia="zh-CN"/>
              </w:rPr>
              <w:t>1</w:t>
            </w:r>
            <w:r>
              <w:rPr>
                <w:rFonts w:hint="default" w:ascii="Times New Roman" w:hAnsi="Times New Roman" w:cs="Times New Roman"/>
                <w:sz w:val="24"/>
              </w:rPr>
              <w:t>。</w:t>
            </w:r>
          </w:p>
          <w:p>
            <w:pPr>
              <w:spacing w:line="36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表</w:t>
            </w:r>
            <w:r>
              <w:rPr>
                <w:rFonts w:hint="default" w:ascii="Times New Roman" w:hAnsi="Times New Roman" w:cs="Times New Roman"/>
                <w:b/>
                <w:sz w:val="24"/>
                <w:szCs w:val="24"/>
                <w:lang w:val="en-US" w:eastAsia="zh-CN"/>
              </w:rPr>
              <w:t>2-1</w:t>
            </w:r>
            <w:r>
              <w:rPr>
                <w:rFonts w:hint="default" w:ascii="Times New Roman" w:hAnsi="Times New Roman" w:cs="Times New Roman"/>
                <w:b/>
                <w:sz w:val="24"/>
                <w:szCs w:val="24"/>
              </w:rPr>
              <w:t xml:space="preserve">   生产规模及产品方案</w:t>
            </w:r>
          </w:p>
          <w:tbl>
            <w:tblPr>
              <w:tblStyle w:val="16"/>
              <w:tblW w:w="49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878"/>
              <w:gridCol w:w="1335"/>
              <w:gridCol w:w="3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tcBorders>
                    <w:top w:val="single" w:color="auto" w:sz="12" w:space="0"/>
                  </w:tcBorders>
                  <w:noWrap w:val="0"/>
                  <w:vAlign w:val="center"/>
                </w:tcPr>
                <w:p>
                  <w:pPr>
                    <w:spacing w:line="240" w:lineRule="auto"/>
                    <w:jc w:val="center"/>
                    <w:rPr>
                      <w:rFonts w:hint="default" w:ascii="Times New Roman" w:hAnsi="Times New Roman" w:cs="Times New Roman"/>
                      <w:b/>
                      <w:color w:val="0000FF"/>
                      <w:szCs w:val="21"/>
                      <w:highlight w:val="none"/>
                    </w:rPr>
                  </w:pPr>
                  <w:r>
                    <w:rPr>
                      <w:rFonts w:hint="default" w:ascii="Times New Roman" w:hAnsi="Times New Roman" w:cs="Times New Roman"/>
                      <w:b/>
                      <w:color w:val="0000FF"/>
                      <w:szCs w:val="21"/>
                      <w:highlight w:val="none"/>
                    </w:rPr>
                    <w:t>序号</w:t>
                  </w:r>
                </w:p>
              </w:tc>
              <w:tc>
                <w:tcPr>
                  <w:tcW w:w="1782" w:type="pct"/>
                  <w:tcBorders>
                    <w:top w:val="single" w:color="auto" w:sz="12" w:space="0"/>
                  </w:tcBorders>
                  <w:noWrap w:val="0"/>
                  <w:vAlign w:val="center"/>
                </w:tcPr>
                <w:p>
                  <w:pPr>
                    <w:spacing w:line="240" w:lineRule="auto"/>
                    <w:jc w:val="center"/>
                    <w:rPr>
                      <w:rFonts w:hint="default" w:ascii="Times New Roman" w:hAnsi="Times New Roman" w:cs="Times New Roman"/>
                      <w:b/>
                      <w:color w:val="0000FF"/>
                      <w:szCs w:val="21"/>
                      <w:highlight w:val="none"/>
                    </w:rPr>
                  </w:pPr>
                  <w:r>
                    <w:rPr>
                      <w:rFonts w:hint="default" w:ascii="Times New Roman" w:hAnsi="Times New Roman" w:cs="Times New Roman"/>
                      <w:b/>
                      <w:color w:val="0000FF"/>
                      <w:szCs w:val="21"/>
                      <w:highlight w:val="none"/>
                    </w:rPr>
                    <w:t>产品名称</w:t>
                  </w:r>
                </w:p>
              </w:tc>
              <w:tc>
                <w:tcPr>
                  <w:tcW w:w="827" w:type="pct"/>
                  <w:tcBorders>
                    <w:top w:val="single" w:color="auto" w:sz="12" w:space="0"/>
                  </w:tcBorders>
                  <w:noWrap w:val="0"/>
                  <w:vAlign w:val="center"/>
                </w:tcPr>
                <w:p>
                  <w:pPr>
                    <w:spacing w:line="240" w:lineRule="auto"/>
                    <w:jc w:val="center"/>
                    <w:rPr>
                      <w:rFonts w:hint="default" w:ascii="Times New Roman" w:hAnsi="Times New Roman" w:cs="Times New Roman"/>
                      <w:b/>
                      <w:color w:val="0000FF"/>
                      <w:szCs w:val="21"/>
                      <w:highlight w:val="none"/>
                    </w:rPr>
                  </w:pPr>
                  <w:r>
                    <w:rPr>
                      <w:rFonts w:hint="default" w:ascii="Times New Roman" w:hAnsi="Times New Roman" w:cs="Times New Roman"/>
                      <w:b/>
                      <w:color w:val="0000FF"/>
                      <w:szCs w:val="21"/>
                      <w:highlight w:val="none"/>
                    </w:rPr>
                    <w:t>产量(t/a)</w:t>
                  </w:r>
                </w:p>
              </w:tc>
              <w:tc>
                <w:tcPr>
                  <w:tcW w:w="1865" w:type="pct"/>
                  <w:tcBorders>
                    <w:top w:val="single" w:color="auto" w:sz="12" w:space="0"/>
                    <w:right w:val="nil"/>
                  </w:tcBorders>
                  <w:noWrap w:val="0"/>
                  <w:vAlign w:val="center"/>
                </w:tcPr>
                <w:p>
                  <w:pPr>
                    <w:spacing w:line="240" w:lineRule="auto"/>
                    <w:jc w:val="center"/>
                    <w:rPr>
                      <w:rFonts w:hint="default" w:ascii="Times New Roman" w:hAnsi="Times New Roman" w:cs="Times New Roman"/>
                      <w:b/>
                      <w:color w:val="0000FF"/>
                      <w:szCs w:val="21"/>
                      <w:highlight w:val="none"/>
                    </w:rPr>
                  </w:pPr>
                  <w:r>
                    <w:rPr>
                      <w:rFonts w:hint="default" w:ascii="Times New Roman" w:hAnsi="Times New Roman" w:cs="Times New Roman"/>
                      <w:b/>
                      <w:color w:val="0000FF"/>
                      <w:szCs w:val="21"/>
                      <w:highlight w:val="none"/>
                    </w:rPr>
                    <w:t>产品参照标准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4" w:type="pct"/>
                  <w:tcBorders>
                    <w:left w:val="nil"/>
                  </w:tcBorders>
                  <w:noWrap w:val="0"/>
                  <w:vAlign w:val="center"/>
                </w:tcPr>
                <w:p>
                  <w:pPr>
                    <w:spacing w:line="240" w:lineRule="auto"/>
                    <w:jc w:val="center"/>
                    <w:rPr>
                      <w:rFonts w:hint="default" w:ascii="Times New Roman" w:hAnsi="Times New Roman" w:cs="Times New Roman"/>
                      <w:color w:val="0000FF"/>
                      <w:szCs w:val="21"/>
                      <w:highlight w:val="none"/>
                    </w:rPr>
                  </w:pPr>
                  <w:r>
                    <w:rPr>
                      <w:rFonts w:hint="default" w:ascii="Times New Roman" w:hAnsi="Times New Roman" w:cs="Times New Roman"/>
                      <w:color w:val="0000FF"/>
                      <w:szCs w:val="21"/>
                      <w:highlight w:val="none"/>
                    </w:rPr>
                    <w:t>1</w:t>
                  </w:r>
                </w:p>
              </w:tc>
              <w:tc>
                <w:tcPr>
                  <w:tcW w:w="1782" w:type="pct"/>
                  <w:noWrap w:val="0"/>
                  <w:vAlign w:val="center"/>
                </w:tcPr>
                <w:p>
                  <w:pPr>
                    <w:snapToGrid w:val="0"/>
                    <w:spacing w:line="240" w:lineRule="auto"/>
                    <w:jc w:val="center"/>
                    <w:rPr>
                      <w:rFonts w:hint="default" w:ascii="Times New Roman" w:hAnsi="Times New Roman" w:eastAsia="宋体" w:cs="Times New Roman"/>
                      <w:color w:val="0000FF"/>
                      <w:szCs w:val="21"/>
                      <w:highlight w:val="none"/>
                      <w:lang w:val="en-US" w:eastAsia="zh-CN"/>
                    </w:rPr>
                  </w:pPr>
                  <w:r>
                    <w:rPr>
                      <w:rFonts w:hint="default" w:ascii="Times New Roman" w:hAnsi="Times New Roman" w:eastAsia="宋体" w:cs="Times New Roman"/>
                      <w:color w:val="0000FF"/>
                      <w:szCs w:val="21"/>
                      <w:highlight w:val="none"/>
                      <w:lang w:val="en-US" w:eastAsia="zh-CN"/>
                    </w:rPr>
                    <w:t>聚丙烯管材、管件</w:t>
                  </w:r>
                </w:p>
              </w:tc>
              <w:tc>
                <w:tcPr>
                  <w:tcW w:w="827" w:type="pct"/>
                  <w:noWrap w:val="0"/>
                  <w:vAlign w:val="center"/>
                </w:tcPr>
                <w:p>
                  <w:pPr>
                    <w:snapToGrid w:val="0"/>
                    <w:spacing w:line="240" w:lineRule="auto"/>
                    <w:jc w:val="center"/>
                    <w:rPr>
                      <w:rFonts w:hint="default" w:ascii="Times New Roman" w:hAnsi="Times New Roman" w:cs="Times New Roman"/>
                      <w:color w:val="0000FF"/>
                      <w:szCs w:val="21"/>
                      <w:highlight w:val="none"/>
                    </w:rPr>
                  </w:pPr>
                  <w:r>
                    <w:rPr>
                      <w:rFonts w:hint="default" w:ascii="Times New Roman" w:hAnsi="Times New Roman" w:cs="Times New Roman"/>
                      <w:color w:val="0000FF"/>
                      <w:szCs w:val="21"/>
                      <w:highlight w:val="none"/>
                      <w:lang w:val="en-US" w:eastAsia="zh-CN"/>
                    </w:rPr>
                    <w:t>3</w:t>
                  </w:r>
                  <w:r>
                    <w:rPr>
                      <w:rFonts w:hint="default" w:ascii="Times New Roman" w:hAnsi="Times New Roman" w:cs="Times New Roman"/>
                      <w:color w:val="0000FF"/>
                      <w:szCs w:val="21"/>
                      <w:highlight w:val="none"/>
                    </w:rPr>
                    <w:t>000</w:t>
                  </w:r>
                </w:p>
              </w:tc>
              <w:tc>
                <w:tcPr>
                  <w:tcW w:w="1865" w:type="pct"/>
                  <w:tcBorders>
                    <w:right w:val="nil"/>
                  </w:tcBorders>
                  <w:noWrap w:val="0"/>
                  <w:vAlign w:val="center"/>
                </w:tcPr>
                <w:p>
                  <w:pPr>
                    <w:snapToGrid w:val="0"/>
                    <w:spacing w:line="240" w:lineRule="auto"/>
                    <w:jc w:val="center"/>
                    <w:rPr>
                      <w:rFonts w:hint="default" w:ascii="Times New Roman" w:hAnsi="Times New Roman" w:cs="Times New Roman"/>
                      <w:color w:val="0000FF"/>
                      <w:szCs w:val="21"/>
                      <w:highlight w:val="none"/>
                      <w:lang w:val="en-US" w:eastAsia="zh-CN"/>
                    </w:rPr>
                  </w:pPr>
                  <w:r>
                    <w:rPr>
                      <w:rFonts w:hint="default" w:ascii="Times New Roman" w:hAnsi="Times New Roman" w:cs="Times New Roman"/>
                      <w:color w:val="0000FF"/>
                      <w:szCs w:val="21"/>
                      <w:highlight w:val="none"/>
                      <w:lang w:val="en-US" w:eastAsia="zh-CN"/>
                    </w:rPr>
                    <w:t>GB/18742《冷水用聚丙烯管道》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tcBorders>
                    <w:left w:val="nil"/>
                  </w:tcBorders>
                  <w:noWrap w:val="0"/>
                  <w:vAlign w:val="center"/>
                </w:tcPr>
                <w:p>
                  <w:pPr>
                    <w:spacing w:line="240" w:lineRule="auto"/>
                    <w:jc w:val="center"/>
                    <w:rPr>
                      <w:rFonts w:hint="default" w:ascii="Times New Roman" w:hAnsi="Times New Roman" w:cs="Times New Roman"/>
                      <w:color w:val="0000FF"/>
                      <w:szCs w:val="21"/>
                      <w:highlight w:val="none"/>
                    </w:rPr>
                  </w:pPr>
                  <w:r>
                    <w:rPr>
                      <w:rFonts w:hint="default" w:ascii="Times New Roman" w:hAnsi="Times New Roman" w:cs="Times New Roman"/>
                      <w:color w:val="0000FF"/>
                      <w:szCs w:val="21"/>
                      <w:highlight w:val="none"/>
                    </w:rPr>
                    <w:t>2</w:t>
                  </w:r>
                </w:p>
              </w:tc>
              <w:tc>
                <w:tcPr>
                  <w:tcW w:w="1782" w:type="pct"/>
                  <w:noWrap w:val="0"/>
                  <w:vAlign w:val="center"/>
                </w:tcPr>
                <w:p>
                  <w:pPr>
                    <w:snapToGrid w:val="0"/>
                    <w:spacing w:line="240" w:lineRule="auto"/>
                    <w:jc w:val="center"/>
                    <w:rPr>
                      <w:rFonts w:hint="default" w:ascii="Times New Roman" w:hAnsi="Times New Roman" w:eastAsia="宋体" w:cs="Times New Roman"/>
                      <w:color w:val="0000FF"/>
                      <w:szCs w:val="21"/>
                      <w:highlight w:val="none"/>
                      <w:lang w:val="en-US" w:eastAsia="zh-CN"/>
                    </w:rPr>
                  </w:pPr>
                  <w:r>
                    <w:rPr>
                      <w:rFonts w:hint="default" w:ascii="Times New Roman" w:hAnsi="Times New Roman" w:eastAsia="宋体" w:cs="Times New Roman"/>
                      <w:color w:val="0000FF"/>
                      <w:szCs w:val="21"/>
                      <w:highlight w:val="none"/>
                      <w:lang w:val="en-US" w:eastAsia="zh-CN"/>
                    </w:rPr>
                    <w:t>聚氯乙烯管材、管件</w:t>
                  </w:r>
                </w:p>
              </w:tc>
              <w:tc>
                <w:tcPr>
                  <w:tcW w:w="827" w:type="pct"/>
                  <w:noWrap w:val="0"/>
                  <w:vAlign w:val="center"/>
                </w:tcPr>
                <w:p>
                  <w:pPr>
                    <w:snapToGrid w:val="0"/>
                    <w:spacing w:line="240" w:lineRule="auto"/>
                    <w:jc w:val="center"/>
                    <w:rPr>
                      <w:rFonts w:hint="default" w:ascii="Times New Roman" w:hAnsi="Times New Roman" w:cs="Times New Roman"/>
                      <w:color w:val="0000FF"/>
                      <w:szCs w:val="21"/>
                      <w:highlight w:val="none"/>
                    </w:rPr>
                  </w:pPr>
                  <w:r>
                    <w:rPr>
                      <w:rFonts w:hint="eastAsia" w:cs="Times New Roman"/>
                      <w:color w:val="0000FF"/>
                      <w:szCs w:val="21"/>
                      <w:highlight w:val="none"/>
                      <w:lang w:val="en-US" w:eastAsia="zh-CN"/>
                    </w:rPr>
                    <w:t>40</w:t>
                  </w:r>
                  <w:r>
                    <w:rPr>
                      <w:rFonts w:hint="default" w:ascii="Times New Roman" w:hAnsi="Times New Roman" w:cs="Times New Roman"/>
                      <w:color w:val="0000FF"/>
                      <w:szCs w:val="21"/>
                      <w:highlight w:val="none"/>
                    </w:rPr>
                    <w:t>00</w:t>
                  </w:r>
                </w:p>
              </w:tc>
              <w:tc>
                <w:tcPr>
                  <w:tcW w:w="1865" w:type="pct"/>
                  <w:tcBorders>
                    <w:right w:val="nil"/>
                  </w:tcBorders>
                  <w:noWrap w:val="0"/>
                  <w:vAlign w:val="center"/>
                </w:tcPr>
                <w:p>
                  <w:pPr>
                    <w:snapToGrid w:val="0"/>
                    <w:spacing w:line="240" w:lineRule="auto"/>
                    <w:jc w:val="center"/>
                    <w:rPr>
                      <w:rFonts w:hint="default" w:ascii="Times New Roman" w:hAnsi="Times New Roman" w:cs="Times New Roman"/>
                      <w:color w:val="0000FF"/>
                      <w:highlight w:val="none"/>
                      <w:lang w:val="en-US" w:eastAsia="zh-CN"/>
                    </w:rPr>
                  </w:pPr>
                  <w:r>
                    <w:rPr>
                      <w:rFonts w:hint="default" w:ascii="Times New Roman" w:hAnsi="Times New Roman" w:cs="Times New Roman"/>
                      <w:color w:val="0000FF"/>
                      <w:highlight w:val="none"/>
                      <w:lang w:val="en-US" w:eastAsia="zh-CN"/>
                    </w:rPr>
                    <w:t>GB/T5836.1-92；GB/T5836.2-92建筑排水用硬聚氯乙烯管材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tcBorders>
                    <w:left w:val="nil"/>
                  </w:tcBorders>
                  <w:noWrap w:val="0"/>
                  <w:vAlign w:val="center"/>
                </w:tcPr>
                <w:p>
                  <w:pPr>
                    <w:spacing w:line="240" w:lineRule="auto"/>
                    <w:jc w:val="center"/>
                    <w:rPr>
                      <w:rFonts w:hint="default" w:ascii="Times New Roman" w:hAnsi="Times New Roman" w:cs="Times New Roman"/>
                      <w:color w:val="0000FF"/>
                      <w:szCs w:val="21"/>
                      <w:highlight w:val="none"/>
                    </w:rPr>
                  </w:pPr>
                  <w:r>
                    <w:rPr>
                      <w:rFonts w:hint="default" w:ascii="Times New Roman" w:hAnsi="Times New Roman" w:cs="Times New Roman"/>
                      <w:color w:val="0000FF"/>
                      <w:szCs w:val="21"/>
                      <w:highlight w:val="none"/>
                    </w:rPr>
                    <w:t>3</w:t>
                  </w:r>
                </w:p>
              </w:tc>
              <w:tc>
                <w:tcPr>
                  <w:tcW w:w="1782" w:type="pct"/>
                  <w:noWrap w:val="0"/>
                  <w:vAlign w:val="center"/>
                </w:tcPr>
                <w:p>
                  <w:pPr>
                    <w:snapToGrid w:val="0"/>
                    <w:spacing w:line="240" w:lineRule="auto"/>
                    <w:jc w:val="center"/>
                    <w:rPr>
                      <w:rFonts w:hint="default" w:ascii="Times New Roman" w:hAnsi="Times New Roman" w:eastAsia="宋体" w:cs="Times New Roman"/>
                      <w:color w:val="0000FF"/>
                      <w:szCs w:val="21"/>
                      <w:highlight w:val="none"/>
                      <w:lang w:val="en-US" w:eastAsia="zh-CN"/>
                    </w:rPr>
                  </w:pPr>
                  <w:r>
                    <w:rPr>
                      <w:rFonts w:hint="default" w:ascii="Times New Roman" w:hAnsi="Times New Roman" w:eastAsia="宋体" w:cs="Times New Roman"/>
                      <w:color w:val="0000FF"/>
                      <w:szCs w:val="21"/>
                      <w:highlight w:val="none"/>
                      <w:lang w:val="en-US" w:eastAsia="zh-CN"/>
                    </w:rPr>
                    <w:t>聚乙烯管材、管件</w:t>
                  </w:r>
                </w:p>
              </w:tc>
              <w:tc>
                <w:tcPr>
                  <w:tcW w:w="827" w:type="pct"/>
                  <w:noWrap w:val="0"/>
                  <w:vAlign w:val="center"/>
                </w:tcPr>
                <w:p>
                  <w:pPr>
                    <w:snapToGrid w:val="0"/>
                    <w:spacing w:line="240" w:lineRule="auto"/>
                    <w:jc w:val="center"/>
                    <w:rPr>
                      <w:rFonts w:hint="default" w:ascii="Times New Roman" w:hAnsi="Times New Roman" w:eastAsia="宋体" w:cs="Times New Roman"/>
                      <w:color w:val="0000FF"/>
                      <w:szCs w:val="21"/>
                      <w:highlight w:val="none"/>
                      <w:lang w:val="en-US" w:eastAsia="zh-CN"/>
                    </w:rPr>
                  </w:pPr>
                  <w:r>
                    <w:rPr>
                      <w:rFonts w:hint="eastAsia" w:cs="Times New Roman"/>
                      <w:color w:val="0000FF"/>
                      <w:szCs w:val="21"/>
                      <w:highlight w:val="none"/>
                      <w:lang w:val="en-US" w:eastAsia="zh-CN"/>
                    </w:rPr>
                    <w:t>3</w:t>
                  </w:r>
                  <w:r>
                    <w:rPr>
                      <w:rFonts w:hint="default" w:ascii="Times New Roman" w:hAnsi="Times New Roman" w:cs="Times New Roman"/>
                      <w:color w:val="0000FF"/>
                      <w:szCs w:val="21"/>
                      <w:highlight w:val="none"/>
                      <w:lang w:val="en-US" w:eastAsia="zh-CN"/>
                    </w:rPr>
                    <w:t>000</w:t>
                  </w:r>
                </w:p>
              </w:tc>
              <w:tc>
                <w:tcPr>
                  <w:tcW w:w="1865" w:type="pct"/>
                  <w:tcBorders>
                    <w:right w:val="nil"/>
                  </w:tcBorders>
                  <w:noWrap w:val="0"/>
                  <w:vAlign w:val="center"/>
                </w:tcPr>
                <w:p>
                  <w:pPr>
                    <w:snapToGrid w:val="0"/>
                    <w:spacing w:line="240" w:lineRule="auto"/>
                    <w:jc w:val="center"/>
                    <w:rPr>
                      <w:rFonts w:hint="default" w:ascii="Times New Roman" w:hAnsi="Times New Roman" w:cs="Times New Roman"/>
                      <w:color w:val="0000FF"/>
                      <w:szCs w:val="21"/>
                      <w:highlight w:val="none"/>
                      <w:lang w:val="en-US" w:eastAsia="zh-CN"/>
                    </w:rPr>
                  </w:pPr>
                  <w:r>
                    <w:rPr>
                      <w:rFonts w:hint="default" w:ascii="Times New Roman" w:hAnsi="Times New Roman" w:cs="Times New Roman"/>
                      <w:color w:val="0000FF"/>
                      <w:szCs w:val="21"/>
                      <w:highlight w:val="none"/>
                      <w:lang w:val="en-US" w:eastAsia="zh-CN"/>
                    </w:rPr>
                    <w:t>GB/T13663-2000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07" w:type="pct"/>
                  <w:gridSpan w:val="2"/>
                  <w:tcBorders>
                    <w:left w:val="nil"/>
                  </w:tcBorders>
                  <w:noWrap w:val="0"/>
                  <w:vAlign w:val="center"/>
                </w:tcPr>
                <w:p>
                  <w:pPr>
                    <w:spacing w:line="240" w:lineRule="auto"/>
                    <w:jc w:val="center"/>
                    <w:rPr>
                      <w:rFonts w:hint="default" w:ascii="Times New Roman" w:hAnsi="Times New Roman" w:cs="Times New Roman"/>
                      <w:b/>
                      <w:color w:val="0000FF"/>
                      <w:szCs w:val="21"/>
                      <w:highlight w:val="none"/>
                    </w:rPr>
                  </w:pPr>
                  <w:r>
                    <w:rPr>
                      <w:rFonts w:hint="default" w:ascii="Times New Roman" w:hAnsi="Times New Roman" w:cs="Times New Roman"/>
                      <w:b/>
                      <w:color w:val="0000FF"/>
                      <w:szCs w:val="21"/>
                      <w:highlight w:val="none"/>
                    </w:rPr>
                    <w:t>小计</w:t>
                  </w:r>
                </w:p>
              </w:tc>
              <w:tc>
                <w:tcPr>
                  <w:tcW w:w="827" w:type="pct"/>
                  <w:noWrap w:val="0"/>
                  <w:vAlign w:val="center"/>
                </w:tcPr>
                <w:p>
                  <w:pPr>
                    <w:spacing w:line="240" w:lineRule="auto"/>
                    <w:jc w:val="center"/>
                    <w:rPr>
                      <w:rFonts w:hint="default" w:ascii="Times New Roman" w:hAnsi="Times New Roman" w:eastAsia="宋体" w:cs="Times New Roman"/>
                      <w:b/>
                      <w:color w:val="0000FF"/>
                      <w:szCs w:val="21"/>
                      <w:highlight w:val="none"/>
                      <w:lang w:val="en-US" w:eastAsia="zh-CN"/>
                    </w:rPr>
                  </w:pPr>
                  <w:r>
                    <w:rPr>
                      <w:rFonts w:hint="default" w:ascii="Times New Roman" w:hAnsi="Times New Roman" w:cs="Times New Roman"/>
                      <w:b/>
                      <w:color w:val="0000FF"/>
                      <w:szCs w:val="21"/>
                      <w:highlight w:val="none"/>
                    </w:rPr>
                    <w:t>1</w:t>
                  </w:r>
                  <w:r>
                    <w:rPr>
                      <w:rFonts w:hint="default" w:ascii="Times New Roman" w:hAnsi="Times New Roman" w:cs="Times New Roman"/>
                      <w:b/>
                      <w:color w:val="0000FF"/>
                      <w:szCs w:val="21"/>
                      <w:highlight w:val="none"/>
                      <w:lang w:val="en-US" w:eastAsia="zh-CN"/>
                    </w:rPr>
                    <w:t>0000</w:t>
                  </w:r>
                </w:p>
              </w:tc>
              <w:tc>
                <w:tcPr>
                  <w:tcW w:w="1865" w:type="pct"/>
                  <w:tcBorders>
                    <w:right w:val="nil"/>
                  </w:tcBorders>
                  <w:noWrap w:val="0"/>
                  <w:vAlign w:val="center"/>
                </w:tcPr>
                <w:p>
                  <w:pPr>
                    <w:spacing w:line="240" w:lineRule="auto"/>
                    <w:jc w:val="center"/>
                    <w:rPr>
                      <w:rFonts w:hint="default" w:ascii="Times New Roman" w:hAnsi="Times New Roman" w:cs="Times New Roman"/>
                      <w:b/>
                      <w:color w:val="0000FF"/>
                      <w:szCs w:val="21"/>
                      <w:highlight w:val="none"/>
                    </w:rPr>
                  </w:pPr>
                  <w:r>
                    <w:rPr>
                      <w:rFonts w:hint="default" w:ascii="Times New Roman" w:hAnsi="Times New Roman" w:cs="Times New Roman"/>
                      <w:color w:val="0000FF"/>
                      <w:szCs w:val="21"/>
                      <w:highlight w:val="none"/>
                      <w:lang w:val="en-US" w:eastAsia="zh-CN"/>
                    </w:rPr>
                    <w:t>/</w:t>
                  </w:r>
                </w:p>
              </w:tc>
            </w:tr>
          </w:tbl>
          <w:p>
            <w:pPr>
              <w:pStyle w:val="24"/>
              <w:bidi w:val="0"/>
              <w:spacing w:line="360" w:lineRule="auto"/>
              <w:ind w:left="0" w:leftChars="0" w:firstLine="482" w:firstLineChars="200"/>
              <w:rPr>
                <w:rFonts w:hint="default" w:ascii="Times New Roman" w:hAnsi="Times New Roman" w:cs="Times New Roman"/>
                <w:b/>
                <w:bCs/>
              </w:rPr>
            </w:pPr>
            <w:r>
              <w:rPr>
                <w:rFonts w:hint="default" w:ascii="Times New Roman" w:hAnsi="Times New Roman" w:cs="Times New Roman"/>
                <w:b/>
                <w:bCs/>
              </w:rPr>
              <w:t xml:space="preserve">3、项目组成及主要环境问题 </w:t>
            </w:r>
          </w:p>
          <w:p>
            <w:pPr>
              <w:pStyle w:val="24"/>
              <w:bidi w:val="0"/>
              <w:spacing w:line="360" w:lineRule="auto"/>
              <w:rPr>
                <w:rFonts w:hint="default" w:ascii="Times New Roman" w:hAnsi="Times New Roman" w:cs="Times New Roman"/>
                <w:lang w:val="en-US"/>
              </w:rPr>
            </w:pPr>
            <w:r>
              <w:rPr>
                <w:rFonts w:hint="default" w:ascii="Times New Roman" w:hAnsi="Times New Roman" w:cs="Times New Roman"/>
              </w:rPr>
              <w:t>本项目建设内容及项目组成见表</w:t>
            </w:r>
            <w:r>
              <w:rPr>
                <w:rFonts w:hint="default" w:ascii="Times New Roman" w:hAnsi="Times New Roman" w:cs="Times New Roman"/>
                <w:lang w:val="en-US" w:eastAsia="zh-CN"/>
              </w:rPr>
              <w:t>2-2。</w:t>
            </w:r>
          </w:p>
          <w:p>
            <w:pPr>
              <w:pStyle w:val="25"/>
              <w:bidi w:val="0"/>
              <w:spacing w:line="360" w:lineRule="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表</w:t>
            </w:r>
            <w:r>
              <w:rPr>
                <w:rFonts w:hint="default" w:ascii="Times New Roman" w:hAnsi="Times New Roman" w:cs="Times New Roman"/>
                <w:sz w:val="24"/>
                <w:szCs w:val="24"/>
                <w:highlight w:val="none"/>
                <w:lang w:val="en-US" w:eastAsia="zh-CN"/>
              </w:rPr>
              <w:t xml:space="preserve">2-2   </w:t>
            </w:r>
            <w:r>
              <w:rPr>
                <w:rFonts w:hint="default" w:ascii="Times New Roman" w:hAnsi="Times New Roman" w:cs="Times New Roman"/>
                <w:sz w:val="24"/>
                <w:szCs w:val="24"/>
                <w:highlight w:val="none"/>
              </w:rPr>
              <w:t>项目建设主要组成一览表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89"/>
              <w:gridCol w:w="918"/>
              <w:gridCol w:w="950"/>
              <w:gridCol w:w="3252"/>
              <w:gridCol w:w="600"/>
              <w:gridCol w:w="804"/>
              <w:gridCol w:w="7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类别</w:t>
                  </w:r>
                </w:p>
              </w:tc>
              <w:tc>
                <w:tcPr>
                  <w:tcW w:w="566"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名称</w:t>
                  </w:r>
                </w:p>
              </w:tc>
              <w:tc>
                <w:tcPr>
                  <w:tcW w:w="2592" w:type="pct"/>
                  <w:gridSpan w:val="2"/>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建设内容</w:t>
                  </w:r>
                </w:p>
              </w:tc>
              <w:tc>
                <w:tcPr>
                  <w:tcW w:w="866" w:type="pct"/>
                  <w:gridSpan w:val="2"/>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可能产生的环境问题</w:t>
                  </w:r>
                </w:p>
              </w:tc>
              <w:tc>
                <w:tcPr>
                  <w:tcW w:w="487"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56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2592" w:type="pct"/>
                  <w:gridSpan w:val="2"/>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370"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施工期</w:t>
                  </w:r>
                </w:p>
              </w:tc>
              <w:tc>
                <w:tcPr>
                  <w:tcW w:w="49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营运期</w:t>
                  </w:r>
                </w:p>
              </w:tc>
              <w:tc>
                <w:tcPr>
                  <w:tcW w:w="487"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主体</w:t>
                  </w:r>
                </w:p>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工程</w:t>
                  </w:r>
                </w:p>
              </w:tc>
              <w:tc>
                <w:tcPr>
                  <w:tcW w:w="56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highlight w:val="none"/>
                      <w:lang w:val="en-US"/>
                    </w:rPr>
                  </w:pPr>
                  <w:r>
                    <w:rPr>
                      <w:rFonts w:hint="default" w:ascii="Times New Roman" w:hAnsi="Times New Roman" w:cs="Times New Roman"/>
                      <w:color w:val="000000"/>
                      <w:szCs w:val="21"/>
                      <w:highlight w:val="none"/>
                      <w:lang w:val="en-US" w:eastAsia="zh-CN"/>
                    </w:rPr>
                    <w:t>PE、PPR生产车间</w:t>
                  </w:r>
                </w:p>
              </w:tc>
              <w:tc>
                <w:tcPr>
                  <w:tcW w:w="2592" w:type="pct"/>
                  <w:gridSpan w:val="2"/>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highlight w:val="none"/>
                    </w:rPr>
                  </w:pPr>
                  <w:r>
                    <w:rPr>
                      <w:rFonts w:hint="default" w:ascii="Times New Roman" w:hAnsi="Times New Roman" w:cs="Times New Roman"/>
                      <w:szCs w:val="21"/>
                      <w:highlight w:val="none"/>
                    </w:rPr>
                    <w:t>建筑面积约</w:t>
                  </w:r>
                  <w:r>
                    <w:rPr>
                      <w:rFonts w:hint="default" w:ascii="Times New Roman" w:hAnsi="Times New Roman" w:cs="Times New Roman"/>
                      <w:szCs w:val="21"/>
                      <w:highlight w:val="none"/>
                      <w:lang w:val="en-US" w:eastAsia="zh-CN"/>
                    </w:rPr>
                    <w:t>100</w:t>
                  </w:r>
                  <w:r>
                    <w:rPr>
                      <w:rFonts w:hint="default" w:ascii="Times New Roman" w:hAnsi="Times New Roman" w:cs="Times New Roman"/>
                      <w:szCs w:val="21"/>
                      <w:highlight w:val="none"/>
                    </w:rPr>
                    <w:t>0m</w:t>
                  </w:r>
                  <w:r>
                    <w:rPr>
                      <w:rFonts w:hint="default" w:ascii="Times New Roman" w:hAnsi="Times New Roman" w:cs="Times New Roman"/>
                      <w:szCs w:val="21"/>
                      <w:highlight w:val="none"/>
                      <w:vertAlign w:val="superscript"/>
                    </w:rPr>
                    <w:t>2</w:t>
                  </w:r>
                  <w:r>
                    <w:rPr>
                      <w:rFonts w:hint="default" w:ascii="Times New Roman" w:hAnsi="Times New Roman" w:cs="Times New Roman"/>
                      <w:szCs w:val="21"/>
                      <w:highlight w:val="none"/>
                    </w:rPr>
                    <w:t>，H=</w:t>
                  </w:r>
                  <w:r>
                    <w:rPr>
                      <w:rFonts w:hint="default" w:ascii="Times New Roman" w:hAnsi="Times New Roman" w:cs="Times New Roman"/>
                      <w:szCs w:val="21"/>
                      <w:highlight w:val="none"/>
                      <w:lang w:val="en-US" w:eastAsia="zh-CN"/>
                    </w:rPr>
                    <w:t>11</w:t>
                  </w:r>
                  <w:r>
                    <w:rPr>
                      <w:rFonts w:hint="default" w:ascii="Times New Roman" w:hAnsi="Times New Roman" w:cs="Times New Roman"/>
                      <w:szCs w:val="21"/>
                      <w:highlight w:val="none"/>
                    </w:rPr>
                    <w:t>m，单层门式结构。</w:t>
                  </w:r>
                  <w:r>
                    <w:rPr>
                      <w:rFonts w:hint="default" w:ascii="Times New Roman" w:hAnsi="Times New Roman" w:cs="Times New Roman"/>
                      <w:bCs/>
                      <w:color w:val="000000"/>
                      <w:szCs w:val="21"/>
                      <w:highlight w:val="none"/>
                    </w:rPr>
                    <w:t>厂房内主要布置PE管材生产区、PPR管材生产区</w:t>
                  </w:r>
                  <w:r>
                    <w:rPr>
                      <w:rFonts w:hint="default" w:ascii="Times New Roman" w:hAnsi="Times New Roman" w:cs="Times New Roman"/>
                      <w:bCs/>
                      <w:color w:val="000000"/>
                      <w:szCs w:val="21"/>
                      <w:highlight w:val="none"/>
                      <w:lang w:eastAsia="zh-CN"/>
                    </w:rPr>
                    <w:t>、</w:t>
                  </w:r>
                  <w:r>
                    <w:rPr>
                      <w:rFonts w:hint="default" w:ascii="Times New Roman" w:hAnsi="Times New Roman" w:cs="Times New Roman"/>
                      <w:bCs/>
                      <w:color w:val="000000"/>
                      <w:szCs w:val="21"/>
                      <w:highlight w:val="none"/>
                    </w:rPr>
                    <w:t>混料间、破碎间及库房，用于</w:t>
                  </w:r>
                  <w:r>
                    <w:rPr>
                      <w:rFonts w:hint="default" w:ascii="Times New Roman" w:hAnsi="Times New Roman" w:cs="Times New Roman"/>
                      <w:color w:val="000000"/>
                      <w:szCs w:val="21"/>
                      <w:highlight w:val="none"/>
                    </w:rPr>
                    <w:t>PE管材、PPR管材生产</w:t>
                  </w:r>
                  <w:r>
                    <w:rPr>
                      <w:rFonts w:hint="default" w:ascii="Times New Roman" w:hAnsi="Times New Roman" w:cs="Times New Roman"/>
                      <w:bCs/>
                      <w:color w:val="000000"/>
                      <w:szCs w:val="21"/>
                      <w:highlight w:val="none"/>
                    </w:rPr>
                    <w:t>。</w:t>
                  </w:r>
                </w:p>
              </w:tc>
              <w:tc>
                <w:tcPr>
                  <w:tcW w:w="370"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p>
                  <w:pPr>
                    <w:adjustRightInd w:val="0"/>
                    <w:snapToGrid w:val="0"/>
                    <w:spacing w:line="240" w:lineRule="auto"/>
                    <w:jc w:val="center"/>
                    <w:rPr>
                      <w:rFonts w:hint="default" w:ascii="Times New Roman" w:hAnsi="Times New Roman" w:cs="Times New Roman"/>
                      <w:color w:val="000000"/>
                      <w:szCs w:val="21"/>
                    </w:rPr>
                  </w:pPr>
                </w:p>
                <w:p>
                  <w:pPr>
                    <w:adjustRightInd w:val="0"/>
                    <w:snapToGrid w:val="0"/>
                    <w:spacing w:line="240" w:lineRule="auto"/>
                    <w:jc w:val="center"/>
                    <w:rPr>
                      <w:rFonts w:hint="default" w:ascii="Times New Roman" w:hAnsi="Times New Roman" w:cs="Times New Roman"/>
                      <w:color w:val="000000"/>
                      <w:szCs w:val="21"/>
                    </w:rPr>
                  </w:pPr>
                </w:p>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装修噪声、扬尘等、建筑垃圾利用已有厂房，不涉及土建</w:t>
                  </w:r>
                </w:p>
              </w:tc>
              <w:tc>
                <w:tcPr>
                  <w:tcW w:w="496" w:type="pct"/>
                  <w:vMerge w:val="restart"/>
                  <w:tcBorders>
                    <w:tl2br w:val="nil"/>
                    <w:tr2bl w:val="nil"/>
                  </w:tcBorders>
                  <w:noWrap w:val="0"/>
                  <w:vAlign w:val="center"/>
                </w:tcPr>
                <w:p>
                  <w:pPr>
                    <w:spacing w:line="240" w:lineRule="auto"/>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噪声、</w:t>
                  </w:r>
                </w:p>
                <w:p>
                  <w:pPr>
                    <w:spacing w:line="240" w:lineRule="auto"/>
                    <w:jc w:val="center"/>
                    <w:rPr>
                      <w:rFonts w:hint="default" w:ascii="Times New Roman" w:hAnsi="Times New Roman" w:cs="Times New Roman"/>
                      <w:bCs/>
                      <w:color w:val="000000"/>
                      <w:szCs w:val="21"/>
                    </w:rPr>
                  </w:pPr>
                  <w:r>
                    <w:rPr>
                      <w:rFonts w:hint="default" w:ascii="Times New Roman" w:hAnsi="Times New Roman" w:cs="Times New Roman"/>
                      <w:bCs/>
                      <w:color w:val="000000"/>
                      <w:szCs w:val="21"/>
                    </w:rPr>
                    <w:t>固废、</w:t>
                  </w:r>
                </w:p>
                <w:p>
                  <w:pPr>
                    <w:adjustRightInd w:val="0"/>
                    <w:snapToGrid w:val="0"/>
                    <w:spacing w:line="240" w:lineRule="auto"/>
                    <w:jc w:val="center"/>
                    <w:rPr>
                      <w:rFonts w:hint="default" w:ascii="Times New Roman" w:hAnsi="Times New Roman" w:cs="Times New Roman"/>
                      <w:szCs w:val="21"/>
                    </w:rPr>
                  </w:pPr>
                  <w:r>
                    <w:rPr>
                      <w:rFonts w:hint="default" w:ascii="Times New Roman" w:hAnsi="Times New Roman" w:cs="Times New Roman"/>
                      <w:bCs/>
                      <w:color w:val="000000"/>
                      <w:szCs w:val="21"/>
                    </w:rPr>
                    <w:t>废气</w:t>
                  </w:r>
                </w:p>
              </w:tc>
              <w:tc>
                <w:tcPr>
                  <w:tcW w:w="487"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szCs w:val="21"/>
                    </w:rPr>
                  </w:pPr>
                  <w:r>
                    <w:rPr>
                      <w:rFonts w:hint="default" w:ascii="Times New Roman" w:hAnsi="Times New Roman" w:cs="Times New Roman"/>
                      <w:bCs/>
                      <w:color w:val="000000"/>
                      <w:szCs w:val="21"/>
                    </w:rPr>
                    <w:t>租赁已建厂房进行适用性改造</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rPr>
                  </w:pPr>
                </w:p>
              </w:tc>
              <w:tc>
                <w:tcPr>
                  <w:tcW w:w="56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rPr>
                  </w:pPr>
                  <w:r>
                    <w:rPr>
                      <w:rFonts w:hint="default" w:ascii="Times New Roman" w:hAnsi="Times New Roman" w:cs="Times New Roman"/>
                      <w:color w:val="000000"/>
                      <w:szCs w:val="21"/>
                      <w:highlight w:val="none"/>
                      <w:lang w:val="en-US" w:eastAsia="zh-CN"/>
                    </w:rPr>
                    <w:t>PVC生产车间</w:t>
                  </w:r>
                </w:p>
              </w:tc>
              <w:tc>
                <w:tcPr>
                  <w:tcW w:w="2592" w:type="pct"/>
                  <w:gridSpan w:val="2"/>
                  <w:tcBorders>
                    <w:tl2br w:val="nil"/>
                    <w:tr2bl w:val="nil"/>
                  </w:tcBorders>
                  <w:noWrap w:val="0"/>
                  <w:vAlign w:val="center"/>
                </w:tcPr>
                <w:p>
                  <w:pPr>
                    <w:adjustRightInd w:val="0"/>
                    <w:snapToGrid w:val="0"/>
                    <w:spacing w:line="240" w:lineRule="auto"/>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建筑面积约</w:t>
                  </w:r>
                  <w:r>
                    <w:rPr>
                      <w:rFonts w:hint="default" w:ascii="Times New Roman" w:hAnsi="Times New Roman" w:cs="Times New Roman"/>
                      <w:szCs w:val="21"/>
                      <w:highlight w:val="none"/>
                      <w:lang w:val="en-US" w:eastAsia="zh-CN"/>
                    </w:rPr>
                    <w:t>100</w:t>
                  </w:r>
                  <w:r>
                    <w:rPr>
                      <w:rFonts w:hint="default" w:ascii="Times New Roman" w:hAnsi="Times New Roman" w:cs="Times New Roman"/>
                      <w:szCs w:val="21"/>
                      <w:highlight w:val="none"/>
                    </w:rPr>
                    <w:t>0m</w:t>
                  </w:r>
                  <w:r>
                    <w:rPr>
                      <w:rFonts w:hint="default" w:ascii="Times New Roman" w:hAnsi="Times New Roman" w:cs="Times New Roman"/>
                      <w:szCs w:val="21"/>
                      <w:highlight w:val="none"/>
                      <w:vertAlign w:val="superscript"/>
                    </w:rPr>
                    <w:t>2</w:t>
                  </w:r>
                  <w:r>
                    <w:rPr>
                      <w:rFonts w:hint="default" w:ascii="Times New Roman" w:hAnsi="Times New Roman" w:cs="Times New Roman"/>
                      <w:szCs w:val="21"/>
                      <w:highlight w:val="none"/>
                    </w:rPr>
                    <w:t>，H=</w:t>
                  </w:r>
                  <w:r>
                    <w:rPr>
                      <w:rFonts w:hint="default" w:ascii="Times New Roman" w:hAnsi="Times New Roman" w:cs="Times New Roman"/>
                      <w:szCs w:val="21"/>
                      <w:highlight w:val="none"/>
                      <w:lang w:val="en-US" w:eastAsia="zh-CN"/>
                    </w:rPr>
                    <w:t>11</w:t>
                  </w:r>
                  <w:r>
                    <w:rPr>
                      <w:rFonts w:hint="default" w:ascii="Times New Roman" w:hAnsi="Times New Roman" w:cs="Times New Roman"/>
                      <w:szCs w:val="21"/>
                      <w:highlight w:val="none"/>
                    </w:rPr>
                    <w:t>m，单层门式结构。</w:t>
                  </w:r>
                  <w:r>
                    <w:rPr>
                      <w:rFonts w:hint="default" w:ascii="Times New Roman" w:hAnsi="Times New Roman" w:cs="Times New Roman"/>
                      <w:bCs/>
                      <w:color w:val="000000"/>
                      <w:szCs w:val="21"/>
                      <w:highlight w:val="none"/>
                    </w:rPr>
                    <w:t>厂房内主要布置PVC管材生产区、混料间、破碎间及库房，用于</w:t>
                  </w:r>
                  <w:r>
                    <w:rPr>
                      <w:rFonts w:hint="default" w:ascii="Times New Roman" w:hAnsi="Times New Roman" w:cs="Times New Roman"/>
                      <w:color w:val="000000"/>
                      <w:szCs w:val="21"/>
                      <w:highlight w:val="none"/>
                    </w:rPr>
                    <w:t>PVC管材的生产</w:t>
                  </w:r>
                  <w:r>
                    <w:rPr>
                      <w:rFonts w:hint="default" w:ascii="Times New Roman" w:hAnsi="Times New Roman" w:cs="Times New Roman"/>
                      <w:bCs/>
                      <w:color w:val="000000"/>
                      <w:szCs w:val="21"/>
                      <w:highlight w:val="none"/>
                    </w:rPr>
                    <w:t>。</w:t>
                  </w:r>
                </w:p>
              </w:tc>
              <w:tc>
                <w:tcPr>
                  <w:tcW w:w="37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szCs w:val="21"/>
                      <w:highlight w:val="none"/>
                    </w:rPr>
                  </w:pPr>
                </w:p>
              </w:tc>
              <w:tc>
                <w:tcPr>
                  <w:tcW w:w="49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szCs w:val="21"/>
                      <w:highlight w:val="none"/>
                    </w:rPr>
                  </w:pPr>
                </w:p>
              </w:tc>
              <w:tc>
                <w:tcPr>
                  <w:tcW w:w="487"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辅助</w:t>
                  </w:r>
                </w:p>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及</w:t>
                  </w:r>
                </w:p>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公用</w:t>
                  </w:r>
                </w:p>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工程</w:t>
                  </w:r>
                </w:p>
              </w:tc>
              <w:tc>
                <w:tcPr>
                  <w:tcW w:w="56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给水系统</w:t>
                  </w:r>
                </w:p>
              </w:tc>
              <w:tc>
                <w:tcPr>
                  <w:tcW w:w="2592" w:type="pct"/>
                  <w:gridSpan w:val="2"/>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利用已建供水设施，由</w:t>
                  </w:r>
                  <w:r>
                    <w:rPr>
                      <w:rFonts w:hint="default" w:ascii="Times New Roman" w:hAnsi="Times New Roman" w:cs="Times New Roman"/>
                      <w:szCs w:val="21"/>
                    </w:rPr>
                    <w:t>园区市政给水管网直接供给供水压力0.30MPa</w:t>
                  </w:r>
                </w:p>
              </w:tc>
              <w:tc>
                <w:tcPr>
                  <w:tcW w:w="37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49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487"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依托已建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56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雨污管网</w:t>
                  </w:r>
                </w:p>
              </w:tc>
              <w:tc>
                <w:tcPr>
                  <w:tcW w:w="2592" w:type="pct"/>
                  <w:gridSpan w:val="2"/>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按雨污分流设置，</w:t>
                  </w:r>
                  <w:r>
                    <w:rPr>
                      <w:rFonts w:hint="default" w:ascii="Times New Roman" w:hAnsi="Times New Roman" w:cs="Times New Roman"/>
                      <w:szCs w:val="21"/>
                    </w:rPr>
                    <w:t>污水进入市政污水管网</w:t>
                  </w:r>
                </w:p>
              </w:tc>
              <w:tc>
                <w:tcPr>
                  <w:tcW w:w="37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49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487"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56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供电</w:t>
                  </w:r>
                </w:p>
              </w:tc>
              <w:tc>
                <w:tcPr>
                  <w:tcW w:w="2592" w:type="pct"/>
                  <w:gridSpan w:val="2"/>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利用现厂区已建的供电设施</w:t>
                  </w:r>
                </w:p>
              </w:tc>
              <w:tc>
                <w:tcPr>
                  <w:tcW w:w="37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49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w:t>
                  </w:r>
                </w:p>
              </w:tc>
              <w:tc>
                <w:tcPr>
                  <w:tcW w:w="487"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566"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szCs w:val="21"/>
                      <w:highlight w:val="none"/>
                      <w:lang w:eastAsia="zh-CN"/>
                    </w:rPr>
                  </w:pPr>
                  <w:r>
                    <w:rPr>
                      <w:rFonts w:hint="default" w:ascii="Times New Roman" w:hAnsi="Times New Roman" w:cs="Times New Roman"/>
                      <w:color w:val="000000"/>
                      <w:szCs w:val="21"/>
                      <w:highlight w:val="none"/>
                    </w:rPr>
                    <w:t>冷却</w:t>
                  </w:r>
                  <w:r>
                    <w:rPr>
                      <w:rFonts w:hint="default" w:ascii="Times New Roman" w:hAnsi="Times New Roman" w:cs="Times New Roman"/>
                      <w:color w:val="000000"/>
                      <w:szCs w:val="21"/>
                      <w:highlight w:val="none"/>
                      <w:lang w:val="en-US" w:eastAsia="zh-CN"/>
                    </w:rPr>
                    <w:t>沉淀池</w:t>
                  </w:r>
                </w:p>
              </w:tc>
              <w:tc>
                <w:tcPr>
                  <w:tcW w:w="2592" w:type="pct"/>
                  <w:gridSpan w:val="2"/>
                  <w:tcBorders>
                    <w:tl2br w:val="nil"/>
                    <w:tr2bl w:val="nil"/>
                  </w:tcBorders>
                  <w:noWrap w:val="0"/>
                  <w:vAlign w:val="center"/>
                </w:tcPr>
                <w:p>
                  <w:pPr>
                    <w:adjustRightInd w:val="0"/>
                    <w:snapToGrid w:val="0"/>
                    <w:spacing w:line="240" w:lineRule="auto"/>
                    <w:jc w:val="both"/>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位于</w:t>
                  </w:r>
                  <w:r>
                    <w:rPr>
                      <w:rFonts w:hint="eastAsia" w:cs="Times New Roman"/>
                      <w:color w:val="000000"/>
                      <w:szCs w:val="21"/>
                      <w:highlight w:val="none"/>
                      <w:lang w:val="en-US" w:eastAsia="zh-CN"/>
                    </w:rPr>
                    <w:t>厂区外西侧</w:t>
                  </w:r>
                  <w:r>
                    <w:rPr>
                      <w:rFonts w:hint="default" w:ascii="Times New Roman" w:hAnsi="Times New Roman" w:cs="Times New Roman"/>
                      <w:color w:val="000000"/>
                      <w:szCs w:val="21"/>
                      <w:highlight w:val="none"/>
                      <w:lang w:val="en-US" w:eastAsia="zh-CN"/>
                    </w:rPr>
                    <w:t>，100m</w:t>
                  </w:r>
                  <w:r>
                    <w:rPr>
                      <w:rFonts w:hint="default" w:ascii="Times New Roman" w:hAnsi="Times New Roman" w:cs="Times New Roman"/>
                      <w:color w:val="000000"/>
                      <w:szCs w:val="21"/>
                      <w:highlight w:val="none"/>
                      <w:vertAlign w:val="superscript"/>
                      <w:lang w:val="en-US" w:eastAsia="zh-CN"/>
                    </w:rPr>
                    <w:t>3</w:t>
                  </w:r>
                  <w:r>
                    <w:rPr>
                      <w:rFonts w:hint="default" w:ascii="Times New Roman" w:hAnsi="Times New Roman" w:cs="Times New Roman"/>
                      <w:color w:val="000000"/>
                      <w:szCs w:val="21"/>
                      <w:highlight w:val="none"/>
                    </w:rPr>
                    <w:t>，用于冷却</w:t>
                  </w:r>
                </w:p>
              </w:tc>
              <w:tc>
                <w:tcPr>
                  <w:tcW w:w="37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49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噪声</w:t>
                  </w:r>
                </w:p>
              </w:tc>
              <w:tc>
                <w:tcPr>
                  <w:tcW w:w="487"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0000FF"/>
                      <w:szCs w:val="21"/>
                      <w:lang w:eastAsia="zh-CN"/>
                    </w:rPr>
                  </w:pPr>
                  <w:r>
                    <w:rPr>
                      <w:rFonts w:hint="default" w:ascii="Times New Roman" w:hAnsi="Times New Roman" w:cs="Times New Roman"/>
                      <w:color w:val="0000FF"/>
                      <w:szCs w:val="21"/>
                    </w:rPr>
                    <w:t>新</w:t>
                  </w:r>
                  <w:r>
                    <w:rPr>
                      <w:rFonts w:hint="eastAsia" w:cs="Times New Roman"/>
                      <w:color w:val="0000FF"/>
                      <w:szCs w:val="21"/>
                      <w:lang w:val="en-US" w:eastAsia="zh-CN"/>
                    </w:rPr>
                    <w:t>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56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破碎间</w:t>
                  </w:r>
                </w:p>
              </w:tc>
              <w:tc>
                <w:tcPr>
                  <w:tcW w:w="2592" w:type="pct"/>
                  <w:gridSpan w:val="2"/>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szCs w:val="21"/>
                    </w:rPr>
                    <w:t>在</w:t>
                  </w:r>
                  <w:r>
                    <w:rPr>
                      <w:rFonts w:hint="default" w:ascii="Times New Roman" w:hAnsi="Times New Roman" w:cs="Times New Roman"/>
                      <w:szCs w:val="21"/>
                      <w:lang w:val="en-US" w:eastAsia="zh-CN"/>
                    </w:rPr>
                    <w:t>厂区</w:t>
                  </w:r>
                  <w:r>
                    <w:rPr>
                      <w:rFonts w:hint="default" w:ascii="Times New Roman" w:hAnsi="Times New Roman" w:cs="Times New Roman"/>
                      <w:szCs w:val="21"/>
                    </w:rPr>
                    <w:t>内分隔出密闭房间用于次品破碎，回收</w:t>
                  </w:r>
                  <w:r>
                    <w:rPr>
                      <w:rFonts w:hint="eastAsia" w:cs="Times New Roman"/>
                      <w:szCs w:val="21"/>
                      <w:lang w:val="en-US" w:eastAsia="zh-CN"/>
                    </w:rPr>
                    <w:t>再次作为原料，返回生产线</w:t>
                  </w:r>
                </w:p>
              </w:tc>
              <w:tc>
                <w:tcPr>
                  <w:tcW w:w="37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49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粉尘、噪声</w:t>
                  </w:r>
                </w:p>
              </w:tc>
              <w:tc>
                <w:tcPr>
                  <w:tcW w:w="487"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FF"/>
                      <w:szCs w:val="21"/>
                    </w:rPr>
                  </w:pPr>
                  <w:r>
                    <w:rPr>
                      <w:rFonts w:hint="eastAsia" w:cs="Times New Roman"/>
                      <w:color w:val="0000FF"/>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办公</w:t>
                  </w:r>
                </w:p>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及生活设施</w:t>
                  </w:r>
                </w:p>
              </w:tc>
              <w:tc>
                <w:tcPr>
                  <w:tcW w:w="56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办公楼</w:t>
                  </w:r>
                </w:p>
              </w:tc>
              <w:tc>
                <w:tcPr>
                  <w:tcW w:w="2592" w:type="pct"/>
                  <w:gridSpan w:val="2"/>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szCs w:val="21"/>
                    </w:rPr>
                    <w:t>位于车间东侧配套办公楼，钢结构，建筑面积为</w:t>
                  </w:r>
                  <w:r>
                    <w:rPr>
                      <w:rFonts w:hint="default" w:ascii="Times New Roman" w:hAnsi="Times New Roman" w:cs="Times New Roman"/>
                      <w:szCs w:val="21"/>
                      <w:lang w:val="en-US" w:eastAsia="zh-CN"/>
                    </w:rPr>
                    <w:t>450</w:t>
                  </w:r>
                  <w:r>
                    <w:rPr>
                      <w:rFonts w:hint="default" w:ascii="Times New Roman" w:hAnsi="Times New Roman" w:cs="Times New Roman"/>
                      <w:szCs w:val="21"/>
                    </w:rPr>
                    <w:t>m</w:t>
                  </w:r>
                  <w:r>
                    <w:rPr>
                      <w:rFonts w:hint="default" w:ascii="Times New Roman" w:hAnsi="Times New Roman" w:cs="Times New Roman"/>
                      <w:szCs w:val="21"/>
                      <w:vertAlign w:val="superscript"/>
                    </w:rPr>
                    <w:t>2</w:t>
                  </w:r>
                  <w:r>
                    <w:rPr>
                      <w:rFonts w:hint="default" w:ascii="Times New Roman" w:hAnsi="Times New Roman" w:cs="Times New Roman"/>
                      <w:szCs w:val="21"/>
                    </w:rPr>
                    <w:t>。用于办公、会客及会议</w:t>
                  </w:r>
                </w:p>
              </w:tc>
              <w:tc>
                <w:tcPr>
                  <w:tcW w:w="37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49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生活污水、生活垃圾</w:t>
                  </w:r>
                </w:p>
              </w:tc>
              <w:tc>
                <w:tcPr>
                  <w:tcW w:w="487"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依托已建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仓储</w:t>
                  </w:r>
                </w:p>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或其它</w:t>
                  </w:r>
                </w:p>
              </w:tc>
              <w:tc>
                <w:tcPr>
                  <w:tcW w:w="56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原料堆放区</w:t>
                  </w:r>
                </w:p>
              </w:tc>
              <w:tc>
                <w:tcPr>
                  <w:tcW w:w="2592" w:type="pct"/>
                  <w:gridSpan w:val="2"/>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szCs w:val="21"/>
                      <w:lang w:eastAsia="zh-CN"/>
                    </w:rPr>
                  </w:pPr>
                  <w:r>
                    <w:rPr>
                      <w:rFonts w:hint="default" w:ascii="Times New Roman" w:hAnsi="Times New Roman" w:cs="Times New Roman"/>
                      <w:szCs w:val="21"/>
                    </w:rPr>
                    <w:t>原辅材料暂存于各生产车间内</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占地</w:t>
                  </w:r>
                  <w:r>
                    <w:rPr>
                      <w:rFonts w:hint="default" w:ascii="Times New Roman" w:hAnsi="Times New Roman" w:cs="Times New Roman"/>
                      <w:szCs w:val="21"/>
                    </w:rPr>
                    <w:t>面积为</w:t>
                  </w:r>
                  <w:r>
                    <w:rPr>
                      <w:rFonts w:hint="default" w:ascii="Times New Roman" w:hAnsi="Times New Roman" w:cs="Times New Roman"/>
                      <w:szCs w:val="21"/>
                      <w:lang w:val="en-US" w:eastAsia="zh-CN"/>
                    </w:rPr>
                    <w:t>400</w:t>
                  </w: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37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49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废包装材料</w:t>
                  </w:r>
                </w:p>
              </w:tc>
              <w:tc>
                <w:tcPr>
                  <w:tcW w:w="487"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FF"/>
                      <w:szCs w:val="21"/>
                    </w:rPr>
                  </w:pPr>
                  <w:r>
                    <w:rPr>
                      <w:rFonts w:hint="eastAsia" w:cs="Times New Roman"/>
                      <w:color w:val="0000FF"/>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56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成品堆放区</w:t>
                  </w:r>
                </w:p>
              </w:tc>
              <w:tc>
                <w:tcPr>
                  <w:tcW w:w="2592" w:type="pct"/>
                  <w:gridSpan w:val="2"/>
                  <w:tcBorders>
                    <w:tl2br w:val="nil"/>
                    <w:tr2bl w:val="nil"/>
                  </w:tcBorders>
                  <w:noWrap w:val="0"/>
                  <w:vAlign w:val="center"/>
                </w:tcPr>
                <w:p>
                  <w:pPr>
                    <w:adjustRightInd w:val="0"/>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成品暂存于各生产车间内</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占地</w:t>
                  </w:r>
                  <w:r>
                    <w:rPr>
                      <w:rFonts w:hint="default" w:ascii="Times New Roman" w:hAnsi="Times New Roman" w:cs="Times New Roman"/>
                      <w:szCs w:val="21"/>
                    </w:rPr>
                    <w:t>面积为</w:t>
                  </w:r>
                  <w:r>
                    <w:rPr>
                      <w:rFonts w:hint="default" w:ascii="Times New Roman" w:hAnsi="Times New Roman" w:cs="Times New Roman"/>
                      <w:szCs w:val="21"/>
                      <w:lang w:val="en-US" w:eastAsia="zh-CN"/>
                    </w:rPr>
                    <w:t>400</w:t>
                  </w:r>
                  <w:r>
                    <w:rPr>
                      <w:rFonts w:hint="default" w:ascii="Times New Roman" w:hAnsi="Times New Roman" w:cs="Times New Roman"/>
                      <w:szCs w:val="21"/>
                    </w:rPr>
                    <w:t>m</w:t>
                  </w:r>
                  <w:r>
                    <w:rPr>
                      <w:rFonts w:hint="default" w:ascii="Times New Roman" w:hAnsi="Times New Roman" w:cs="Times New Roman"/>
                      <w:szCs w:val="21"/>
                      <w:vertAlign w:val="superscript"/>
                    </w:rPr>
                    <w:t>2</w:t>
                  </w:r>
                </w:p>
              </w:tc>
              <w:tc>
                <w:tcPr>
                  <w:tcW w:w="37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49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废包装材料</w:t>
                  </w:r>
                </w:p>
              </w:tc>
              <w:tc>
                <w:tcPr>
                  <w:tcW w:w="487"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FF"/>
                      <w:szCs w:val="21"/>
                    </w:rPr>
                  </w:pPr>
                  <w:r>
                    <w:rPr>
                      <w:rFonts w:hint="eastAsia" w:cs="Times New Roman"/>
                      <w:color w:val="0000FF"/>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环保</w:t>
                  </w:r>
                </w:p>
                <w:p>
                  <w:pPr>
                    <w:adjustRightInd w:val="0"/>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工程</w:t>
                  </w:r>
                </w:p>
              </w:tc>
              <w:tc>
                <w:tcPr>
                  <w:tcW w:w="56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废水处理措施</w:t>
                  </w:r>
                </w:p>
              </w:tc>
              <w:tc>
                <w:tcPr>
                  <w:tcW w:w="58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szCs w:val="21"/>
                    </w:rPr>
                  </w:pPr>
                  <w:r>
                    <w:rPr>
                      <w:rFonts w:hint="default" w:ascii="Times New Roman" w:hAnsi="Times New Roman" w:cs="Times New Roman"/>
                      <w:kern w:val="0"/>
                      <w:szCs w:val="21"/>
                    </w:rPr>
                    <w:t>污水预处理池</w:t>
                  </w:r>
                </w:p>
              </w:tc>
              <w:tc>
                <w:tcPr>
                  <w:tcW w:w="200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kern w:val="0"/>
                      <w:szCs w:val="21"/>
                    </w:rPr>
                  </w:pPr>
                  <w:r>
                    <w:rPr>
                      <w:rFonts w:hint="default" w:ascii="Times New Roman" w:hAnsi="Times New Roman" w:cs="Times New Roman"/>
                      <w:kern w:val="0"/>
                      <w:szCs w:val="21"/>
                    </w:rPr>
                    <w:t>本项目依托厂房外</w:t>
                  </w:r>
                  <w:r>
                    <w:rPr>
                      <w:rFonts w:hint="default" w:ascii="Times New Roman" w:hAnsi="Times New Roman" w:cs="Times New Roman"/>
                      <w:kern w:val="0"/>
                      <w:szCs w:val="21"/>
                      <w:lang w:val="en-US" w:eastAsia="zh-CN"/>
                    </w:rPr>
                    <w:t>南</w:t>
                  </w:r>
                  <w:r>
                    <w:rPr>
                      <w:rFonts w:hint="default" w:ascii="Times New Roman" w:hAnsi="Times New Roman" w:cs="Times New Roman"/>
                      <w:kern w:val="0"/>
                      <w:szCs w:val="21"/>
                    </w:rPr>
                    <w:t>侧的一座20m</w:t>
                  </w:r>
                  <w:r>
                    <w:rPr>
                      <w:rFonts w:hint="default" w:ascii="Times New Roman" w:hAnsi="Times New Roman" w:cs="Times New Roman"/>
                      <w:kern w:val="0"/>
                      <w:szCs w:val="21"/>
                      <w:vertAlign w:val="superscript"/>
                    </w:rPr>
                    <w:t>3</w:t>
                  </w:r>
                  <w:r>
                    <w:rPr>
                      <w:rFonts w:hint="default" w:ascii="Times New Roman" w:hAnsi="Times New Roman" w:cs="Times New Roman"/>
                      <w:kern w:val="0"/>
                      <w:szCs w:val="21"/>
                    </w:rPr>
                    <w:t>的预处理池。</w:t>
                  </w:r>
                </w:p>
              </w:tc>
              <w:tc>
                <w:tcPr>
                  <w:tcW w:w="37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49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污泥、异味</w:t>
                  </w:r>
                </w:p>
              </w:tc>
              <w:tc>
                <w:tcPr>
                  <w:tcW w:w="487"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依托</w:t>
                  </w:r>
                </w:p>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已建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szCs w:val="21"/>
                    </w:rPr>
                  </w:pPr>
                </w:p>
              </w:tc>
              <w:tc>
                <w:tcPr>
                  <w:tcW w:w="566" w:type="pct"/>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szCs w:val="21"/>
                    </w:rPr>
                  </w:pPr>
                  <w:r>
                    <w:rPr>
                      <w:szCs w:val="21"/>
                    </w:rPr>
                    <w:t>废气处置措施</w:t>
                  </w:r>
                </w:p>
              </w:tc>
              <w:tc>
                <w:tcPr>
                  <w:tcW w:w="58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kern w:val="0"/>
                      <w:szCs w:val="21"/>
                      <w:highlight w:val="none"/>
                    </w:rPr>
                  </w:pPr>
                  <w:r>
                    <w:rPr>
                      <w:rFonts w:hint="default" w:ascii="Times New Roman" w:hAnsi="Times New Roman" w:cs="Times New Roman"/>
                      <w:kern w:val="0"/>
                      <w:szCs w:val="21"/>
                      <w:highlight w:val="none"/>
                    </w:rPr>
                    <w:t>破碎粉尘</w:t>
                  </w:r>
                </w:p>
              </w:tc>
              <w:tc>
                <w:tcPr>
                  <w:tcW w:w="200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highlight w:val="none"/>
                      <w:lang w:val="en-US"/>
                    </w:rPr>
                  </w:pPr>
                  <w:r>
                    <w:rPr>
                      <w:rFonts w:hint="default" w:ascii="Times New Roman" w:hAnsi="Times New Roman" w:cs="Times New Roman"/>
                      <w:color w:val="000000"/>
                      <w:szCs w:val="21"/>
                      <w:highlight w:val="none"/>
                    </w:rPr>
                    <w:t>设置密闭破碎房，</w:t>
                  </w:r>
                  <w:r>
                    <w:rPr>
                      <w:rFonts w:hint="default" w:ascii="Times New Roman" w:hAnsi="Times New Roman" w:cs="Times New Roman"/>
                      <w:szCs w:val="21"/>
                      <w:highlight w:val="none"/>
                    </w:rPr>
                    <w:t>在破碎机上方设置集气罩，将破碎粉尘收集后送至布袋除尘器进行处理</w:t>
                  </w:r>
                  <w:r>
                    <w:rPr>
                      <w:rFonts w:hint="default" w:ascii="Times New Roman" w:hAnsi="Times New Roman" w:cs="Times New Roman"/>
                      <w:kern w:val="0"/>
                      <w:szCs w:val="21"/>
                      <w:highlight w:val="none"/>
                    </w:rPr>
                    <w:t>，</w:t>
                  </w:r>
                  <w:r>
                    <w:rPr>
                      <w:rFonts w:hint="default" w:ascii="Times New Roman" w:hAnsi="Times New Roman" w:cs="Times New Roman"/>
                      <w:szCs w:val="21"/>
                      <w:highlight w:val="none"/>
                      <w:lang w:val="en-US" w:eastAsia="zh-CN"/>
                    </w:rPr>
                    <w:t>收集暂存，定期清理回用于生产线</w:t>
                  </w:r>
                </w:p>
              </w:tc>
              <w:tc>
                <w:tcPr>
                  <w:tcW w:w="37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49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粉尘</w:t>
                  </w:r>
                </w:p>
              </w:tc>
              <w:tc>
                <w:tcPr>
                  <w:tcW w:w="487"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0000FF"/>
                      <w:szCs w:val="21"/>
                      <w:lang w:eastAsia="zh-CN"/>
                    </w:rPr>
                  </w:pPr>
                  <w:r>
                    <w:rPr>
                      <w:rFonts w:hint="eastAsia" w:cs="Times New Roman"/>
                      <w:color w:val="0000FF"/>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szCs w:val="21"/>
                    </w:rPr>
                  </w:pPr>
                </w:p>
              </w:tc>
              <w:tc>
                <w:tcPr>
                  <w:tcW w:w="56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szCs w:val="21"/>
                    </w:rPr>
                  </w:pPr>
                </w:p>
              </w:tc>
              <w:tc>
                <w:tcPr>
                  <w:tcW w:w="58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有机</w:t>
                  </w:r>
                </w:p>
                <w:p>
                  <w:pPr>
                    <w:adjustRightInd w:val="0"/>
                    <w:snapToGrid w:val="0"/>
                    <w:spacing w:line="240" w:lineRule="auto"/>
                    <w:jc w:val="center"/>
                    <w:rPr>
                      <w:rFonts w:hint="default" w:ascii="Times New Roman" w:hAnsi="Times New Roman" w:cs="Times New Roman"/>
                      <w:szCs w:val="21"/>
                    </w:rPr>
                  </w:pPr>
                  <w:r>
                    <w:rPr>
                      <w:rFonts w:hint="default" w:ascii="Times New Roman" w:hAnsi="Times New Roman" w:cs="Times New Roman"/>
                      <w:szCs w:val="21"/>
                    </w:rPr>
                    <w:t>废气</w:t>
                  </w:r>
                </w:p>
              </w:tc>
              <w:tc>
                <w:tcPr>
                  <w:tcW w:w="2006" w:type="pct"/>
                  <w:tcBorders>
                    <w:tl2br w:val="nil"/>
                    <w:tr2bl w:val="nil"/>
                  </w:tcBorders>
                  <w:noWrap w:val="0"/>
                  <w:vAlign w:val="center"/>
                </w:tcPr>
                <w:p>
                  <w:pPr>
                    <w:snapToGrid w:val="0"/>
                    <w:spacing w:line="240" w:lineRule="auto"/>
                    <w:ind w:firstLine="420" w:firstLineChars="200"/>
                    <w:rPr>
                      <w:rFonts w:hint="default" w:ascii="Times New Roman" w:hAnsi="Times New Roman" w:cs="Times New Roman"/>
                      <w:sz w:val="18"/>
                      <w:szCs w:val="18"/>
                      <w:highlight w:val="yellow"/>
                    </w:rPr>
                  </w:pPr>
                  <w:r>
                    <w:rPr>
                      <w:rFonts w:hint="default" w:ascii="Times New Roman" w:hAnsi="Times New Roman" w:cs="Times New Roman"/>
                      <w:bCs/>
                      <w:color w:val="000000"/>
                      <w:szCs w:val="21"/>
                      <w:highlight w:val="none"/>
                    </w:rPr>
                    <w:t>在</w:t>
                  </w:r>
                  <w:r>
                    <w:rPr>
                      <w:rFonts w:hint="default" w:ascii="Times New Roman" w:hAnsi="Times New Roman" w:cs="Times New Roman"/>
                      <w:bCs/>
                      <w:color w:val="000000"/>
                      <w:szCs w:val="21"/>
                      <w:highlight w:val="none"/>
                      <w:lang w:val="en-US" w:eastAsia="zh-CN"/>
                    </w:rPr>
                    <w:t>8</w:t>
                  </w:r>
                  <w:r>
                    <w:rPr>
                      <w:rFonts w:hint="default" w:ascii="Times New Roman" w:hAnsi="Times New Roman" w:cs="Times New Roman"/>
                      <w:bCs/>
                      <w:color w:val="000000"/>
                      <w:szCs w:val="21"/>
                      <w:highlight w:val="none"/>
                    </w:rPr>
                    <w:t>套PVC挤塑机挤塑主机出口上方、</w:t>
                  </w:r>
                  <w:r>
                    <w:rPr>
                      <w:rFonts w:hint="default" w:ascii="Times New Roman" w:hAnsi="Times New Roman" w:cs="Times New Roman"/>
                      <w:bCs/>
                      <w:color w:val="000000"/>
                      <w:szCs w:val="21"/>
                      <w:highlight w:val="none"/>
                      <w:lang w:val="en-US" w:eastAsia="zh-CN"/>
                    </w:rPr>
                    <w:t>2套</w:t>
                  </w:r>
                  <w:r>
                    <w:rPr>
                      <w:rFonts w:hint="default" w:ascii="Times New Roman" w:hAnsi="Times New Roman" w:cs="Times New Roman"/>
                      <w:bCs/>
                      <w:color w:val="000000"/>
                      <w:szCs w:val="21"/>
                      <w:highlight w:val="none"/>
                    </w:rPr>
                    <w:t>PPR挤塑机挤塑主机出口上方、</w:t>
                  </w:r>
                  <w:r>
                    <w:rPr>
                      <w:rFonts w:hint="default" w:ascii="Times New Roman" w:hAnsi="Times New Roman" w:cs="Times New Roman"/>
                      <w:bCs/>
                      <w:color w:val="000000"/>
                      <w:szCs w:val="21"/>
                      <w:highlight w:val="none"/>
                      <w:lang w:val="en-US" w:eastAsia="zh-CN"/>
                    </w:rPr>
                    <w:t>3</w:t>
                  </w:r>
                  <w:r>
                    <w:rPr>
                      <w:rFonts w:hint="default" w:ascii="Times New Roman" w:hAnsi="Times New Roman" w:cs="Times New Roman"/>
                      <w:bCs/>
                      <w:color w:val="000000"/>
                      <w:szCs w:val="21"/>
                      <w:highlight w:val="none"/>
                    </w:rPr>
                    <w:t>套PE挤塑机挤塑主机出口上方、</w:t>
                  </w:r>
                  <w:r>
                    <w:rPr>
                      <w:rFonts w:hint="default" w:ascii="Times New Roman" w:hAnsi="Times New Roman" w:cs="Times New Roman"/>
                      <w:bCs/>
                      <w:color w:val="000000"/>
                      <w:szCs w:val="21"/>
                      <w:highlight w:val="none"/>
                      <w:lang w:val="en-US" w:eastAsia="zh-CN"/>
                    </w:rPr>
                    <w:t>10</w:t>
                  </w:r>
                  <w:r>
                    <w:rPr>
                      <w:rFonts w:hint="default" w:ascii="Times New Roman" w:hAnsi="Times New Roman" w:cs="Times New Roman"/>
                      <w:bCs/>
                      <w:color w:val="000000"/>
                      <w:szCs w:val="21"/>
                      <w:highlight w:val="none"/>
                    </w:rPr>
                    <w:t>台注塑机注塑工序上方分别设置集气罩</w:t>
                  </w:r>
                  <w:r>
                    <w:rPr>
                      <w:rFonts w:hint="default" w:ascii="Times New Roman" w:hAnsi="Times New Roman" w:cs="Times New Roman"/>
                      <w:szCs w:val="21"/>
                      <w:highlight w:val="none"/>
                    </w:rPr>
                    <w:t>。有机废气</w:t>
                  </w:r>
                  <w:r>
                    <w:rPr>
                      <w:rFonts w:hint="default" w:ascii="Times New Roman" w:hAnsi="Times New Roman" w:cs="Times New Roman"/>
                      <w:bCs/>
                      <w:szCs w:val="21"/>
                      <w:highlight w:val="none"/>
                    </w:rPr>
                    <w:t>引入一根主管道引至车间外的</w:t>
                  </w:r>
                  <w:r>
                    <w:rPr>
                      <w:rFonts w:hint="default" w:ascii="Times New Roman" w:hAnsi="Times New Roman" w:cs="Times New Roman"/>
                      <w:szCs w:val="21"/>
                      <w:highlight w:val="none"/>
                    </w:rPr>
                    <w:t>1套有机废气处理系统（“UV光解+二级活性炭吸附装置”）处理后通过1根15m排气筒排放（</w:t>
                  </w:r>
                  <w:r>
                    <w:rPr>
                      <w:rFonts w:hint="default" w:ascii="Times New Roman" w:hAnsi="Times New Roman" w:cs="Times New Roman"/>
                      <w:bCs/>
                      <w:color w:val="000000"/>
                      <w:szCs w:val="21"/>
                      <w:highlight w:val="none"/>
                    </w:rPr>
                    <w:t>编号</w:t>
                  </w:r>
                  <w:r>
                    <w:rPr>
                      <w:rFonts w:hint="default" w:ascii="Times New Roman" w:hAnsi="Times New Roman" w:cs="Times New Roman"/>
                      <w:bCs/>
                      <w:color w:val="000000"/>
                      <w:szCs w:val="21"/>
                      <w:highlight w:val="none"/>
                      <w:lang w:val="en-US" w:eastAsia="zh-CN"/>
                    </w:rPr>
                    <w:t>DA00</w:t>
                  </w:r>
                  <w:r>
                    <w:rPr>
                      <w:rFonts w:hint="default" w:ascii="Times New Roman" w:hAnsi="Times New Roman" w:cs="Times New Roman"/>
                      <w:bCs/>
                      <w:color w:val="000000"/>
                      <w:szCs w:val="21"/>
                      <w:highlight w:val="none"/>
                    </w:rPr>
                    <w:t>1</w:t>
                  </w:r>
                  <w:r>
                    <w:rPr>
                      <w:rFonts w:hint="default" w:ascii="Times New Roman" w:hAnsi="Times New Roman" w:cs="Times New Roman"/>
                      <w:szCs w:val="21"/>
                      <w:highlight w:val="none"/>
                    </w:rPr>
                    <w:t>）。</w:t>
                  </w:r>
                </w:p>
              </w:tc>
              <w:tc>
                <w:tcPr>
                  <w:tcW w:w="37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496"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有机废气、废活性炭</w:t>
                  </w:r>
                </w:p>
              </w:tc>
              <w:tc>
                <w:tcPr>
                  <w:tcW w:w="487" w:type="pct"/>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FF"/>
                      <w:szCs w:val="21"/>
                    </w:rPr>
                  </w:pPr>
                  <w:r>
                    <w:rPr>
                      <w:rFonts w:hint="default" w:ascii="Times New Roman" w:hAnsi="Times New Roman" w:cs="Times New Roman"/>
                      <w:color w:val="0000FF"/>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szCs w:val="21"/>
                    </w:rPr>
                  </w:pPr>
                </w:p>
              </w:tc>
              <w:tc>
                <w:tcPr>
                  <w:tcW w:w="56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szCs w:val="21"/>
                    </w:rPr>
                  </w:pPr>
                </w:p>
              </w:tc>
              <w:tc>
                <w:tcPr>
                  <w:tcW w:w="586" w:type="pct"/>
                  <w:tcBorders>
                    <w:tl2br w:val="nil"/>
                    <w:tr2bl w:val="nil"/>
                  </w:tcBorders>
                  <w:noWrap w:val="0"/>
                  <w:vAlign w:val="center"/>
                </w:tcPr>
                <w:p>
                  <w:pPr>
                    <w:adjustRightInd w:val="0"/>
                    <w:snapToGrid w:val="0"/>
                    <w:jc w:val="center"/>
                    <w:rPr>
                      <w:rFonts w:hint="default" w:ascii="Times New Roman" w:hAnsi="Times New Roman" w:cs="Times New Roman"/>
                      <w:szCs w:val="21"/>
                    </w:rPr>
                  </w:pPr>
                  <w:r>
                    <w:rPr>
                      <w:szCs w:val="21"/>
                    </w:rPr>
                    <w:t>氯化氢</w:t>
                  </w:r>
                </w:p>
              </w:tc>
              <w:tc>
                <w:tcPr>
                  <w:tcW w:w="2006" w:type="pct"/>
                  <w:tcBorders>
                    <w:tl2br w:val="nil"/>
                    <w:tr2bl w:val="nil"/>
                  </w:tcBorders>
                  <w:noWrap w:val="0"/>
                  <w:vAlign w:val="center"/>
                </w:tcPr>
                <w:p>
                  <w:pPr>
                    <w:adjustRightInd w:val="0"/>
                    <w:snapToGrid w:val="0"/>
                    <w:jc w:val="left"/>
                    <w:rPr>
                      <w:rFonts w:hint="default" w:ascii="Times New Roman" w:hAnsi="Times New Roman" w:cs="Times New Roman"/>
                      <w:bCs/>
                      <w:color w:val="000000"/>
                      <w:szCs w:val="21"/>
                      <w:highlight w:val="none"/>
                    </w:rPr>
                  </w:pPr>
                  <w:r>
                    <w:rPr>
                      <w:rFonts w:hint="eastAsia"/>
                      <w:bCs/>
                      <w:color w:val="000000"/>
                      <w:szCs w:val="21"/>
                    </w:rPr>
                    <w:t>在</w:t>
                  </w:r>
                  <w:r>
                    <w:rPr>
                      <w:rFonts w:hint="eastAsia"/>
                      <w:bCs/>
                      <w:color w:val="000000"/>
                      <w:szCs w:val="21"/>
                      <w:lang w:val="en-US" w:eastAsia="zh-CN"/>
                    </w:rPr>
                    <w:t>8</w:t>
                  </w:r>
                  <w:r>
                    <w:rPr>
                      <w:rFonts w:hint="eastAsia"/>
                      <w:bCs/>
                      <w:color w:val="000000"/>
                      <w:szCs w:val="21"/>
                    </w:rPr>
                    <w:t>套PVC挤塑机挤塑主机出口上方、</w:t>
                  </w:r>
                  <w:r>
                    <w:rPr>
                      <w:rFonts w:hint="eastAsia"/>
                      <w:bCs/>
                      <w:color w:val="000000"/>
                      <w:szCs w:val="21"/>
                      <w:lang w:val="en-US" w:eastAsia="zh-CN"/>
                    </w:rPr>
                    <w:t>8</w:t>
                  </w:r>
                  <w:r>
                    <w:rPr>
                      <w:rFonts w:hint="eastAsia"/>
                      <w:bCs/>
                      <w:color w:val="000000"/>
                      <w:szCs w:val="21"/>
                    </w:rPr>
                    <w:t>台PVC管件注塑机上方分别设置集气罩</w:t>
                  </w:r>
                  <w:r>
                    <w:rPr>
                      <w:rFonts w:hint="eastAsia"/>
                      <w:bCs/>
                      <w:szCs w:val="21"/>
                      <w:lang w:val="de-DE"/>
                    </w:rPr>
                    <w:t>PVC管材及管件生产过程中产生的废气</w:t>
                  </w:r>
                  <w:r>
                    <w:rPr>
                      <w:rFonts w:hint="eastAsia"/>
                      <w:bCs/>
                      <w:color w:val="000000"/>
                      <w:szCs w:val="21"/>
                    </w:rPr>
                    <w:t>经收集后，先通过一套喷淋塔去除氯化氢气体，再由过滤棉去除多余水分后，再进入有机废气处理系统由15高排气筒排放（编号：</w:t>
                  </w:r>
                  <w:r>
                    <w:rPr>
                      <w:rFonts w:hint="eastAsia"/>
                      <w:bCs/>
                      <w:color w:val="000000"/>
                      <w:szCs w:val="21"/>
                      <w:lang w:val="en-US" w:eastAsia="zh-CN"/>
                    </w:rPr>
                    <w:t>DA001</w:t>
                  </w:r>
                  <w:r>
                    <w:rPr>
                      <w:rFonts w:hint="eastAsia"/>
                      <w:bCs/>
                      <w:color w:val="000000"/>
                      <w:szCs w:val="21"/>
                    </w:rPr>
                    <w:t>）。</w:t>
                  </w:r>
                </w:p>
              </w:tc>
              <w:tc>
                <w:tcPr>
                  <w:tcW w:w="37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496" w:type="pct"/>
                  <w:tcBorders>
                    <w:tl2br w:val="nil"/>
                    <w:tr2bl w:val="nil"/>
                  </w:tcBorders>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eastAsia"/>
                      <w:color w:val="000000"/>
                      <w:szCs w:val="21"/>
                    </w:rPr>
                    <w:t>碱喷淋废水</w:t>
                  </w:r>
                </w:p>
              </w:tc>
              <w:tc>
                <w:tcPr>
                  <w:tcW w:w="487" w:type="pct"/>
                  <w:tcBorders>
                    <w:tl2br w:val="nil"/>
                    <w:tr2bl w:val="nil"/>
                  </w:tcBorders>
                  <w:noWrap w:val="0"/>
                  <w:vAlign w:val="center"/>
                </w:tcPr>
                <w:p>
                  <w:pPr>
                    <w:adjustRightInd w:val="0"/>
                    <w:snapToGrid w:val="0"/>
                    <w:spacing w:line="288" w:lineRule="auto"/>
                    <w:jc w:val="center"/>
                    <w:rPr>
                      <w:rFonts w:hint="default" w:ascii="Times New Roman" w:hAnsi="Times New Roman" w:cs="Times New Roman"/>
                      <w:color w:val="0000FF"/>
                      <w:szCs w:val="21"/>
                    </w:rPr>
                  </w:pPr>
                  <w:r>
                    <w:rPr>
                      <w:rFonts w:hint="eastAsia"/>
                      <w:color w:val="000000"/>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566" w:type="pct"/>
                  <w:tcBorders>
                    <w:tl2br w:val="nil"/>
                    <w:tr2bl w:val="nil"/>
                  </w:tcBorders>
                  <w:noWrap w:val="0"/>
                  <w:vAlign w:val="center"/>
                </w:tcPr>
                <w:p>
                  <w:pPr>
                    <w:pStyle w:val="32"/>
                    <w:snapToGrid w:val="0"/>
                    <w:spacing w:before="0" w:after="0"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噪声</w:t>
                  </w:r>
                </w:p>
                <w:p>
                  <w:pPr>
                    <w:pStyle w:val="32"/>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rPr>
                    <w:t>治理</w:t>
                  </w:r>
                </w:p>
              </w:tc>
              <w:tc>
                <w:tcPr>
                  <w:tcW w:w="2592" w:type="pct"/>
                  <w:gridSpan w:val="2"/>
                  <w:tcBorders>
                    <w:tl2br w:val="nil"/>
                    <w:tr2bl w:val="nil"/>
                  </w:tcBorders>
                  <w:noWrap w:val="0"/>
                  <w:vAlign w:val="center"/>
                </w:tcPr>
                <w:p>
                  <w:pPr>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bCs/>
                      <w:szCs w:val="21"/>
                    </w:rPr>
                    <w:t>各设备均置于厂房内，并合理布置各设备，合理安排生产时间</w:t>
                  </w:r>
                </w:p>
              </w:tc>
              <w:tc>
                <w:tcPr>
                  <w:tcW w:w="370"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496" w:type="pct"/>
                  <w:tcBorders>
                    <w:tl2br w:val="nil"/>
                    <w:tr2bl w:val="nil"/>
                  </w:tcBorders>
                  <w:noWrap w:val="0"/>
                  <w:vAlign w:val="center"/>
                </w:tcPr>
                <w:p>
                  <w:pPr>
                    <w:pStyle w:val="32"/>
                    <w:snapToGrid w:val="0"/>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 w:val="21"/>
                      <w:szCs w:val="21"/>
                    </w:rPr>
                    <w:t>噪声</w:t>
                  </w:r>
                </w:p>
              </w:tc>
              <w:tc>
                <w:tcPr>
                  <w:tcW w:w="487" w:type="pct"/>
                  <w:tcBorders>
                    <w:tl2br w:val="nil"/>
                    <w:tr2bl w:val="nil"/>
                  </w:tcBorders>
                  <w:noWrap w:val="0"/>
                  <w:vAlign w:val="center"/>
                </w:tcPr>
                <w:p>
                  <w:pPr>
                    <w:spacing w:line="240" w:lineRule="auto"/>
                    <w:jc w:val="center"/>
                    <w:rPr>
                      <w:rFonts w:hint="default" w:ascii="Times New Roman" w:hAnsi="Times New Roman" w:cs="Times New Roman"/>
                      <w:color w:val="0000FF"/>
                    </w:rPr>
                  </w:pPr>
                  <w:r>
                    <w:rPr>
                      <w:rFonts w:hint="default" w:ascii="Times New Roman" w:hAnsi="Times New Roman" w:cs="Times New Roman"/>
                      <w:color w:val="0000FF"/>
                      <w:szCs w:val="21"/>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566" w:type="pct"/>
                  <w:vMerge w:val="restart"/>
                  <w:tcBorders>
                    <w:tl2br w:val="nil"/>
                    <w:tr2bl w:val="nil"/>
                  </w:tcBorders>
                  <w:noWrap w:val="0"/>
                  <w:vAlign w:val="center"/>
                </w:tcPr>
                <w:p>
                  <w:pPr>
                    <w:pStyle w:val="32"/>
                    <w:snapToGrid w:val="0"/>
                    <w:spacing w:before="0" w:after="0"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固废</w:t>
                  </w:r>
                </w:p>
                <w:p>
                  <w:pPr>
                    <w:pStyle w:val="32"/>
                    <w:snapToGrid w:val="0"/>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处置</w:t>
                  </w:r>
                </w:p>
              </w:tc>
              <w:tc>
                <w:tcPr>
                  <w:tcW w:w="586" w:type="pct"/>
                  <w:tcBorders>
                    <w:tl2br w:val="nil"/>
                    <w:tr2bl w:val="nil"/>
                  </w:tcBorders>
                  <w:noWrap w:val="0"/>
                  <w:vAlign w:val="center"/>
                </w:tcPr>
                <w:p>
                  <w:pPr>
                    <w:snapToGrid w:val="0"/>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生活垃圾收集</w:t>
                  </w:r>
                </w:p>
              </w:tc>
              <w:tc>
                <w:tcPr>
                  <w:tcW w:w="2006" w:type="pct"/>
                  <w:tcBorders>
                    <w:tl2br w:val="nil"/>
                    <w:tr2bl w:val="nil"/>
                  </w:tcBorders>
                  <w:noWrap w:val="0"/>
                  <w:vAlign w:val="center"/>
                </w:tcPr>
                <w:p>
                  <w:pPr>
                    <w:snapToGrid w:val="0"/>
                    <w:spacing w:line="240" w:lineRule="auto"/>
                    <w:jc w:val="center"/>
                    <w:rPr>
                      <w:rFonts w:hint="default" w:ascii="Times New Roman" w:hAnsi="Times New Roman" w:cs="Times New Roman"/>
                      <w:bCs/>
                      <w:szCs w:val="21"/>
                    </w:rPr>
                  </w:pPr>
                  <w:r>
                    <w:rPr>
                      <w:rFonts w:hint="default" w:ascii="Times New Roman" w:hAnsi="Times New Roman" w:cs="Times New Roman"/>
                      <w:szCs w:val="21"/>
                    </w:rPr>
                    <w:t>厂内设垃圾桶，集中由市政环卫部门清运处置</w:t>
                  </w:r>
                </w:p>
              </w:tc>
              <w:tc>
                <w:tcPr>
                  <w:tcW w:w="370" w:type="pct"/>
                  <w:vMerge w:val="continue"/>
                  <w:tcBorders>
                    <w:tl2br w:val="nil"/>
                    <w:tr2bl w:val="nil"/>
                  </w:tcBorders>
                  <w:noWrap w:val="0"/>
                  <w:vAlign w:val="center"/>
                </w:tcPr>
                <w:p>
                  <w:pPr>
                    <w:spacing w:line="240" w:lineRule="auto"/>
                    <w:rPr>
                      <w:rFonts w:hint="default" w:ascii="Times New Roman" w:hAnsi="Times New Roman" w:cs="Times New Roman"/>
                      <w:color w:val="000000"/>
                      <w:szCs w:val="21"/>
                    </w:rPr>
                  </w:pPr>
                </w:p>
              </w:tc>
              <w:tc>
                <w:tcPr>
                  <w:tcW w:w="496" w:type="pct"/>
                  <w:tcBorders>
                    <w:tl2br w:val="nil"/>
                    <w:tr2bl w:val="nil"/>
                  </w:tcBorders>
                  <w:noWrap w:val="0"/>
                  <w:vAlign w:val="center"/>
                </w:tcPr>
                <w:p>
                  <w:pPr>
                    <w:pStyle w:val="11"/>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生活垃圾</w:t>
                  </w:r>
                </w:p>
              </w:tc>
              <w:tc>
                <w:tcPr>
                  <w:tcW w:w="487"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依托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566" w:type="pct"/>
                  <w:vMerge w:val="continue"/>
                  <w:tcBorders>
                    <w:tl2br w:val="nil"/>
                    <w:tr2bl w:val="nil"/>
                  </w:tcBorders>
                  <w:noWrap w:val="0"/>
                  <w:vAlign w:val="center"/>
                </w:tcPr>
                <w:p>
                  <w:pPr>
                    <w:pStyle w:val="32"/>
                    <w:snapToGrid w:val="0"/>
                    <w:spacing w:before="0" w:after="0" w:line="240" w:lineRule="auto"/>
                    <w:jc w:val="center"/>
                    <w:rPr>
                      <w:rFonts w:hint="default" w:ascii="Times New Roman" w:hAnsi="Times New Roman" w:cs="Times New Roman"/>
                      <w:color w:val="000000"/>
                      <w:sz w:val="21"/>
                      <w:szCs w:val="21"/>
                    </w:rPr>
                  </w:pPr>
                </w:p>
              </w:tc>
              <w:tc>
                <w:tcPr>
                  <w:tcW w:w="586" w:type="pct"/>
                  <w:tcBorders>
                    <w:tl2br w:val="nil"/>
                    <w:tr2bl w:val="nil"/>
                  </w:tcBorders>
                  <w:noWrap w:val="0"/>
                  <w:vAlign w:val="center"/>
                </w:tcPr>
                <w:p>
                  <w:pPr>
                    <w:snapToGrid w:val="0"/>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一般固废临时堆放间</w:t>
                  </w:r>
                </w:p>
              </w:tc>
              <w:tc>
                <w:tcPr>
                  <w:tcW w:w="2006" w:type="pct"/>
                  <w:tcBorders>
                    <w:tl2br w:val="nil"/>
                    <w:tr2bl w:val="nil"/>
                  </w:tcBorders>
                  <w:noWrap w:val="0"/>
                  <w:vAlign w:val="center"/>
                </w:tcPr>
                <w:p>
                  <w:pPr>
                    <w:snapToGrid w:val="0"/>
                    <w:spacing w:line="240" w:lineRule="auto"/>
                    <w:rPr>
                      <w:rFonts w:hint="default" w:ascii="Times New Roman" w:hAnsi="Times New Roman" w:cs="Times New Roman"/>
                      <w:bCs/>
                      <w:szCs w:val="21"/>
                    </w:rPr>
                  </w:pPr>
                  <w:r>
                    <w:rPr>
                      <w:rFonts w:hint="default" w:ascii="Times New Roman" w:hAnsi="Times New Roman" w:cs="Times New Roman"/>
                      <w:bCs/>
                      <w:szCs w:val="21"/>
                    </w:rPr>
                    <w:t>在厂区内设置一般固废收集间，用于</w:t>
                  </w:r>
                  <w:r>
                    <w:rPr>
                      <w:rFonts w:hint="default" w:ascii="Times New Roman" w:hAnsi="Times New Roman" w:cs="Times New Roman"/>
                      <w:bCs/>
                      <w:color w:val="000000"/>
                      <w:szCs w:val="21"/>
                    </w:rPr>
                    <w:t>用于存放不合格产品及边角料</w:t>
                  </w:r>
                </w:p>
              </w:tc>
              <w:tc>
                <w:tcPr>
                  <w:tcW w:w="370" w:type="pct"/>
                  <w:vMerge w:val="continue"/>
                  <w:tcBorders>
                    <w:tl2br w:val="nil"/>
                    <w:tr2bl w:val="nil"/>
                  </w:tcBorders>
                  <w:noWrap w:val="0"/>
                  <w:vAlign w:val="center"/>
                </w:tcPr>
                <w:p>
                  <w:pPr>
                    <w:spacing w:line="240" w:lineRule="auto"/>
                    <w:rPr>
                      <w:rFonts w:hint="default" w:ascii="Times New Roman" w:hAnsi="Times New Roman" w:cs="Times New Roman"/>
                      <w:color w:val="000000"/>
                      <w:szCs w:val="21"/>
                    </w:rPr>
                  </w:pPr>
                </w:p>
              </w:tc>
              <w:tc>
                <w:tcPr>
                  <w:tcW w:w="496" w:type="pct"/>
                  <w:tcBorders>
                    <w:tl2br w:val="nil"/>
                    <w:tr2bl w:val="nil"/>
                  </w:tcBorders>
                  <w:noWrap w:val="0"/>
                  <w:vAlign w:val="center"/>
                </w:tcPr>
                <w:p>
                  <w:pPr>
                    <w:pStyle w:val="11"/>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一般固体废弃物</w:t>
                  </w:r>
                </w:p>
              </w:tc>
              <w:tc>
                <w:tcPr>
                  <w:tcW w:w="487" w:type="pct"/>
                  <w:tcBorders>
                    <w:tl2br w:val="nil"/>
                    <w:tr2bl w:val="nil"/>
                  </w:tcBorders>
                  <w:noWrap w:val="0"/>
                  <w:vAlign w:val="center"/>
                </w:tcPr>
                <w:p>
                  <w:pPr>
                    <w:spacing w:line="240" w:lineRule="auto"/>
                    <w:jc w:val="center"/>
                    <w:rPr>
                      <w:rFonts w:hint="default" w:ascii="Times New Roman" w:hAnsi="Times New Roman" w:eastAsia="宋体" w:cs="Times New Roman"/>
                      <w:color w:val="0000FF"/>
                      <w:lang w:val="en-US" w:eastAsia="zh-CN"/>
                    </w:rPr>
                  </w:pPr>
                  <w:r>
                    <w:rPr>
                      <w:rFonts w:hint="eastAsia" w:cs="Times New Roman"/>
                      <w:color w:val="0000FF"/>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6" w:type="pct"/>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000000"/>
                      <w:szCs w:val="21"/>
                    </w:rPr>
                  </w:pPr>
                </w:p>
              </w:tc>
              <w:tc>
                <w:tcPr>
                  <w:tcW w:w="566" w:type="pct"/>
                  <w:vMerge w:val="continue"/>
                  <w:tcBorders>
                    <w:tl2br w:val="nil"/>
                    <w:tr2bl w:val="nil"/>
                  </w:tcBorders>
                  <w:noWrap w:val="0"/>
                  <w:vAlign w:val="center"/>
                </w:tcPr>
                <w:p>
                  <w:pPr>
                    <w:pStyle w:val="32"/>
                    <w:snapToGrid w:val="0"/>
                    <w:spacing w:before="0" w:after="0" w:line="240" w:lineRule="auto"/>
                    <w:jc w:val="center"/>
                    <w:rPr>
                      <w:rFonts w:hint="default" w:ascii="Times New Roman" w:hAnsi="Times New Roman" w:cs="Times New Roman"/>
                      <w:color w:val="000000"/>
                      <w:sz w:val="21"/>
                      <w:szCs w:val="21"/>
                    </w:rPr>
                  </w:pPr>
                </w:p>
              </w:tc>
              <w:tc>
                <w:tcPr>
                  <w:tcW w:w="586" w:type="pct"/>
                  <w:tcBorders>
                    <w:tl2br w:val="nil"/>
                    <w:tr2bl w:val="nil"/>
                  </w:tcBorders>
                  <w:noWrap w:val="0"/>
                  <w:vAlign w:val="center"/>
                </w:tcPr>
                <w:p>
                  <w:pPr>
                    <w:snapToGrid w:val="0"/>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 xml:space="preserve">危废暂存区 </w:t>
                  </w:r>
                </w:p>
              </w:tc>
              <w:tc>
                <w:tcPr>
                  <w:tcW w:w="2006" w:type="pct"/>
                  <w:tcBorders>
                    <w:tl2br w:val="nil"/>
                    <w:tr2bl w:val="nil"/>
                  </w:tcBorders>
                  <w:noWrap w:val="0"/>
                  <w:vAlign w:val="center"/>
                </w:tcPr>
                <w:p>
                  <w:pPr>
                    <w:snapToGrid w:val="0"/>
                    <w:spacing w:line="240" w:lineRule="auto"/>
                    <w:rPr>
                      <w:rFonts w:hint="default" w:ascii="Times New Roman" w:hAnsi="Times New Roman" w:cs="Times New Roman"/>
                      <w:bCs/>
                      <w:szCs w:val="21"/>
                    </w:rPr>
                  </w:pPr>
                  <w:r>
                    <w:rPr>
                      <w:rFonts w:hint="default" w:ascii="Times New Roman" w:hAnsi="Times New Roman" w:cs="Times New Roman"/>
                      <w:szCs w:val="21"/>
                    </w:rPr>
                    <w:t>生产车间内东北南角设置一处占地面积约为10m</w:t>
                  </w:r>
                  <w:r>
                    <w:rPr>
                      <w:rFonts w:hint="default" w:ascii="Times New Roman" w:hAnsi="Times New Roman" w:cs="Times New Roman"/>
                      <w:szCs w:val="21"/>
                      <w:vertAlign w:val="superscript"/>
                    </w:rPr>
                    <w:t>2</w:t>
                  </w:r>
                  <w:r>
                    <w:rPr>
                      <w:rFonts w:hint="default" w:ascii="Times New Roman" w:hAnsi="Times New Roman" w:cs="Times New Roman"/>
                      <w:szCs w:val="21"/>
                    </w:rPr>
                    <w:t>的危险废物暂存间，用于暂存在生产过程中产生的废活性炭、废机油等危险废物。</w:t>
                  </w:r>
                </w:p>
              </w:tc>
              <w:tc>
                <w:tcPr>
                  <w:tcW w:w="370" w:type="pct"/>
                  <w:vMerge w:val="continue"/>
                  <w:tcBorders>
                    <w:tl2br w:val="nil"/>
                    <w:tr2bl w:val="nil"/>
                  </w:tcBorders>
                  <w:noWrap w:val="0"/>
                  <w:vAlign w:val="center"/>
                </w:tcPr>
                <w:p>
                  <w:pPr>
                    <w:spacing w:line="240" w:lineRule="auto"/>
                    <w:rPr>
                      <w:rFonts w:hint="default" w:ascii="Times New Roman" w:hAnsi="Times New Roman" w:cs="Times New Roman"/>
                      <w:color w:val="000000"/>
                      <w:szCs w:val="21"/>
                    </w:rPr>
                  </w:pPr>
                </w:p>
              </w:tc>
              <w:tc>
                <w:tcPr>
                  <w:tcW w:w="496" w:type="pct"/>
                  <w:tcBorders>
                    <w:tl2br w:val="nil"/>
                    <w:tr2bl w:val="nil"/>
                  </w:tcBorders>
                  <w:noWrap w:val="0"/>
                  <w:vAlign w:val="center"/>
                </w:tcPr>
                <w:p>
                  <w:pPr>
                    <w:pStyle w:val="11"/>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危险固体废物</w:t>
                  </w:r>
                </w:p>
              </w:tc>
              <w:tc>
                <w:tcPr>
                  <w:tcW w:w="487" w:type="pct"/>
                  <w:tcBorders>
                    <w:tl2br w:val="nil"/>
                    <w:tr2bl w:val="nil"/>
                  </w:tcBorders>
                  <w:noWrap w:val="0"/>
                  <w:vAlign w:val="center"/>
                </w:tcPr>
                <w:p>
                  <w:pPr>
                    <w:spacing w:line="240" w:lineRule="auto"/>
                    <w:jc w:val="center"/>
                    <w:rPr>
                      <w:rFonts w:hint="eastAsia" w:ascii="Times New Roman" w:hAnsi="Times New Roman" w:eastAsia="宋体" w:cs="Times New Roman"/>
                      <w:color w:val="0000FF"/>
                      <w:szCs w:val="21"/>
                      <w:lang w:eastAsia="zh-CN"/>
                    </w:rPr>
                  </w:pPr>
                  <w:r>
                    <w:rPr>
                      <w:rFonts w:hint="default" w:ascii="Times New Roman" w:hAnsi="Times New Roman" w:cs="Times New Roman"/>
                      <w:color w:val="0000FF"/>
                      <w:szCs w:val="21"/>
                    </w:rPr>
                    <w:t>新</w:t>
                  </w:r>
                  <w:r>
                    <w:rPr>
                      <w:rFonts w:hint="eastAsia" w:cs="Times New Roman"/>
                      <w:color w:val="0000FF"/>
                      <w:szCs w:val="21"/>
                      <w:lang w:val="en-US" w:eastAsia="zh-CN"/>
                    </w:rPr>
                    <w:t>建</w:t>
                  </w:r>
                </w:p>
              </w:tc>
            </w:tr>
          </w:tbl>
          <w:p>
            <w:pPr>
              <w:pStyle w:val="24"/>
              <w:bidi w:val="0"/>
              <w:spacing w:line="360" w:lineRule="auto"/>
              <w:ind w:left="0" w:leftChars="0" w:firstLine="482" w:firstLineChars="200"/>
              <w:rPr>
                <w:rFonts w:hint="default" w:ascii="Times New Roman" w:hAnsi="Times New Roman" w:cs="Times New Roman"/>
                <w:b/>
                <w:bCs/>
              </w:rPr>
            </w:pPr>
            <w:r>
              <w:rPr>
                <w:rFonts w:hint="default" w:ascii="Times New Roman" w:hAnsi="Times New Roman" w:cs="Times New Roman"/>
                <w:b/>
                <w:bCs/>
                <w:lang w:val="en-US" w:eastAsia="zh-CN"/>
              </w:rPr>
              <w:t>4、</w:t>
            </w:r>
            <w:r>
              <w:rPr>
                <w:rFonts w:hint="default" w:ascii="Times New Roman" w:hAnsi="Times New Roman" w:cs="Times New Roman"/>
                <w:b/>
                <w:bCs/>
              </w:rPr>
              <w:t>主要设备清单</w:t>
            </w:r>
          </w:p>
          <w:p>
            <w:pPr>
              <w:pStyle w:val="24"/>
              <w:bidi w:val="0"/>
              <w:spacing w:line="360" w:lineRule="auto"/>
              <w:rPr>
                <w:rFonts w:hint="default" w:ascii="Times New Roman" w:hAnsi="Times New Roman" w:cs="Times New Roman"/>
              </w:rPr>
            </w:pPr>
            <w:r>
              <w:rPr>
                <w:rFonts w:hint="default" w:ascii="Times New Roman" w:hAnsi="Times New Roman" w:cs="Times New Roman"/>
              </w:rPr>
              <w:t>本项目生产过程中主要生产设备如下：</w:t>
            </w:r>
          </w:p>
          <w:p>
            <w:pPr>
              <w:pStyle w:val="25"/>
              <w:bidi w:val="0"/>
              <w:spacing w:line="360" w:lineRule="auto"/>
              <w:rPr>
                <w:rFonts w:hint="default" w:ascii="Times New Roman" w:hAnsi="Times New Roman" w:cs="Times New Roman"/>
              </w:rPr>
            </w:pPr>
            <w:r>
              <w:rPr>
                <w:rFonts w:hint="default" w:ascii="Times New Roman" w:hAnsi="Times New Roman" w:cs="Times New Roman"/>
                <w:lang w:val="zh-CN"/>
              </w:rPr>
              <w:t>表</w:t>
            </w:r>
            <w:r>
              <w:rPr>
                <w:rFonts w:hint="default" w:ascii="Times New Roman" w:hAnsi="Times New Roman" w:cs="Times New Roman"/>
                <w:lang w:val="en-US" w:eastAsia="zh-CN"/>
              </w:rPr>
              <w:t xml:space="preserve">2-3 </w:t>
            </w:r>
            <w:r>
              <w:rPr>
                <w:rFonts w:hint="default" w:ascii="Times New Roman" w:hAnsi="Times New Roman" w:cs="Times New Roman"/>
              </w:rPr>
              <w:t xml:space="preserve">  </w:t>
            </w:r>
            <w:r>
              <w:rPr>
                <w:rFonts w:hint="default" w:ascii="Times New Roman" w:hAnsi="Times New Roman" w:cs="Times New Roman"/>
                <w:lang w:val="zh-CN"/>
              </w:rPr>
              <w:t>主要生产设备明细表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909"/>
              <w:gridCol w:w="1879"/>
              <w:gridCol w:w="963"/>
              <w:gridCol w:w="24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40" w:type="pct"/>
                  <w:tcBorders>
                    <w:tl2br w:val="nil"/>
                    <w:tr2bl w:val="nil"/>
                  </w:tcBorders>
                  <w:noWrap w:val="0"/>
                  <w:vAlign w:val="center"/>
                </w:tcPr>
                <w:p>
                  <w:pPr>
                    <w:spacing w:line="240" w:lineRule="auto"/>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序号</w:t>
                  </w:r>
                </w:p>
              </w:tc>
              <w:tc>
                <w:tcPr>
                  <w:tcW w:w="1177" w:type="pct"/>
                  <w:tcBorders>
                    <w:tl2br w:val="nil"/>
                    <w:tr2bl w:val="nil"/>
                  </w:tcBorders>
                  <w:noWrap w:val="0"/>
                  <w:vAlign w:val="center"/>
                </w:tcPr>
                <w:p>
                  <w:pPr>
                    <w:spacing w:line="240" w:lineRule="auto"/>
                    <w:ind w:firstLine="482"/>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设备名称</w:t>
                  </w:r>
                </w:p>
              </w:tc>
              <w:tc>
                <w:tcPr>
                  <w:tcW w:w="1159" w:type="pct"/>
                  <w:tcBorders>
                    <w:tl2br w:val="nil"/>
                    <w:tr2bl w:val="nil"/>
                  </w:tcBorders>
                  <w:noWrap w:val="0"/>
                  <w:vAlign w:val="center"/>
                </w:tcPr>
                <w:p>
                  <w:pPr>
                    <w:spacing w:line="240" w:lineRule="auto"/>
                    <w:ind w:firstLine="482"/>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型  号</w:t>
                  </w:r>
                </w:p>
              </w:tc>
              <w:tc>
                <w:tcPr>
                  <w:tcW w:w="594" w:type="pct"/>
                  <w:tcBorders>
                    <w:tl2br w:val="nil"/>
                    <w:tr2bl w:val="nil"/>
                  </w:tcBorders>
                  <w:noWrap w:val="0"/>
                  <w:vAlign w:val="center"/>
                </w:tcPr>
                <w:p>
                  <w:pPr>
                    <w:spacing w:line="240" w:lineRule="auto"/>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数量</w:t>
                  </w:r>
                </w:p>
              </w:tc>
              <w:tc>
                <w:tcPr>
                  <w:tcW w:w="1527" w:type="pct"/>
                  <w:tcBorders>
                    <w:tl2br w:val="nil"/>
                    <w:tr2bl w:val="nil"/>
                  </w:tcBorders>
                  <w:noWrap w:val="0"/>
                  <w:vAlign w:val="center"/>
                </w:tcPr>
                <w:p>
                  <w:pPr>
                    <w:spacing w:line="240" w:lineRule="auto"/>
                    <w:ind w:firstLine="1318" w:firstLineChars="625"/>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1</w:t>
                  </w:r>
                </w:p>
              </w:tc>
              <w:tc>
                <w:tcPr>
                  <w:tcW w:w="1177"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PVC挤塑机</w:t>
                  </w:r>
                </w:p>
              </w:tc>
              <w:tc>
                <w:tcPr>
                  <w:tcW w:w="1159"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SJ-65/132</w:t>
                  </w:r>
                </w:p>
              </w:tc>
              <w:tc>
                <w:tcPr>
                  <w:tcW w:w="594"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8</w:t>
                  </w:r>
                  <w:r>
                    <w:rPr>
                      <w:rFonts w:hint="default" w:ascii="Times New Roman" w:hAnsi="Times New Roman" w:cs="Times New Roman"/>
                      <w:color w:val="000000"/>
                      <w:szCs w:val="21"/>
                    </w:rPr>
                    <w:t>套</w:t>
                  </w:r>
                </w:p>
              </w:tc>
              <w:tc>
                <w:tcPr>
                  <w:tcW w:w="1527" w:type="pct"/>
                  <w:vMerge w:val="restar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PVC管材生产线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40"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2</w:t>
                  </w:r>
                </w:p>
              </w:tc>
              <w:tc>
                <w:tcPr>
                  <w:tcW w:w="1177"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高低速混料机组</w:t>
                  </w:r>
                </w:p>
              </w:tc>
              <w:tc>
                <w:tcPr>
                  <w:tcW w:w="1159"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XYD500/1000</w:t>
                  </w:r>
                </w:p>
              </w:tc>
              <w:tc>
                <w:tcPr>
                  <w:tcW w:w="594"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3台</w:t>
                  </w:r>
                </w:p>
              </w:tc>
              <w:tc>
                <w:tcPr>
                  <w:tcW w:w="1527" w:type="pct"/>
                  <w:vMerge w:val="continue"/>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40"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3</w:t>
                  </w:r>
                </w:p>
              </w:tc>
              <w:tc>
                <w:tcPr>
                  <w:tcW w:w="1177"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PP-R挤塑机</w:t>
                  </w:r>
                </w:p>
              </w:tc>
              <w:tc>
                <w:tcPr>
                  <w:tcW w:w="1159"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SJ-60/38</w:t>
                  </w:r>
                </w:p>
              </w:tc>
              <w:tc>
                <w:tcPr>
                  <w:tcW w:w="594"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2</w:t>
                  </w:r>
                  <w:r>
                    <w:rPr>
                      <w:rFonts w:hint="default" w:ascii="Times New Roman" w:hAnsi="Times New Roman" w:cs="Times New Roman"/>
                      <w:color w:val="000000"/>
                      <w:szCs w:val="21"/>
                    </w:rPr>
                    <w:t>套</w:t>
                  </w:r>
                </w:p>
              </w:tc>
              <w:tc>
                <w:tcPr>
                  <w:tcW w:w="1527" w:type="pct"/>
                  <w:vMerge w:val="restar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PP-R管材生产线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40"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4</w:t>
                  </w:r>
                </w:p>
              </w:tc>
              <w:tc>
                <w:tcPr>
                  <w:tcW w:w="1177"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搅拌机</w:t>
                  </w:r>
                </w:p>
              </w:tc>
              <w:tc>
                <w:tcPr>
                  <w:tcW w:w="1159"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2吨</w:t>
                  </w:r>
                </w:p>
              </w:tc>
              <w:tc>
                <w:tcPr>
                  <w:tcW w:w="594"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1台</w:t>
                  </w:r>
                </w:p>
              </w:tc>
              <w:tc>
                <w:tcPr>
                  <w:tcW w:w="1527" w:type="pct"/>
                  <w:vMerge w:val="continue"/>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5</w:t>
                  </w:r>
                </w:p>
              </w:tc>
              <w:tc>
                <w:tcPr>
                  <w:tcW w:w="1177"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PE挤塑机</w:t>
                  </w:r>
                </w:p>
              </w:tc>
              <w:tc>
                <w:tcPr>
                  <w:tcW w:w="1159"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SJ-60/38</w:t>
                  </w:r>
                </w:p>
              </w:tc>
              <w:tc>
                <w:tcPr>
                  <w:tcW w:w="594"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1套</w:t>
                  </w:r>
                </w:p>
              </w:tc>
              <w:tc>
                <w:tcPr>
                  <w:tcW w:w="1527" w:type="pct"/>
                  <w:vMerge w:val="restar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PE管材生产线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6</w:t>
                  </w:r>
                </w:p>
              </w:tc>
              <w:tc>
                <w:tcPr>
                  <w:tcW w:w="1177"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PE挤塑机</w:t>
                  </w:r>
                </w:p>
              </w:tc>
              <w:tc>
                <w:tcPr>
                  <w:tcW w:w="1159"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SJ-75/38</w:t>
                  </w:r>
                </w:p>
              </w:tc>
              <w:tc>
                <w:tcPr>
                  <w:tcW w:w="594"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2</w:t>
                  </w:r>
                  <w:r>
                    <w:rPr>
                      <w:rFonts w:hint="default" w:ascii="Times New Roman" w:hAnsi="Times New Roman" w:cs="Times New Roman"/>
                      <w:color w:val="000000"/>
                      <w:szCs w:val="21"/>
                    </w:rPr>
                    <w:t>套</w:t>
                  </w:r>
                </w:p>
              </w:tc>
              <w:tc>
                <w:tcPr>
                  <w:tcW w:w="1527" w:type="pct"/>
                  <w:vMerge w:val="continue"/>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7</w:t>
                  </w:r>
                </w:p>
              </w:tc>
              <w:tc>
                <w:tcPr>
                  <w:tcW w:w="1177"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聚乙烯混料机</w:t>
                  </w:r>
                </w:p>
              </w:tc>
              <w:tc>
                <w:tcPr>
                  <w:tcW w:w="1159" w:type="pct"/>
                  <w:tcBorders>
                    <w:tl2br w:val="nil"/>
                    <w:tr2bl w:val="nil"/>
                  </w:tcBorders>
                  <w:noWrap w:val="0"/>
                  <w:vAlign w:val="center"/>
                </w:tcPr>
                <w:p>
                  <w:pPr>
                    <w:spacing w:line="240" w:lineRule="auto"/>
                    <w:ind w:firstLine="480"/>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w:t>
                  </w:r>
                </w:p>
              </w:tc>
              <w:tc>
                <w:tcPr>
                  <w:tcW w:w="594"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2台</w:t>
                  </w:r>
                </w:p>
              </w:tc>
              <w:tc>
                <w:tcPr>
                  <w:tcW w:w="1527" w:type="pct"/>
                  <w:vMerge w:val="continue"/>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8</w:t>
                  </w:r>
                </w:p>
              </w:tc>
              <w:tc>
                <w:tcPr>
                  <w:tcW w:w="1177"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PPR</w:t>
                  </w:r>
                  <w:r>
                    <w:rPr>
                      <w:rFonts w:hint="default" w:ascii="Times New Roman" w:hAnsi="Times New Roman" w:cs="Times New Roman"/>
                      <w:color w:val="000000"/>
                      <w:szCs w:val="21"/>
                    </w:rPr>
                    <w:t>注塑机</w:t>
                  </w:r>
                </w:p>
              </w:tc>
              <w:tc>
                <w:tcPr>
                  <w:tcW w:w="1159"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w:t>
                  </w:r>
                </w:p>
              </w:tc>
              <w:tc>
                <w:tcPr>
                  <w:tcW w:w="594"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3</w:t>
                  </w:r>
                  <w:r>
                    <w:rPr>
                      <w:rFonts w:hint="default" w:ascii="Times New Roman" w:hAnsi="Times New Roman" w:cs="Times New Roman"/>
                      <w:color w:val="000000"/>
                      <w:szCs w:val="21"/>
                    </w:rPr>
                    <w:t>台</w:t>
                  </w:r>
                </w:p>
              </w:tc>
              <w:tc>
                <w:tcPr>
                  <w:tcW w:w="1527"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管件生产线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eastAsia="宋体" w:cs="Times New Roman"/>
                      <w:color w:val="000000"/>
                      <w:szCs w:val="21"/>
                      <w:lang w:val="en-US" w:eastAsia="zh-CN"/>
                    </w:rPr>
                    <w:t>9</w:t>
                  </w:r>
                </w:p>
              </w:tc>
              <w:tc>
                <w:tcPr>
                  <w:tcW w:w="1177" w:type="pct"/>
                  <w:tcBorders>
                    <w:tl2br w:val="nil"/>
                    <w:tr2bl w:val="nil"/>
                  </w:tcBorders>
                  <w:noWrap w:val="0"/>
                  <w:vAlign w:val="center"/>
                </w:tcPr>
                <w:p>
                  <w:pPr>
                    <w:spacing w:line="240" w:lineRule="auto"/>
                    <w:ind w:firstLine="480" w:firstLineChars="0"/>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PVC</w:t>
                  </w:r>
                  <w:r>
                    <w:rPr>
                      <w:rFonts w:hint="default" w:ascii="Times New Roman" w:hAnsi="Times New Roman" w:cs="Times New Roman"/>
                      <w:color w:val="000000"/>
                      <w:szCs w:val="21"/>
                    </w:rPr>
                    <w:t>注塑机</w:t>
                  </w:r>
                </w:p>
              </w:tc>
              <w:tc>
                <w:tcPr>
                  <w:tcW w:w="1159" w:type="pct"/>
                  <w:tcBorders>
                    <w:tl2br w:val="nil"/>
                    <w:tr2bl w:val="nil"/>
                  </w:tcBorders>
                  <w:noWrap w:val="0"/>
                  <w:vAlign w:val="center"/>
                </w:tcPr>
                <w:p>
                  <w:pPr>
                    <w:spacing w:line="240" w:lineRule="auto"/>
                    <w:ind w:firstLine="480" w:firstLineChars="0"/>
                    <w:jc w:val="center"/>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w:t>
                  </w:r>
                </w:p>
              </w:tc>
              <w:tc>
                <w:tcPr>
                  <w:tcW w:w="594" w:type="pct"/>
                  <w:tcBorders>
                    <w:tl2br w:val="nil"/>
                    <w:tr2bl w:val="nil"/>
                  </w:tcBorders>
                  <w:noWrap w:val="0"/>
                  <w:vAlign w:val="center"/>
                </w:tcPr>
                <w:p>
                  <w:pPr>
                    <w:spacing w:line="240" w:lineRule="auto"/>
                    <w:jc w:val="center"/>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7</w:t>
                  </w:r>
                  <w:r>
                    <w:rPr>
                      <w:rFonts w:hint="default" w:ascii="Times New Roman" w:hAnsi="Times New Roman" w:cs="Times New Roman"/>
                      <w:color w:val="000000"/>
                      <w:szCs w:val="21"/>
                    </w:rPr>
                    <w:t>台</w:t>
                  </w:r>
                </w:p>
              </w:tc>
              <w:tc>
                <w:tcPr>
                  <w:tcW w:w="1527" w:type="pct"/>
                  <w:tcBorders>
                    <w:tl2br w:val="nil"/>
                    <w:tr2bl w:val="nil"/>
                  </w:tcBorders>
                  <w:noWrap w:val="0"/>
                  <w:vAlign w:val="center"/>
                </w:tcPr>
                <w:p>
                  <w:pPr>
                    <w:spacing w:line="240" w:lineRule="auto"/>
                    <w:ind w:firstLine="480" w:firstLineChars="0"/>
                    <w:jc w:val="center"/>
                    <w:rPr>
                      <w:rFonts w:hint="default" w:ascii="Times New Roman" w:hAnsi="Times New Roman" w:cs="Times New Roman"/>
                      <w:color w:val="000000"/>
                      <w:szCs w:val="21"/>
                    </w:rPr>
                  </w:pPr>
                  <w:r>
                    <w:rPr>
                      <w:rFonts w:hint="default" w:ascii="Times New Roman" w:hAnsi="Times New Roman" w:cs="Times New Roman"/>
                      <w:color w:val="000000"/>
                      <w:szCs w:val="21"/>
                    </w:rPr>
                    <w:t>管件生产线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10</w:t>
                  </w:r>
                </w:p>
              </w:tc>
              <w:tc>
                <w:tcPr>
                  <w:tcW w:w="1177" w:type="pct"/>
                  <w:tcBorders>
                    <w:tl2br w:val="nil"/>
                    <w:tr2bl w:val="nil"/>
                  </w:tcBorders>
                  <w:noWrap w:val="0"/>
                  <w:vAlign w:val="center"/>
                </w:tcPr>
                <w:p>
                  <w:pPr>
                    <w:spacing w:line="240" w:lineRule="auto"/>
                    <w:ind w:firstLine="480"/>
                    <w:jc w:val="both"/>
                    <w:rPr>
                      <w:rFonts w:hint="default" w:ascii="Times New Roman" w:hAnsi="Times New Roman" w:cs="Times New Roman"/>
                      <w:color w:val="000000"/>
                      <w:szCs w:val="21"/>
                    </w:rPr>
                  </w:pPr>
                  <w:r>
                    <w:rPr>
                      <w:rFonts w:hint="default" w:ascii="Times New Roman" w:hAnsi="Times New Roman" w:cs="Times New Roman"/>
                      <w:color w:val="000000"/>
                      <w:szCs w:val="21"/>
                    </w:rPr>
                    <w:t>破碎机</w:t>
                  </w:r>
                </w:p>
              </w:tc>
              <w:tc>
                <w:tcPr>
                  <w:tcW w:w="1159"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PC-600</w:t>
                  </w:r>
                </w:p>
              </w:tc>
              <w:tc>
                <w:tcPr>
                  <w:tcW w:w="594"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1台</w:t>
                  </w:r>
                </w:p>
              </w:tc>
              <w:tc>
                <w:tcPr>
                  <w:tcW w:w="1527"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用于PPR回收粉碎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11</w:t>
                  </w:r>
                </w:p>
              </w:tc>
              <w:tc>
                <w:tcPr>
                  <w:tcW w:w="1177"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破碎机</w:t>
                  </w:r>
                </w:p>
              </w:tc>
              <w:tc>
                <w:tcPr>
                  <w:tcW w:w="1159"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SWP-550</w:t>
                  </w:r>
                </w:p>
              </w:tc>
              <w:tc>
                <w:tcPr>
                  <w:tcW w:w="594"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1台</w:t>
                  </w:r>
                </w:p>
              </w:tc>
              <w:tc>
                <w:tcPr>
                  <w:tcW w:w="1527"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用于PVC回收粉碎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12</w:t>
                  </w:r>
                </w:p>
              </w:tc>
              <w:tc>
                <w:tcPr>
                  <w:tcW w:w="1177" w:type="pct"/>
                  <w:tcBorders>
                    <w:tl2br w:val="nil"/>
                    <w:tr2bl w:val="nil"/>
                  </w:tcBorders>
                  <w:noWrap w:val="0"/>
                  <w:vAlign w:val="center"/>
                </w:tcPr>
                <w:p>
                  <w:pPr>
                    <w:spacing w:line="240" w:lineRule="auto"/>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激光打码机</w:t>
                  </w:r>
                </w:p>
              </w:tc>
              <w:tc>
                <w:tcPr>
                  <w:tcW w:w="1159"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lang w:val="en-US" w:eastAsia="zh-CN"/>
                    </w:rPr>
                    <w:t>/</w:t>
                  </w:r>
                </w:p>
              </w:tc>
              <w:tc>
                <w:tcPr>
                  <w:tcW w:w="594" w:type="pct"/>
                  <w:tcBorders>
                    <w:tl2br w:val="nil"/>
                    <w:tr2bl w:val="nil"/>
                  </w:tcBorders>
                  <w:noWrap w:val="0"/>
                  <w:vAlign w:val="center"/>
                </w:tcPr>
                <w:p>
                  <w:pPr>
                    <w:spacing w:line="240" w:lineRule="auto"/>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6台</w:t>
                  </w:r>
                </w:p>
              </w:tc>
              <w:tc>
                <w:tcPr>
                  <w:tcW w:w="1527"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无耗材打码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13</w:t>
                  </w:r>
                </w:p>
              </w:tc>
              <w:tc>
                <w:tcPr>
                  <w:tcW w:w="1177"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螺杆式空压机</w:t>
                  </w:r>
                </w:p>
              </w:tc>
              <w:tc>
                <w:tcPr>
                  <w:tcW w:w="1159"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XS-30</w:t>
                  </w:r>
                </w:p>
              </w:tc>
              <w:tc>
                <w:tcPr>
                  <w:tcW w:w="594"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1台</w:t>
                  </w:r>
                </w:p>
              </w:tc>
              <w:tc>
                <w:tcPr>
                  <w:tcW w:w="1527"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空压机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tcBorders>
                    <w:tl2br w:val="nil"/>
                    <w:tr2bl w:val="nil"/>
                  </w:tcBorders>
                  <w:noWrap w:val="0"/>
                  <w:vAlign w:val="center"/>
                </w:tcPr>
                <w:p>
                  <w:pPr>
                    <w:spacing w:line="240" w:lineRule="auto"/>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14</w:t>
                  </w:r>
                </w:p>
              </w:tc>
              <w:tc>
                <w:tcPr>
                  <w:tcW w:w="1177"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切割机</w:t>
                  </w:r>
                </w:p>
              </w:tc>
              <w:tc>
                <w:tcPr>
                  <w:tcW w:w="1159"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lang w:val="en-US" w:eastAsia="zh-CN"/>
                    </w:rPr>
                    <w:t>/</w:t>
                  </w:r>
                </w:p>
              </w:tc>
              <w:tc>
                <w:tcPr>
                  <w:tcW w:w="594" w:type="pct"/>
                  <w:tcBorders>
                    <w:tl2br w:val="nil"/>
                    <w:tr2bl w:val="nil"/>
                  </w:tcBorders>
                  <w:noWrap w:val="0"/>
                  <w:vAlign w:val="center"/>
                </w:tcPr>
                <w:p>
                  <w:pPr>
                    <w:spacing w:line="240"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2台</w:t>
                  </w:r>
                </w:p>
              </w:tc>
              <w:tc>
                <w:tcPr>
                  <w:tcW w:w="1527" w:type="pct"/>
                  <w:tcBorders>
                    <w:tl2br w:val="nil"/>
                    <w:tr2bl w:val="nil"/>
                  </w:tcBorders>
                  <w:noWrap w:val="0"/>
                  <w:vAlign w:val="center"/>
                </w:tcPr>
                <w:p>
                  <w:pPr>
                    <w:spacing w:line="240" w:lineRule="auto"/>
                    <w:ind w:firstLine="480"/>
                    <w:jc w:val="center"/>
                    <w:rPr>
                      <w:rFonts w:hint="default" w:ascii="Times New Roman" w:hAnsi="Times New Roman" w:cs="Times New Roman"/>
                      <w:color w:val="000000"/>
                      <w:szCs w:val="21"/>
                    </w:rPr>
                  </w:pPr>
                  <w:r>
                    <w:rPr>
                      <w:rFonts w:hint="default" w:ascii="Times New Roman" w:hAnsi="Times New Roman" w:cs="Times New Roman"/>
                      <w:color w:val="000000"/>
                      <w:szCs w:val="21"/>
                    </w:rPr>
                    <w:t>处理废品和样品</w:t>
                  </w:r>
                </w:p>
              </w:tc>
            </w:tr>
          </w:tbl>
          <w:p>
            <w:pPr>
              <w:pStyle w:val="24"/>
              <w:bidi w:val="0"/>
              <w:spacing w:line="360" w:lineRule="auto"/>
              <w:ind w:left="0" w:leftChars="0" w:firstLine="482" w:firstLineChars="200"/>
              <w:rPr>
                <w:rFonts w:hint="default" w:ascii="Times New Roman" w:hAnsi="Times New Roman" w:cs="Times New Roman"/>
                <w:b/>
                <w:bCs/>
              </w:rPr>
            </w:pPr>
            <w:r>
              <w:rPr>
                <w:rFonts w:hint="default" w:ascii="Times New Roman" w:hAnsi="Times New Roman" w:cs="Times New Roman"/>
                <w:b/>
                <w:bCs/>
              </w:rPr>
              <w:t>5、项目主要</w:t>
            </w:r>
            <w:r>
              <w:rPr>
                <w:rFonts w:hint="default" w:ascii="Times New Roman" w:hAnsi="Times New Roman" w:cs="Times New Roman"/>
                <w:b/>
                <w:bCs/>
                <w:lang w:eastAsia="zh-CN"/>
              </w:rPr>
              <w:t>原辅</w:t>
            </w:r>
            <w:r>
              <w:rPr>
                <w:rFonts w:hint="default" w:ascii="Times New Roman" w:hAnsi="Times New Roman" w:cs="Times New Roman"/>
                <w:b/>
                <w:bCs/>
              </w:rPr>
              <w:t>材料</w:t>
            </w:r>
          </w:p>
          <w:p>
            <w:pPr>
              <w:autoSpaceDE w:val="0"/>
              <w:autoSpaceDN w:val="0"/>
              <w:spacing w:line="360" w:lineRule="auto"/>
              <w:ind w:firstLine="482" w:firstLineChars="200"/>
              <w:rPr>
                <w:rFonts w:hint="default" w:ascii="Times New Roman" w:hAnsi="Times New Roman" w:cs="Times New Roman"/>
                <w:b/>
                <w:color w:val="000000"/>
                <w:sz w:val="24"/>
                <w:szCs w:val="24"/>
                <w:highlight w:val="none"/>
              </w:rPr>
            </w:pPr>
            <w:r>
              <w:rPr>
                <w:rFonts w:hint="default" w:ascii="Times New Roman" w:hAnsi="Times New Roman" w:cs="Times New Roman"/>
                <w:b/>
                <w:sz w:val="24"/>
                <w:u w:val="single"/>
              </w:rPr>
              <w:t>本项目所有塑料颗粒均为新料，不使用再生塑料。项目废边角料、不合格产品破碎直接回用于生产，废料不进行造粒。本项目不使用脱模剂，色母粒不含重金属。循环冷却水不使用阻垢剂。</w:t>
            </w:r>
            <w:r>
              <w:rPr>
                <w:rFonts w:hint="default" w:ascii="Times New Roman" w:hAnsi="Times New Roman" w:cs="Times New Roman"/>
                <w:color w:val="auto"/>
                <w:sz w:val="24"/>
                <w:szCs w:val="32"/>
                <w:lang w:val="en-US" w:eastAsia="zh-CN"/>
              </w:rPr>
              <w:t>项目</w:t>
            </w:r>
            <w:r>
              <w:rPr>
                <w:rFonts w:hint="default" w:ascii="Times New Roman" w:hAnsi="Times New Roman" w:cs="Times New Roman"/>
                <w:color w:val="auto"/>
                <w:sz w:val="24"/>
                <w:szCs w:val="32"/>
              </w:rPr>
              <w:t>具体</w:t>
            </w:r>
            <w:r>
              <w:rPr>
                <w:rFonts w:hint="default" w:ascii="Times New Roman" w:hAnsi="Times New Roman" w:cs="Times New Roman"/>
                <w:color w:val="auto"/>
                <w:sz w:val="24"/>
                <w:szCs w:val="32"/>
                <w:lang w:eastAsia="zh-CN"/>
              </w:rPr>
              <w:t>原料及辅料</w:t>
            </w:r>
            <w:r>
              <w:rPr>
                <w:rFonts w:hint="default" w:ascii="Times New Roman" w:hAnsi="Times New Roman" w:cs="Times New Roman"/>
                <w:color w:val="auto"/>
                <w:sz w:val="24"/>
                <w:szCs w:val="32"/>
              </w:rPr>
              <w:t>见下表</w:t>
            </w:r>
            <w:r>
              <w:rPr>
                <w:rFonts w:hint="default" w:ascii="Times New Roman" w:hAnsi="Times New Roman" w:cs="Times New Roman"/>
                <w:color w:val="auto"/>
              </w:rPr>
              <w:t>。</w:t>
            </w:r>
          </w:p>
          <w:p>
            <w:pPr>
              <w:spacing w:line="360" w:lineRule="auto"/>
              <w:ind w:firstLine="482" w:firstLineChars="200"/>
              <w:jc w:val="center"/>
              <w:rPr>
                <w:rFonts w:hint="default" w:ascii="Times New Roman" w:hAnsi="Times New Roman" w:cs="Times New Roman"/>
                <w:b/>
                <w:color w:val="000000"/>
                <w:sz w:val="24"/>
                <w:szCs w:val="24"/>
                <w:highlight w:val="none"/>
              </w:rPr>
            </w:pPr>
            <w:r>
              <w:rPr>
                <w:rFonts w:hint="default" w:ascii="Times New Roman" w:hAnsi="Times New Roman" w:cs="Times New Roman"/>
                <w:b/>
                <w:color w:val="000000"/>
                <w:sz w:val="24"/>
                <w:szCs w:val="24"/>
                <w:highlight w:val="none"/>
              </w:rPr>
              <w:t>表</w:t>
            </w:r>
            <w:r>
              <w:rPr>
                <w:rFonts w:hint="default" w:ascii="Times New Roman" w:hAnsi="Times New Roman" w:cs="Times New Roman"/>
                <w:b/>
                <w:color w:val="000000"/>
                <w:sz w:val="24"/>
                <w:szCs w:val="24"/>
                <w:highlight w:val="none"/>
                <w:lang w:val="en-US" w:eastAsia="zh-CN"/>
              </w:rPr>
              <w:t>2-4</w:t>
            </w:r>
            <w:r>
              <w:rPr>
                <w:rFonts w:hint="default" w:ascii="Times New Roman" w:hAnsi="Times New Roman" w:cs="Times New Roman"/>
                <w:b/>
                <w:color w:val="000000"/>
                <w:sz w:val="24"/>
                <w:szCs w:val="24"/>
                <w:highlight w:val="none"/>
              </w:rPr>
              <w:t xml:space="preserve">   本项目主要原辅材料及能耗表</w:t>
            </w:r>
          </w:p>
          <w:tbl>
            <w:tblPr>
              <w:tblStyle w:val="16"/>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231"/>
              <w:gridCol w:w="1080"/>
              <w:gridCol w:w="1105"/>
              <w:gridCol w:w="1156"/>
              <w:gridCol w:w="1139"/>
              <w:gridCol w:w="1067"/>
              <w:gridCol w:w="7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tcBorders>
                    <w:tl2br w:val="nil"/>
                    <w:tr2bl w:val="nil"/>
                  </w:tcBorders>
                  <w:noWrap w:val="0"/>
                  <w:vAlign w:val="center"/>
                </w:tcPr>
                <w:p>
                  <w:pPr>
                    <w:snapToGrid w:val="0"/>
                    <w:spacing w:line="240" w:lineRule="auto"/>
                    <w:jc w:val="center"/>
                    <w:rPr>
                      <w:rFonts w:hint="default" w:ascii="Times New Roman" w:hAnsi="Times New Roman" w:cs="Times New Roman"/>
                      <w:b/>
                      <w:bCs/>
                      <w:szCs w:val="21"/>
                    </w:rPr>
                  </w:pPr>
                  <w:r>
                    <w:rPr>
                      <w:rFonts w:hint="default" w:ascii="Times New Roman" w:hAnsi="Times New Roman" w:cs="Times New Roman"/>
                      <w:b/>
                      <w:bCs/>
                      <w:szCs w:val="21"/>
                    </w:rPr>
                    <w:t>项目</w:t>
                  </w:r>
                </w:p>
              </w:tc>
              <w:tc>
                <w:tcPr>
                  <w:tcW w:w="760" w:type="pct"/>
                  <w:tcBorders>
                    <w:tl2br w:val="nil"/>
                    <w:tr2bl w:val="nil"/>
                  </w:tcBorders>
                  <w:noWrap w:val="0"/>
                  <w:vAlign w:val="center"/>
                </w:tcPr>
                <w:p>
                  <w:pPr>
                    <w:snapToGrid w:val="0"/>
                    <w:spacing w:line="240" w:lineRule="auto"/>
                    <w:ind w:firstLine="211" w:firstLineChars="100"/>
                    <w:jc w:val="both"/>
                    <w:rPr>
                      <w:rFonts w:hint="default" w:ascii="Times New Roman" w:hAnsi="Times New Roman" w:cs="Times New Roman"/>
                      <w:b/>
                      <w:bCs/>
                      <w:szCs w:val="21"/>
                    </w:rPr>
                  </w:pPr>
                  <w:r>
                    <w:rPr>
                      <w:rFonts w:hint="default" w:ascii="Times New Roman" w:hAnsi="Times New Roman" w:cs="Times New Roman"/>
                      <w:b/>
                      <w:bCs/>
                      <w:szCs w:val="21"/>
                    </w:rPr>
                    <w:t>名 称</w:t>
                  </w:r>
                </w:p>
              </w:tc>
              <w:tc>
                <w:tcPr>
                  <w:tcW w:w="666" w:type="pct"/>
                  <w:tcBorders>
                    <w:tl2br w:val="nil"/>
                    <w:tr2bl w:val="nil"/>
                  </w:tcBorders>
                  <w:noWrap w:val="0"/>
                  <w:vAlign w:val="center"/>
                </w:tcPr>
                <w:p>
                  <w:pPr>
                    <w:snapToGrid w:val="0"/>
                    <w:spacing w:line="240" w:lineRule="auto"/>
                    <w:jc w:val="center"/>
                    <w:rPr>
                      <w:rFonts w:hint="default" w:ascii="Times New Roman" w:hAnsi="Times New Roman" w:cs="Times New Roman"/>
                      <w:b/>
                      <w:bCs/>
                      <w:szCs w:val="21"/>
                    </w:rPr>
                  </w:pPr>
                  <w:r>
                    <w:rPr>
                      <w:rFonts w:hint="default" w:ascii="Times New Roman" w:hAnsi="Times New Roman" w:cs="Times New Roman"/>
                      <w:b/>
                      <w:bCs/>
                      <w:szCs w:val="21"/>
                    </w:rPr>
                    <w:t>年耗量（t/a）</w:t>
                  </w:r>
                </w:p>
              </w:tc>
              <w:tc>
                <w:tcPr>
                  <w:tcW w:w="682" w:type="pct"/>
                  <w:tcBorders>
                    <w:tl2br w:val="nil"/>
                    <w:tr2bl w:val="nil"/>
                  </w:tcBorders>
                  <w:noWrap w:val="0"/>
                  <w:vAlign w:val="center"/>
                </w:tcPr>
                <w:p>
                  <w:pPr>
                    <w:snapToGrid w:val="0"/>
                    <w:spacing w:line="240" w:lineRule="auto"/>
                    <w:jc w:val="center"/>
                    <w:rPr>
                      <w:rFonts w:hint="default" w:ascii="Times New Roman" w:hAnsi="Times New Roman" w:cs="Times New Roman"/>
                      <w:b/>
                      <w:bCs/>
                      <w:szCs w:val="21"/>
                    </w:rPr>
                  </w:pPr>
                  <w:r>
                    <w:rPr>
                      <w:rFonts w:hint="default" w:ascii="Times New Roman" w:hAnsi="Times New Roman" w:cs="Times New Roman"/>
                      <w:b/>
                      <w:bCs/>
                      <w:szCs w:val="21"/>
                    </w:rPr>
                    <w:t>主要化学成分</w:t>
                  </w:r>
                </w:p>
              </w:tc>
              <w:tc>
                <w:tcPr>
                  <w:tcW w:w="713" w:type="pct"/>
                  <w:tcBorders>
                    <w:tl2br w:val="nil"/>
                    <w:tr2bl w:val="nil"/>
                  </w:tcBorders>
                  <w:noWrap w:val="0"/>
                  <w:vAlign w:val="center"/>
                </w:tcPr>
                <w:p>
                  <w:pPr>
                    <w:snapToGrid w:val="0"/>
                    <w:spacing w:line="240" w:lineRule="auto"/>
                    <w:ind w:firstLine="198" w:firstLineChars="94"/>
                    <w:jc w:val="center"/>
                    <w:rPr>
                      <w:rFonts w:hint="default" w:ascii="Times New Roman" w:hAnsi="Times New Roman" w:cs="Times New Roman"/>
                      <w:b/>
                      <w:bCs/>
                      <w:szCs w:val="21"/>
                    </w:rPr>
                  </w:pPr>
                  <w:r>
                    <w:rPr>
                      <w:rFonts w:hint="default" w:ascii="Times New Roman" w:hAnsi="Times New Roman" w:cs="Times New Roman"/>
                      <w:b/>
                      <w:bCs/>
                      <w:szCs w:val="21"/>
                    </w:rPr>
                    <w:t>来源</w:t>
                  </w:r>
                </w:p>
              </w:tc>
              <w:tc>
                <w:tcPr>
                  <w:tcW w:w="703" w:type="pct"/>
                  <w:tcBorders>
                    <w:tl2br w:val="nil"/>
                    <w:tr2bl w:val="nil"/>
                  </w:tcBorders>
                  <w:noWrap w:val="0"/>
                  <w:vAlign w:val="center"/>
                </w:tcPr>
                <w:p>
                  <w:pPr>
                    <w:snapToGrid w:val="0"/>
                    <w:spacing w:line="240" w:lineRule="auto"/>
                    <w:jc w:val="both"/>
                    <w:rPr>
                      <w:rFonts w:hint="default" w:ascii="Times New Roman" w:hAnsi="Times New Roman" w:cs="Times New Roman"/>
                      <w:b/>
                      <w:bCs/>
                      <w:szCs w:val="21"/>
                    </w:rPr>
                  </w:pPr>
                  <w:r>
                    <w:rPr>
                      <w:rFonts w:hint="default" w:ascii="Times New Roman" w:hAnsi="Times New Roman" w:cs="Times New Roman"/>
                      <w:b/>
                      <w:bCs/>
                      <w:szCs w:val="21"/>
                    </w:rPr>
                    <w:t>形态/包装</w:t>
                  </w:r>
                </w:p>
              </w:tc>
              <w:tc>
                <w:tcPr>
                  <w:tcW w:w="658" w:type="pct"/>
                  <w:tcBorders>
                    <w:tl2br w:val="nil"/>
                    <w:tr2bl w:val="nil"/>
                  </w:tcBorders>
                  <w:noWrap w:val="0"/>
                  <w:vAlign w:val="center"/>
                </w:tcPr>
                <w:p>
                  <w:pPr>
                    <w:pStyle w:val="9"/>
                    <w:snapToGrid w:val="0"/>
                    <w:spacing w:line="240" w:lineRule="auto"/>
                    <w:jc w:val="both"/>
                    <w:rPr>
                      <w:rFonts w:hint="default" w:ascii="Times New Roman" w:hAnsi="Times New Roman" w:cs="Times New Roman"/>
                      <w:b/>
                      <w:bCs/>
                      <w:szCs w:val="21"/>
                    </w:rPr>
                  </w:pPr>
                  <w:r>
                    <w:rPr>
                      <w:rFonts w:hint="default" w:ascii="Times New Roman" w:hAnsi="Times New Roman" w:cs="Times New Roman"/>
                      <w:b/>
                      <w:bCs/>
                      <w:szCs w:val="21"/>
                    </w:rPr>
                    <w:t>储存地点</w:t>
                  </w:r>
                </w:p>
              </w:tc>
              <w:tc>
                <w:tcPr>
                  <w:tcW w:w="484" w:type="pct"/>
                  <w:tcBorders>
                    <w:tl2br w:val="nil"/>
                    <w:tr2bl w:val="nil"/>
                  </w:tcBorders>
                  <w:noWrap w:val="0"/>
                  <w:vAlign w:val="center"/>
                </w:tcPr>
                <w:p>
                  <w:pPr>
                    <w:pStyle w:val="9"/>
                    <w:snapToGrid w:val="0"/>
                    <w:spacing w:line="240" w:lineRule="auto"/>
                    <w:jc w:val="center"/>
                    <w:rPr>
                      <w:rFonts w:hint="default" w:ascii="Times New Roman" w:hAnsi="Times New Roman" w:cs="Times New Roman"/>
                      <w:b/>
                      <w:bCs/>
                      <w:szCs w:val="21"/>
                    </w:rPr>
                  </w:pPr>
                  <w:r>
                    <w:rPr>
                      <w:rFonts w:hint="default" w:ascii="Times New Roman" w:hAnsi="Times New Roman" w:cs="Times New Roman"/>
                      <w:b/>
                      <w:bCs/>
                      <w:szCs w:val="21"/>
                    </w:rPr>
                    <w:t>储存量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restar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原</w:t>
                  </w:r>
                </w:p>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辅</w:t>
                  </w:r>
                </w:p>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料</w:t>
                  </w:r>
                </w:p>
              </w:tc>
              <w:tc>
                <w:tcPr>
                  <w:tcW w:w="4669" w:type="pct"/>
                  <w:gridSpan w:val="7"/>
                  <w:tcBorders>
                    <w:tl2br w:val="nil"/>
                    <w:tr2bl w:val="nil"/>
                  </w:tcBorders>
                  <w:noWrap w:val="0"/>
                  <w:vAlign w:val="center"/>
                </w:tcPr>
                <w:p>
                  <w:pPr>
                    <w:spacing w:line="240" w:lineRule="auto"/>
                    <w:jc w:val="center"/>
                    <w:rPr>
                      <w:rFonts w:hint="default" w:ascii="Times New Roman" w:hAnsi="Times New Roman" w:cs="Times New Roman"/>
                      <w:b/>
                      <w:bCs/>
                      <w:szCs w:val="21"/>
                    </w:rPr>
                  </w:pPr>
                  <w:r>
                    <w:rPr>
                      <w:rFonts w:hint="default" w:ascii="Times New Roman" w:hAnsi="Times New Roman" w:cs="Times New Roman"/>
                      <w:b/>
                      <w:bCs/>
                      <w:szCs w:val="21"/>
                    </w:rPr>
                    <w:t>一、聚乙烯管材、管件所用原料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420"/>
                    <w:jc w:val="center"/>
                    <w:rPr>
                      <w:rFonts w:hint="default" w:ascii="Times New Roman" w:hAnsi="Times New Roman" w:cs="Times New Roman"/>
                      <w:bCs/>
                      <w:szCs w:val="21"/>
                    </w:rPr>
                  </w:pPr>
                </w:p>
              </w:tc>
              <w:tc>
                <w:tcPr>
                  <w:tcW w:w="760"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聚乙烯（PE）颗粒</w:t>
                  </w:r>
                </w:p>
              </w:tc>
              <w:tc>
                <w:tcPr>
                  <w:tcW w:w="666"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lang w:val="en-US" w:eastAsia="zh-CN"/>
                    </w:rPr>
                    <w:t>3092</w:t>
                  </w:r>
                  <w:r>
                    <w:rPr>
                      <w:rFonts w:hint="default" w:ascii="Times New Roman" w:hAnsi="Times New Roman" w:cs="Times New Roman"/>
                      <w:bCs/>
                      <w:szCs w:val="21"/>
                    </w:rPr>
                    <w:t>t</w:t>
                  </w:r>
                </w:p>
              </w:tc>
              <w:tc>
                <w:tcPr>
                  <w:tcW w:w="682"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聚乙烯</w:t>
                  </w:r>
                </w:p>
              </w:tc>
              <w:tc>
                <w:tcPr>
                  <w:tcW w:w="713" w:type="pct"/>
                  <w:tcBorders>
                    <w:tl2br w:val="nil"/>
                    <w:tr2bl w:val="nil"/>
                  </w:tcBorders>
                  <w:noWrap w:val="0"/>
                  <w:vAlign w:val="center"/>
                </w:tcPr>
                <w:p>
                  <w:pPr>
                    <w:spacing w:line="240" w:lineRule="auto"/>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北京燕山</w:t>
                  </w:r>
                </w:p>
              </w:tc>
              <w:tc>
                <w:tcPr>
                  <w:tcW w:w="70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颗粒/袋装</w:t>
                  </w:r>
                </w:p>
              </w:tc>
              <w:tc>
                <w:tcPr>
                  <w:tcW w:w="658" w:type="pct"/>
                  <w:tcBorders>
                    <w:tl2br w:val="nil"/>
                    <w:tr2bl w:val="nil"/>
                  </w:tcBorders>
                  <w:noWrap w:val="0"/>
                  <w:vAlign w:val="center"/>
                </w:tcPr>
                <w:p>
                  <w:pPr>
                    <w:spacing w:line="240" w:lineRule="auto"/>
                    <w:jc w:val="both"/>
                    <w:rPr>
                      <w:rFonts w:hint="default" w:ascii="Times New Roman" w:hAnsi="Times New Roman" w:cs="Times New Roman"/>
                      <w:bCs/>
                      <w:szCs w:val="21"/>
                    </w:rPr>
                  </w:pPr>
                  <w:r>
                    <w:rPr>
                      <w:rFonts w:hint="default" w:ascii="Times New Roman" w:hAnsi="Times New Roman" w:cs="Times New Roman"/>
                      <w:bCs/>
                      <w:szCs w:val="21"/>
                    </w:rPr>
                    <w:t>原料堆料</w:t>
                  </w:r>
                </w:p>
              </w:tc>
              <w:tc>
                <w:tcPr>
                  <w:tcW w:w="484"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lang w:val="en-US" w:eastAsia="zh-CN"/>
                    </w:rPr>
                    <w:t>10</w:t>
                  </w:r>
                  <w:r>
                    <w:rPr>
                      <w:rFonts w:hint="default" w:ascii="Times New Roman" w:hAnsi="Times New Roman" w:cs="Times New Roman"/>
                      <w:bCs/>
                      <w:szCs w:val="21"/>
                    </w:rPr>
                    <w:t>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420"/>
                    <w:jc w:val="center"/>
                    <w:rPr>
                      <w:rFonts w:hint="default" w:ascii="Times New Roman" w:hAnsi="Times New Roman" w:cs="Times New Roman"/>
                      <w:bCs/>
                      <w:szCs w:val="21"/>
                    </w:rPr>
                  </w:pPr>
                </w:p>
              </w:tc>
              <w:tc>
                <w:tcPr>
                  <w:tcW w:w="760"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色母料</w:t>
                  </w:r>
                </w:p>
              </w:tc>
              <w:tc>
                <w:tcPr>
                  <w:tcW w:w="666"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lang w:val="en-US" w:eastAsia="zh-CN"/>
                    </w:rPr>
                    <w:t>30</w:t>
                  </w:r>
                  <w:r>
                    <w:rPr>
                      <w:rFonts w:hint="default" w:ascii="Times New Roman" w:hAnsi="Times New Roman" w:cs="Times New Roman"/>
                      <w:bCs/>
                      <w:szCs w:val="21"/>
                    </w:rPr>
                    <w:t>t</w:t>
                  </w:r>
                </w:p>
              </w:tc>
              <w:tc>
                <w:tcPr>
                  <w:tcW w:w="682"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聚乙烯</w:t>
                  </w:r>
                </w:p>
              </w:tc>
              <w:tc>
                <w:tcPr>
                  <w:tcW w:w="71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外购</w:t>
                  </w:r>
                </w:p>
              </w:tc>
              <w:tc>
                <w:tcPr>
                  <w:tcW w:w="70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颗粒/袋装</w:t>
                  </w:r>
                </w:p>
              </w:tc>
              <w:tc>
                <w:tcPr>
                  <w:tcW w:w="658" w:type="pct"/>
                  <w:tcBorders>
                    <w:tl2br w:val="nil"/>
                    <w:tr2bl w:val="nil"/>
                  </w:tcBorders>
                  <w:noWrap w:val="0"/>
                  <w:vAlign w:val="center"/>
                </w:tcPr>
                <w:p>
                  <w:pPr>
                    <w:spacing w:line="240" w:lineRule="auto"/>
                    <w:jc w:val="both"/>
                    <w:rPr>
                      <w:rFonts w:hint="default" w:ascii="Times New Roman" w:hAnsi="Times New Roman" w:cs="Times New Roman"/>
                      <w:bCs/>
                      <w:szCs w:val="21"/>
                    </w:rPr>
                  </w:pPr>
                  <w:r>
                    <w:rPr>
                      <w:rFonts w:hint="default" w:ascii="Times New Roman" w:hAnsi="Times New Roman" w:cs="Times New Roman"/>
                      <w:bCs/>
                      <w:szCs w:val="21"/>
                    </w:rPr>
                    <w:t>原料堆料</w:t>
                  </w:r>
                </w:p>
              </w:tc>
              <w:tc>
                <w:tcPr>
                  <w:tcW w:w="484"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lang w:val="en-US" w:eastAsia="zh-CN"/>
                    </w:rPr>
                    <w:t>5</w:t>
                  </w:r>
                  <w:r>
                    <w:rPr>
                      <w:rFonts w:hint="default" w:ascii="Times New Roman" w:hAnsi="Times New Roman" w:cs="Times New Roman"/>
                      <w:bCs/>
                      <w:szCs w:val="21"/>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420"/>
                    <w:jc w:val="center"/>
                    <w:rPr>
                      <w:rFonts w:hint="default" w:ascii="Times New Roman" w:hAnsi="Times New Roman" w:cs="Times New Roman"/>
                      <w:bCs/>
                      <w:szCs w:val="21"/>
                    </w:rPr>
                  </w:pPr>
                </w:p>
              </w:tc>
              <w:tc>
                <w:tcPr>
                  <w:tcW w:w="4669" w:type="pct"/>
                  <w:gridSpan w:val="7"/>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
                      <w:bCs w:val="0"/>
                      <w:szCs w:val="21"/>
                    </w:rPr>
                    <w:t>二、PPR管材、管件所用原辅料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420"/>
                    <w:jc w:val="center"/>
                    <w:rPr>
                      <w:rFonts w:hint="default" w:ascii="Times New Roman" w:hAnsi="Times New Roman" w:cs="Times New Roman"/>
                      <w:bCs/>
                      <w:szCs w:val="21"/>
                    </w:rPr>
                  </w:pPr>
                </w:p>
              </w:tc>
              <w:tc>
                <w:tcPr>
                  <w:tcW w:w="760"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聚丙烯（PP-R）颗粒</w:t>
                  </w:r>
                </w:p>
              </w:tc>
              <w:tc>
                <w:tcPr>
                  <w:tcW w:w="666"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lang w:val="en-US" w:eastAsia="zh-CN"/>
                    </w:rPr>
                    <w:t>3093</w:t>
                  </w:r>
                  <w:r>
                    <w:rPr>
                      <w:rFonts w:hint="default" w:ascii="Times New Roman" w:hAnsi="Times New Roman" w:cs="Times New Roman"/>
                      <w:bCs/>
                      <w:szCs w:val="21"/>
                    </w:rPr>
                    <w:t>t</w:t>
                  </w:r>
                </w:p>
              </w:tc>
              <w:tc>
                <w:tcPr>
                  <w:tcW w:w="682"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聚丙烯</w:t>
                  </w:r>
                </w:p>
              </w:tc>
              <w:tc>
                <w:tcPr>
                  <w:tcW w:w="71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lang w:val="en-US" w:eastAsia="zh-CN"/>
                    </w:rPr>
                    <w:t>北京燕山</w:t>
                  </w:r>
                </w:p>
              </w:tc>
              <w:tc>
                <w:tcPr>
                  <w:tcW w:w="703" w:type="pct"/>
                  <w:tcBorders>
                    <w:tl2br w:val="nil"/>
                    <w:tr2bl w:val="nil"/>
                  </w:tcBorders>
                  <w:noWrap w:val="0"/>
                  <w:vAlign w:val="center"/>
                </w:tcPr>
                <w:p>
                  <w:pPr>
                    <w:spacing w:line="240" w:lineRule="auto"/>
                    <w:jc w:val="center"/>
                    <w:rPr>
                      <w:rFonts w:hint="default" w:ascii="Times New Roman" w:hAnsi="Times New Roman" w:cs="Times New Roman"/>
                    </w:rPr>
                  </w:pPr>
                  <w:r>
                    <w:rPr>
                      <w:rFonts w:hint="default" w:ascii="Times New Roman" w:hAnsi="Times New Roman" w:cs="Times New Roman"/>
                      <w:bCs/>
                      <w:szCs w:val="21"/>
                    </w:rPr>
                    <w:t>颗粒/袋装</w:t>
                  </w:r>
                </w:p>
              </w:tc>
              <w:tc>
                <w:tcPr>
                  <w:tcW w:w="658" w:type="pct"/>
                  <w:tcBorders>
                    <w:tl2br w:val="nil"/>
                    <w:tr2bl w:val="nil"/>
                  </w:tcBorders>
                  <w:noWrap w:val="0"/>
                  <w:vAlign w:val="center"/>
                </w:tcPr>
                <w:p>
                  <w:pPr>
                    <w:spacing w:line="240" w:lineRule="auto"/>
                    <w:jc w:val="both"/>
                    <w:rPr>
                      <w:rFonts w:hint="default" w:ascii="Times New Roman" w:hAnsi="Times New Roman" w:cs="Times New Roman"/>
                      <w:bCs/>
                      <w:szCs w:val="21"/>
                    </w:rPr>
                  </w:pPr>
                  <w:r>
                    <w:rPr>
                      <w:rFonts w:hint="default" w:ascii="Times New Roman" w:hAnsi="Times New Roman" w:cs="Times New Roman"/>
                      <w:bCs/>
                      <w:szCs w:val="21"/>
                    </w:rPr>
                    <w:t>原料堆料</w:t>
                  </w:r>
                </w:p>
              </w:tc>
              <w:tc>
                <w:tcPr>
                  <w:tcW w:w="484"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lang w:val="en-US" w:eastAsia="zh-CN"/>
                    </w:rPr>
                    <w:t>10</w:t>
                  </w:r>
                  <w:r>
                    <w:rPr>
                      <w:rFonts w:hint="default" w:ascii="Times New Roman" w:hAnsi="Times New Roman" w:cs="Times New Roman"/>
                      <w:bCs/>
                      <w:szCs w:val="21"/>
                    </w:rPr>
                    <w:t>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420"/>
                    <w:jc w:val="center"/>
                    <w:rPr>
                      <w:rFonts w:hint="default" w:ascii="Times New Roman" w:hAnsi="Times New Roman" w:cs="Times New Roman"/>
                      <w:bCs/>
                      <w:szCs w:val="21"/>
                    </w:rPr>
                  </w:pPr>
                </w:p>
              </w:tc>
              <w:tc>
                <w:tcPr>
                  <w:tcW w:w="760"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色母料</w:t>
                  </w:r>
                </w:p>
              </w:tc>
              <w:tc>
                <w:tcPr>
                  <w:tcW w:w="666"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lang w:val="en-US" w:eastAsia="zh-CN"/>
                    </w:rPr>
                    <w:t>30</w:t>
                  </w:r>
                  <w:r>
                    <w:rPr>
                      <w:rFonts w:hint="default" w:ascii="Times New Roman" w:hAnsi="Times New Roman" w:cs="Times New Roman"/>
                      <w:bCs/>
                      <w:szCs w:val="21"/>
                    </w:rPr>
                    <w:t>t</w:t>
                  </w:r>
                </w:p>
              </w:tc>
              <w:tc>
                <w:tcPr>
                  <w:tcW w:w="682"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聚丙烯</w:t>
                  </w:r>
                </w:p>
              </w:tc>
              <w:tc>
                <w:tcPr>
                  <w:tcW w:w="71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外购</w:t>
                  </w:r>
                </w:p>
              </w:tc>
              <w:tc>
                <w:tcPr>
                  <w:tcW w:w="703" w:type="pct"/>
                  <w:tcBorders>
                    <w:tl2br w:val="nil"/>
                    <w:tr2bl w:val="nil"/>
                  </w:tcBorders>
                  <w:noWrap w:val="0"/>
                  <w:vAlign w:val="center"/>
                </w:tcPr>
                <w:p>
                  <w:pPr>
                    <w:spacing w:line="240" w:lineRule="auto"/>
                    <w:jc w:val="center"/>
                    <w:rPr>
                      <w:rFonts w:hint="default" w:ascii="Times New Roman" w:hAnsi="Times New Roman" w:cs="Times New Roman"/>
                    </w:rPr>
                  </w:pPr>
                  <w:r>
                    <w:rPr>
                      <w:rFonts w:hint="default" w:ascii="Times New Roman" w:hAnsi="Times New Roman" w:cs="Times New Roman"/>
                      <w:bCs/>
                      <w:szCs w:val="21"/>
                    </w:rPr>
                    <w:t>颗粒/袋装</w:t>
                  </w:r>
                </w:p>
              </w:tc>
              <w:tc>
                <w:tcPr>
                  <w:tcW w:w="658" w:type="pct"/>
                  <w:tcBorders>
                    <w:tl2br w:val="nil"/>
                    <w:tr2bl w:val="nil"/>
                  </w:tcBorders>
                  <w:noWrap w:val="0"/>
                  <w:vAlign w:val="center"/>
                </w:tcPr>
                <w:p>
                  <w:pPr>
                    <w:spacing w:line="240" w:lineRule="auto"/>
                    <w:jc w:val="both"/>
                    <w:rPr>
                      <w:rFonts w:hint="default" w:ascii="Times New Roman" w:hAnsi="Times New Roman" w:cs="Times New Roman"/>
                      <w:bCs/>
                      <w:szCs w:val="21"/>
                    </w:rPr>
                  </w:pPr>
                  <w:r>
                    <w:rPr>
                      <w:rFonts w:hint="default" w:ascii="Times New Roman" w:hAnsi="Times New Roman" w:cs="Times New Roman"/>
                      <w:bCs/>
                      <w:szCs w:val="21"/>
                    </w:rPr>
                    <w:t>原料堆料</w:t>
                  </w:r>
                </w:p>
              </w:tc>
              <w:tc>
                <w:tcPr>
                  <w:tcW w:w="484"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5t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199" w:firstLineChars="95"/>
                    <w:jc w:val="center"/>
                    <w:rPr>
                      <w:rFonts w:hint="default" w:ascii="Times New Roman" w:hAnsi="Times New Roman" w:cs="Times New Roman"/>
                      <w:bCs/>
                      <w:szCs w:val="21"/>
                    </w:rPr>
                  </w:pPr>
                </w:p>
              </w:tc>
              <w:tc>
                <w:tcPr>
                  <w:tcW w:w="4669" w:type="pct"/>
                  <w:gridSpan w:val="7"/>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
                      <w:bCs w:val="0"/>
                      <w:szCs w:val="21"/>
                      <w:lang w:val="en-US" w:eastAsia="zh-CN"/>
                    </w:rPr>
                    <w:t>三</w:t>
                  </w:r>
                  <w:r>
                    <w:rPr>
                      <w:rFonts w:hint="default" w:ascii="Times New Roman" w:hAnsi="Times New Roman" w:cs="Times New Roman"/>
                      <w:b/>
                      <w:bCs w:val="0"/>
                      <w:szCs w:val="21"/>
                    </w:rPr>
                    <w:t>、PVC-U建筑管材管件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199" w:firstLineChars="95"/>
                    <w:jc w:val="center"/>
                    <w:rPr>
                      <w:rFonts w:hint="default" w:ascii="Times New Roman" w:hAnsi="Times New Roman" w:cs="Times New Roman"/>
                      <w:bCs/>
                      <w:szCs w:val="21"/>
                    </w:rPr>
                  </w:pPr>
                </w:p>
              </w:tc>
              <w:tc>
                <w:tcPr>
                  <w:tcW w:w="760"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聚氯乙烯（PVC）树脂</w:t>
                  </w:r>
                </w:p>
              </w:tc>
              <w:tc>
                <w:tcPr>
                  <w:tcW w:w="666"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lang w:val="en-US" w:eastAsia="zh-CN"/>
                    </w:rPr>
                    <w:t>4124</w:t>
                  </w:r>
                  <w:r>
                    <w:rPr>
                      <w:rFonts w:hint="default" w:ascii="Times New Roman" w:hAnsi="Times New Roman" w:cs="Times New Roman"/>
                      <w:bCs/>
                      <w:szCs w:val="21"/>
                    </w:rPr>
                    <w:t>t</w:t>
                  </w:r>
                </w:p>
              </w:tc>
              <w:tc>
                <w:tcPr>
                  <w:tcW w:w="682"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聚氯乙烯</w:t>
                  </w:r>
                </w:p>
              </w:tc>
              <w:tc>
                <w:tcPr>
                  <w:tcW w:w="71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外购</w:t>
                  </w:r>
                </w:p>
              </w:tc>
              <w:tc>
                <w:tcPr>
                  <w:tcW w:w="703" w:type="pct"/>
                  <w:tcBorders>
                    <w:tl2br w:val="nil"/>
                    <w:tr2bl w:val="nil"/>
                  </w:tcBorders>
                  <w:noWrap w:val="0"/>
                  <w:vAlign w:val="center"/>
                </w:tcPr>
                <w:p>
                  <w:pPr>
                    <w:spacing w:line="240" w:lineRule="auto"/>
                    <w:jc w:val="center"/>
                    <w:rPr>
                      <w:rFonts w:hint="default" w:ascii="Times New Roman" w:hAnsi="Times New Roman" w:cs="Times New Roman"/>
                      <w:bCs/>
                      <w:color w:val="0000FF"/>
                      <w:szCs w:val="21"/>
                    </w:rPr>
                  </w:pPr>
                  <w:r>
                    <w:rPr>
                      <w:rFonts w:hint="eastAsia" w:cs="Times New Roman"/>
                      <w:bCs/>
                      <w:color w:val="0000FF"/>
                      <w:szCs w:val="21"/>
                      <w:lang w:val="en-US" w:eastAsia="zh-CN"/>
                    </w:rPr>
                    <w:t>颗粒</w:t>
                  </w:r>
                  <w:r>
                    <w:rPr>
                      <w:rFonts w:hint="default" w:ascii="Times New Roman" w:hAnsi="Times New Roman" w:cs="Times New Roman"/>
                      <w:bCs/>
                      <w:color w:val="0000FF"/>
                      <w:szCs w:val="21"/>
                    </w:rPr>
                    <w:t>/袋装</w:t>
                  </w:r>
                </w:p>
              </w:tc>
              <w:tc>
                <w:tcPr>
                  <w:tcW w:w="658" w:type="pct"/>
                  <w:tcBorders>
                    <w:tl2br w:val="nil"/>
                    <w:tr2bl w:val="nil"/>
                  </w:tcBorders>
                  <w:noWrap w:val="0"/>
                  <w:vAlign w:val="center"/>
                </w:tcPr>
                <w:p>
                  <w:pPr>
                    <w:spacing w:line="240" w:lineRule="auto"/>
                    <w:jc w:val="both"/>
                    <w:rPr>
                      <w:rFonts w:hint="default" w:ascii="Times New Roman" w:hAnsi="Times New Roman" w:cs="Times New Roman"/>
                      <w:bCs/>
                      <w:color w:val="0000FF"/>
                      <w:szCs w:val="21"/>
                    </w:rPr>
                  </w:pPr>
                  <w:r>
                    <w:rPr>
                      <w:rFonts w:hint="default" w:ascii="Times New Roman" w:hAnsi="Times New Roman" w:cs="Times New Roman"/>
                      <w:bCs/>
                      <w:color w:val="0000FF"/>
                      <w:szCs w:val="21"/>
                    </w:rPr>
                    <w:t>混料间</w:t>
                  </w:r>
                </w:p>
              </w:tc>
              <w:tc>
                <w:tcPr>
                  <w:tcW w:w="484"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200t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199" w:firstLineChars="95"/>
                    <w:jc w:val="center"/>
                    <w:rPr>
                      <w:rFonts w:hint="default" w:ascii="Times New Roman" w:hAnsi="Times New Roman" w:cs="Times New Roman"/>
                      <w:bCs/>
                      <w:szCs w:val="21"/>
                    </w:rPr>
                  </w:pPr>
                </w:p>
              </w:tc>
              <w:tc>
                <w:tcPr>
                  <w:tcW w:w="760"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钙粉</w:t>
                  </w:r>
                  <w:r>
                    <w:rPr>
                      <w:rFonts w:hint="default" w:ascii="Times New Roman" w:hAnsi="Times New Roman" w:cs="Times New Roman"/>
                      <w:szCs w:val="21"/>
                    </w:rPr>
                    <w:t>（CaCO</w:t>
                  </w:r>
                  <w:r>
                    <w:rPr>
                      <w:rFonts w:hint="default" w:ascii="Times New Roman" w:hAnsi="Times New Roman" w:cs="Times New Roman"/>
                      <w:szCs w:val="21"/>
                      <w:vertAlign w:val="subscript"/>
                    </w:rPr>
                    <w:t>3</w:t>
                  </w:r>
                  <w:r>
                    <w:rPr>
                      <w:rFonts w:hint="default" w:ascii="Times New Roman" w:hAnsi="Times New Roman" w:cs="Times New Roman"/>
                      <w:szCs w:val="21"/>
                    </w:rPr>
                    <w:t>）</w:t>
                  </w:r>
                </w:p>
              </w:tc>
              <w:tc>
                <w:tcPr>
                  <w:tcW w:w="666"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2000t</w:t>
                  </w:r>
                </w:p>
              </w:tc>
              <w:tc>
                <w:tcPr>
                  <w:tcW w:w="682"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碳酸钙</w:t>
                  </w:r>
                </w:p>
              </w:tc>
              <w:tc>
                <w:tcPr>
                  <w:tcW w:w="71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外购</w:t>
                  </w:r>
                </w:p>
              </w:tc>
              <w:tc>
                <w:tcPr>
                  <w:tcW w:w="70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粉状/袋装</w:t>
                  </w:r>
                </w:p>
              </w:tc>
              <w:tc>
                <w:tcPr>
                  <w:tcW w:w="658" w:type="pct"/>
                  <w:tcBorders>
                    <w:tl2br w:val="nil"/>
                    <w:tr2bl w:val="nil"/>
                  </w:tcBorders>
                  <w:noWrap w:val="0"/>
                  <w:vAlign w:val="center"/>
                </w:tcPr>
                <w:p>
                  <w:pPr>
                    <w:spacing w:line="240" w:lineRule="auto"/>
                    <w:jc w:val="both"/>
                    <w:rPr>
                      <w:rFonts w:hint="default" w:ascii="Times New Roman" w:hAnsi="Times New Roman" w:cs="Times New Roman"/>
                      <w:bCs/>
                      <w:szCs w:val="21"/>
                    </w:rPr>
                  </w:pPr>
                  <w:r>
                    <w:rPr>
                      <w:rFonts w:hint="default" w:ascii="Times New Roman" w:hAnsi="Times New Roman" w:cs="Times New Roman"/>
                      <w:bCs/>
                      <w:szCs w:val="21"/>
                    </w:rPr>
                    <w:t>混料间</w:t>
                  </w:r>
                </w:p>
              </w:tc>
              <w:tc>
                <w:tcPr>
                  <w:tcW w:w="484"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50t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199" w:firstLineChars="95"/>
                    <w:jc w:val="center"/>
                    <w:rPr>
                      <w:rFonts w:hint="default" w:ascii="Times New Roman" w:hAnsi="Times New Roman" w:cs="Times New Roman"/>
                      <w:bCs/>
                      <w:szCs w:val="21"/>
                    </w:rPr>
                  </w:pPr>
                </w:p>
              </w:tc>
              <w:tc>
                <w:tcPr>
                  <w:tcW w:w="760"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色母料</w:t>
                  </w:r>
                </w:p>
              </w:tc>
              <w:tc>
                <w:tcPr>
                  <w:tcW w:w="666"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lang w:val="en-US" w:eastAsia="zh-CN"/>
                    </w:rPr>
                    <w:t>6</w:t>
                  </w:r>
                  <w:r>
                    <w:rPr>
                      <w:rFonts w:hint="default" w:ascii="Times New Roman" w:hAnsi="Times New Roman" w:cs="Times New Roman"/>
                      <w:bCs/>
                      <w:szCs w:val="21"/>
                    </w:rPr>
                    <w:t>t</w:t>
                  </w:r>
                </w:p>
              </w:tc>
              <w:tc>
                <w:tcPr>
                  <w:tcW w:w="682"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聚氯乙烯</w:t>
                  </w:r>
                </w:p>
              </w:tc>
              <w:tc>
                <w:tcPr>
                  <w:tcW w:w="71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外购</w:t>
                  </w:r>
                </w:p>
              </w:tc>
              <w:tc>
                <w:tcPr>
                  <w:tcW w:w="70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粉状/袋装</w:t>
                  </w:r>
                </w:p>
              </w:tc>
              <w:tc>
                <w:tcPr>
                  <w:tcW w:w="658" w:type="pct"/>
                  <w:tcBorders>
                    <w:tl2br w:val="nil"/>
                    <w:tr2bl w:val="nil"/>
                  </w:tcBorders>
                  <w:noWrap w:val="0"/>
                  <w:vAlign w:val="center"/>
                </w:tcPr>
                <w:p>
                  <w:pPr>
                    <w:spacing w:line="240" w:lineRule="auto"/>
                    <w:jc w:val="both"/>
                    <w:rPr>
                      <w:rFonts w:hint="default" w:ascii="Times New Roman" w:hAnsi="Times New Roman" w:cs="Times New Roman"/>
                      <w:bCs/>
                      <w:szCs w:val="21"/>
                    </w:rPr>
                  </w:pPr>
                  <w:r>
                    <w:rPr>
                      <w:rFonts w:hint="default" w:ascii="Times New Roman" w:hAnsi="Times New Roman" w:cs="Times New Roman"/>
                      <w:bCs/>
                      <w:szCs w:val="21"/>
                    </w:rPr>
                    <w:t>原料堆料</w:t>
                  </w:r>
                </w:p>
              </w:tc>
              <w:tc>
                <w:tcPr>
                  <w:tcW w:w="484"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1t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199" w:firstLineChars="95"/>
                    <w:jc w:val="center"/>
                    <w:rPr>
                      <w:rFonts w:hint="default" w:ascii="Times New Roman" w:hAnsi="Times New Roman" w:cs="Times New Roman"/>
                      <w:bCs/>
                      <w:szCs w:val="21"/>
                    </w:rPr>
                  </w:pPr>
                </w:p>
              </w:tc>
              <w:tc>
                <w:tcPr>
                  <w:tcW w:w="760"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稳定剂</w:t>
                  </w:r>
                </w:p>
              </w:tc>
              <w:tc>
                <w:tcPr>
                  <w:tcW w:w="666"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lang w:val="en-US" w:eastAsia="zh-CN"/>
                    </w:rPr>
                    <w:t>160</w:t>
                  </w:r>
                  <w:r>
                    <w:rPr>
                      <w:rFonts w:hint="default" w:ascii="Times New Roman" w:hAnsi="Times New Roman" w:cs="Times New Roman"/>
                      <w:bCs/>
                      <w:szCs w:val="21"/>
                    </w:rPr>
                    <w:t>t</w:t>
                  </w:r>
                </w:p>
              </w:tc>
              <w:tc>
                <w:tcPr>
                  <w:tcW w:w="682"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硬脂酸锌</w:t>
                  </w:r>
                </w:p>
              </w:tc>
              <w:tc>
                <w:tcPr>
                  <w:tcW w:w="71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外购</w:t>
                  </w:r>
                </w:p>
              </w:tc>
              <w:tc>
                <w:tcPr>
                  <w:tcW w:w="70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粉状/袋装</w:t>
                  </w:r>
                </w:p>
              </w:tc>
              <w:tc>
                <w:tcPr>
                  <w:tcW w:w="658" w:type="pct"/>
                  <w:tcBorders>
                    <w:tl2br w:val="nil"/>
                    <w:tr2bl w:val="nil"/>
                  </w:tcBorders>
                  <w:noWrap w:val="0"/>
                  <w:vAlign w:val="center"/>
                </w:tcPr>
                <w:p>
                  <w:pPr>
                    <w:spacing w:line="240" w:lineRule="auto"/>
                    <w:jc w:val="both"/>
                    <w:rPr>
                      <w:rFonts w:hint="default" w:ascii="Times New Roman" w:hAnsi="Times New Roman" w:cs="Times New Roman"/>
                      <w:szCs w:val="21"/>
                    </w:rPr>
                  </w:pPr>
                  <w:r>
                    <w:rPr>
                      <w:rFonts w:hint="default" w:ascii="Times New Roman" w:hAnsi="Times New Roman" w:cs="Times New Roman"/>
                      <w:bCs/>
                      <w:szCs w:val="21"/>
                    </w:rPr>
                    <w:t>混料间</w:t>
                  </w:r>
                </w:p>
              </w:tc>
              <w:tc>
                <w:tcPr>
                  <w:tcW w:w="484"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20t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199" w:firstLineChars="95"/>
                    <w:jc w:val="center"/>
                    <w:rPr>
                      <w:rFonts w:hint="default" w:ascii="Times New Roman" w:hAnsi="Times New Roman" w:cs="Times New Roman"/>
                      <w:bCs/>
                      <w:szCs w:val="21"/>
                    </w:rPr>
                  </w:pPr>
                </w:p>
              </w:tc>
              <w:tc>
                <w:tcPr>
                  <w:tcW w:w="760"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硬脂酸</w:t>
                  </w:r>
                </w:p>
              </w:tc>
              <w:tc>
                <w:tcPr>
                  <w:tcW w:w="666"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200t</w:t>
                  </w:r>
                </w:p>
              </w:tc>
              <w:tc>
                <w:tcPr>
                  <w:tcW w:w="682"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十八烷酸</w:t>
                  </w:r>
                </w:p>
              </w:tc>
              <w:tc>
                <w:tcPr>
                  <w:tcW w:w="71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外购</w:t>
                  </w:r>
                </w:p>
              </w:tc>
              <w:tc>
                <w:tcPr>
                  <w:tcW w:w="70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粉状/袋装</w:t>
                  </w:r>
                </w:p>
              </w:tc>
              <w:tc>
                <w:tcPr>
                  <w:tcW w:w="658" w:type="pct"/>
                  <w:tcBorders>
                    <w:tl2br w:val="nil"/>
                    <w:tr2bl w:val="nil"/>
                  </w:tcBorders>
                  <w:noWrap w:val="0"/>
                  <w:vAlign w:val="center"/>
                </w:tcPr>
                <w:p>
                  <w:pPr>
                    <w:spacing w:line="240" w:lineRule="auto"/>
                    <w:jc w:val="both"/>
                    <w:rPr>
                      <w:rFonts w:hint="default" w:ascii="Times New Roman" w:hAnsi="Times New Roman" w:cs="Times New Roman"/>
                      <w:bCs/>
                      <w:szCs w:val="21"/>
                    </w:rPr>
                  </w:pPr>
                  <w:r>
                    <w:rPr>
                      <w:rFonts w:hint="default" w:ascii="Times New Roman" w:hAnsi="Times New Roman" w:cs="Times New Roman"/>
                      <w:bCs/>
                      <w:szCs w:val="21"/>
                    </w:rPr>
                    <w:t>混料间</w:t>
                  </w:r>
                </w:p>
              </w:tc>
              <w:tc>
                <w:tcPr>
                  <w:tcW w:w="484"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2</w:t>
                  </w:r>
                  <w:r>
                    <w:rPr>
                      <w:rFonts w:hint="default" w:ascii="Times New Roman" w:hAnsi="Times New Roman" w:cs="Times New Roman"/>
                      <w:bCs/>
                      <w:szCs w:val="21"/>
                      <w:lang w:val="en-US" w:eastAsia="zh-CN"/>
                    </w:rPr>
                    <w:t>0</w:t>
                  </w:r>
                  <w:r>
                    <w:rPr>
                      <w:rFonts w:hint="default" w:ascii="Times New Roman" w:hAnsi="Times New Roman" w:cs="Times New Roman"/>
                      <w:bCs/>
                      <w:szCs w:val="21"/>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199" w:firstLineChars="95"/>
                    <w:jc w:val="center"/>
                    <w:rPr>
                      <w:rFonts w:hint="default" w:ascii="Times New Roman" w:hAnsi="Times New Roman" w:cs="Times New Roman"/>
                      <w:bCs/>
                      <w:szCs w:val="21"/>
                    </w:rPr>
                  </w:pPr>
                </w:p>
              </w:tc>
              <w:tc>
                <w:tcPr>
                  <w:tcW w:w="760"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PE蜡</w:t>
                  </w:r>
                </w:p>
              </w:tc>
              <w:tc>
                <w:tcPr>
                  <w:tcW w:w="666"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lang w:val="en-US" w:eastAsia="zh-CN"/>
                    </w:rPr>
                    <w:t>40</w:t>
                  </w:r>
                  <w:r>
                    <w:rPr>
                      <w:rFonts w:hint="default" w:ascii="Times New Roman" w:hAnsi="Times New Roman" w:cs="Times New Roman"/>
                      <w:bCs/>
                      <w:szCs w:val="21"/>
                    </w:rPr>
                    <w:t>t</w:t>
                  </w:r>
                </w:p>
              </w:tc>
              <w:tc>
                <w:tcPr>
                  <w:tcW w:w="682"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聚乙烯</w:t>
                  </w:r>
                </w:p>
              </w:tc>
              <w:tc>
                <w:tcPr>
                  <w:tcW w:w="71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外购</w:t>
                  </w:r>
                </w:p>
              </w:tc>
              <w:tc>
                <w:tcPr>
                  <w:tcW w:w="70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固态/袋装</w:t>
                  </w:r>
                </w:p>
              </w:tc>
              <w:tc>
                <w:tcPr>
                  <w:tcW w:w="658" w:type="pct"/>
                  <w:tcBorders>
                    <w:tl2br w:val="nil"/>
                    <w:tr2bl w:val="nil"/>
                  </w:tcBorders>
                  <w:noWrap w:val="0"/>
                  <w:vAlign w:val="center"/>
                </w:tcPr>
                <w:p>
                  <w:pPr>
                    <w:spacing w:line="240" w:lineRule="auto"/>
                    <w:jc w:val="both"/>
                    <w:rPr>
                      <w:rFonts w:hint="default" w:ascii="Times New Roman" w:hAnsi="Times New Roman" w:cs="Times New Roman"/>
                      <w:bCs/>
                      <w:szCs w:val="21"/>
                    </w:rPr>
                  </w:pPr>
                  <w:r>
                    <w:rPr>
                      <w:rFonts w:hint="default" w:ascii="Times New Roman" w:hAnsi="Times New Roman" w:cs="Times New Roman"/>
                      <w:bCs/>
                      <w:szCs w:val="21"/>
                    </w:rPr>
                    <w:t>原料堆料</w:t>
                  </w:r>
                </w:p>
              </w:tc>
              <w:tc>
                <w:tcPr>
                  <w:tcW w:w="484"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2t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199" w:firstLineChars="95"/>
                    <w:jc w:val="center"/>
                    <w:rPr>
                      <w:rFonts w:hint="default" w:ascii="Times New Roman" w:hAnsi="Times New Roman" w:cs="Times New Roman"/>
                      <w:bCs/>
                      <w:szCs w:val="21"/>
                    </w:rPr>
                  </w:pPr>
                </w:p>
              </w:tc>
              <w:tc>
                <w:tcPr>
                  <w:tcW w:w="760"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增白剂</w:t>
                  </w:r>
                </w:p>
              </w:tc>
              <w:tc>
                <w:tcPr>
                  <w:tcW w:w="666"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lang w:val="en-US" w:eastAsia="zh-CN"/>
                    </w:rPr>
                    <w:t>20</w:t>
                  </w:r>
                  <w:r>
                    <w:rPr>
                      <w:rFonts w:hint="default" w:ascii="Times New Roman" w:hAnsi="Times New Roman" w:cs="Times New Roman"/>
                      <w:bCs/>
                      <w:szCs w:val="21"/>
                    </w:rPr>
                    <w:t>t</w:t>
                  </w:r>
                </w:p>
              </w:tc>
              <w:tc>
                <w:tcPr>
                  <w:tcW w:w="682"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聚酯纤维</w:t>
                  </w:r>
                </w:p>
              </w:tc>
              <w:tc>
                <w:tcPr>
                  <w:tcW w:w="71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外购</w:t>
                  </w:r>
                </w:p>
              </w:tc>
              <w:tc>
                <w:tcPr>
                  <w:tcW w:w="703" w:type="pct"/>
                  <w:tcBorders>
                    <w:tl2br w:val="nil"/>
                    <w:tr2bl w:val="nil"/>
                  </w:tcBorders>
                  <w:noWrap w:val="0"/>
                  <w:vAlign w:val="center"/>
                </w:tcPr>
                <w:p>
                  <w:pPr>
                    <w:spacing w:line="240" w:lineRule="auto"/>
                    <w:jc w:val="both"/>
                    <w:rPr>
                      <w:rFonts w:hint="default" w:ascii="Times New Roman" w:hAnsi="Times New Roman" w:cs="Times New Roman"/>
                      <w:bCs/>
                      <w:szCs w:val="21"/>
                    </w:rPr>
                  </w:pPr>
                  <w:r>
                    <w:rPr>
                      <w:rFonts w:hint="default" w:ascii="Times New Roman" w:hAnsi="Times New Roman" w:cs="Times New Roman"/>
                      <w:bCs/>
                      <w:szCs w:val="21"/>
                    </w:rPr>
                    <w:t>粉状/袋装</w:t>
                  </w:r>
                </w:p>
              </w:tc>
              <w:tc>
                <w:tcPr>
                  <w:tcW w:w="658" w:type="pct"/>
                  <w:tcBorders>
                    <w:tl2br w:val="nil"/>
                    <w:tr2bl w:val="nil"/>
                  </w:tcBorders>
                  <w:noWrap w:val="0"/>
                  <w:vAlign w:val="center"/>
                </w:tcPr>
                <w:p>
                  <w:pPr>
                    <w:spacing w:line="240" w:lineRule="auto"/>
                    <w:jc w:val="both"/>
                    <w:rPr>
                      <w:rFonts w:hint="default" w:ascii="Times New Roman" w:hAnsi="Times New Roman" w:cs="Times New Roman"/>
                      <w:szCs w:val="21"/>
                    </w:rPr>
                  </w:pPr>
                  <w:r>
                    <w:rPr>
                      <w:rFonts w:hint="default" w:ascii="Times New Roman" w:hAnsi="Times New Roman" w:cs="Times New Roman"/>
                      <w:bCs/>
                      <w:szCs w:val="21"/>
                    </w:rPr>
                    <w:t>混料间</w:t>
                  </w:r>
                </w:p>
              </w:tc>
              <w:tc>
                <w:tcPr>
                  <w:tcW w:w="484"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0.1t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199" w:firstLineChars="95"/>
                    <w:jc w:val="center"/>
                    <w:rPr>
                      <w:rFonts w:hint="default" w:ascii="Times New Roman" w:hAnsi="Times New Roman" w:cs="Times New Roman"/>
                      <w:bCs/>
                      <w:szCs w:val="21"/>
                    </w:rPr>
                  </w:pPr>
                </w:p>
              </w:tc>
              <w:tc>
                <w:tcPr>
                  <w:tcW w:w="760"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石蜡</w:t>
                  </w:r>
                </w:p>
              </w:tc>
              <w:tc>
                <w:tcPr>
                  <w:tcW w:w="666"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0.</w:t>
                  </w:r>
                  <w:r>
                    <w:rPr>
                      <w:rFonts w:hint="default" w:ascii="Times New Roman" w:hAnsi="Times New Roman" w:cs="Times New Roman"/>
                      <w:bCs/>
                      <w:szCs w:val="21"/>
                      <w:lang w:val="en-US" w:eastAsia="zh-CN"/>
                    </w:rPr>
                    <w:t>01</w:t>
                  </w:r>
                  <w:r>
                    <w:rPr>
                      <w:rFonts w:hint="default" w:ascii="Times New Roman" w:hAnsi="Times New Roman" w:cs="Times New Roman"/>
                      <w:bCs/>
                      <w:szCs w:val="21"/>
                    </w:rPr>
                    <w:t>t</w:t>
                  </w:r>
                </w:p>
              </w:tc>
              <w:tc>
                <w:tcPr>
                  <w:tcW w:w="682"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szCs w:val="21"/>
                    </w:rPr>
                    <w:t>石蜡</w:t>
                  </w:r>
                </w:p>
              </w:tc>
              <w:tc>
                <w:tcPr>
                  <w:tcW w:w="71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外购</w:t>
                  </w:r>
                </w:p>
              </w:tc>
              <w:tc>
                <w:tcPr>
                  <w:tcW w:w="70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固态/袋装</w:t>
                  </w:r>
                </w:p>
              </w:tc>
              <w:tc>
                <w:tcPr>
                  <w:tcW w:w="658" w:type="pct"/>
                  <w:tcBorders>
                    <w:tl2br w:val="nil"/>
                    <w:tr2bl w:val="nil"/>
                  </w:tcBorders>
                  <w:noWrap w:val="0"/>
                  <w:vAlign w:val="center"/>
                </w:tcPr>
                <w:p>
                  <w:pPr>
                    <w:spacing w:line="240" w:lineRule="auto"/>
                    <w:jc w:val="both"/>
                    <w:rPr>
                      <w:rFonts w:hint="default" w:ascii="Times New Roman" w:hAnsi="Times New Roman" w:cs="Times New Roman"/>
                      <w:bCs/>
                      <w:szCs w:val="21"/>
                    </w:rPr>
                  </w:pPr>
                  <w:r>
                    <w:rPr>
                      <w:rFonts w:hint="default" w:ascii="Times New Roman" w:hAnsi="Times New Roman" w:cs="Times New Roman"/>
                      <w:bCs/>
                      <w:szCs w:val="21"/>
                    </w:rPr>
                    <w:t>原料堆料</w:t>
                  </w:r>
                </w:p>
              </w:tc>
              <w:tc>
                <w:tcPr>
                  <w:tcW w:w="484"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0.</w:t>
                  </w:r>
                  <w:r>
                    <w:rPr>
                      <w:rFonts w:hint="default" w:ascii="Times New Roman" w:hAnsi="Times New Roman" w:cs="Times New Roman"/>
                      <w:bCs/>
                      <w:szCs w:val="21"/>
                      <w:lang w:val="en-US" w:eastAsia="zh-CN"/>
                    </w:rPr>
                    <w:t>00</w:t>
                  </w:r>
                  <w:r>
                    <w:rPr>
                      <w:rFonts w:hint="default" w:ascii="Times New Roman" w:hAnsi="Times New Roman" w:cs="Times New Roman"/>
                      <w:bCs/>
                      <w:szCs w:val="21"/>
                    </w:rPr>
                    <w:t>1t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199" w:firstLineChars="95"/>
                    <w:jc w:val="center"/>
                    <w:rPr>
                      <w:rFonts w:hint="default" w:ascii="Times New Roman" w:hAnsi="Times New Roman" w:cs="Times New Roman"/>
                      <w:bCs/>
                      <w:szCs w:val="21"/>
                    </w:rPr>
                  </w:pPr>
                </w:p>
              </w:tc>
              <w:tc>
                <w:tcPr>
                  <w:tcW w:w="760"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钛白粉</w:t>
                  </w:r>
                </w:p>
              </w:tc>
              <w:tc>
                <w:tcPr>
                  <w:tcW w:w="666"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lang w:val="en-US" w:eastAsia="zh-CN"/>
                    </w:rPr>
                    <w:t>400</w:t>
                  </w:r>
                  <w:r>
                    <w:rPr>
                      <w:rFonts w:hint="default" w:ascii="Times New Roman" w:hAnsi="Times New Roman" w:cs="Times New Roman"/>
                      <w:bCs/>
                      <w:szCs w:val="21"/>
                    </w:rPr>
                    <w:t>t</w:t>
                  </w:r>
                </w:p>
              </w:tc>
              <w:tc>
                <w:tcPr>
                  <w:tcW w:w="682"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二氧化钛</w:t>
                  </w:r>
                </w:p>
              </w:tc>
              <w:tc>
                <w:tcPr>
                  <w:tcW w:w="71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外购</w:t>
                  </w:r>
                </w:p>
              </w:tc>
              <w:tc>
                <w:tcPr>
                  <w:tcW w:w="703"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粉状/袋装</w:t>
                  </w:r>
                </w:p>
              </w:tc>
              <w:tc>
                <w:tcPr>
                  <w:tcW w:w="658" w:type="pct"/>
                  <w:tcBorders>
                    <w:tl2br w:val="nil"/>
                    <w:tr2bl w:val="nil"/>
                  </w:tcBorders>
                  <w:noWrap w:val="0"/>
                  <w:vAlign w:val="center"/>
                </w:tcPr>
                <w:p>
                  <w:pPr>
                    <w:spacing w:line="240" w:lineRule="auto"/>
                    <w:jc w:val="both"/>
                    <w:rPr>
                      <w:rFonts w:hint="default" w:ascii="Times New Roman" w:hAnsi="Times New Roman" w:cs="Times New Roman"/>
                      <w:bCs/>
                      <w:szCs w:val="21"/>
                    </w:rPr>
                  </w:pPr>
                  <w:r>
                    <w:rPr>
                      <w:rFonts w:hint="default" w:ascii="Times New Roman" w:hAnsi="Times New Roman" w:cs="Times New Roman"/>
                      <w:bCs/>
                      <w:szCs w:val="21"/>
                    </w:rPr>
                    <w:t>混料间</w:t>
                  </w:r>
                </w:p>
              </w:tc>
              <w:tc>
                <w:tcPr>
                  <w:tcW w:w="484"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lang w:val="en-US" w:eastAsia="zh-CN"/>
                    </w:rPr>
                    <w:t>40</w:t>
                  </w:r>
                  <w:r>
                    <w:rPr>
                      <w:rFonts w:hint="default" w:ascii="Times New Roman" w:hAnsi="Times New Roman" w:cs="Times New Roman"/>
                      <w:bCs/>
                      <w:szCs w:val="21"/>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199" w:firstLineChars="95"/>
                    <w:jc w:val="center"/>
                    <w:rPr>
                      <w:rFonts w:hint="default" w:ascii="Times New Roman" w:hAnsi="Times New Roman" w:cs="Times New Roman"/>
                      <w:bCs/>
                      <w:szCs w:val="21"/>
                    </w:rPr>
                  </w:pPr>
                </w:p>
              </w:tc>
              <w:tc>
                <w:tcPr>
                  <w:tcW w:w="4669" w:type="pct"/>
                  <w:gridSpan w:val="7"/>
                  <w:tcBorders>
                    <w:tl2br w:val="nil"/>
                    <w:tr2bl w:val="nil"/>
                  </w:tcBorders>
                  <w:noWrap w:val="0"/>
                  <w:vAlign w:val="center"/>
                </w:tcPr>
                <w:p>
                  <w:pPr>
                    <w:spacing w:line="240" w:lineRule="auto"/>
                    <w:ind w:firstLine="422"/>
                    <w:jc w:val="center"/>
                    <w:rPr>
                      <w:rFonts w:hint="default" w:ascii="Times New Roman" w:hAnsi="Times New Roman" w:cs="Times New Roman"/>
                      <w:bCs/>
                      <w:szCs w:val="21"/>
                    </w:rPr>
                  </w:pPr>
                  <w:r>
                    <w:rPr>
                      <w:rFonts w:hint="default" w:ascii="Times New Roman" w:hAnsi="Times New Roman" w:cs="Times New Roman"/>
                      <w:b/>
                      <w:szCs w:val="21"/>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vMerge w:val="continue"/>
                  <w:tcBorders>
                    <w:tl2br w:val="nil"/>
                    <w:tr2bl w:val="nil"/>
                  </w:tcBorders>
                  <w:noWrap w:val="0"/>
                  <w:vAlign w:val="center"/>
                </w:tcPr>
                <w:p>
                  <w:pPr>
                    <w:spacing w:line="240" w:lineRule="auto"/>
                    <w:ind w:firstLine="199" w:firstLineChars="95"/>
                    <w:jc w:val="center"/>
                    <w:rPr>
                      <w:rFonts w:hint="default" w:ascii="Times New Roman" w:hAnsi="Times New Roman" w:cs="Times New Roman"/>
                      <w:bCs/>
                      <w:szCs w:val="21"/>
                    </w:rPr>
                  </w:pPr>
                </w:p>
              </w:tc>
              <w:tc>
                <w:tcPr>
                  <w:tcW w:w="760" w:type="pct"/>
                  <w:tcBorders>
                    <w:tl2br w:val="nil"/>
                    <w:tr2bl w:val="nil"/>
                  </w:tcBorders>
                  <w:noWrap w:val="0"/>
                  <w:vAlign w:val="center"/>
                </w:tcPr>
                <w:p>
                  <w:pPr>
                    <w:snapToGrid w:val="0"/>
                    <w:spacing w:line="240" w:lineRule="auto"/>
                    <w:ind w:firstLine="420"/>
                    <w:jc w:val="center"/>
                    <w:rPr>
                      <w:rFonts w:hint="default" w:ascii="Times New Roman" w:hAnsi="Times New Roman" w:cs="Times New Roman"/>
                      <w:bCs/>
                      <w:szCs w:val="21"/>
                    </w:rPr>
                  </w:pPr>
                  <w:r>
                    <w:rPr>
                      <w:rFonts w:hint="default" w:ascii="Times New Roman" w:hAnsi="Times New Roman" w:cs="Times New Roman"/>
                      <w:bCs/>
                      <w:szCs w:val="21"/>
                    </w:rPr>
                    <w:t>机油</w:t>
                  </w:r>
                </w:p>
              </w:tc>
              <w:tc>
                <w:tcPr>
                  <w:tcW w:w="666" w:type="pct"/>
                  <w:tcBorders>
                    <w:tl2br w:val="nil"/>
                    <w:tr2bl w:val="nil"/>
                  </w:tcBorders>
                  <w:noWrap w:val="0"/>
                  <w:vAlign w:val="center"/>
                </w:tcPr>
                <w:p>
                  <w:pPr>
                    <w:snapToGrid w:val="0"/>
                    <w:spacing w:line="240" w:lineRule="auto"/>
                    <w:ind w:firstLine="210" w:firstLineChars="100"/>
                    <w:jc w:val="center"/>
                    <w:rPr>
                      <w:rFonts w:hint="default" w:ascii="Times New Roman" w:hAnsi="Times New Roman" w:cs="Times New Roman"/>
                      <w:bCs/>
                      <w:szCs w:val="21"/>
                    </w:rPr>
                  </w:pPr>
                  <w:r>
                    <w:rPr>
                      <w:rFonts w:hint="default" w:ascii="Times New Roman" w:hAnsi="Times New Roman" w:cs="Times New Roman"/>
                      <w:bCs/>
                      <w:szCs w:val="21"/>
                    </w:rPr>
                    <w:t>0.</w:t>
                  </w:r>
                  <w:r>
                    <w:rPr>
                      <w:rFonts w:hint="default" w:ascii="Times New Roman" w:hAnsi="Times New Roman" w:cs="Times New Roman"/>
                      <w:bCs/>
                      <w:szCs w:val="21"/>
                      <w:lang w:val="en-US" w:eastAsia="zh-CN"/>
                    </w:rPr>
                    <w:t>0</w:t>
                  </w:r>
                  <w:r>
                    <w:rPr>
                      <w:rFonts w:hint="default" w:ascii="Times New Roman" w:hAnsi="Times New Roman" w:cs="Times New Roman"/>
                      <w:bCs/>
                      <w:szCs w:val="21"/>
                    </w:rPr>
                    <w:t>5t</w:t>
                  </w:r>
                </w:p>
              </w:tc>
              <w:tc>
                <w:tcPr>
                  <w:tcW w:w="682" w:type="pct"/>
                  <w:tcBorders>
                    <w:tl2br w:val="nil"/>
                    <w:tr2bl w:val="nil"/>
                  </w:tcBorders>
                  <w:noWrap w:val="0"/>
                  <w:vAlign w:val="center"/>
                </w:tcPr>
                <w:p>
                  <w:pPr>
                    <w:snapToGrid w:val="0"/>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矿物油</w:t>
                  </w:r>
                </w:p>
              </w:tc>
              <w:tc>
                <w:tcPr>
                  <w:tcW w:w="713" w:type="pct"/>
                  <w:tcBorders>
                    <w:tl2br w:val="nil"/>
                    <w:tr2bl w:val="nil"/>
                  </w:tcBorders>
                  <w:noWrap w:val="0"/>
                  <w:vAlign w:val="center"/>
                </w:tcPr>
                <w:p>
                  <w:pPr>
                    <w:snapToGrid w:val="0"/>
                    <w:spacing w:line="240" w:lineRule="auto"/>
                    <w:ind w:firstLine="105" w:firstLineChars="50"/>
                    <w:jc w:val="center"/>
                    <w:rPr>
                      <w:rFonts w:hint="default" w:ascii="Times New Roman" w:hAnsi="Times New Roman" w:cs="Times New Roman"/>
                      <w:bCs/>
                      <w:szCs w:val="21"/>
                    </w:rPr>
                  </w:pPr>
                  <w:r>
                    <w:rPr>
                      <w:rFonts w:hint="default" w:ascii="Times New Roman" w:hAnsi="Times New Roman" w:cs="Times New Roman"/>
                      <w:bCs/>
                      <w:szCs w:val="21"/>
                    </w:rPr>
                    <w:t>外购</w:t>
                  </w:r>
                </w:p>
              </w:tc>
              <w:tc>
                <w:tcPr>
                  <w:tcW w:w="703" w:type="pct"/>
                  <w:tcBorders>
                    <w:tl2br w:val="nil"/>
                    <w:tr2bl w:val="nil"/>
                  </w:tcBorders>
                  <w:noWrap w:val="0"/>
                  <w:vAlign w:val="center"/>
                </w:tcPr>
                <w:p>
                  <w:pPr>
                    <w:snapToGrid w:val="0"/>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液态/桶装</w:t>
                  </w:r>
                </w:p>
              </w:tc>
              <w:tc>
                <w:tcPr>
                  <w:tcW w:w="658" w:type="pct"/>
                  <w:tcBorders>
                    <w:tl2br w:val="nil"/>
                    <w:tr2bl w:val="nil"/>
                  </w:tcBorders>
                  <w:noWrap w:val="0"/>
                  <w:vAlign w:val="center"/>
                </w:tcPr>
                <w:p>
                  <w:pPr>
                    <w:snapToGrid w:val="0"/>
                    <w:spacing w:line="240" w:lineRule="auto"/>
                    <w:jc w:val="both"/>
                    <w:rPr>
                      <w:rFonts w:hint="default" w:ascii="Times New Roman" w:hAnsi="Times New Roman" w:cs="Times New Roman"/>
                      <w:bCs/>
                      <w:szCs w:val="21"/>
                    </w:rPr>
                  </w:pPr>
                  <w:r>
                    <w:rPr>
                      <w:rFonts w:hint="default" w:ascii="Times New Roman" w:hAnsi="Times New Roman" w:cs="Times New Roman"/>
                      <w:bCs/>
                      <w:szCs w:val="21"/>
                    </w:rPr>
                    <w:t>厂区不储存</w:t>
                  </w:r>
                </w:p>
              </w:tc>
              <w:tc>
                <w:tcPr>
                  <w:tcW w:w="484" w:type="pct"/>
                  <w:tcBorders>
                    <w:tl2br w:val="nil"/>
                    <w:tr2bl w:val="nil"/>
                  </w:tcBorders>
                  <w:noWrap w:val="0"/>
                  <w:vAlign w:val="center"/>
                </w:tcPr>
                <w:p>
                  <w:pPr>
                    <w:snapToGrid w:val="0"/>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设备维护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能源</w:t>
                  </w:r>
                </w:p>
              </w:tc>
              <w:tc>
                <w:tcPr>
                  <w:tcW w:w="760" w:type="pct"/>
                  <w:tcBorders>
                    <w:tl2br w:val="nil"/>
                    <w:tr2bl w:val="nil"/>
                  </w:tcBorders>
                  <w:noWrap w:val="0"/>
                  <w:vAlign w:val="center"/>
                </w:tcPr>
                <w:p>
                  <w:pPr>
                    <w:snapToGrid w:val="0"/>
                    <w:spacing w:line="240" w:lineRule="auto"/>
                    <w:ind w:firstLine="420"/>
                    <w:jc w:val="left"/>
                    <w:rPr>
                      <w:rFonts w:hint="default" w:ascii="Times New Roman" w:hAnsi="Times New Roman" w:eastAsia="宋体" w:cs="Times New Roman"/>
                      <w:bCs/>
                      <w:szCs w:val="21"/>
                    </w:rPr>
                  </w:pPr>
                  <w:r>
                    <w:rPr>
                      <w:rFonts w:hint="default" w:ascii="Times New Roman" w:hAnsi="Times New Roman" w:eastAsia="宋体" w:cs="Times New Roman"/>
                      <w:bCs/>
                      <w:szCs w:val="21"/>
                    </w:rPr>
                    <w:t>电</w:t>
                  </w:r>
                </w:p>
              </w:tc>
              <w:tc>
                <w:tcPr>
                  <w:tcW w:w="666" w:type="pct"/>
                  <w:tcBorders>
                    <w:tl2br w:val="nil"/>
                    <w:tr2bl w:val="nil"/>
                  </w:tcBorders>
                  <w:noWrap w:val="0"/>
                  <w:vAlign w:val="center"/>
                </w:tcPr>
                <w:p>
                  <w:pPr>
                    <w:snapToGrid w:val="0"/>
                    <w:spacing w:line="240" w:lineRule="auto"/>
                    <w:jc w:val="left"/>
                    <w:rPr>
                      <w:rFonts w:hint="default" w:ascii="Times New Roman" w:hAnsi="Times New Roman" w:eastAsia="宋体" w:cs="Times New Roman"/>
                      <w:bCs/>
                      <w:szCs w:val="21"/>
                    </w:rPr>
                  </w:pPr>
                  <w:r>
                    <w:rPr>
                      <w:rFonts w:hint="default" w:ascii="Times New Roman" w:hAnsi="Times New Roman" w:eastAsia="宋体" w:cs="Times New Roman"/>
                      <w:bCs/>
                      <w:szCs w:val="21"/>
                    </w:rPr>
                    <w:t>300万度</w:t>
                  </w:r>
                </w:p>
              </w:tc>
              <w:tc>
                <w:tcPr>
                  <w:tcW w:w="3242" w:type="pct"/>
                  <w:gridSpan w:val="5"/>
                  <w:tcBorders>
                    <w:tl2br w:val="nil"/>
                    <w:tr2bl w:val="nil"/>
                  </w:tcBorders>
                  <w:noWrap w:val="0"/>
                  <w:vAlign w:val="center"/>
                </w:tcPr>
                <w:p>
                  <w:pPr>
                    <w:snapToGrid w:val="0"/>
                    <w:spacing w:line="240" w:lineRule="auto"/>
                    <w:ind w:firstLine="420"/>
                    <w:jc w:val="center"/>
                    <w:rPr>
                      <w:rFonts w:hint="default" w:ascii="Times New Roman" w:hAnsi="Times New Roman" w:cs="Times New Roman"/>
                      <w:bCs/>
                      <w:szCs w:val="21"/>
                    </w:rPr>
                  </w:pPr>
                  <w:r>
                    <w:rPr>
                      <w:rFonts w:hint="default" w:ascii="Times New Roman" w:hAnsi="Times New Roman" w:cs="Times New Roman"/>
                      <w:bCs/>
                      <w:szCs w:val="21"/>
                    </w:rPr>
                    <w:t>国家电网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30" w:type="pct"/>
                  <w:tcBorders>
                    <w:tl2br w:val="nil"/>
                    <w:tr2bl w:val="nil"/>
                  </w:tcBorders>
                  <w:noWrap w:val="0"/>
                  <w:vAlign w:val="center"/>
                </w:tcPr>
                <w:p>
                  <w:pPr>
                    <w:spacing w:line="240" w:lineRule="auto"/>
                    <w:jc w:val="center"/>
                    <w:rPr>
                      <w:rFonts w:hint="default" w:ascii="Times New Roman" w:hAnsi="Times New Roman" w:cs="Times New Roman"/>
                      <w:bCs/>
                      <w:szCs w:val="21"/>
                    </w:rPr>
                  </w:pPr>
                  <w:r>
                    <w:rPr>
                      <w:rFonts w:hint="default" w:ascii="Times New Roman" w:hAnsi="Times New Roman" w:cs="Times New Roman"/>
                      <w:bCs/>
                      <w:szCs w:val="21"/>
                    </w:rPr>
                    <w:t>水量</w:t>
                  </w:r>
                </w:p>
              </w:tc>
              <w:tc>
                <w:tcPr>
                  <w:tcW w:w="760" w:type="pct"/>
                  <w:tcBorders>
                    <w:tl2br w:val="nil"/>
                    <w:tr2bl w:val="nil"/>
                  </w:tcBorders>
                  <w:noWrap w:val="0"/>
                  <w:vAlign w:val="center"/>
                </w:tcPr>
                <w:p>
                  <w:pPr>
                    <w:snapToGrid w:val="0"/>
                    <w:spacing w:line="240" w:lineRule="auto"/>
                    <w:ind w:firstLine="420"/>
                    <w:jc w:val="left"/>
                    <w:rPr>
                      <w:rFonts w:hint="default" w:ascii="Times New Roman" w:hAnsi="Times New Roman" w:eastAsia="宋体" w:cs="Times New Roman"/>
                      <w:bCs/>
                      <w:szCs w:val="21"/>
                    </w:rPr>
                  </w:pPr>
                  <w:r>
                    <w:rPr>
                      <w:rFonts w:hint="default" w:ascii="Times New Roman" w:hAnsi="Times New Roman" w:eastAsia="宋体" w:cs="Times New Roman"/>
                      <w:bCs/>
                      <w:szCs w:val="21"/>
                    </w:rPr>
                    <w:t>水</w:t>
                  </w:r>
                </w:p>
              </w:tc>
              <w:tc>
                <w:tcPr>
                  <w:tcW w:w="666" w:type="pct"/>
                  <w:tcBorders>
                    <w:tl2br w:val="nil"/>
                    <w:tr2bl w:val="nil"/>
                  </w:tcBorders>
                  <w:noWrap w:val="0"/>
                  <w:vAlign w:val="center"/>
                </w:tcPr>
                <w:p>
                  <w:pPr>
                    <w:snapToGrid w:val="0"/>
                    <w:spacing w:line="240" w:lineRule="auto"/>
                    <w:jc w:val="left"/>
                    <w:rPr>
                      <w:rFonts w:hint="default" w:ascii="Times New Roman" w:hAnsi="Times New Roman" w:eastAsia="宋体" w:cs="Times New Roman"/>
                      <w:bCs/>
                      <w:szCs w:val="21"/>
                    </w:rPr>
                  </w:pPr>
                  <w:r>
                    <w:rPr>
                      <w:rFonts w:hint="default" w:ascii="Times New Roman" w:hAnsi="Times New Roman" w:eastAsia="宋体" w:cs="Times New Roman"/>
                      <w:bCs/>
                      <w:szCs w:val="21"/>
                      <w:lang w:val="en-US" w:eastAsia="zh-CN"/>
                    </w:rPr>
                    <w:t>2400</w:t>
                  </w:r>
                  <w:r>
                    <w:rPr>
                      <w:rFonts w:hint="default" w:ascii="Times New Roman" w:hAnsi="Times New Roman" w:eastAsia="宋体" w:cs="Times New Roman"/>
                      <w:bCs/>
                      <w:szCs w:val="21"/>
                    </w:rPr>
                    <w:t>m</w:t>
                  </w:r>
                  <w:r>
                    <w:rPr>
                      <w:rFonts w:hint="default" w:ascii="Times New Roman" w:hAnsi="Times New Roman" w:eastAsia="宋体" w:cs="Times New Roman"/>
                      <w:bCs/>
                      <w:szCs w:val="21"/>
                      <w:vertAlign w:val="superscript"/>
                    </w:rPr>
                    <w:t>3</w:t>
                  </w:r>
                  <w:r>
                    <w:rPr>
                      <w:rFonts w:hint="default" w:ascii="Times New Roman" w:hAnsi="Times New Roman" w:eastAsia="宋体" w:cs="Times New Roman"/>
                      <w:bCs/>
                      <w:szCs w:val="21"/>
                    </w:rPr>
                    <w:t>/a</w:t>
                  </w:r>
                </w:p>
              </w:tc>
              <w:tc>
                <w:tcPr>
                  <w:tcW w:w="3242" w:type="pct"/>
                  <w:gridSpan w:val="5"/>
                  <w:tcBorders>
                    <w:tl2br w:val="nil"/>
                    <w:tr2bl w:val="nil"/>
                  </w:tcBorders>
                  <w:noWrap w:val="0"/>
                  <w:vAlign w:val="center"/>
                </w:tcPr>
                <w:p>
                  <w:pPr>
                    <w:snapToGrid w:val="0"/>
                    <w:spacing w:line="240" w:lineRule="auto"/>
                    <w:ind w:firstLine="420"/>
                    <w:jc w:val="center"/>
                    <w:rPr>
                      <w:rFonts w:hint="default" w:ascii="Times New Roman" w:hAnsi="Times New Roman" w:cs="Times New Roman"/>
                      <w:bCs/>
                      <w:szCs w:val="21"/>
                    </w:rPr>
                  </w:pPr>
                  <w:r>
                    <w:rPr>
                      <w:rFonts w:hint="default" w:ascii="Times New Roman" w:hAnsi="Times New Roman" w:cs="Times New Roman"/>
                      <w:bCs/>
                      <w:szCs w:val="21"/>
                    </w:rPr>
                    <w:t>市政自来水管网</w:t>
                  </w:r>
                </w:p>
              </w:tc>
            </w:tr>
          </w:tbl>
          <w:p>
            <w:pPr>
              <w:pStyle w:val="42"/>
              <w:tabs>
                <w:tab w:val="left" w:pos="432"/>
                <w:tab w:val="left" w:pos="612"/>
              </w:tabs>
              <w:adjustRightInd w:val="0"/>
              <w:snapToGrid w:val="0"/>
              <w:spacing w:before="120" w:beforeLines="50" w:after="0" w:line="360" w:lineRule="auto"/>
              <w:ind w:left="0" w:leftChars="0" w:firstLine="480" w:firstLineChars="200"/>
              <w:rPr>
                <w:rFonts w:eastAsia="宋体"/>
                <w:color w:val="auto"/>
                <w:sz w:val="24"/>
                <w:szCs w:val="24"/>
              </w:rPr>
            </w:pPr>
            <w:r>
              <w:rPr>
                <w:rFonts w:hint="eastAsia" w:eastAsia="宋体"/>
                <w:color w:val="auto"/>
                <w:sz w:val="24"/>
                <w:szCs w:val="24"/>
              </w:rPr>
              <w:t>本项目原辅料理化性质见下表所示。</w:t>
            </w:r>
          </w:p>
          <w:p>
            <w:pPr>
              <w:pStyle w:val="42"/>
              <w:tabs>
                <w:tab w:val="left" w:pos="432"/>
                <w:tab w:val="left" w:pos="612"/>
              </w:tabs>
              <w:adjustRightInd w:val="0"/>
              <w:snapToGrid w:val="0"/>
              <w:spacing w:after="0" w:line="360" w:lineRule="auto"/>
              <w:ind w:firstLine="0" w:firstLineChars="0"/>
              <w:jc w:val="center"/>
              <w:rPr>
                <w:rFonts w:eastAsia="宋体"/>
                <w:b/>
                <w:color w:val="auto"/>
                <w:sz w:val="21"/>
                <w:szCs w:val="21"/>
              </w:rPr>
            </w:pPr>
            <w:r>
              <w:rPr>
                <w:rFonts w:hint="eastAsia" w:eastAsia="宋体"/>
                <w:b/>
                <w:color w:val="auto"/>
                <w:sz w:val="21"/>
                <w:szCs w:val="21"/>
              </w:rPr>
              <w:t>表2-5 原辅料理化性质表</w:t>
            </w:r>
          </w:p>
          <w:tbl>
            <w:tblPr>
              <w:tblStyle w:val="17"/>
              <w:tblW w:w="829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7"/>
              <w:gridCol w:w="1386"/>
              <w:gridCol w:w="3507"/>
              <w:gridCol w:w="30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77"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b/>
                      <w:color w:val="0000FF"/>
                      <w:sz w:val="21"/>
                      <w:szCs w:val="21"/>
                    </w:rPr>
                  </w:pPr>
                  <w:r>
                    <w:rPr>
                      <w:rFonts w:eastAsiaTheme="minorEastAsia"/>
                      <w:b/>
                      <w:color w:val="0000FF"/>
                      <w:sz w:val="21"/>
                      <w:szCs w:val="21"/>
                    </w:rPr>
                    <w:t>序号</w:t>
                  </w:r>
                </w:p>
              </w:tc>
              <w:tc>
                <w:tcPr>
                  <w:tcW w:w="1386"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b/>
                      <w:color w:val="0000FF"/>
                      <w:sz w:val="21"/>
                      <w:szCs w:val="21"/>
                    </w:rPr>
                  </w:pPr>
                  <w:r>
                    <w:rPr>
                      <w:rFonts w:eastAsiaTheme="minorEastAsia"/>
                      <w:b/>
                      <w:color w:val="0000FF"/>
                      <w:sz w:val="21"/>
                      <w:szCs w:val="21"/>
                    </w:rPr>
                    <w:t>名称</w:t>
                  </w:r>
                </w:p>
              </w:tc>
              <w:tc>
                <w:tcPr>
                  <w:tcW w:w="3507"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b/>
                      <w:color w:val="0000FF"/>
                      <w:sz w:val="21"/>
                      <w:szCs w:val="21"/>
                    </w:rPr>
                  </w:pPr>
                  <w:r>
                    <w:rPr>
                      <w:rFonts w:eastAsiaTheme="minorEastAsia"/>
                      <w:b/>
                      <w:color w:val="0000FF"/>
                      <w:sz w:val="21"/>
                      <w:szCs w:val="21"/>
                    </w:rPr>
                    <w:t>理化性质</w:t>
                  </w:r>
                </w:p>
              </w:tc>
              <w:tc>
                <w:tcPr>
                  <w:tcW w:w="3028"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b/>
                      <w:color w:val="0000FF"/>
                      <w:sz w:val="21"/>
                      <w:szCs w:val="21"/>
                    </w:rPr>
                  </w:pPr>
                  <w:r>
                    <w:rPr>
                      <w:rFonts w:eastAsiaTheme="minorEastAsia"/>
                      <w:b/>
                      <w:color w:val="0000FF"/>
                      <w:sz w:val="21"/>
                      <w:szCs w:val="21"/>
                    </w:rPr>
                    <w:t>应用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dxa"/>
                  <w:vMerge w:val="restart"/>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hint="eastAsia" w:eastAsiaTheme="minorEastAsia"/>
                      <w:color w:val="0000FF"/>
                      <w:sz w:val="21"/>
                      <w:szCs w:val="21"/>
                    </w:rPr>
                  </w:pPr>
                  <w:r>
                    <w:rPr>
                      <w:rFonts w:hint="eastAsia" w:eastAsiaTheme="minorEastAsia"/>
                      <w:color w:val="0000FF"/>
                      <w:sz w:val="21"/>
                      <w:szCs w:val="21"/>
                    </w:rPr>
                    <w:t>1</w:t>
                  </w:r>
                </w:p>
              </w:tc>
              <w:tc>
                <w:tcPr>
                  <w:tcW w:w="1386"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hint="eastAsia" w:eastAsiaTheme="minorEastAsia"/>
                      <w:color w:val="0000FF"/>
                      <w:sz w:val="21"/>
                      <w:szCs w:val="21"/>
                    </w:rPr>
                  </w:pPr>
                  <w:r>
                    <w:rPr>
                      <w:rFonts w:hint="eastAsia" w:eastAsiaTheme="minorEastAsia"/>
                      <w:color w:val="0000FF"/>
                      <w:sz w:val="21"/>
                      <w:szCs w:val="21"/>
                    </w:rPr>
                    <w:t>聚乙烯（PE）</w:t>
                  </w:r>
                </w:p>
              </w:tc>
              <w:tc>
                <w:tcPr>
                  <w:tcW w:w="3507"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外观与性状</w:t>
                  </w:r>
                  <w:r>
                    <w:rPr>
                      <w:rFonts w:hint="eastAsia" w:eastAsiaTheme="minorEastAsia"/>
                      <w:color w:val="0000FF"/>
                      <w:sz w:val="21"/>
                      <w:szCs w:val="21"/>
                      <w:lang w:eastAsia="zh-CN"/>
                    </w:rPr>
                    <w:t>：</w:t>
                  </w:r>
                  <w:r>
                    <w:rPr>
                      <w:rFonts w:hint="eastAsia" w:eastAsiaTheme="minorEastAsia"/>
                      <w:color w:val="0000FF"/>
                      <w:sz w:val="21"/>
                      <w:szCs w:val="21"/>
                    </w:rPr>
                    <w:t>有韧性的树脂质颗粒亘懋粉末,白色，有蜡味。</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分子式:</w:t>
                  </w:r>
                  <w:r>
                    <w:rPr>
                      <w:rFonts w:hint="eastAsia" w:eastAsiaTheme="minorEastAsia"/>
                      <w:color w:val="0000FF"/>
                      <w:sz w:val="21"/>
                      <w:szCs w:val="21"/>
                      <w:lang w:val="en-US" w:eastAsia="zh-CN"/>
                    </w:rPr>
                    <w:t>为【</w:t>
                  </w:r>
                  <w:r>
                    <w:rPr>
                      <w:rFonts w:hint="eastAsia" w:eastAsiaTheme="minorEastAsia"/>
                      <w:color w:val="0000FF"/>
                      <w:sz w:val="21"/>
                      <w:szCs w:val="21"/>
                    </w:rPr>
                    <w:t>C</w:t>
                  </w:r>
                  <w:r>
                    <w:rPr>
                      <w:rFonts w:hint="eastAsia" w:eastAsiaTheme="minorEastAsia"/>
                      <w:color w:val="0000FF"/>
                      <w:sz w:val="21"/>
                      <w:szCs w:val="21"/>
                      <w:vertAlign w:val="subscript"/>
                    </w:rPr>
                    <w:t>2</w:t>
                  </w:r>
                  <w:r>
                    <w:rPr>
                      <w:rFonts w:hint="eastAsia" w:eastAsiaTheme="minorEastAsia"/>
                      <w:color w:val="0000FF"/>
                      <w:sz w:val="21"/>
                      <w:szCs w:val="21"/>
                    </w:rPr>
                    <w:t>H</w:t>
                  </w:r>
                  <w:r>
                    <w:rPr>
                      <w:rFonts w:hint="eastAsia" w:eastAsiaTheme="minorEastAsia"/>
                      <w:color w:val="0000FF"/>
                      <w:sz w:val="21"/>
                      <w:szCs w:val="21"/>
                      <w:vertAlign w:val="subscript"/>
                    </w:rPr>
                    <w:t>4</w:t>
                  </w:r>
                  <w:r>
                    <w:rPr>
                      <w:rFonts w:hint="eastAsia" w:eastAsiaTheme="minorEastAsia"/>
                      <w:color w:val="0000FF"/>
                      <w:sz w:val="21"/>
                      <w:szCs w:val="21"/>
                      <w:lang w:eastAsia="zh-CN"/>
                    </w:rPr>
                    <w:t>】</w:t>
                  </w:r>
                  <w:r>
                    <w:rPr>
                      <w:rFonts w:hint="eastAsia" w:eastAsiaTheme="minorEastAsia"/>
                      <w:color w:val="0000FF"/>
                      <w:sz w:val="21"/>
                      <w:szCs w:val="21"/>
                    </w:rPr>
                    <w:t>n</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溶解性:浮在水上，不溶。</w:t>
                  </w:r>
                </w:p>
              </w:tc>
              <w:tc>
                <w:tcPr>
                  <w:tcW w:w="3028" w:type="dxa"/>
                  <w:vMerge w:val="restart"/>
                  <w:shd w:val="clear" w:color="auto" w:fill="auto"/>
                  <w:vAlign w:val="top"/>
                </w:tcPr>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主要用途:用于日用品和工业用品,还可用作中空制品、单丝、延伸带、薄膜、电绝缘制品等。</w:t>
                  </w:r>
                </w:p>
                <w:p>
                  <w:pPr>
                    <w:pStyle w:val="42"/>
                    <w:tabs>
                      <w:tab w:val="left" w:pos="432"/>
                      <w:tab w:val="left" w:pos="612"/>
                    </w:tabs>
                    <w:adjustRightInd w:val="0"/>
                    <w:snapToGrid w:val="0"/>
                    <w:spacing w:after="0" w:line="240" w:lineRule="auto"/>
                    <w:ind w:firstLine="0" w:firstLineChars="0"/>
                    <w:jc w:val="both"/>
                    <w:rPr>
                      <w:rFonts w:eastAsiaTheme="minorEastAsia"/>
                      <w:color w:val="0000FF"/>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dxa"/>
                  <w:vMerge w:val="continue"/>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hint="eastAsia" w:eastAsiaTheme="minorEastAsia"/>
                      <w:color w:val="0000FF"/>
                      <w:sz w:val="21"/>
                      <w:szCs w:val="21"/>
                    </w:rPr>
                  </w:pPr>
                </w:p>
              </w:tc>
              <w:tc>
                <w:tcPr>
                  <w:tcW w:w="1386"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hint="eastAsia" w:eastAsiaTheme="minorEastAsia"/>
                      <w:color w:val="0000FF"/>
                      <w:sz w:val="21"/>
                      <w:szCs w:val="21"/>
                      <w:lang w:eastAsia="zh-CN"/>
                    </w:rPr>
                  </w:pPr>
                  <w:r>
                    <w:rPr>
                      <w:rFonts w:hint="default" w:eastAsiaTheme="minorEastAsia"/>
                      <w:color w:val="0000FF"/>
                      <w:sz w:val="21"/>
                      <w:szCs w:val="21"/>
                    </w:rPr>
                    <w:t>高密度聚乙烯</w:t>
                  </w:r>
                  <w:r>
                    <w:rPr>
                      <w:rFonts w:hint="eastAsia" w:eastAsiaTheme="minorEastAsia"/>
                      <w:color w:val="0000FF"/>
                      <w:sz w:val="21"/>
                      <w:szCs w:val="21"/>
                      <w:lang w:eastAsia="zh-CN"/>
                    </w:rPr>
                    <w:t>（HDPE）</w:t>
                  </w:r>
                </w:p>
              </w:tc>
              <w:tc>
                <w:tcPr>
                  <w:tcW w:w="3507"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外观与性状:无臭、无味、无毒性的白色颗粒国粉末。</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熔点(</w:t>
                  </w:r>
                  <w:r>
                    <w:rPr>
                      <w:rFonts w:hint="default" w:ascii="Times New Roman" w:hAnsi="Times New Roman" w:cs="Times New Roman"/>
                      <w:iCs/>
                      <w:color w:val="0000FF"/>
                      <w:sz w:val="24"/>
                    </w:rPr>
                    <w:t>℃</w:t>
                  </w:r>
                  <w:r>
                    <w:rPr>
                      <w:rFonts w:hint="eastAsia" w:eastAsiaTheme="minorEastAsia"/>
                      <w:color w:val="0000FF"/>
                      <w:sz w:val="21"/>
                      <w:szCs w:val="21"/>
                    </w:rPr>
                    <w:t>)</w:t>
                  </w:r>
                  <w:r>
                    <w:rPr>
                      <w:rFonts w:hint="eastAsia" w:eastAsiaTheme="minorEastAsia"/>
                      <w:color w:val="0000FF"/>
                      <w:sz w:val="21"/>
                      <w:szCs w:val="21"/>
                      <w:lang w:eastAsia="zh-CN"/>
                    </w:rPr>
                    <w:t>：</w:t>
                  </w:r>
                  <w:r>
                    <w:rPr>
                      <w:rFonts w:hint="eastAsia" w:eastAsiaTheme="minorEastAsia"/>
                      <w:color w:val="0000FF"/>
                      <w:sz w:val="21"/>
                      <w:szCs w:val="21"/>
                    </w:rPr>
                    <w:t>130-145</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相对密度(水=1)</w:t>
                  </w:r>
                  <w:r>
                    <w:rPr>
                      <w:rFonts w:hint="eastAsia" w:eastAsiaTheme="minorEastAsia"/>
                      <w:color w:val="0000FF"/>
                      <w:sz w:val="21"/>
                      <w:szCs w:val="21"/>
                      <w:lang w:eastAsia="zh-CN"/>
                    </w:rPr>
                    <w:t>：</w:t>
                  </w:r>
                  <w:r>
                    <w:rPr>
                      <w:rFonts w:hint="eastAsia" w:eastAsiaTheme="minorEastAsia"/>
                      <w:color w:val="0000FF"/>
                      <w:sz w:val="21"/>
                      <w:szCs w:val="21"/>
                    </w:rPr>
                    <w:t>0.94-0.95</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引|燃温度(</w:t>
                  </w:r>
                  <w:r>
                    <w:rPr>
                      <w:rFonts w:hint="default" w:ascii="Times New Roman" w:hAnsi="Times New Roman" w:cs="Times New Roman"/>
                      <w:iCs/>
                      <w:color w:val="0000FF"/>
                      <w:sz w:val="24"/>
                    </w:rPr>
                    <w:t>℃</w:t>
                  </w:r>
                  <w:r>
                    <w:rPr>
                      <w:rFonts w:hint="eastAsia" w:eastAsiaTheme="minorEastAsia"/>
                      <w:color w:val="0000FF"/>
                      <w:sz w:val="21"/>
                      <w:szCs w:val="21"/>
                    </w:rPr>
                    <w:t>)</w:t>
                  </w:r>
                  <w:r>
                    <w:rPr>
                      <w:rFonts w:hint="eastAsia" w:eastAsiaTheme="minorEastAsia"/>
                      <w:color w:val="0000FF"/>
                      <w:sz w:val="21"/>
                      <w:szCs w:val="21"/>
                      <w:lang w:eastAsia="zh-CN"/>
                    </w:rPr>
                    <w:t>：</w:t>
                  </w:r>
                  <w:r>
                    <w:rPr>
                      <w:rFonts w:hint="eastAsia" w:eastAsiaTheme="minorEastAsia"/>
                      <w:color w:val="0000FF"/>
                      <w:sz w:val="21"/>
                      <w:szCs w:val="21"/>
                    </w:rPr>
                    <w:t>450(粉云)</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爆</w:t>
                  </w:r>
                  <w:r>
                    <w:rPr>
                      <w:rFonts w:hint="eastAsia" w:eastAsiaTheme="minorEastAsia"/>
                      <w:color w:val="0000FF"/>
                      <w:sz w:val="21"/>
                      <w:szCs w:val="21"/>
                      <w:lang w:val="en-US" w:eastAsia="zh-CN"/>
                    </w:rPr>
                    <w:t>炸</w:t>
                  </w:r>
                  <w:r>
                    <w:rPr>
                      <w:rFonts w:hint="eastAsia" w:eastAsiaTheme="minorEastAsia"/>
                      <w:color w:val="0000FF"/>
                      <w:sz w:val="21"/>
                      <w:szCs w:val="21"/>
                    </w:rPr>
                    <w:t>下限%(V</w:t>
                  </w:r>
                  <w:r>
                    <w:rPr>
                      <w:rFonts w:hint="eastAsia" w:eastAsiaTheme="minorEastAsia"/>
                      <w:color w:val="0000FF"/>
                      <w:sz w:val="21"/>
                      <w:szCs w:val="21"/>
                      <w:lang w:val="en-US" w:eastAsia="zh-CN"/>
                    </w:rPr>
                    <w:t>/</w:t>
                  </w:r>
                  <w:r>
                    <w:rPr>
                      <w:rFonts w:hint="eastAsia" w:eastAsiaTheme="minorEastAsia"/>
                      <w:color w:val="0000FF"/>
                      <w:sz w:val="21"/>
                      <w:szCs w:val="21"/>
                    </w:rPr>
                    <w:t>V)</w:t>
                  </w:r>
                  <w:r>
                    <w:rPr>
                      <w:rFonts w:hint="eastAsia" w:eastAsiaTheme="minorEastAsia"/>
                      <w:color w:val="0000FF"/>
                      <w:sz w:val="21"/>
                      <w:szCs w:val="21"/>
                      <w:lang w:eastAsia="zh-CN"/>
                    </w:rPr>
                    <w:t>：</w:t>
                  </w:r>
                  <w:r>
                    <w:rPr>
                      <w:rFonts w:hint="eastAsia" w:eastAsiaTheme="minorEastAsia"/>
                      <w:color w:val="0000FF"/>
                      <w:sz w:val="21"/>
                      <w:szCs w:val="21"/>
                    </w:rPr>
                    <w:t>10(g/m</w:t>
                  </w:r>
                  <w:r>
                    <w:rPr>
                      <w:rFonts w:hint="eastAsia" w:eastAsiaTheme="minorEastAsia"/>
                      <w:color w:val="0000FF"/>
                      <w:sz w:val="21"/>
                      <w:szCs w:val="21"/>
                      <w:vertAlign w:val="superscript"/>
                    </w:rPr>
                    <w:t>3</w:t>
                  </w:r>
                  <w:r>
                    <w:rPr>
                      <w:rFonts w:hint="eastAsia" w:eastAsiaTheme="minorEastAsia"/>
                      <w:color w:val="0000FF"/>
                      <w:sz w:val="21"/>
                      <w:szCs w:val="21"/>
                    </w:rPr>
                    <w:t>)</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溶解性:不溶于多数有机溶剂，微溶于热甲苯、乙酸等。</w:t>
                  </w:r>
                </w:p>
              </w:tc>
              <w:tc>
                <w:tcPr>
                  <w:tcW w:w="3028" w:type="dxa"/>
                  <w:vMerge w:val="continue"/>
                  <w:shd w:val="clear" w:color="auto" w:fill="auto"/>
                  <w:vAlign w:val="top"/>
                </w:tcPr>
                <w:p>
                  <w:pPr>
                    <w:pStyle w:val="42"/>
                    <w:tabs>
                      <w:tab w:val="left" w:pos="432"/>
                      <w:tab w:val="left" w:pos="612"/>
                    </w:tabs>
                    <w:adjustRightInd w:val="0"/>
                    <w:snapToGrid w:val="0"/>
                    <w:spacing w:after="0" w:line="240" w:lineRule="auto"/>
                    <w:ind w:firstLine="0" w:firstLineChars="0"/>
                    <w:jc w:val="both"/>
                    <w:rPr>
                      <w:rFonts w:eastAsiaTheme="minorEastAsia"/>
                      <w:color w:val="0000FF"/>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77"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color w:val="0000FF"/>
                      <w:sz w:val="21"/>
                      <w:szCs w:val="21"/>
                    </w:rPr>
                  </w:pPr>
                  <w:r>
                    <w:rPr>
                      <w:rFonts w:eastAsiaTheme="minorEastAsia"/>
                      <w:color w:val="0000FF"/>
                      <w:sz w:val="21"/>
                      <w:szCs w:val="21"/>
                    </w:rPr>
                    <w:t>2</w:t>
                  </w:r>
                </w:p>
              </w:tc>
              <w:tc>
                <w:tcPr>
                  <w:tcW w:w="1386"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color w:val="0000FF"/>
                      <w:sz w:val="21"/>
                      <w:szCs w:val="21"/>
                    </w:rPr>
                  </w:pPr>
                  <w:r>
                    <w:rPr>
                      <w:rFonts w:hint="eastAsia" w:eastAsiaTheme="minorEastAsia"/>
                      <w:color w:val="0000FF"/>
                      <w:sz w:val="21"/>
                      <w:szCs w:val="21"/>
                    </w:rPr>
                    <w:t>聚丙烯（PP-R）</w:t>
                  </w:r>
                </w:p>
              </w:tc>
              <w:tc>
                <w:tcPr>
                  <w:tcW w:w="3507"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外观与性状</w:t>
                  </w:r>
                  <w:r>
                    <w:rPr>
                      <w:rFonts w:hint="eastAsia" w:eastAsiaTheme="minorEastAsia"/>
                      <w:color w:val="0000FF"/>
                      <w:sz w:val="21"/>
                      <w:szCs w:val="21"/>
                      <w:lang w:eastAsia="zh-CN"/>
                    </w:rPr>
                    <w:t>：</w:t>
                  </w:r>
                  <w:r>
                    <w:rPr>
                      <w:rFonts w:hint="eastAsia" w:eastAsiaTheme="minorEastAsia"/>
                      <w:color w:val="0000FF"/>
                      <w:sz w:val="21"/>
                      <w:szCs w:val="21"/>
                    </w:rPr>
                    <w:t>白色、无臭、无味固体。</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熔点(</w:t>
                  </w:r>
                  <w:r>
                    <w:rPr>
                      <w:rFonts w:hint="default" w:ascii="Times New Roman" w:hAnsi="Times New Roman" w:cs="Times New Roman"/>
                      <w:iCs/>
                      <w:color w:val="0000FF"/>
                      <w:sz w:val="24"/>
                    </w:rPr>
                    <w:t>℃</w:t>
                  </w:r>
                  <w:r>
                    <w:rPr>
                      <w:rFonts w:hint="eastAsia" w:eastAsiaTheme="minorEastAsia"/>
                      <w:color w:val="0000FF"/>
                      <w:sz w:val="21"/>
                      <w:szCs w:val="21"/>
                    </w:rPr>
                    <w:t>)</w:t>
                  </w:r>
                  <w:r>
                    <w:rPr>
                      <w:rFonts w:hint="eastAsia" w:eastAsiaTheme="minorEastAsia"/>
                      <w:color w:val="0000FF"/>
                      <w:sz w:val="21"/>
                      <w:szCs w:val="21"/>
                      <w:lang w:eastAsia="zh-CN"/>
                    </w:rPr>
                    <w:t>：</w:t>
                  </w:r>
                  <w:r>
                    <w:rPr>
                      <w:rFonts w:hint="eastAsia" w:eastAsiaTheme="minorEastAsia"/>
                      <w:color w:val="0000FF"/>
                      <w:sz w:val="21"/>
                      <w:szCs w:val="21"/>
                      <w:lang w:val="en-US" w:eastAsia="zh-CN"/>
                    </w:rPr>
                    <w:t>1</w:t>
                  </w:r>
                  <w:r>
                    <w:rPr>
                      <w:rFonts w:hint="eastAsia" w:eastAsiaTheme="minorEastAsia"/>
                      <w:color w:val="0000FF"/>
                      <w:sz w:val="21"/>
                      <w:szCs w:val="21"/>
                    </w:rPr>
                    <w:t>65-170</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相对密度(水=1)</w:t>
                  </w:r>
                  <w:r>
                    <w:rPr>
                      <w:rFonts w:hint="eastAsia" w:eastAsiaTheme="minorEastAsia"/>
                      <w:color w:val="0000FF"/>
                      <w:sz w:val="21"/>
                      <w:szCs w:val="21"/>
                      <w:lang w:eastAsia="zh-CN"/>
                    </w:rPr>
                    <w:t>：</w:t>
                  </w:r>
                  <w:r>
                    <w:rPr>
                      <w:rFonts w:hint="eastAsia" w:eastAsiaTheme="minorEastAsia"/>
                      <w:color w:val="0000FF"/>
                      <w:sz w:val="21"/>
                      <w:szCs w:val="21"/>
                    </w:rPr>
                    <w:t>0.</w:t>
                  </w:r>
                  <w:r>
                    <w:rPr>
                      <w:rFonts w:hint="eastAsia" w:eastAsiaTheme="minorEastAsia"/>
                      <w:color w:val="0000FF"/>
                      <w:sz w:val="21"/>
                      <w:szCs w:val="21"/>
                      <w:lang w:val="en-US" w:eastAsia="zh-CN"/>
                    </w:rPr>
                    <w:t>90</w:t>
                  </w:r>
                  <w:r>
                    <w:rPr>
                      <w:rFonts w:hint="eastAsia" w:eastAsiaTheme="minorEastAsia"/>
                      <w:color w:val="0000FF"/>
                      <w:sz w:val="21"/>
                      <w:szCs w:val="21"/>
                    </w:rPr>
                    <w:t>-0.91</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分子式:</w:t>
                  </w:r>
                  <w:r>
                    <w:rPr>
                      <w:rFonts w:hint="eastAsia" w:eastAsiaTheme="minorEastAsia"/>
                      <w:color w:val="0000FF"/>
                      <w:sz w:val="21"/>
                      <w:szCs w:val="21"/>
                      <w:lang w:val="en-US" w:eastAsia="zh-CN"/>
                    </w:rPr>
                    <w:t>为【</w:t>
                  </w:r>
                  <w:r>
                    <w:rPr>
                      <w:rFonts w:hint="eastAsia" w:eastAsiaTheme="minorEastAsia"/>
                      <w:color w:val="0000FF"/>
                      <w:sz w:val="21"/>
                      <w:szCs w:val="21"/>
                    </w:rPr>
                    <w:t>C</w:t>
                  </w:r>
                  <w:r>
                    <w:rPr>
                      <w:rFonts w:hint="eastAsia" w:eastAsiaTheme="minorEastAsia"/>
                      <w:color w:val="0000FF"/>
                      <w:sz w:val="21"/>
                      <w:szCs w:val="21"/>
                      <w:vertAlign w:val="subscript"/>
                      <w:lang w:val="en-US" w:eastAsia="zh-CN"/>
                    </w:rPr>
                    <w:t>3</w:t>
                  </w:r>
                  <w:r>
                    <w:rPr>
                      <w:rFonts w:hint="eastAsia" w:eastAsiaTheme="minorEastAsia"/>
                      <w:color w:val="0000FF"/>
                      <w:sz w:val="21"/>
                      <w:szCs w:val="21"/>
                    </w:rPr>
                    <w:t>H</w:t>
                  </w:r>
                  <w:r>
                    <w:rPr>
                      <w:rFonts w:hint="eastAsia" w:eastAsiaTheme="minorEastAsia"/>
                      <w:color w:val="0000FF"/>
                      <w:sz w:val="21"/>
                      <w:szCs w:val="21"/>
                      <w:vertAlign w:val="subscript"/>
                      <w:lang w:val="en-US" w:eastAsia="zh-CN"/>
                    </w:rPr>
                    <w:t>6</w:t>
                  </w:r>
                  <w:r>
                    <w:rPr>
                      <w:rFonts w:hint="eastAsia" w:eastAsiaTheme="minorEastAsia"/>
                      <w:color w:val="0000FF"/>
                      <w:sz w:val="21"/>
                      <w:szCs w:val="21"/>
                      <w:lang w:eastAsia="zh-CN"/>
                    </w:rPr>
                    <w:t>】</w:t>
                  </w:r>
                  <w:r>
                    <w:rPr>
                      <w:rFonts w:hint="eastAsia" w:eastAsiaTheme="minorEastAsia"/>
                      <w:color w:val="0000FF"/>
                      <w:sz w:val="21"/>
                      <w:szCs w:val="21"/>
                    </w:rPr>
                    <w:t>n</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引|燃温度(</w:t>
                  </w:r>
                  <w:r>
                    <w:rPr>
                      <w:rFonts w:hint="default" w:ascii="Times New Roman" w:hAnsi="Times New Roman" w:cs="Times New Roman"/>
                      <w:iCs/>
                      <w:color w:val="0000FF"/>
                      <w:sz w:val="24"/>
                    </w:rPr>
                    <w:t>℃</w:t>
                  </w:r>
                  <w:r>
                    <w:rPr>
                      <w:rFonts w:hint="eastAsia" w:eastAsiaTheme="minorEastAsia"/>
                      <w:color w:val="0000FF"/>
                      <w:sz w:val="21"/>
                      <w:szCs w:val="21"/>
                    </w:rPr>
                    <w:t>)</w:t>
                  </w:r>
                  <w:r>
                    <w:rPr>
                      <w:rFonts w:hint="eastAsia" w:eastAsiaTheme="minorEastAsia"/>
                      <w:color w:val="0000FF"/>
                      <w:sz w:val="21"/>
                      <w:szCs w:val="21"/>
                      <w:lang w:eastAsia="zh-CN"/>
                    </w:rPr>
                    <w:t>：</w:t>
                  </w:r>
                  <w:r>
                    <w:rPr>
                      <w:rFonts w:hint="eastAsia" w:eastAsiaTheme="minorEastAsia"/>
                      <w:color w:val="0000FF"/>
                      <w:sz w:val="21"/>
                      <w:szCs w:val="21"/>
                    </w:rPr>
                    <w:t>450(粉云)</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eastAsia="zh-CN"/>
                    </w:rPr>
                  </w:pPr>
                  <w:r>
                    <w:rPr>
                      <w:rFonts w:hint="eastAsia" w:eastAsiaTheme="minorEastAsia"/>
                      <w:color w:val="0000FF"/>
                      <w:sz w:val="21"/>
                      <w:szCs w:val="21"/>
                    </w:rPr>
                    <w:t>爆</w:t>
                  </w:r>
                  <w:r>
                    <w:rPr>
                      <w:rFonts w:hint="eastAsia" w:eastAsiaTheme="minorEastAsia"/>
                      <w:color w:val="0000FF"/>
                      <w:sz w:val="21"/>
                      <w:szCs w:val="21"/>
                      <w:lang w:val="en-US" w:eastAsia="zh-CN"/>
                    </w:rPr>
                    <w:t>炸</w:t>
                  </w:r>
                  <w:r>
                    <w:rPr>
                      <w:rFonts w:hint="eastAsia" w:eastAsiaTheme="minorEastAsia"/>
                      <w:color w:val="0000FF"/>
                      <w:sz w:val="21"/>
                      <w:szCs w:val="21"/>
                    </w:rPr>
                    <w:t>下限%(V</w:t>
                  </w:r>
                  <w:r>
                    <w:rPr>
                      <w:rFonts w:hint="eastAsia" w:eastAsiaTheme="minorEastAsia"/>
                      <w:color w:val="0000FF"/>
                      <w:sz w:val="21"/>
                      <w:szCs w:val="21"/>
                      <w:lang w:val="en-US" w:eastAsia="zh-CN"/>
                    </w:rPr>
                    <w:t>/</w:t>
                  </w:r>
                  <w:r>
                    <w:rPr>
                      <w:rFonts w:hint="eastAsia" w:eastAsiaTheme="minorEastAsia"/>
                      <w:color w:val="0000FF"/>
                      <w:sz w:val="21"/>
                      <w:szCs w:val="21"/>
                    </w:rPr>
                    <w:t>V)</w:t>
                  </w:r>
                  <w:r>
                    <w:rPr>
                      <w:rFonts w:hint="eastAsia" w:eastAsiaTheme="minorEastAsia"/>
                      <w:color w:val="0000FF"/>
                      <w:sz w:val="21"/>
                      <w:szCs w:val="21"/>
                      <w:lang w:eastAsia="zh-CN"/>
                    </w:rPr>
                    <w:t>：</w:t>
                  </w:r>
                  <w:r>
                    <w:rPr>
                      <w:rFonts w:hint="eastAsia" w:eastAsiaTheme="minorEastAsia"/>
                      <w:color w:val="0000FF"/>
                      <w:sz w:val="21"/>
                      <w:szCs w:val="21"/>
                      <w:lang w:val="en-US" w:eastAsia="zh-CN"/>
                    </w:rPr>
                    <w:t>2</w:t>
                  </w:r>
                  <w:r>
                    <w:rPr>
                      <w:rFonts w:hint="eastAsia" w:eastAsiaTheme="minorEastAsia"/>
                      <w:color w:val="0000FF"/>
                      <w:sz w:val="21"/>
                      <w:szCs w:val="21"/>
                    </w:rPr>
                    <w:t>0(g/m</w:t>
                  </w:r>
                  <w:r>
                    <w:rPr>
                      <w:rFonts w:hint="eastAsia" w:eastAsiaTheme="minorEastAsia"/>
                      <w:color w:val="0000FF"/>
                      <w:sz w:val="21"/>
                      <w:szCs w:val="21"/>
                      <w:vertAlign w:val="superscript"/>
                    </w:rPr>
                    <w:t>3</w:t>
                  </w:r>
                  <w:r>
                    <w:rPr>
                      <w:rFonts w:hint="eastAsia" w:eastAsiaTheme="minorEastAsia"/>
                      <w:color w:val="0000FF"/>
                      <w:sz w:val="21"/>
                      <w:szCs w:val="21"/>
                    </w:rPr>
                    <w:t>)</w:t>
                  </w:r>
                </w:p>
              </w:tc>
              <w:tc>
                <w:tcPr>
                  <w:tcW w:w="3028"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eastAsiaTheme="minorEastAsia"/>
                      <w:color w:val="0000FF"/>
                      <w:sz w:val="21"/>
                      <w:szCs w:val="21"/>
                    </w:rPr>
                  </w:pPr>
                  <w:r>
                    <w:rPr>
                      <w:rFonts w:hint="eastAsia" w:eastAsiaTheme="minorEastAsia"/>
                      <w:color w:val="0000FF"/>
                      <w:sz w:val="21"/>
                      <w:szCs w:val="21"/>
                    </w:rPr>
                    <w:t>主要用途</w:t>
                  </w:r>
                  <w:r>
                    <w:rPr>
                      <w:rFonts w:hint="eastAsia" w:eastAsiaTheme="minorEastAsia"/>
                      <w:color w:val="0000FF"/>
                      <w:sz w:val="21"/>
                      <w:szCs w:val="21"/>
                      <w:lang w:eastAsia="zh-CN"/>
                    </w:rPr>
                    <w:t>：</w:t>
                  </w:r>
                  <w:r>
                    <w:rPr>
                      <w:rFonts w:hint="eastAsia" w:eastAsiaTheme="minorEastAsia"/>
                      <w:color w:val="0000FF"/>
                      <w:sz w:val="21"/>
                      <w:szCs w:val="21"/>
                    </w:rPr>
                    <w:t>可用作工程塑料,适用丁制电视机、收音机外壳、电器绝缘材料、防腐管道、板材、贮槽等,也用于编织包装袋、包装薄膜。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color w:val="0000FF"/>
                      <w:sz w:val="21"/>
                      <w:szCs w:val="21"/>
                    </w:rPr>
                  </w:pPr>
                  <w:r>
                    <w:rPr>
                      <w:rFonts w:eastAsiaTheme="minorEastAsia"/>
                      <w:color w:val="0000FF"/>
                      <w:sz w:val="21"/>
                      <w:szCs w:val="21"/>
                    </w:rPr>
                    <w:t>3</w:t>
                  </w:r>
                </w:p>
              </w:tc>
              <w:tc>
                <w:tcPr>
                  <w:tcW w:w="1386"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color w:val="0000FF"/>
                      <w:sz w:val="21"/>
                      <w:szCs w:val="21"/>
                    </w:rPr>
                  </w:pPr>
                  <w:r>
                    <w:rPr>
                      <w:rFonts w:hint="eastAsia" w:eastAsiaTheme="minorEastAsia"/>
                      <w:color w:val="0000FF"/>
                      <w:sz w:val="21"/>
                      <w:szCs w:val="21"/>
                    </w:rPr>
                    <w:t>聚氯乙烯（PVC）</w:t>
                  </w:r>
                </w:p>
              </w:tc>
              <w:tc>
                <w:tcPr>
                  <w:tcW w:w="3507"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外观与性状</w:t>
                  </w:r>
                  <w:r>
                    <w:rPr>
                      <w:rFonts w:hint="eastAsia" w:eastAsiaTheme="minorEastAsia"/>
                      <w:color w:val="0000FF"/>
                      <w:sz w:val="21"/>
                      <w:szCs w:val="21"/>
                      <w:lang w:eastAsia="zh-CN"/>
                    </w:rPr>
                    <w:t>：</w:t>
                  </w:r>
                  <w:r>
                    <w:rPr>
                      <w:rFonts w:hint="eastAsia" w:eastAsiaTheme="minorEastAsia"/>
                      <w:color w:val="0000FF"/>
                      <w:sz w:val="21"/>
                      <w:szCs w:val="21"/>
                    </w:rPr>
                    <w:t>白色或炎黄色粉末。</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相对密度(水=1)</w:t>
                  </w:r>
                  <w:r>
                    <w:rPr>
                      <w:rFonts w:hint="eastAsia" w:eastAsiaTheme="minorEastAsia"/>
                      <w:color w:val="0000FF"/>
                      <w:sz w:val="21"/>
                      <w:szCs w:val="21"/>
                      <w:lang w:eastAsia="zh-CN"/>
                    </w:rPr>
                    <w:t>：</w:t>
                  </w:r>
                  <w:r>
                    <w:rPr>
                      <w:rFonts w:hint="eastAsia" w:eastAsiaTheme="minorEastAsia"/>
                      <w:color w:val="0000FF"/>
                      <w:sz w:val="21"/>
                      <w:szCs w:val="21"/>
                    </w:rPr>
                    <w:t>1.41</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分子式</w:t>
                  </w:r>
                  <w:r>
                    <w:rPr>
                      <w:rFonts w:hint="eastAsia" w:eastAsiaTheme="minorEastAsia"/>
                      <w:color w:val="0000FF"/>
                      <w:sz w:val="21"/>
                      <w:szCs w:val="21"/>
                      <w:lang w:eastAsia="zh-CN"/>
                    </w:rPr>
                    <w:t>：</w:t>
                  </w:r>
                  <w:r>
                    <w:rPr>
                      <w:rFonts w:hint="eastAsia" w:eastAsiaTheme="minorEastAsia"/>
                      <w:color w:val="0000FF"/>
                      <w:sz w:val="21"/>
                      <w:szCs w:val="21"/>
                    </w:rPr>
                    <w:t>[C</w:t>
                  </w:r>
                  <w:r>
                    <w:rPr>
                      <w:rFonts w:hint="eastAsia" w:eastAsiaTheme="minorEastAsia"/>
                      <w:color w:val="0000FF"/>
                      <w:sz w:val="21"/>
                      <w:szCs w:val="21"/>
                      <w:vertAlign w:val="subscript"/>
                    </w:rPr>
                    <w:t>2</w:t>
                  </w:r>
                  <w:r>
                    <w:rPr>
                      <w:rFonts w:hint="eastAsia" w:eastAsiaTheme="minorEastAsia"/>
                      <w:color w:val="0000FF"/>
                      <w:sz w:val="21"/>
                      <w:szCs w:val="21"/>
                    </w:rPr>
                    <w:t>H</w:t>
                  </w:r>
                  <w:r>
                    <w:rPr>
                      <w:rFonts w:hint="eastAsia" w:eastAsiaTheme="minorEastAsia"/>
                      <w:color w:val="0000FF"/>
                      <w:sz w:val="21"/>
                      <w:szCs w:val="21"/>
                      <w:vertAlign w:val="subscript"/>
                      <w:lang w:val="en-US" w:eastAsia="zh-CN"/>
                    </w:rPr>
                    <w:t>3</w:t>
                  </w:r>
                  <w:r>
                    <w:rPr>
                      <w:rFonts w:hint="eastAsia" w:eastAsiaTheme="minorEastAsia"/>
                      <w:color w:val="0000FF"/>
                      <w:sz w:val="21"/>
                      <w:szCs w:val="21"/>
                    </w:rPr>
                    <w:t>Cl]n</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引|燃温度(</w:t>
                  </w:r>
                  <w:r>
                    <w:rPr>
                      <w:rFonts w:hint="default" w:ascii="Times New Roman" w:hAnsi="Times New Roman" w:cs="Times New Roman"/>
                      <w:iCs/>
                      <w:color w:val="0000FF"/>
                      <w:sz w:val="24"/>
                    </w:rPr>
                    <w:t>℃</w:t>
                  </w:r>
                  <w:r>
                    <w:rPr>
                      <w:rFonts w:hint="eastAsia" w:eastAsiaTheme="minorEastAsia"/>
                      <w:color w:val="0000FF"/>
                      <w:sz w:val="21"/>
                      <w:szCs w:val="21"/>
                    </w:rPr>
                    <w:t>)</w:t>
                  </w:r>
                  <w:r>
                    <w:rPr>
                      <w:rFonts w:hint="eastAsia" w:eastAsiaTheme="minorEastAsia"/>
                      <w:color w:val="0000FF"/>
                      <w:sz w:val="21"/>
                      <w:szCs w:val="21"/>
                      <w:lang w:eastAsia="zh-CN"/>
                    </w:rPr>
                    <w:t>：</w:t>
                  </w:r>
                  <w:r>
                    <w:rPr>
                      <w:rFonts w:hint="eastAsia" w:eastAsiaTheme="minorEastAsia"/>
                      <w:color w:val="0000FF"/>
                      <w:sz w:val="21"/>
                      <w:szCs w:val="21"/>
                      <w:lang w:val="en-US" w:eastAsia="zh-CN"/>
                    </w:rPr>
                    <w:t>78</w:t>
                  </w:r>
                  <w:r>
                    <w:rPr>
                      <w:rFonts w:hint="eastAsia" w:eastAsiaTheme="minorEastAsia"/>
                      <w:color w:val="0000FF"/>
                      <w:sz w:val="21"/>
                      <w:szCs w:val="21"/>
                    </w:rPr>
                    <w:t>0(粉云)</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爆</w:t>
                  </w:r>
                  <w:r>
                    <w:rPr>
                      <w:rFonts w:hint="eastAsia" w:eastAsiaTheme="minorEastAsia"/>
                      <w:color w:val="0000FF"/>
                      <w:sz w:val="21"/>
                      <w:szCs w:val="21"/>
                      <w:lang w:val="en-US" w:eastAsia="zh-CN"/>
                    </w:rPr>
                    <w:t>炸</w:t>
                  </w:r>
                  <w:r>
                    <w:rPr>
                      <w:rFonts w:hint="eastAsia" w:eastAsiaTheme="minorEastAsia"/>
                      <w:color w:val="0000FF"/>
                      <w:sz w:val="21"/>
                      <w:szCs w:val="21"/>
                    </w:rPr>
                    <w:t>下限%(V</w:t>
                  </w:r>
                  <w:r>
                    <w:rPr>
                      <w:rFonts w:hint="eastAsia" w:eastAsiaTheme="minorEastAsia"/>
                      <w:color w:val="0000FF"/>
                      <w:sz w:val="21"/>
                      <w:szCs w:val="21"/>
                      <w:lang w:val="en-US" w:eastAsia="zh-CN"/>
                    </w:rPr>
                    <w:t>/</w:t>
                  </w:r>
                  <w:r>
                    <w:rPr>
                      <w:rFonts w:hint="eastAsia" w:eastAsiaTheme="minorEastAsia"/>
                      <w:color w:val="0000FF"/>
                      <w:sz w:val="21"/>
                      <w:szCs w:val="21"/>
                    </w:rPr>
                    <w:t>V)</w:t>
                  </w:r>
                  <w:r>
                    <w:rPr>
                      <w:rFonts w:hint="eastAsia" w:eastAsiaTheme="minorEastAsia"/>
                      <w:color w:val="0000FF"/>
                      <w:sz w:val="21"/>
                      <w:szCs w:val="21"/>
                      <w:lang w:eastAsia="zh-CN"/>
                    </w:rPr>
                    <w:t>：</w:t>
                  </w:r>
                  <w:r>
                    <w:rPr>
                      <w:rFonts w:hint="eastAsia" w:eastAsiaTheme="minorEastAsia"/>
                      <w:color w:val="0000FF"/>
                      <w:sz w:val="21"/>
                      <w:szCs w:val="21"/>
                      <w:lang w:val="en-US" w:eastAsia="zh-CN"/>
                    </w:rPr>
                    <w:t>6</w:t>
                  </w:r>
                  <w:r>
                    <w:rPr>
                      <w:rFonts w:hint="eastAsia" w:eastAsiaTheme="minorEastAsia"/>
                      <w:color w:val="0000FF"/>
                      <w:sz w:val="21"/>
                      <w:szCs w:val="21"/>
                    </w:rPr>
                    <w:t>0(g/m</w:t>
                  </w:r>
                  <w:r>
                    <w:rPr>
                      <w:rFonts w:hint="eastAsia" w:eastAsiaTheme="minorEastAsia"/>
                      <w:color w:val="0000FF"/>
                      <w:sz w:val="21"/>
                      <w:szCs w:val="21"/>
                      <w:vertAlign w:val="superscript"/>
                    </w:rPr>
                    <w:t>3</w:t>
                  </w:r>
                  <w:r>
                    <w:rPr>
                      <w:rFonts w:hint="eastAsia" w:eastAsiaTheme="minorEastAsia"/>
                      <w:color w:val="0000FF"/>
                      <w:sz w:val="21"/>
                      <w:szCs w:val="21"/>
                    </w:rPr>
                    <w:t>)</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溶解性:不溶于多数有机溶剂.</w:t>
                  </w:r>
                </w:p>
              </w:tc>
              <w:tc>
                <w:tcPr>
                  <w:tcW w:w="3028"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主要用途</w:t>
                  </w:r>
                  <w:r>
                    <w:rPr>
                      <w:rFonts w:hint="eastAsia" w:eastAsiaTheme="minorEastAsia"/>
                      <w:color w:val="0000FF"/>
                      <w:sz w:val="21"/>
                      <w:szCs w:val="21"/>
                      <w:lang w:eastAsia="zh-CN"/>
                    </w:rPr>
                    <w:t>：</w:t>
                  </w:r>
                  <w:r>
                    <w:rPr>
                      <w:rFonts w:hint="eastAsia" w:eastAsiaTheme="minorEastAsia"/>
                      <w:color w:val="0000FF"/>
                      <w:sz w:val="21"/>
                      <w:szCs w:val="21"/>
                    </w:rPr>
                    <w:t>用于制造管、棒、板、薄膜、中空制品及各种工农业用品和日用品。</w:t>
                  </w:r>
                </w:p>
                <w:p>
                  <w:pPr>
                    <w:pStyle w:val="42"/>
                    <w:tabs>
                      <w:tab w:val="left" w:pos="432"/>
                      <w:tab w:val="left" w:pos="612"/>
                    </w:tabs>
                    <w:adjustRightInd w:val="0"/>
                    <w:snapToGrid w:val="0"/>
                    <w:spacing w:after="0" w:line="240" w:lineRule="auto"/>
                    <w:ind w:firstLine="0" w:firstLineChars="0"/>
                    <w:jc w:val="both"/>
                    <w:rPr>
                      <w:rFonts w:eastAsiaTheme="minorEastAsia"/>
                      <w:color w:val="0000FF"/>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color w:val="0000FF"/>
                      <w:sz w:val="21"/>
                      <w:szCs w:val="21"/>
                    </w:rPr>
                  </w:pPr>
                  <w:r>
                    <w:rPr>
                      <w:rFonts w:eastAsiaTheme="minorEastAsia"/>
                      <w:color w:val="0000FF"/>
                      <w:sz w:val="21"/>
                      <w:szCs w:val="21"/>
                    </w:rPr>
                    <w:t>4</w:t>
                  </w:r>
                </w:p>
              </w:tc>
              <w:tc>
                <w:tcPr>
                  <w:tcW w:w="1386"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color w:val="0000FF"/>
                      <w:sz w:val="21"/>
                      <w:szCs w:val="21"/>
                    </w:rPr>
                  </w:pPr>
                  <w:r>
                    <w:rPr>
                      <w:rFonts w:hint="eastAsia" w:eastAsiaTheme="minorEastAsia"/>
                      <w:color w:val="0000FF"/>
                      <w:sz w:val="21"/>
                      <w:szCs w:val="21"/>
                    </w:rPr>
                    <w:t>色母料</w:t>
                  </w:r>
                </w:p>
              </w:tc>
              <w:tc>
                <w:tcPr>
                  <w:tcW w:w="3507"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eastAsia="zh-CN"/>
                    </w:rPr>
                  </w:pPr>
                  <w:r>
                    <w:rPr>
                      <w:rFonts w:hint="eastAsia" w:eastAsiaTheme="minorEastAsia"/>
                      <w:color w:val="0000FF"/>
                      <w:sz w:val="21"/>
                      <w:szCs w:val="21"/>
                    </w:rPr>
                    <w:t>是一种新型高分子材料专用着色剂，亦称颜料制备物，色母由颜料或染料、载体和添加剂三种基本要素所组成，是把超常量的颜料均匀载附于树脂之中而制得的聚集体，可称颜料浓缩物</w:t>
                  </w:r>
                  <w:r>
                    <w:rPr>
                      <w:rFonts w:hint="eastAsia" w:eastAsiaTheme="minorEastAsia"/>
                      <w:color w:val="0000FF"/>
                      <w:sz w:val="21"/>
                      <w:szCs w:val="21"/>
                      <w:lang w:eastAsia="zh-CN"/>
                    </w:rPr>
                    <w:t>。</w:t>
                  </w:r>
                </w:p>
              </w:tc>
              <w:tc>
                <w:tcPr>
                  <w:tcW w:w="3028"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eastAsiaTheme="minorEastAsia"/>
                      <w:color w:val="0000FF"/>
                      <w:sz w:val="21"/>
                      <w:szCs w:val="21"/>
                    </w:rPr>
                  </w:pPr>
                  <w:r>
                    <w:rPr>
                      <w:rFonts w:hint="eastAsia" w:eastAsiaTheme="minorEastAsia"/>
                      <w:color w:val="0000FF"/>
                      <w:sz w:val="21"/>
                      <w:szCs w:val="21"/>
                    </w:rPr>
                    <w:t>色母主要用在塑料上</w:t>
                  </w:r>
                  <w:r>
                    <w:rPr>
                      <w:rFonts w:hint="eastAsia" w:eastAsiaTheme="minorEastAsia"/>
                      <w:color w:val="0000FF"/>
                      <w:sz w:val="21"/>
                      <w:szCs w:val="21"/>
                      <w:lang w:eastAsia="zh-CN"/>
                    </w:rPr>
                    <w:t>，</w:t>
                  </w:r>
                  <w:r>
                    <w:rPr>
                      <w:rFonts w:hint="eastAsia" w:eastAsiaTheme="minorEastAsia"/>
                      <w:color w:val="0000FF"/>
                      <w:sz w:val="21"/>
                      <w:szCs w:val="21"/>
                    </w:rPr>
                    <w:t>它的着色力高于颜料本身。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color w:val="0000FF"/>
                      <w:sz w:val="21"/>
                      <w:szCs w:val="21"/>
                    </w:rPr>
                  </w:pPr>
                  <w:r>
                    <w:rPr>
                      <w:rFonts w:hint="eastAsia" w:eastAsiaTheme="minorEastAsia"/>
                      <w:color w:val="0000FF"/>
                      <w:sz w:val="21"/>
                      <w:szCs w:val="21"/>
                    </w:rPr>
                    <w:t>5</w:t>
                  </w:r>
                </w:p>
              </w:tc>
              <w:tc>
                <w:tcPr>
                  <w:tcW w:w="1386"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color w:val="0000FF"/>
                      <w:sz w:val="21"/>
                      <w:szCs w:val="21"/>
                    </w:rPr>
                  </w:pPr>
                  <w:r>
                    <w:rPr>
                      <w:rFonts w:hint="eastAsia" w:eastAsiaTheme="minorEastAsia"/>
                      <w:color w:val="0000FF"/>
                      <w:sz w:val="21"/>
                      <w:szCs w:val="21"/>
                    </w:rPr>
                    <w:t>钙粉（CaCO3）</w:t>
                  </w:r>
                </w:p>
              </w:tc>
              <w:tc>
                <w:tcPr>
                  <w:tcW w:w="3507"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外观与性状：无臭、无味的白色粉末或无色结晶。</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熔点(</w:t>
                  </w:r>
                  <w:r>
                    <w:rPr>
                      <w:rFonts w:hint="default" w:ascii="Times New Roman" w:hAnsi="Times New Roman" w:cs="Times New Roman"/>
                      <w:iCs/>
                      <w:color w:val="0000FF"/>
                      <w:sz w:val="24"/>
                    </w:rPr>
                    <w:t>℃</w:t>
                  </w:r>
                  <w:r>
                    <w:rPr>
                      <w:rFonts w:hint="eastAsia" w:eastAsiaTheme="minorEastAsia"/>
                      <w:color w:val="0000FF"/>
                      <w:sz w:val="21"/>
                      <w:szCs w:val="21"/>
                      <w:lang w:val="en-US" w:eastAsia="zh-CN"/>
                    </w:rPr>
                    <w:t>): 825(分解)</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相对密度(水=1）：2.70-2.95</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分子式：</w:t>
                  </w:r>
                  <w:r>
                    <w:rPr>
                      <w:rFonts w:hint="eastAsia" w:eastAsiaTheme="minorEastAsia"/>
                      <w:color w:val="0000FF"/>
                      <w:sz w:val="21"/>
                      <w:szCs w:val="21"/>
                    </w:rPr>
                    <w:t>CaCO</w:t>
                  </w:r>
                  <w:r>
                    <w:rPr>
                      <w:rFonts w:hint="eastAsia" w:eastAsiaTheme="minorEastAsia"/>
                      <w:color w:val="0000FF"/>
                      <w:sz w:val="21"/>
                      <w:szCs w:val="21"/>
                      <w:vertAlign w:val="subscript"/>
                    </w:rPr>
                    <w:t>3</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分子量:100.09</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主要成分:纯品</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vertAlign w:val="subscript"/>
                      <w:lang w:val="en-US" w:eastAsia="zh-CN"/>
                    </w:rPr>
                  </w:pPr>
                  <w:r>
                    <w:rPr>
                      <w:rFonts w:hint="eastAsia" w:eastAsiaTheme="minorEastAsia"/>
                      <w:color w:val="0000FF"/>
                      <w:sz w:val="21"/>
                      <w:szCs w:val="21"/>
                      <w:lang w:val="en-US" w:eastAsia="zh-CN"/>
                    </w:rPr>
                    <w:t>溶解性:不溶于水，溶于酸。</w:t>
                  </w:r>
                </w:p>
              </w:tc>
              <w:tc>
                <w:tcPr>
                  <w:tcW w:w="3028"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主要用途:用于制水泥、陶瓷、石灰、钙盐、牙膏、染料、颜料、矿泉水、人造石、油灰、中和剂、</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催化剂、填料、医药品等。</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vertAlign w:val="subscrip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color w:val="0000FF"/>
                      <w:sz w:val="21"/>
                      <w:szCs w:val="21"/>
                    </w:rPr>
                  </w:pPr>
                  <w:r>
                    <w:rPr>
                      <w:rFonts w:hint="eastAsia" w:eastAsiaTheme="minorEastAsia"/>
                      <w:color w:val="0000FF"/>
                      <w:sz w:val="21"/>
                      <w:szCs w:val="21"/>
                    </w:rPr>
                    <w:t>6</w:t>
                  </w:r>
                </w:p>
              </w:tc>
              <w:tc>
                <w:tcPr>
                  <w:tcW w:w="1386"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hint="eastAsia" w:eastAsiaTheme="minorEastAsia"/>
                      <w:color w:val="0000FF"/>
                      <w:sz w:val="21"/>
                      <w:szCs w:val="21"/>
                      <w:lang w:val="en-US" w:eastAsia="zh-CN"/>
                    </w:rPr>
                  </w:pPr>
                  <w:r>
                    <w:rPr>
                      <w:rFonts w:hint="eastAsia" w:eastAsiaTheme="minorEastAsia"/>
                      <w:color w:val="0000FF"/>
                      <w:sz w:val="21"/>
                      <w:szCs w:val="21"/>
                      <w:lang w:val="en-US" w:eastAsia="zh-CN"/>
                    </w:rPr>
                    <w:t>硬脂酸</w:t>
                  </w:r>
                </w:p>
              </w:tc>
              <w:tc>
                <w:tcPr>
                  <w:tcW w:w="3507"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外观与性状：纯品是带有光泽的白色柔软小片。</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熔点(</w:t>
                  </w:r>
                  <w:r>
                    <w:rPr>
                      <w:rFonts w:hint="default" w:ascii="Times New Roman" w:hAnsi="Times New Roman" w:cs="Times New Roman"/>
                      <w:iCs/>
                      <w:color w:val="0000FF"/>
                      <w:sz w:val="24"/>
                    </w:rPr>
                    <w:t>℃</w:t>
                  </w:r>
                  <w:r>
                    <w:rPr>
                      <w:rFonts w:hint="eastAsia" w:cs="Times New Roman"/>
                      <w:iCs/>
                      <w:color w:val="0000FF"/>
                      <w:sz w:val="24"/>
                      <w:lang w:eastAsia="zh-CN"/>
                    </w:rPr>
                    <w:t>）</w:t>
                  </w:r>
                  <w:r>
                    <w:rPr>
                      <w:rFonts w:hint="eastAsia" w:eastAsiaTheme="minorEastAsia"/>
                      <w:color w:val="0000FF"/>
                      <w:sz w:val="21"/>
                      <w:szCs w:val="21"/>
                      <w:lang w:val="en-US" w:eastAsia="zh-CN"/>
                    </w:rPr>
                    <w:t>：70-71</w:t>
                  </w:r>
                </w:p>
                <w:p>
                  <w:pPr>
                    <w:pStyle w:val="42"/>
                    <w:tabs>
                      <w:tab w:val="left" w:pos="432"/>
                      <w:tab w:val="left" w:pos="612"/>
                    </w:tabs>
                    <w:adjustRightInd w:val="0"/>
                    <w:snapToGrid w:val="0"/>
                    <w:spacing w:after="0" w:line="240" w:lineRule="auto"/>
                    <w:ind w:firstLine="0" w:firstLineChars="0"/>
                    <w:jc w:val="both"/>
                    <w:rPr>
                      <w:rFonts w:hint="default" w:eastAsiaTheme="minorEastAsia"/>
                      <w:color w:val="0000FF"/>
                      <w:sz w:val="21"/>
                      <w:szCs w:val="21"/>
                      <w:lang w:val="en-US" w:eastAsia="zh-CN"/>
                    </w:rPr>
                  </w:pPr>
                  <w:r>
                    <w:rPr>
                      <w:rFonts w:hint="eastAsia" w:eastAsiaTheme="minorEastAsia"/>
                      <w:color w:val="0000FF"/>
                      <w:sz w:val="21"/>
                      <w:szCs w:val="21"/>
                      <w:lang w:val="en-US" w:eastAsia="zh-CN"/>
                    </w:rPr>
                    <w:t>相对密度(水=1)：0.87</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沸点(℃):383</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相对蒸气密度(空气=1)：9.8</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分子式:C</w:t>
                  </w:r>
                  <w:r>
                    <w:rPr>
                      <w:rFonts w:hint="eastAsia" w:eastAsiaTheme="minorEastAsia"/>
                      <w:color w:val="0000FF"/>
                      <w:sz w:val="21"/>
                      <w:szCs w:val="21"/>
                      <w:vertAlign w:val="subscript"/>
                      <w:lang w:val="en-US" w:eastAsia="zh-CN"/>
                    </w:rPr>
                    <w:t>18</w:t>
                  </w:r>
                  <w:r>
                    <w:rPr>
                      <w:rFonts w:hint="eastAsia" w:eastAsiaTheme="minorEastAsia"/>
                      <w:color w:val="0000FF"/>
                      <w:sz w:val="21"/>
                      <w:szCs w:val="21"/>
                      <w:lang w:val="en-US" w:eastAsia="zh-CN"/>
                    </w:rPr>
                    <w:t>H</w:t>
                  </w:r>
                  <w:r>
                    <w:rPr>
                      <w:rFonts w:hint="eastAsia" w:eastAsiaTheme="minorEastAsia"/>
                      <w:color w:val="0000FF"/>
                      <w:sz w:val="21"/>
                      <w:szCs w:val="21"/>
                      <w:vertAlign w:val="subscript"/>
                      <w:lang w:val="en-US" w:eastAsia="zh-CN"/>
                    </w:rPr>
                    <w:t>36</w:t>
                  </w:r>
                  <w:r>
                    <w:rPr>
                      <w:rFonts w:hint="eastAsia" w:eastAsiaTheme="minorEastAsia"/>
                      <w:color w:val="0000FF"/>
                      <w:sz w:val="21"/>
                      <w:szCs w:val="21"/>
                      <w:lang w:val="en-US" w:eastAsia="zh-CN"/>
                    </w:rPr>
                    <w:t>O</w:t>
                  </w:r>
                  <w:r>
                    <w:rPr>
                      <w:rFonts w:hint="eastAsia" w:eastAsiaTheme="minorEastAsia"/>
                      <w:color w:val="0000FF"/>
                      <w:sz w:val="21"/>
                      <w:szCs w:val="21"/>
                      <w:vertAlign w:val="subscript"/>
                      <w:lang w:val="en-US" w:eastAsia="zh-CN"/>
                    </w:rPr>
                    <w:t>2</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分子量：284.48</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饱和蒸气,压(kPa)：0.13(173.7℃)</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溶解性:不溶于水，微溶于乙醇，溶于丙酮、苯，易溶于乙醚、氯仿、四氯化碳等。</w:t>
                  </w:r>
                </w:p>
              </w:tc>
              <w:tc>
                <w:tcPr>
                  <w:tcW w:w="3028"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主要用途:用于制化妆品、表面活性剂、橡胶配合剂、防水剂、金属皂、软化剂等。</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vertAlign w:val="subscript"/>
                      <w:lang w:val="en-US" w:eastAsia="zh-CN"/>
                    </w:rPr>
                  </w:pPr>
                  <w:r>
                    <w:rPr>
                      <w:rFonts w:hint="eastAsia" w:eastAsiaTheme="minorEastAsia"/>
                      <w:color w:val="0000FF"/>
                      <w:sz w:val="21"/>
                      <w:szCs w:val="21"/>
                      <w:lang w:val="en-US" w:eastAsia="zh-CN"/>
                    </w:rPr>
                    <w:t>硬脂酸是PVC热稳定剂，具有很好的润滑性和较好的光、热稳定作用。在塑料PVC管中，硬脂酸有助于防止加工过程中的"焦化"，在PVC薄膜加工中添加是一种有效的热稳定剂，同时可以防御暴置于硫化物中所引起的成品薄膜变色</w:t>
                  </w:r>
                  <w:r>
                    <w:rPr>
                      <w:rFonts w:hint="eastAsia" w:eastAsiaTheme="minorEastAsia"/>
                      <w:color w:val="0000FF"/>
                      <w:sz w:val="21"/>
                      <w:szCs w:val="21"/>
                      <w:vertAlign w:val="subscript"/>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color w:val="0000FF"/>
                      <w:sz w:val="21"/>
                      <w:szCs w:val="21"/>
                    </w:rPr>
                  </w:pPr>
                  <w:r>
                    <w:rPr>
                      <w:rFonts w:hint="eastAsia" w:eastAsiaTheme="minorEastAsia"/>
                      <w:color w:val="0000FF"/>
                      <w:sz w:val="21"/>
                      <w:szCs w:val="21"/>
                    </w:rPr>
                    <w:t>7</w:t>
                  </w:r>
                </w:p>
              </w:tc>
              <w:tc>
                <w:tcPr>
                  <w:tcW w:w="1386"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color w:val="0000FF"/>
                      <w:sz w:val="21"/>
                      <w:szCs w:val="21"/>
                    </w:rPr>
                  </w:pPr>
                  <w:r>
                    <w:rPr>
                      <w:rFonts w:hint="eastAsia" w:eastAsiaTheme="minorEastAsia"/>
                      <w:color w:val="0000FF"/>
                      <w:sz w:val="21"/>
                      <w:szCs w:val="21"/>
                    </w:rPr>
                    <w:t>聚乙烯蜡（PE蜡）</w:t>
                  </w:r>
                </w:p>
              </w:tc>
              <w:tc>
                <w:tcPr>
                  <w:tcW w:w="3507"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eastAsia" w:eastAsiaTheme="minorEastAsia"/>
                      <w:color w:val="0000FF"/>
                      <w:sz w:val="21"/>
                      <w:szCs w:val="21"/>
                      <w:lang w:val="en-US" w:eastAsia="zh-CN"/>
                    </w:rPr>
                    <w:t>高分子蜡简称聚乙烯蜡，是一种化工材料；</w:t>
                  </w:r>
                </w:p>
                <w:p>
                  <w:pPr>
                    <w:pStyle w:val="42"/>
                    <w:tabs>
                      <w:tab w:val="left" w:pos="432"/>
                      <w:tab w:val="left" w:pos="612"/>
                    </w:tabs>
                    <w:adjustRightInd w:val="0"/>
                    <w:snapToGrid w:val="0"/>
                    <w:spacing w:after="0" w:line="240" w:lineRule="auto"/>
                    <w:ind w:firstLine="0" w:firstLineChars="0"/>
                    <w:jc w:val="both"/>
                    <w:rPr>
                      <w:rFonts w:hint="default" w:eastAsiaTheme="minorEastAsia"/>
                      <w:color w:val="0000FF"/>
                      <w:sz w:val="21"/>
                      <w:szCs w:val="21"/>
                      <w:lang w:val="en-US" w:eastAsia="zh-CN"/>
                    </w:rPr>
                  </w:pPr>
                  <w:r>
                    <w:rPr>
                      <w:rFonts w:hint="eastAsia" w:eastAsiaTheme="minorEastAsia"/>
                      <w:color w:val="0000FF"/>
                      <w:sz w:val="21"/>
                      <w:szCs w:val="21"/>
                      <w:lang w:val="en-US" w:eastAsia="zh-CN"/>
                    </w:rPr>
                    <w:t>白色小微珠状/片状，由乙烯聚合橡胶加工剂而形成的，其具有熔点较高、硬度大、光泽度高、颜色雪白、</w:t>
                  </w:r>
                  <w:r>
                    <w:rPr>
                      <w:rFonts w:hint="default" w:eastAsiaTheme="minorEastAsia"/>
                      <w:color w:val="0000FF"/>
                      <w:sz w:val="21"/>
                      <w:szCs w:val="21"/>
                      <w:lang w:val="en-US" w:eastAsia="zh-CN"/>
                    </w:rPr>
                    <w:t>耐寒性、耐热性、耐化学性和耐磨性</w:t>
                  </w:r>
                  <w:r>
                    <w:rPr>
                      <w:rFonts w:hint="eastAsia" w:eastAsiaTheme="minorEastAsia"/>
                      <w:color w:val="0000FF"/>
                      <w:sz w:val="21"/>
                      <w:szCs w:val="21"/>
                      <w:lang w:val="en-US" w:eastAsia="zh-CN"/>
                    </w:rPr>
                    <w:t>等特点</w:t>
                  </w:r>
                </w:p>
              </w:tc>
              <w:tc>
                <w:tcPr>
                  <w:tcW w:w="3028"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lang w:val="en-US" w:eastAsia="zh-CN"/>
                    </w:rPr>
                  </w:pPr>
                  <w:r>
                    <w:rPr>
                      <w:rFonts w:hint="default" w:eastAsiaTheme="minorEastAsia"/>
                      <w:color w:val="0000FF"/>
                      <w:sz w:val="21"/>
                      <w:szCs w:val="21"/>
                      <w:lang w:val="en-US" w:eastAsia="zh-CN"/>
                    </w:rPr>
                    <w:t>正常生产中，这部分蜡作为一种添加剂可直接加到</w:t>
                  </w:r>
                  <w:r>
                    <w:rPr>
                      <w:rFonts w:hint="default" w:eastAsiaTheme="minorEastAsia"/>
                      <w:color w:val="0000FF"/>
                      <w:sz w:val="21"/>
                      <w:szCs w:val="21"/>
                      <w:lang w:val="en-US" w:eastAsia="zh-CN"/>
                    </w:rPr>
                    <w:fldChar w:fldCharType="begin"/>
                  </w:r>
                  <w:r>
                    <w:rPr>
                      <w:rFonts w:hint="default" w:eastAsiaTheme="minorEastAsia"/>
                      <w:color w:val="0000FF"/>
                      <w:sz w:val="21"/>
                      <w:szCs w:val="21"/>
                      <w:lang w:val="en-US" w:eastAsia="zh-CN"/>
                    </w:rPr>
                    <w:instrText xml:space="preserve"> HYPERLINK "https://baike.baidu.com/item/%E8%81%9A%E7%83%AF%E7%83%83" \t "_blank" </w:instrText>
                  </w:r>
                  <w:r>
                    <w:rPr>
                      <w:rFonts w:hint="default" w:eastAsiaTheme="minorEastAsia"/>
                      <w:color w:val="0000FF"/>
                      <w:sz w:val="21"/>
                      <w:szCs w:val="21"/>
                      <w:lang w:val="en-US" w:eastAsia="zh-CN"/>
                    </w:rPr>
                    <w:fldChar w:fldCharType="separate"/>
                  </w:r>
                  <w:r>
                    <w:rPr>
                      <w:rFonts w:hint="default" w:eastAsiaTheme="minorEastAsia"/>
                      <w:color w:val="0000FF"/>
                      <w:sz w:val="21"/>
                      <w:szCs w:val="21"/>
                      <w:lang w:val="en-US" w:eastAsia="zh-CN"/>
                    </w:rPr>
                    <w:t>聚烯烃</w:t>
                  </w:r>
                  <w:r>
                    <w:rPr>
                      <w:rFonts w:hint="default" w:eastAsiaTheme="minorEastAsia"/>
                      <w:color w:val="0000FF"/>
                      <w:sz w:val="21"/>
                      <w:szCs w:val="21"/>
                      <w:lang w:val="en-US" w:eastAsia="zh-CN"/>
                    </w:rPr>
                    <w:fldChar w:fldCharType="end"/>
                  </w:r>
                  <w:r>
                    <w:rPr>
                      <w:rFonts w:hint="default" w:eastAsiaTheme="minorEastAsia"/>
                      <w:color w:val="0000FF"/>
                      <w:sz w:val="21"/>
                      <w:szCs w:val="21"/>
                      <w:lang w:val="en-US" w:eastAsia="zh-CN"/>
                    </w:rPr>
                    <w:t>加工中，它可以增加产品的光泽和加工性能。作为</w:t>
                  </w:r>
                  <w:r>
                    <w:rPr>
                      <w:rFonts w:hint="default" w:eastAsiaTheme="minorEastAsia"/>
                      <w:color w:val="0000FF"/>
                      <w:sz w:val="21"/>
                      <w:szCs w:val="21"/>
                      <w:lang w:val="en-US" w:eastAsia="zh-CN"/>
                    </w:rPr>
                    <w:fldChar w:fldCharType="begin"/>
                  </w:r>
                  <w:r>
                    <w:rPr>
                      <w:rFonts w:hint="default" w:eastAsiaTheme="minorEastAsia"/>
                      <w:color w:val="0000FF"/>
                      <w:sz w:val="21"/>
                      <w:szCs w:val="21"/>
                      <w:lang w:val="en-US" w:eastAsia="zh-CN"/>
                    </w:rPr>
                    <w:instrText xml:space="preserve"> HYPERLINK "https://baike.baidu.com/item/%E6%B6%A6%E6%BB%91%E5%89%82" \t "_blank" </w:instrText>
                  </w:r>
                  <w:r>
                    <w:rPr>
                      <w:rFonts w:hint="default" w:eastAsiaTheme="minorEastAsia"/>
                      <w:color w:val="0000FF"/>
                      <w:sz w:val="21"/>
                      <w:szCs w:val="21"/>
                      <w:lang w:val="en-US" w:eastAsia="zh-CN"/>
                    </w:rPr>
                    <w:fldChar w:fldCharType="separate"/>
                  </w:r>
                  <w:r>
                    <w:rPr>
                      <w:rFonts w:hint="default" w:eastAsiaTheme="minorEastAsia"/>
                      <w:color w:val="0000FF"/>
                      <w:sz w:val="21"/>
                      <w:szCs w:val="21"/>
                      <w:lang w:val="en-US" w:eastAsia="zh-CN"/>
                    </w:rPr>
                    <w:t>润滑剂</w:t>
                  </w:r>
                  <w:r>
                    <w:rPr>
                      <w:rFonts w:hint="default" w:eastAsiaTheme="minorEastAsia"/>
                      <w:color w:val="0000FF"/>
                      <w:sz w:val="21"/>
                      <w:szCs w:val="21"/>
                      <w:lang w:val="en-US" w:eastAsia="zh-CN"/>
                    </w:rPr>
                    <w:fldChar w:fldCharType="end"/>
                  </w:r>
                  <w:r>
                    <w:rPr>
                      <w:rFonts w:hint="default" w:eastAsiaTheme="minorEastAsia"/>
                      <w:color w:val="0000FF"/>
                      <w:sz w:val="21"/>
                      <w:szCs w:val="21"/>
                      <w:lang w:val="en-US" w:eastAsia="zh-CN"/>
                    </w:rPr>
                    <w:t>，其化学性质稳定、电性能良好。聚乙烯蜡与聚乙烯、聚丙烯、聚蜡酸乙烯、</w:t>
                  </w:r>
                  <w:r>
                    <w:rPr>
                      <w:rFonts w:hint="default" w:eastAsiaTheme="minorEastAsia"/>
                      <w:color w:val="0000FF"/>
                      <w:sz w:val="21"/>
                      <w:szCs w:val="21"/>
                      <w:lang w:val="en-US" w:eastAsia="zh-CN"/>
                    </w:rPr>
                    <w:fldChar w:fldCharType="begin"/>
                  </w:r>
                  <w:r>
                    <w:rPr>
                      <w:rFonts w:hint="default" w:eastAsiaTheme="minorEastAsia"/>
                      <w:color w:val="0000FF"/>
                      <w:sz w:val="21"/>
                      <w:szCs w:val="21"/>
                      <w:lang w:val="en-US" w:eastAsia="zh-CN"/>
                    </w:rPr>
                    <w:instrText xml:space="preserve"> HYPERLINK "https://baike.baidu.com/item/%E4%B9%99%E4%B8%99%E6%A9%A1%E8%83%B6" \t "_blank" </w:instrText>
                  </w:r>
                  <w:r>
                    <w:rPr>
                      <w:rFonts w:hint="default" w:eastAsiaTheme="minorEastAsia"/>
                      <w:color w:val="0000FF"/>
                      <w:sz w:val="21"/>
                      <w:szCs w:val="21"/>
                      <w:lang w:val="en-US" w:eastAsia="zh-CN"/>
                    </w:rPr>
                    <w:fldChar w:fldCharType="separate"/>
                  </w:r>
                  <w:r>
                    <w:rPr>
                      <w:rFonts w:hint="default" w:eastAsiaTheme="minorEastAsia"/>
                      <w:color w:val="0000FF"/>
                      <w:sz w:val="21"/>
                      <w:szCs w:val="21"/>
                      <w:lang w:val="en-US" w:eastAsia="zh-CN"/>
                    </w:rPr>
                    <w:t>乙丙橡胶</w:t>
                  </w:r>
                  <w:r>
                    <w:rPr>
                      <w:rFonts w:hint="default" w:eastAsiaTheme="minorEastAsia"/>
                      <w:color w:val="0000FF"/>
                      <w:sz w:val="21"/>
                      <w:szCs w:val="21"/>
                      <w:lang w:val="en-US" w:eastAsia="zh-CN"/>
                    </w:rPr>
                    <w:fldChar w:fldCharType="end"/>
                  </w:r>
                  <w:r>
                    <w:rPr>
                      <w:rFonts w:hint="default" w:eastAsiaTheme="minorEastAsia"/>
                      <w:color w:val="0000FF"/>
                      <w:sz w:val="21"/>
                      <w:szCs w:val="21"/>
                      <w:lang w:val="en-US" w:eastAsia="zh-CN"/>
                    </w:rPr>
                    <w:t>、</w:t>
                  </w:r>
                  <w:r>
                    <w:rPr>
                      <w:rFonts w:hint="default" w:eastAsiaTheme="minorEastAsia"/>
                      <w:color w:val="0000FF"/>
                      <w:sz w:val="21"/>
                      <w:szCs w:val="21"/>
                      <w:lang w:val="en-US" w:eastAsia="zh-CN"/>
                    </w:rPr>
                    <w:fldChar w:fldCharType="begin"/>
                  </w:r>
                  <w:r>
                    <w:rPr>
                      <w:rFonts w:hint="default" w:eastAsiaTheme="minorEastAsia"/>
                      <w:color w:val="0000FF"/>
                      <w:sz w:val="21"/>
                      <w:szCs w:val="21"/>
                      <w:lang w:val="en-US" w:eastAsia="zh-CN"/>
                    </w:rPr>
                    <w:instrText xml:space="preserve"> HYPERLINK "https://baike.baidu.com/item/%E4%B8%81%E5%9F%BA%E6%A9%A1%E8%83%B6" \t "_blank" </w:instrText>
                  </w:r>
                  <w:r>
                    <w:rPr>
                      <w:rFonts w:hint="default" w:eastAsiaTheme="minorEastAsia"/>
                      <w:color w:val="0000FF"/>
                      <w:sz w:val="21"/>
                      <w:szCs w:val="21"/>
                      <w:lang w:val="en-US" w:eastAsia="zh-CN"/>
                    </w:rPr>
                    <w:fldChar w:fldCharType="separate"/>
                  </w:r>
                  <w:r>
                    <w:rPr>
                      <w:rFonts w:hint="default" w:eastAsiaTheme="minorEastAsia"/>
                      <w:color w:val="0000FF"/>
                      <w:sz w:val="21"/>
                      <w:szCs w:val="21"/>
                      <w:lang w:val="en-US" w:eastAsia="zh-CN"/>
                    </w:rPr>
                    <w:t>丁基橡胶</w:t>
                  </w:r>
                  <w:r>
                    <w:rPr>
                      <w:rFonts w:hint="default" w:eastAsiaTheme="minorEastAsia"/>
                      <w:color w:val="0000FF"/>
                      <w:sz w:val="21"/>
                      <w:szCs w:val="21"/>
                      <w:lang w:val="en-US" w:eastAsia="zh-CN"/>
                    </w:rPr>
                    <w:fldChar w:fldCharType="end"/>
                  </w:r>
                  <w:r>
                    <w:rPr>
                      <w:rFonts w:hint="default" w:eastAsiaTheme="minorEastAsia"/>
                      <w:color w:val="0000FF"/>
                      <w:sz w:val="21"/>
                      <w:szCs w:val="21"/>
                      <w:lang w:val="en-US" w:eastAsia="zh-CN"/>
                    </w:rPr>
                    <w:t>相溶性好。能改善</w:t>
                  </w:r>
                  <w:r>
                    <w:rPr>
                      <w:rFonts w:hint="default" w:eastAsiaTheme="minorEastAsia"/>
                      <w:color w:val="0000FF"/>
                      <w:sz w:val="21"/>
                      <w:szCs w:val="21"/>
                      <w:lang w:val="en-US" w:eastAsia="zh-CN"/>
                    </w:rPr>
                    <w:fldChar w:fldCharType="begin"/>
                  </w:r>
                  <w:r>
                    <w:rPr>
                      <w:rFonts w:hint="default" w:eastAsiaTheme="minorEastAsia"/>
                      <w:color w:val="0000FF"/>
                      <w:sz w:val="21"/>
                      <w:szCs w:val="21"/>
                      <w:lang w:val="en-US" w:eastAsia="zh-CN"/>
                    </w:rPr>
                    <w:instrText xml:space="preserve"> HYPERLINK "https://baike.baidu.com/item/%E8%81%9A%E4%B9%99%E7%83%AF" \t "_blank" </w:instrText>
                  </w:r>
                  <w:r>
                    <w:rPr>
                      <w:rFonts w:hint="default" w:eastAsiaTheme="minorEastAsia"/>
                      <w:color w:val="0000FF"/>
                      <w:sz w:val="21"/>
                      <w:szCs w:val="21"/>
                      <w:lang w:val="en-US" w:eastAsia="zh-CN"/>
                    </w:rPr>
                    <w:fldChar w:fldCharType="separate"/>
                  </w:r>
                  <w:r>
                    <w:rPr>
                      <w:rFonts w:hint="default" w:eastAsiaTheme="minorEastAsia"/>
                      <w:color w:val="0000FF"/>
                      <w:sz w:val="21"/>
                      <w:szCs w:val="21"/>
                      <w:lang w:val="en-US" w:eastAsia="zh-CN"/>
                    </w:rPr>
                    <w:t>聚乙烯</w:t>
                  </w:r>
                  <w:r>
                    <w:rPr>
                      <w:rFonts w:hint="default" w:eastAsiaTheme="minorEastAsia"/>
                      <w:color w:val="0000FF"/>
                      <w:sz w:val="21"/>
                      <w:szCs w:val="21"/>
                      <w:lang w:val="en-US" w:eastAsia="zh-CN"/>
                    </w:rPr>
                    <w:fldChar w:fldCharType="end"/>
                  </w:r>
                  <w:r>
                    <w:rPr>
                      <w:rFonts w:hint="default" w:eastAsiaTheme="minorEastAsia"/>
                      <w:color w:val="0000FF"/>
                      <w:sz w:val="21"/>
                      <w:szCs w:val="21"/>
                      <w:lang w:val="en-US" w:eastAsia="zh-CN"/>
                    </w:rPr>
                    <w:t>、</w:t>
                  </w:r>
                  <w:r>
                    <w:rPr>
                      <w:rFonts w:hint="default" w:eastAsiaTheme="minorEastAsia"/>
                      <w:color w:val="0000FF"/>
                      <w:sz w:val="21"/>
                      <w:szCs w:val="21"/>
                      <w:lang w:val="en-US" w:eastAsia="zh-CN"/>
                    </w:rPr>
                    <w:fldChar w:fldCharType="begin"/>
                  </w:r>
                  <w:r>
                    <w:rPr>
                      <w:rFonts w:hint="default" w:eastAsiaTheme="minorEastAsia"/>
                      <w:color w:val="0000FF"/>
                      <w:sz w:val="21"/>
                      <w:szCs w:val="21"/>
                      <w:lang w:val="en-US" w:eastAsia="zh-CN"/>
                    </w:rPr>
                    <w:instrText xml:space="preserve"> HYPERLINK "https://baike.baidu.com/item/%E8%81%9A%E4%B8%99%E7%83%AF" \t "_blank" </w:instrText>
                  </w:r>
                  <w:r>
                    <w:rPr>
                      <w:rFonts w:hint="default" w:eastAsiaTheme="minorEastAsia"/>
                      <w:color w:val="0000FF"/>
                      <w:sz w:val="21"/>
                      <w:szCs w:val="21"/>
                      <w:lang w:val="en-US" w:eastAsia="zh-CN"/>
                    </w:rPr>
                    <w:fldChar w:fldCharType="separate"/>
                  </w:r>
                  <w:r>
                    <w:rPr>
                      <w:rFonts w:hint="default" w:eastAsiaTheme="minorEastAsia"/>
                      <w:color w:val="0000FF"/>
                      <w:sz w:val="21"/>
                      <w:szCs w:val="21"/>
                      <w:lang w:val="en-US" w:eastAsia="zh-CN"/>
                    </w:rPr>
                    <w:t>聚丙烯</w:t>
                  </w:r>
                  <w:r>
                    <w:rPr>
                      <w:rFonts w:hint="default" w:eastAsiaTheme="minorEastAsia"/>
                      <w:color w:val="0000FF"/>
                      <w:sz w:val="21"/>
                      <w:szCs w:val="21"/>
                      <w:lang w:val="en-US" w:eastAsia="zh-CN"/>
                    </w:rPr>
                    <w:fldChar w:fldCharType="end"/>
                  </w:r>
                  <w:r>
                    <w:rPr>
                      <w:rFonts w:hint="default" w:eastAsiaTheme="minorEastAsia"/>
                      <w:color w:val="0000FF"/>
                      <w:sz w:val="21"/>
                      <w:szCs w:val="21"/>
                      <w:lang w:val="en-US" w:eastAsia="zh-CN"/>
                    </w:rPr>
                    <w:t>、ABS的流动性和</w:t>
                  </w:r>
                  <w:r>
                    <w:rPr>
                      <w:rFonts w:hint="default" w:eastAsiaTheme="minorEastAsia"/>
                      <w:color w:val="0000FF"/>
                      <w:sz w:val="21"/>
                      <w:szCs w:val="21"/>
                      <w:lang w:val="en-US" w:eastAsia="zh-CN"/>
                    </w:rPr>
                    <w:fldChar w:fldCharType="begin"/>
                  </w:r>
                  <w:r>
                    <w:rPr>
                      <w:rFonts w:hint="default" w:eastAsiaTheme="minorEastAsia"/>
                      <w:color w:val="0000FF"/>
                      <w:sz w:val="21"/>
                      <w:szCs w:val="21"/>
                      <w:lang w:val="en-US" w:eastAsia="zh-CN"/>
                    </w:rPr>
                    <w:instrText xml:space="preserve"> HYPERLINK "https://baike.baidu.com/item/%E8%81%9A%E7%94%B2%E5%9F%BA%E4%B8%99%E7%83%AF%E9%85%B8%E7%94%B2%E9%85%AF" \t "_blank" </w:instrText>
                  </w:r>
                  <w:r>
                    <w:rPr>
                      <w:rFonts w:hint="default" w:eastAsiaTheme="minorEastAsia"/>
                      <w:color w:val="0000FF"/>
                      <w:sz w:val="21"/>
                      <w:szCs w:val="21"/>
                      <w:lang w:val="en-US" w:eastAsia="zh-CN"/>
                    </w:rPr>
                    <w:fldChar w:fldCharType="separate"/>
                  </w:r>
                  <w:r>
                    <w:rPr>
                      <w:rFonts w:hint="default" w:eastAsiaTheme="minorEastAsia"/>
                      <w:color w:val="0000FF"/>
                      <w:sz w:val="21"/>
                      <w:szCs w:val="21"/>
                      <w:lang w:val="en-US" w:eastAsia="zh-CN"/>
                    </w:rPr>
                    <w:t>聚甲基丙烯酸甲酯</w:t>
                  </w:r>
                  <w:r>
                    <w:rPr>
                      <w:rFonts w:hint="default" w:eastAsiaTheme="minorEastAsia"/>
                      <w:color w:val="0000FF"/>
                      <w:sz w:val="21"/>
                      <w:szCs w:val="21"/>
                      <w:lang w:val="en-US" w:eastAsia="zh-CN"/>
                    </w:rPr>
                    <w:fldChar w:fldCharType="end"/>
                  </w:r>
                  <w:r>
                    <w:rPr>
                      <w:rFonts w:hint="default" w:eastAsiaTheme="minorEastAsia"/>
                      <w:color w:val="0000FF"/>
                      <w:sz w:val="21"/>
                      <w:szCs w:val="21"/>
                      <w:lang w:val="en-US" w:eastAsia="zh-CN"/>
                    </w:rPr>
                    <w:t>、</w:t>
                  </w:r>
                  <w:r>
                    <w:rPr>
                      <w:rFonts w:hint="default" w:eastAsiaTheme="minorEastAsia"/>
                      <w:color w:val="0000FF"/>
                      <w:sz w:val="21"/>
                      <w:szCs w:val="21"/>
                      <w:lang w:val="en-US" w:eastAsia="zh-CN"/>
                    </w:rPr>
                    <w:fldChar w:fldCharType="begin"/>
                  </w:r>
                  <w:r>
                    <w:rPr>
                      <w:rFonts w:hint="default" w:eastAsiaTheme="minorEastAsia"/>
                      <w:color w:val="0000FF"/>
                      <w:sz w:val="21"/>
                      <w:szCs w:val="21"/>
                      <w:lang w:val="en-US" w:eastAsia="zh-CN"/>
                    </w:rPr>
                    <w:instrText xml:space="preserve"> HYPERLINK "https://baike.baidu.com/item/%E8%81%9A%E7%A2%B3%E9%85%B8%E9%85%AF" \t "_blank" </w:instrText>
                  </w:r>
                  <w:r>
                    <w:rPr>
                      <w:rFonts w:hint="default" w:eastAsiaTheme="minorEastAsia"/>
                      <w:color w:val="0000FF"/>
                      <w:sz w:val="21"/>
                      <w:szCs w:val="21"/>
                      <w:lang w:val="en-US" w:eastAsia="zh-CN"/>
                    </w:rPr>
                    <w:fldChar w:fldCharType="separate"/>
                  </w:r>
                  <w:r>
                    <w:rPr>
                      <w:rFonts w:hint="default" w:eastAsiaTheme="minorEastAsia"/>
                      <w:color w:val="0000FF"/>
                      <w:sz w:val="21"/>
                      <w:szCs w:val="21"/>
                      <w:lang w:val="en-US" w:eastAsia="zh-CN"/>
                    </w:rPr>
                    <w:t>聚碳酸酯</w:t>
                  </w:r>
                  <w:r>
                    <w:rPr>
                      <w:rFonts w:hint="default" w:eastAsiaTheme="minorEastAsia"/>
                      <w:color w:val="0000FF"/>
                      <w:sz w:val="21"/>
                      <w:szCs w:val="21"/>
                      <w:lang w:val="en-US" w:eastAsia="zh-CN"/>
                    </w:rPr>
                    <w:fldChar w:fldCharType="end"/>
                  </w:r>
                  <w:r>
                    <w:rPr>
                      <w:rFonts w:hint="default" w:eastAsiaTheme="minorEastAsia"/>
                      <w:color w:val="0000FF"/>
                      <w:sz w:val="21"/>
                      <w:szCs w:val="21"/>
                      <w:lang w:val="en-US" w:eastAsia="zh-CN"/>
                    </w:rPr>
                    <w:t>的脱模性。对于PVC和其它的外部润滑剂相比，聚乙烯蜡具有更强的内部润滑作用。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color w:val="0000FF"/>
                      <w:sz w:val="21"/>
                      <w:szCs w:val="21"/>
                    </w:rPr>
                  </w:pPr>
                  <w:r>
                    <w:rPr>
                      <w:rFonts w:hint="eastAsia" w:eastAsiaTheme="minorEastAsia"/>
                      <w:color w:val="0000FF"/>
                      <w:sz w:val="21"/>
                      <w:szCs w:val="21"/>
                    </w:rPr>
                    <w:t>8</w:t>
                  </w:r>
                </w:p>
              </w:tc>
              <w:tc>
                <w:tcPr>
                  <w:tcW w:w="1386"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eastAsiaTheme="minorEastAsia"/>
                      <w:color w:val="0000FF"/>
                      <w:sz w:val="21"/>
                      <w:szCs w:val="21"/>
                    </w:rPr>
                  </w:pPr>
                  <w:r>
                    <w:rPr>
                      <w:rFonts w:hint="eastAsia" w:eastAsiaTheme="minorEastAsia"/>
                      <w:color w:val="0000FF"/>
                      <w:sz w:val="21"/>
                      <w:szCs w:val="21"/>
                    </w:rPr>
                    <w:t>石蜡</w:t>
                  </w:r>
                </w:p>
              </w:tc>
              <w:tc>
                <w:tcPr>
                  <w:tcW w:w="3507"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shd w:val="clear" w:color="auto" w:fill="FFFFFF"/>
                    </w:rPr>
                  </w:pPr>
                  <w:r>
                    <w:rPr>
                      <w:rFonts w:hint="eastAsia" w:eastAsiaTheme="minorEastAsia"/>
                      <w:color w:val="0000FF"/>
                      <w:sz w:val="21"/>
                      <w:szCs w:val="21"/>
                      <w:shd w:val="clear" w:color="auto" w:fill="FFFFFF"/>
                    </w:rPr>
                    <w:t>外观与性状:白色、无臭、无味、透明的晶体。</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shd w:val="clear" w:color="auto" w:fill="FFFFFF"/>
                    </w:rPr>
                  </w:pPr>
                  <w:r>
                    <w:rPr>
                      <w:rFonts w:hint="eastAsia" w:eastAsiaTheme="minorEastAsia"/>
                      <w:color w:val="0000FF"/>
                      <w:sz w:val="21"/>
                      <w:szCs w:val="21"/>
                      <w:shd w:val="clear" w:color="auto" w:fill="FFFFFF"/>
                    </w:rPr>
                    <w:t>熔点(</w:t>
                  </w:r>
                  <w:r>
                    <w:rPr>
                      <w:rFonts w:hint="default" w:ascii="Times New Roman" w:hAnsi="Times New Roman" w:cs="Times New Roman"/>
                      <w:color w:val="0000FF"/>
                      <w:sz w:val="24"/>
                    </w:rPr>
                    <w:t>℃</w:t>
                  </w:r>
                  <w:r>
                    <w:rPr>
                      <w:rFonts w:hint="eastAsia" w:eastAsiaTheme="minorEastAsia"/>
                      <w:color w:val="0000FF"/>
                      <w:sz w:val="21"/>
                      <w:szCs w:val="21"/>
                      <w:shd w:val="clear" w:color="auto" w:fill="FFFFFF"/>
                    </w:rPr>
                    <w:t>)</w:t>
                  </w:r>
                  <w:r>
                    <w:rPr>
                      <w:rFonts w:hint="eastAsia" w:eastAsiaTheme="minorEastAsia"/>
                      <w:color w:val="0000FF"/>
                      <w:sz w:val="21"/>
                      <w:szCs w:val="21"/>
                      <w:shd w:val="clear" w:color="auto" w:fill="FFFFFF"/>
                      <w:lang w:eastAsia="zh-CN"/>
                    </w:rPr>
                    <w:t>：</w:t>
                  </w:r>
                  <w:r>
                    <w:rPr>
                      <w:rFonts w:hint="eastAsia" w:eastAsiaTheme="minorEastAsia"/>
                      <w:color w:val="0000FF"/>
                      <w:sz w:val="21"/>
                      <w:szCs w:val="21"/>
                      <w:shd w:val="clear" w:color="auto" w:fill="FFFFFF"/>
                    </w:rPr>
                    <w:t>47-65</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shd w:val="clear" w:color="auto" w:fill="FFFFFF"/>
                    </w:rPr>
                  </w:pPr>
                  <w:r>
                    <w:rPr>
                      <w:rFonts w:hint="eastAsia" w:eastAsiaTheme="minorEastAsia"/>
                      <w:color w:val="0000FF"/>
                      <w:sz w:val="21"/>
                      <w:szCs w:val="21"/>
                      <w:shd w:val="clear" w:color="auto" w:fill="FFFFFF"/>
                    </w:rPr>
                    <w:t>相对密度(水=1)</w:t>
                  </w:r>
                  <w:r>
                    <w:rPr>
                      <w:rFonts w:hint="eastAsia" w:eastAsiaTheme="minorEastAsia"/>
                      <w:color w:val="0000FF"/>
                      <w:sz w:val="21"/>
                      <w:szCs w:val="21"/>
                      <w:shd w:val="clear" w:color="auto" w:fill="FFFFFF"/>
                      <w:lang w:eastAsia="zh-CN"/>
                    </w:rPr>
                    <w:t>：</w:t>
                  </w:r>
                  <w:r>
                    <w:rPr>
                      <w:rFonts w:hint="eastAsia" w:eastAsiaTheme="minorEastAsia"/>
                      <w:color w:val="0000FF"/>
                      <w:sz w:val="21"/>
                      <w:szCs w:val="21"/>
                      <w:shd w:val="clear" w:color="auto" w:fill="FFFFFF"/>
                    </w:rPr>
                    <w:t>0.88-0.92</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shd w:val="clear" w:color="auto" w:fill="FFFFFF"/>
                    </w:rPr>
                  </w:pPr>
                  <w:r>
                    <w:rPr>
                      <w:rFonts w:hint="eastAsia" w:eastAsiaTheme="minorEastAsia"/>
                      <w:color w:val="0000FF"/>
                      <w:sz w:val="21"/>
                      <w:szCs w:val="21"/>
                      <w:shd w:val="clear" w:color="auto" w:fill="FFFFFF"/>
                    </w:rPr>
                    <w:t>沸点(</w:t>
                  </w:r>
                  <w:r>
                    <w:rPr>
                      <w:rFonts w:hint="default" w:ascii="Times New Roman" w:hAnsi="Times New Roman" w:cs="Times New Roman"/>
                      <w:color w:val="0000FF"/>
                      <w:sz w:val="24"/>
                    </w:rPr>
                    <w:t>℃</w:t>
                  </w:r>
                  <w:r>
                    <w:rPr>
                      <w:rFonts w:hint="eastAsia" w:eastAsiaTheme="minorEastAsia"/>
                      <w:color w:val="0000FF"/>
                      <w:sz w:val="21"/>
                      <w:szCs w:val="21"/>
                      <w:shd w:val="clear" w:color="auto" w:fill="FFFFFF"/>
                    </w:rPr>
                    <w:t>):&gt;371</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shd w:val="clear" w:color="auto" w:fill="FFFFFF"/>
                    </w:rPr>
                  </w:pPr>
                  <w:r>
                    <w:rPr>
                      <w:rFonts w:hint="eastAsia" w:eastAsiaTheme="minorEastAsia"/>
                      <w:color w:val="0000FF"/>
                      <w:sz w:val="21"/>
                      <w:szCs w:val="21"/>
                      <w:shd w:val="clear" w:color="auto" w:fill="FFFFFF"/>
                    </w:rPr>
                    <w:t>分子式</w:t>
                  </w:r>
                  <w:r>
                    <w:rPr>
                      <w:rFonts w:hint="eastAsia" w:eastAsiaTheme="minorEastAsia"/>
                      <w:color w:val="0000FF"/>
                      <w:sz w:val="21"/>
                      <w:szCs w:val="21"/>
                      <w:shd w:val="clear" w:color="auto" w:fill="FFFFFF"/>
                      <w:lang w:eastAsia="zh-CN"/>
                    </w:rPr>
                    <w:t>：</w:t>
                  </w:r>
                  <w:r>
                    <w:rPr>
                      <w:rFonts w:hint="eastAsia" w:eastAsiaTheme="minorEastAsia"/>
                      <w:color w:val="0000FF"/>
                      <w:sz w:val="21"/>
                      <w:szCs w:val="21"/>
                      <w:shd w:val="clear" w:color="auto" w:fill="FFFFFF"/>
                      <w:lang w:val="en-US" w:eastAsia="zh-CN"/>
                    </w:rPr>
                    <w:t>C</w:t>
                  </w:r>
                  <w:r>
                    <w:rPr>
                      <w:rFonts w:hint="eastAsia" w:eastAsiaTheme="minorEastAsia"/>
                      <w:color w:val="0000FF"/>
                      <w:sz w:val="21"/>
                      <w:szCs w:val="21"/>
                      <w:shd w:val="clear" w:color="auto" w:fill="FFFFFF"/>
                      <w:vertAlign w:val="subscript"/>
                    </w:rPr>
                    <w:t>36</w:t>
                  </w:r>
                  <w:r>
                    <w:rPr>
                      <w:rFonts w:hint="eastAsia" w:eastAsiaTheme="minorEastAsia"/>
                      <w:color w:val="0000FF"/>
                      <w:sz w:val="21"/>
                      <w:szCs w:val="21"/>
                      <w:shd w:val="clear" w:color="auto" w:fill="FFFFFF"/>
                    </w:rPr>
                    <w:t>H</w:t>
                  </w:r>
                  <w:r>
                    <w:rPr>
                      <w:rFonts w:hint="eastAsia" w:eastAsiaTheme="minorEastAsia"/>
                      <w:color w:val="0000FF"/>
                      <w:sz w:val="21"/>
                      <w:szCs w:val="21"/>
                      <w:shd w:val="clear" w:color="auto" w:fill="FFFFFF"/>
                      <w:vertAlign w:val="subscript"/>
                    </w:rPr>
                    <w:t>74</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shd w:val="clear" w:color="auto" w:fill="FFFFFF"/>
                    </w:rPr>
                  </w:pPr>
                  <w:r>
                    <w:rPr>
                      <w:rFonts w:hint="eastAsia" w:eastAsiaTheme="minorEastAsia"/>
                      <w:color w:val="0000FF"/>
                      <w:sz w:val="21"/>
                      <w:szCs w:val="21"/>
                      <w:shd w:val="clear" w:color="auto" w:fill="FFFFFF"/>
                    </w:rPr>
                    <w:t>分子量</w:t>
                  </w:r>
                  <w:r>
                    <w:rPr>
                      <w:rFonts w:hint="eastAsia" w:eastAsiaTheme="minorEastAsia"/>
                      <w:color w:val="0000FF"/>
                      <w:sz w:val="21"/>
                      <w:szCs w:val="21"/>
                      <w:shd w:val="clear" w:color="auto" w:fill="FFFFFF"/>
                      <w:lang w:eastAsia="zh-CN"/>
                    </w:rPr>
                    <w:t>：</w:t>
                  </w:r>
                  <w:r>
                    <w:rPr>
                      <w:rFonts w:hint="eastAsia" w:eastAsiaTheme="minorEastAsia"/>
                      <w:color w:val="0000FF"/>
                      <w:sz w:val="21"/>
                      <w:szCs w:val="21"/>
                      <w:shd w:val="clear" w:color="auto" w:fill="FFFFFF"/>
                    </w:rPr>
                    <w:t>506.98</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shd w:val="clear" w:color="auto" w:fill="FFFFFF"/>
                    </w:rPr>
                  </w:pPr>
                  <w:r>
                    <w:rPr>
                      <w:rFonts w:hint="eastAsia" w:eastAsiaTheme="minorEastAsia"/>
                      <w:color w:val="0000FF"/>
                      <w:sz w:val="21"/>
                      <w:szCs w:val="21"/>
                      <w:shd w:val="clear" w:color="auto" w:fill="FFFFFF"/>
                    </w:rPr>
                    <w:t>闪点(C)</w:t>
                  </w:r>
                  <w:r>
                    <w:rPr>
                      <w:rFonts w:hint="eastAsia" w:eastAsiaTheme="minorEastAsia"/>
                      <w:color w:val="0000FF"/>
                      <w:sz w:val="21"/>
                      <w:szCs w:val="21"/>
                      <w:shd w:val="clear" w:color="auto" w:fill="FFFFFF"/>
                      <w:lang w:eastAsia="zh-CN"/>
                    </w:rPr>
                    <w:t>：</w:t>
                  </w:r>
                  <w:r>
                    <w:rPr>
                      <w:rFonts w:hint="eastAsia" w:eastAsiaTheme="minorEastAsia"/>
                      <w:color w:val="0000FF"/>
                      <w:sz w:val="21"/>
                      <w:szCs w:val="21"/>
                      <w:shd w:val="clear" w:color="auto" w:fill="FFFFFF"/>
                    </w:rPr>
                    <w:t>199</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shd w:val="clear" w:color="auto" w:fill="FFFFFF"/>
                    </w:rPr>
                  </w:pPr>
                  <w:r>
                    <w:rPr>
                      <w:rFonts w:hint="eastAsia" w:eastAsiaTheme="minorEastAsia"/>
                      <w:color w:val="0000FF"/>
                      <w:sz w:val="21"/>
                      <w:szCs w:val="21"/>
                      <w:shd w:val="clear" w:color="auto" w:fill="FFFFFF"/>
                    </w:rPr>
                    <w:t>引|燃温度(C)</w:t>
                  </w:r>
                  <w:r>
                    <w:rPr>
                      <w:rFonts w:hint="eastAsia" w:eastAsiaTheme="minorEastAsia"/>
                      <w:color w:val="0000FF"/>
                      <w:sz w:val="21"/>
                      <w:szCs w:val="21"/>
                      <w:shd w:val="clear" w:color="auto" w:fill="FFFFFF"/>
                      <w:lang w:eastAsia="zh-CN"/>
                    </w:rPr>
                    <w:t>：</w:t>
                  </w:r>
                  <w:r>
                    <w:rPr>
                      <w:rFonts w:hint="eastAsia" w:eastAsiaTheme="minorEastAsia"/>
                      <w:color w:val="0000FF"/>
                      <w:sz w:val="21"/>
                      <w:szCs w:val="21"/>
                      <w:shd w:val="clear" w:color="auto" w:fill="FFFFFF"/>
                    </w:rPr>
                    <w:t>245</w:t>
                  </w:r>
                </w:p>
                <w:p>
                  <w:pPr>
                    <w:pStyle w:val="42"/>
                    <w:tabs>
                      <w:tab w:val="left" w:pos="432"/>
                      <w:tab w:val="left" w:pos="612"/>
                    </w:tabs>
                    <w:adjustRightInd w:val="0"/>
                    <w:snapToGrid w:val="0"/>
                    <w:spacing w:after="0" w:line="240" w:lineRule="auto"/>
                    <w:ind w:firstLine="0" w:firstLineChars="0"/>
                    <w:jc w:val="both"/>
                    <w:rPr>
                      <w:rFonts w:eastAsiaTheme="minorEastAsia"/>
                      <w:color w:val="0000FF"/>
                      <w:sz w:val="21"/>
                      <w:szCs w:val="21"/>
                      <w:shd w:val="clear" w:color="auto" w:fill="FFFFFF"/>
                    </w:rPr>
                  </w:pPr>
                  <w:r>
                    <w:rPr>
                      <w:rFonts w:hint="eastAsia" w:eastAsiaTheme="minorEastAsia"/>
                      <w:color w:val="0000FF"/>
                      <w:sz w:val="21"/>
                      <w:szCs w:val="21"/>
                      <w:shd w:val="clear" w:color="auto" w:fill="FFFFFF"/>
                    </w:rPr>
                    <w:t>溶解性:不溶于水，不溶于酸，溶于苯、汽油、热乙醇、氯仿、二硫化碳。</w:t>
                  </w:r>
                </w:p>
              </w:tc>
              <w:tc>
                <w:tcPr>
                  <w:tcW w:w="3028"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主要用途:用于制造合成脂肪酸和高级醇,也用于制造火柴、蜡烛、蜡纸、蜡笔、防水剂、软膏、电</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rPr>
                  </w:pPr>
                  <w:r>
                    <w:rPr>
                      <w:rFonts w:hint="eastAsia" w:eastAsiaTheme="minorEastAsia"/>
                      <w:color w:val="0000FF"/>
                      <w:sz w:val="21"/>
                      <w:szCs w:val="21"/>
                    </w:rPr>
                    <w:t>绝缘材料等。</w:t>
                  </w:r>
                </w:p>
                <w:p>
                  <w:pPr>
                    <w:pStyle w:val="42"/>
                    <w:tabs>
                      <w:tab w:val="left" w:pos="432"/>
                      <w:tab w:val="left" w:pos="612"/>
                    </w:tabs>
                    <w:adjustRightInd w:val="0"/>
                    <w:snapToGrid w:val="0"/>
                    <w:spacing w:after="0" w:line="240" w:lineRule="auto"/>
                    <w:ind w:firstLine="0" w:firstLineChars="0"/>
                    <w:jc w:val="both"/>
                    <w:rPr>
                      <w:rFonts w:eastAsiaTheme="minorEastAsia"/>
                      <w:color w:val="0000FF"/>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7"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hint="eastAsia" w:eastAsiaTheme="minorEastAsia"/>
                      <w:color w:val="0000FF"/>
                      <w:sz w:val="21"/>
                      <w:szCs w:val="21"/>
                      <w:lang w:val="en-US" w:eastAsia="zh-CN"/>
                    </w:rPr>
                  </w:pPr>
                  <w:r>
                    <w:rPr>
                      <w:rFonts w:hint="eastAsia" w:eastAsiaTheme="minorEastAsia"/>
                      <w:color w:val="0000FF"/>
                      <w:sz w:val="21"/>
                      <w:szCs w:val="21"/>
                      <w:lang w:val="en-US" w:eastAsia="zh-CN"/>
                    </w:rPr>
                    <w:t>9</w:t>
                  </w:r>
                </w:p>
              </w:tc>
              <w:tc>
                <w:tcPr>
                  <w:tcW w:w="1386" w:type="dxa"/>
                  <w:shd w:val="clear" w:color="auto" w:fill="auto"/>
                  <w:vAlign w:val="center"/>
                </w:tcPr>
                <w:p>
                  <w:pPr>
                    <w:pStyle w:val="42"/>
                    <w:tabs>
                      <w:tab w:val="left" w:pos="432"/>
                      <w:tab w:val="left" w:pos="612"/>
                    </w:tabs>
                    <w:adjustRightInd w:val="0"/>
                    <w:snapToGrid w:val="0"/>
                    <w:spacing w:after="0" w:line="240" w:lineRule="auto"/>
                    <w:ind w:firstLine="0" w:firstLineChars="0"/>
                    <w:jc w:val="center"/>
                    <w:rPr>
                      <w:rFonts w:hint="eastAsia" w:eastAsiaTheme="minorEastAsia"/>
                      <w:color w:val="0000FF"/>
                      <w:sz w:val="21"/>
                      <w:szCs w:val="21"/>
                    </w:rPr>
                  </w:pPr>
                  <w:r>
                    <w:rPr>
                      <w:rFonts w:hint="eastAsia" w:eastAsiaTheme="minorEastAsia"/>
                      <w:color w:val="0000FF"/>
                      <w:sz w:val="21"/>
                      <w:szCs w:val="21"/>
                    </w:rPr>
                    <w:t>钛白粉</w:t>
                  </w:r>
                </w:p>
              </w:tc>
              <w:tc>
                <w:tcPr>
                  <w:tcW w:w="3507"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shd w:val="clear" w:color="auto" w:fill="FFFFFF"/>
                    </w:rPr>
                  </w:pPr>
                  <w:r>
                    <w:rPr>
                      <w:rFonts w:hint="eastAsia" w:eastAsiaTheme="minorEastAsia"/>
                      <w:color w:val="0000FF"/>
                      <w:sz w:val="21"/>
                      <w:szCs w:val="21"/>
                      <w:shd w:val="clear" w:color="auto" w:fill="FFFFFF"/>
                    </w:rPr>
                    <w:t>外观与性状:白色粉末。</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shd w:val="clear" w:color="auto" w:fill="FFFFFF"/>
                    </w:rPr>
                  </w:pPr>
                  <w:r>
                    <w:rPr>
                      <w:rFonts w:hint="eastAsia" w:eastAsiaTheme="minorEastAsia"/>
                      <w:color w:val="0000FF"/>
                      <w:sz w:val="21"/>
                      <w:szCs w:val="21"/>
                      <w:shd w:val="clear" w:color="auto" w:fill="FFFFFF"/>
                    </w:rPr>
                    <w:t>熔点(℃):1560</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shd w:val="clear" w:color="auto" w:fill="FFFFFF"/>
                    </w:rPr>
                  </w:pPr>
                  <w:r>
                    <w:rPr>
                      <w:rFonts w:hint="eastAsia" w:eastAsiaTheme="minorEastAsia"/>
                      <w:color w:val="0000FF"/>
                      <w:sz w:val="21"/>
                      <w:szCs w:val="21"/>
                      <w:shd w:val="clear" w:color="auto" w:fill="FFFFFF"/>
                    </w:rPr>
                    <w:t>相对密度(水=1)</w:t>
                  </w:r>
                  <w:r>
                    <w:rPr>
                      <w:rFonts w:hint="eastAsia" w:eastAsiaTheme="minorEastAsia"/>
                      <w:color w:val="0000FF"/>
                      <w:sz w:val="21"/>
                      <w:szCs w:val="21"/>
                      <w:shd w:val="clear" w:color="auto" w:fill="FFFFFF"/>
                      <w:lang w:eastAsia="zh-CN"/>
                    </w:rPr>
                    <w:t>：</w:t>
                  </w:r>
                  <w:r>
                    <w:rPr>
                      <w:rFonts w:hint="eastAsia" w:eastAsiaTheme="minorEastAsia"/>
                      <w:color w:val="0000FF"/>
                      <w:sz w:val="21"/>
                      <w:szCs w:val="21"/>
                      <w:shd w:val="clear" w:color="auto" w:fill="FFFFFF"/>
                    </w:rPr>
                    <w:t>3</w:t>
                  </w:r>
                  <w:r>
                    <w:rPr>
                      <w:rFonts w:hint="eastAsia" w:eastAsiaTheme="minorEastAsia"/>
                      <w:color w:val="0000FF"/>
                      <w:sz w:val="21"/>
                      <w:szCs w:val="21"/>
                      <w:shd w:val="clear" w:color="auto" w:fill="FFFFFF"/>
                      <w:lang w:val="en-US" w:eastAsia="zh-CN"/>
                    </w:rPr>
                    <w:t>.</w:t>
                  </w:r>
                  <w:r>
                    <w:rPr>
                      <w:rFonts w:hint="eastAsia" w:eastAsiaTheme="minorEastAsia"/>
                      <w:color w:val="0000FF"/>
                      <w:sz w:val="21"/>
                      <w:szCs w:val="21"/>
                      <w:shd w:val="clear" w:color="auto" w:fill="FFFFFF"/>
                    </w:rPr>
                    <w:t>9</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shd w:val="clear" w:color="auto" w:fill="FFFFFF"/>
                    </w:rPr>
                  </w:pPr>
                  <w:r>
                    <w:rPr>
                      <w:rFonts w:hint="eastAsia" w:eastAsiaTheme="minorEastAsia"/>
                      <w:color w:val="0000FF"/>
                      <w:sz w:val="21"/>
                      <w:szCs w:val="21"/>
                      <w:shd w:val="clear" w:color="auto" w:fill="FFFFFF"/>
                    </w:rPr>
                    <w:t>分子式:Ti</w:t>
                  </w:r>
                  <w:r>
                    <w:rPr>
                      <w:rFonts w:hint="eastAsia" w:eastAsiaTheme="minorEastAsia"/>
                      <w:color w:val="0000FF"/>
                      <w:sz w:val="21"/>
                      <w:szCs w:val="21"/>
                      <w:shd w:val="clear" w:color="auto" w:fill="FFFFFF"/>
                      <w:lang w:val="en-US" w:eastAsia="zh-CN"/>
                    </w:rPr>
                    <w:t>O</w:t>
                  </w:r>
                  <w:r>
                    <w:rPr>
                      <w:rFonts w:hint="eastAsia" w:eastAsiaTheme="minorEastAsia"/>
                      <w:color w:val="0000FF"/>
                      <w:sz w:val="21"/>
                      <w:szCs w:val="21"/>
                      <w:shd w:val="clear" w:color="auto" w:fill="FFFFFF"/>
                      <w:vertAlign w:val="subscript"/>
                    </w:rPr>
                    <w:t>2</w:t>
                  </w:r>
                </w:p>
                <w:p>
                  <w:pPr>
                    <w:pStyle w:val="42"/>
                    <w:tabs>
                      <w:tab w:val="left" w:pos="432"/>
                      <w:tab w:val="left" w:pos="612"/>
                    </w:tabs>
                    <w:adjustRightInd w:val="0"/>
                    <w:snapToGrid w:val="0"/>
                    <w:spacing w:after="0" w:line="240" w:lineRule="auto"/>
                    <w:ind w:firstLine="0" w:firstLineChars="0"/>
                    <w:jc w:val="both"/>
                    <w:rPr>
                      <w:rFonts w:hint="eastAsia" w:eastAsiaTheme="minorEastAsia"/>
                      <w:color w:val="0000FF"/>
                      <w:sz w:val="21"/>
                      <w:szCs w:val="21"/>
                      <w:shd w:val="clear" w:color="auto" w:fill="FFFFFF"/>
                    </w:rPr>
                  </w:pPr>
                  <w:r>
                    <w:rPr>
                      <w:rFonts w:hint="eastAsia" w:eastAsiaTheme="minorEastAsia"/>
                      <w:color w:val="0000FF"/>
                      <w:sz w:val="21"/>
                      <w:szCs w:val="21"/>
                      <w:shd w:val="clear" w:color="auto" w:fill="FFFFFF"/>
                    </w:rPr>
                    <w:t>分子量:79.9</w:t>
                  </w:r>
                </w:p>
                <w:p>
                  <w:pPr>
                    <w:pStyle w:val="42"/>
                    <w:tabs>
                      <w:tab w:val="left" w:pos="432"/>
                      <w:tab w:val="left" w:pos="612"/>
                    </w:tabs>
                    <w:adjustRightInd w:val="0"/>
                    <w:snapToGrid w:val="0"/>
                    <w:spacing w:after="0" w:line="240" w:lineRule="auto"/>
                    <w:ind w:firstLine="0" w:firstLineChars="0"/>
                    <w:jc w:val="both"/>
                    <w:rPr>
                      <w:rFonts w:eastAsiaTheme="minorEastAsia"/>
                      <w:color w:val="0000FF"/>
                      <w:sz w:val="21"/>
                      <w:szCs w:val="21"/>
                      <w:shd w:val="clear" w:color="auto" w:fill="FFFFFF"/>
                    </w:rPr>
                  </w:pPr>
                  <w:r>
                    <w:rPr>
                      <w:rFonts w:hint="eastAsia" w:eastAsiaTheme="minorEastAsia"/>
                      <w:color w:val="0000FF"/>
                      <w:sz w:val="21"/>
                      <w:szCs w:val="21"/>
                      <w:shd w:val="clear" w:color="auto" w:fill="FFFFFF"/>
                    </w:rPr>
                    <w:t>溶解性:不溶于水，不溶于稀碱、稀酸，溶于热浓硫酸、盐酸、硝酸。</w:t>
                  </w:r>
                </w:p>
              </w:tc>
              <w:tc>
                <w:tcPr>
                  <w:tcW w:w="3028" w:type="dxa"/>
                  <w:shd w:val="clear" w:color="auto" w:fill="auto"/>
                  <w:vAlign w:val="top"/>
                </w:tcPr>
                <w:p>
                  <w:pPr>
                    <w:pStyle w:val="42"/>
                    <w:tabs>
                      <w:tab w:val="left" w:pos="432"/>
                      <w:tab w:val="left" w:pos="612"/>
                    </w:tabs>
                    <w:adjustRightInd w:val="0"/>
                    <w:snapToGrid w:val="0"/>
                    <w:spacing w:after="0" w:line="240" w:lineRule="auto"/>
                    <w:ind w:firstLine="0" w:firstLineChars="0"/>
                    <w:jc w:val="both"/>
                    <w:rPr>
                      <w:rFonts w:eastAsiaTheme="minorEastAsia"/>
                      <w:color w:val="0000FF"/>
                      <w:sz w:val="21"/>
                      <w:szCs w:val="21"/>
                    </w:rPr>
                  </w:pPr>
                  <w:r>
                    <w:rPr>
                      <w:rFonts w:hint="eastAsia" w:eastAsiaTheme="minorEastAsia"/>
                      <w:color w:val="0000FF"/>
                      <w:sz w:val="21"/>
                      <w:szCs w:val="21"/>
                    </w:rPr>
                    <w:t>在塑料中加入钛白粉，可以提高塑料制品的耐热性、耐光性、耐候性，使塑料制品的物理化学性能得到改善，增强制品的机械强度，延长使用寿命。</w:t>
                  </w:r>
                </w:p>
              </w:tc>
            </w:tr>
          </w:tbl>
          <w:p>
            <w:pPr>
              <w:pStyle w:val="24"/>
              <w:bidi w:val="0"/>
              <w:spacing w:line="360" w:lineRule="auto"/>
              <w:ind w:left="0" w:leftChars="0" w:firstLine="482" w:firstLineChars="200"/>
              <w:rPr>
                <w:rFonts w:hint="default" w:ascii="Times New Roman" w:hAnsi="Times New Roman" w:cs="Times New Roman"/>
                <w:b/>
                <w:bCs/>
              </w:rPr>
            </w:pPr>
            <w:r>
              <w:rPr>
                <w:rFonts w:hint="default" w:ascii="Times New Roman" w:hAnsi="Times New Roman" w:cs="Times New Roman"/>
                <w:b/>
                <w:bCs/>
                <w:lang w:val="en-US" w:eastAsia="zh-CN"/>
              </w:rPr>
              <w:t>6</w:t>
            </w:r>
            <w:r>
              <w:rPr>
                <w:rFonts w:hint="default" w:ascii="Times New Roman" w:hAnsi="Times New Roman" w:cs="Times New Roman"/>
                <w:b/>
                <w:bCs/>
              </w:rPr>
              <w:t>、劳动定员</w:t>
            </w:r>
          </w:p>
          <w:p>
            <w:pPr>
              <w:pStyle w:val="24"/>
              <w:bidi w:val="0"/>
              <w:spacing w:line="360" w:lineRule="auto"/>
              <w:rPr>
                <w:rFonts w:hint="default" w:ascii="Times New Roman" w:hAnsi="Times New Roman" w:cs="Times New Roman"/>
              </w:rPr>
            </w:pPr>
            <w:r>
              <w:rPr>
                <w:rFonts w:hint="default" w:ascii="Times New Roman" w:hAnsi="Times New Roman" w:cs="Times New Roman"/>
              </w:rPr>
              <w:t>本项劳动定员</w:t>
            </w:r>
            <w:r>
              <w:rPr>
                <w:rFonts w:hint="default" w:ascii="Times New Roman" w:hAnsi="Times New Roman" w:cs="Times New Roman"/>
                <w:lang w:val="en-US" w:eastAsia="zh-CN"/>
              </w:rPr>
              <w:t>3</w:t>
            </w:r>
            <w:r>
              <w:rPr>
                <w:rFonts w:hint="eastAsia" w:ascii="Times New Roman" w:hAnsi="Times New Roman" w:cs="Times New Roman"/>
                <w:lang w:val="en-US" w:eastAsia="zh-CN"/>
              </w:rPr>
              <w:t>5</w:t>
            </w:r>
            <w:r>
              <w:rPr>
                <w:rFonts w:hint="default" w:ascii="Times New Roman" w:hAnsi="Times New Roman" w:cs="Times New Roman"/>
              </w:rPr>
              <w:t>人，</w:t>
            </w:r>
            <w:r>
              <w:rPr>
                <w:rFonts w:hint="default" w:ascii="Times New Roman" w:hAnsi="Times New Roman" w:cs="Times New Roman"/>
                <w:lang w:val="en-US" w:eastAsia="zh-CN"/>
              </w:rPr>
              <w:t>三班</w:t>
            </w:r>
            <w:r>
              <w:rPr>
                <w:rFonts w:hint="default" w:ascii="Times New Roman" w:hAnsi="Times New Roman" w:cs="Times New Roman"/>
              </w:rPr>
              <w:t>制，8小时/班，年生产3</w:t>
            </w:r>
            <w:r>
              <w:rPr>
                <w:rFonts w:hint="default" w:ascii="Times New Roman" w:hAnsi="Times New Roman" w:cs="Times New Roman"/>
                <w:lang w:val="en-US" w:eastAsia="zh-CN"/>
              </w:rPr>
              <w:t>3</w:t>
            </w:r>
            <w:r>
              <w:rPr>
                <w:rFonts w:hint="default" w:ascii="Times New Roman" w:hAnsi="Times New Roman" w:cs="Times New Roman"/>
              </w:rPr>
              <w:t>0天。</w:t>
            </w:r>
          </w:p>
          <w:p>
            <w:pPr>
              <w:pStyle w:val="24"/>
              <w:bidi w:val="0"/>
              <w:spacing w:line="360" w:lineRule="auto"/>
              <w:rPr>
                <w:rFonts w:hint="default" w:ascii="Times New Roman" w:hAnsi="Times New Roman" w:cs="Times New Roman"/>
                <w:b/>
                <w:bCs/>
              </w:rPr>
            </w:pPr>
            <w:r>
              <w:rPr>
                <w:rFonts w:hint="default" w:ascii="Times New Roman" w:hAnsi="Times New Roman" w:cs="Times New Roman"/>
                <w:b/>
                <w:bCs/>
                <w:lang w:val="en-US" w:eastAsia="zh-CN"/>
              </w:rPr>
              <w:t>7</w:t>
            </w:r>
            <w:r>
              <w:rPr>
                <w:rFonts w:hint="default" w:ascii="Times New Roman" w:hAnsi="Times New Roman" w:cs="Times New Roman"/>
                <w:b/>
                <w:bCs/>
              </w:rPr>
              <w:t>、公用工程及辅助工程</w:t>
            </w:r>
          </w:p>
          <w:p>
            <w:pPr>
              <w:pStyle w:val="24"/>
              <w:bidi w:val="0"/>
              <w:spacing w:line="360" w:lineRule="auto"/>
              <w:rPr>
                <w:rFonts w:hint="default" w:ascii="Times New Roman" w:hAnsi="Times New Roman" w:cs="Times New Roman"/>
              </w:rPr>
            </w:pPr>
            <w:r>
              <w:rPr>
                <w:rFonts w:hint="default" w:ascii="Times New Roman" w:hAnsi="Times New Roman" w:cs="Times New Roman"/>
              </w:rPr>
              <w:t>（1）给水</w:t>
            </w:r>
          </w:p>
          <w:p>
            <w:pPr>
              <w:pStyle w:val="24"/>
              <w:bidi w:val="0"/>
              <w:spacing w:line="360" w:lineRule="auto"/>
              <w:rPr>
                <w:rFonts w:hint="default" w:ascii="Times New Roman" w:hAnsi="Times New Roman" w:cs="Times New Roman"/>
                <w:bCs/>
                <w:szCs w:val="24"/>
              </w:rPr>
            </w:pPr>
            <w:r>
              <w:rPr>
                <w:rFonts w:hint="default" w:ascii="Times New Roman" w:hAnsi="Times New Roman" w:cs="Times New Roman"/>
                <w:color w:val="auto"/>
              </w:rPr>
              <w:t>本项目生产用水及生活用水依托</w:t>
            </w:r>
            <w:r>
              <w:rPr>
                <w:rFonts w:hint="default" w:ascii="Times New Roman" w:hAnsi="Times New Roman" w:cs="Times New Roman"/>
                <w:color w:val="auto"/>
                <w:lang w:eastAsia="zh-CN"/>
              </w:rPr>
              <w:t>蓬溪县上游工业园</w:t>
            </w:r>
            <w:r>
              <w:rPr>
                <w:rFonts w:hint="default" w:ascii="Times New Roman" w:hAnsi="Times New Roman" w:cs="Times New Roman"/>
                <w:color w:val="auto"/>
              </w:rPr>
              <w:t>现有的市政管网供给。项目营运期生产工艺不需用水，用水主要为设备冷却水，生产设备及地面不冲洗，只需定期清扫即可，污水主要为生活污水及碱喷淋塔定期排放废水。</w:t>
            </w:r>
          </w:p>
          <w:p>
            <w:pPr>
              <w:snapToGrid w:val="0"/>
              <w:spacing w:line="360" w:lineRule="auto"/>
              <w:ind w:firstLine="480"/>
              <w:jc w:val="left"/>
              <w:rPr>
                <w:rFonts w:hint="default" w:ascii="Times New Roman" w:hAnsi="Times New Roman" w:cs="Times New Roman"/>
                <w:sz w:val="24"/>
              </w:rPr>
            </w:pPr>
            <w:r>
              <w:rPr>
                <w:rFonts w:hint="default" w:ascii="Times New Roman" w:hAnsi="Times New Roman" w:cs="Times New Roman"/>
                <w:color w:val="000000"/>
                <w:sz w:val="24"/>
              </w:rPr>
              <w:fldChar w:fldCharType="begin"/>
            </w:r>
            <w:r>
              <w:rPr>
                <w:rFonts w:hint="default" w:ascii="Times New Roman" w:hAnsi="Times New Roman" w:cs="Times New Roman"/>
                <w:color w:val="000000"/>
                <w:sz w:val="24"/>
              </w:rPr>
              <w:instrText xml:space="preserve"> = 1 \* GB3 </w:instrText>
            </w:r>
            <w:r>
              <w:rPr>
                <w:rFonts w:hint="default" w:ascii="Times New Roman" w:hAnsi="Times New Roman" w:cs="Times New Roman"/>
                <w:color w:val="000000"/>
                <w:sz w:val="24"/>
              </w:rPr>
              <w:fldChar w:fldCharType="separate"/>
            </w:r>
            <w:r>
              <w:rPr>
                <w:rFonts w:hint="default" w:ascii="Times New Roman" w:hAnsi="Times New Roman" w:cs="Times New Roman"/>
                <w:color w:val="000000"/>
                <w:sz w:val="24"/>
              </w:rPr>
              <w:t>①</w:t>
            </w:r>
            <w:r>
              <w:rPr>
                <w:rFonts w:hint="default" w:ascii="Times New Roman" w:hAnsi="Times New Roman" w:cs="Times New Roman"/>
                <w:color w:val="000000"/>
                <w:sz w:val="24"/>
              </w:rPr>
              <w:fldChar w:fldCharType="end"/>
            </w:r>
            <w:r>
              <w:rPr>
                <w:rFonts w:hint="default" w:ascii="Times New Roman" w:hAnsi="Times New Roman" w:cs="Times New Roman"/>
                <w:color w:val="000000"/>
                <w:sz w:val="24"/>
              </w:rPr>
              <w:t>冷却水：</w:t>
            </w:r>
            <w:r>
              <w:rPr>
                <w:rFonts w:hint="default" w:ascii="Times New Roman" w:hAnsi="Times New Roman" w:cs="Times New Roman"/>
                <w:sz w:val="24"/>
              </w:rPr>
              <w:t>根据建设方提供的资料可知，本项目生产过程中的冷却水进行闭路循环使用，路循环使用，蒸发损耗定期补充（补充量为2m</w:t>
            </w:r>
            <w:r>
              <w:rPr>
                <w:rFonts w:hint="default" w:ascii="Times New Roman" w:hAnsi="Times New Roman" w:cs="Times New Roman"/>
                <w:sz w:val="24"/>
                <w:vertAlign w:val="superscript"/>
              </w:rPr>
              <w:t>3</w:t>
            </w:r>
            <w:r>
              <w:rPr>
                <w:rFonts w:hint="default" w:ascii="Times New Roman" w:hAnsi="Times New Roman" w:cs="Times New Roman"/>
                <w:sz w:val="24"/>
              </w:rPr>
              <w:t>/d）。</w:t>
            </w:r>
          </w:p>
          <w:p>
            <w:pPr>
              <w:snapToGrid w:val="0"/>
              <w:spacing w:line="360" w:lineRule="auto"/>
              <w:ind w:firstLine="480"/>
              <w:rPr>
                <w:rFonts w:hint="default"/>
              </w:rPr>
            </w:pPr>
            <w:r>
              <w:rPr>
                <w:rFonts w:hint="eastAsia"/>
                <w:sz w:val="24"/>
              </w:rPr>
              <w:t>喷淋塔吸收液循环量为3.5m</w:t>
            </w:r>
            <w:r>
              <w:rPr>
                <w:rFonts w:hint="eastAsia"/>
                <w:sz w:val="24"/>
                <w:vertAlign w:val="superscript"/>
              </w:rPr>
              <w:t>3</w:t>
            </w:r>
            <w:r>
              <w:rPr>
                <w:rFonts w:hint="eastAsia"/>
                <w:sz w:val="24"/>
              </w:rPr>
              <w:t>/d。吸收液接近饱和后，吸收效果下降，需要定期（通常为 1 周）向喷淋塔补充新的吸收液，平均补水量为循环用量的 10%，一次补水量为 3.5m</w:t>
            </w:r>
            <w:r>
              <w:rPr>
                <w:rFonts w:hint="eastAsia"/>
                <w:sz w:val="24"/>
                <w:vertAlign w:val="superscript"/>
              </w:rPr>
              <w:t>3</w:t>
            </w:r>
            <w:r>
              <w:rPr>
                <w:rFonts w:hint="eastAsia"/>
                <w:sz w:val="24"/>
              </w:rPr>
              <w:t>/次，则1套每天的补水量为 0.05m</w:t>
            </w:r>
            <w:r>
              <w:rPr>
                <w:rFonts w:hint="eastAsia"/>
                <w:sz w:val="24"/>
                <w:vertAlign w:val="superscript"/>
              </w:rPr>
              <w:t>3</w:t>
            </w:r>
            <w:r>
              <w:rPr>
                <w:rFonts w:hint="eastAsia"/>
                <w:sz w:val="24"/>
              </w:rPr>
              <w:t>/d。</w:t>
            </w:r>
          </w:p>
          <w:p>
            <w:pPr>
              <w:adjustRightInd w:val="0"/>
              <w:snapToGrid w:val="0"/>
              <w:spacing w:line="360" w:lineRule="auto"/>
              <w:ind w:firstLine="480"/>
              <w:jc w:val="left"/>
              <w:rPr>
                <w:rFonts w:hint="default"/>
              </w:rPr>
            </w:pPr>
            <w:r>
              <w:rPr>
                <w:rFonts w:hint="default" w:ascii="Times New Roman" w:hAnsi="Times New Roman" w:cs="Times New Roman"/>
                <w:color w:val="000000"/>
                <w:sz w:val="24"/>
              </w:rPr>
              <w:t>②生活用水：</w:t>
            </w:r>
            <w:r>
              <w:rPr>
                <w:rFonts w:hint="default" w:ascii="Times New Roman" w:hAnsi="Times New Roman" w:eastAsia="宋体" w:cs="Times New Roman"/>
                <w:color w:val="000000"/>
                <w:sz w:val="24"/>
              </w:rPr>
              <w:t>本项目不设食堂及住宿，无食堂废水产生，生活用水为办公用水</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根据《四川省用水定额》</w:t>
            </w:r>
            <w:r>
              <w:rPr>
                <w:rFonts w:hint="default" w:ascii="Times New Roman" w:hAnsi="Times New Roman" w:eastAsia="宋体" w:cs="Times New Roman"/>
                <w:color w:val="000000"/>
                <w:sz w:val="24"/>
                <w:lang w:eastAsia="zh-CN"/>
              </w:rPr>
              <w:t>（川府函〔</w:t>
            </w:r>
            <w:r>
              <w:rPr>
                <w:rFonts w:hint="default" w:ascii="Times New Roman" w:hAnsi="Times New Roman" w:eastAsia="宋体" w:cs="Times New Roman"/>
                <w:color w:val="000000"/>
                <w:sz w:val="24"/>
                <w:lang w:val="en-US" w:eastAsia="zh-CN"/>
              </w:rPr>
              <w:t>2021〕8号</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，结合遂宁市当地实际</w:t>
            </w:r>
            <w:r>
              <w:rPr>
                <w:rFonts w:hint="default" w:ascii="Times New Roman" w:hAnsi="Times New Roman" w:eastAsia="宋体" w:cs="Times New Roman"/>
                <w:color w:val="000000"/>
                <w:sz w:val="24"/>
                <w:lang w:eastAsia="zh-CN"/>
              </w:rPr>
              <w:t>情况确定本项目办公生活用水定额为</w:t>
            </w:r>
            <w:r>
              <w:rPr>
                <w:rFonts w:hint="eastAsia" w:cs="Times New Roman"/>
                <w:color w:val="000000"/>
                <w:sz w:val="24"/>
                <w:lang w:val="en-US" w:eastAsia="zh-CN"/>
              </w:rPr>
              <w:t>50</w:t>
            </w:r>
            <w:r>
              <w:rPr>
                <w:rFonts w:hint="default" w:ascii="Times New Roman" w:hAnsi="Times New Roman" w:eastAsia="宋体" w:cs="Times New Roman"/>
                <w:color w:val="000000"/>
                <w:sz w:val="24"/>
                <w:lang w:eastAsia="zh-CN"/>
              </w:rPr>
              <w:t>L每人每日</w:t>
            </w:r>
            <w:r>
              <w:rPr>
                <w:rFonts w:hint="default" w:ascii="Times New Roman" w:hAnsi="Times New Roman" w:eastAsia="宋体" w:cs="Times New Roman"/>
                <w:color w:val="000000"/>
                <w:sz w:val="24"/>
              </w:rPr>
              <w:t>。</w:t>
            </w:r>
          </w:p>
          <w:p>
            <w:pPr>
              <w:tabs>
                <w:tab w:val="left" w:pos="5125"/>
              </w:tabs>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项目用水量预测及分配情况见</w:t>
            </w:r>
            <w:r>
              <w:rPr>
                <w:rFonts w:hint="default" w:ascii="Times New Roman" w:hAnsi="Times New Roman" w:cs="Times New Roman"/>
                <w:color w:val="000000"/>
                <w:sz w:val="24"/>
                <w:lang w:val="en-US" w:eastAsia="zh-CN"/>
              </w:rPr>
              <w:t>下</w:t>
            </w:r>
            <w:r>
              <w:rPr>
                <w:rFonts w:hint="default" w:ascii="Times New Roman" w:hAnsi="Times New Roman" w:cs="Times New Roman"/>
                <w:color w:val="000000"/>
                <w:sz w:val="24"/>
              </w:rPr>
              <w:t>表。</w:t>
            </w:r>
          </w:p>
          <w:p>
            <w:pPr>
              <w:spacing w:line="360" w:lineRule="auto"/>
              <w:ind w:firstLine="482" w:firstLineChars="200"/>
              <w:jc w:val="center"/>
              <w:rPr>
                <w:rFonts w:hint="default"/>
              </w:rPr>
            </w:pPr>
            <w:r>
              <w:rPr>
                <w:rFonts w:hint="default" w:ascii="Times New Roman" w:hAnsi="Times New Roman" w:cs="Times New Roman"/>
                <w:b/>
                <w:color w:val="000000"/>
                <w:sz w:val="24"/>
                <w:szCs w:val="24"/>
              </w:rPr>
              <w:t>表</w:t>
            </w:r>
            <w:r>
              <w:rPr>
                <w:rFonts w:hint="default" w:ascii="Times New Roman" w:hAnsi="Times New Roman" w:cs="Times New Roman"/>
                <w:b/>
                <w:color w:val="000000"/>
                <w:sz w:val="24"/>
                <w:szCs w:val="24"/>
                <w:lang w:val="en-US" w:eastAsia="zh-CN"/>
              </w:rPr>
              <w:t xml:space="preserve">2-5 </w:t>
            </w:r>
            <w:r>
              <w:rPr>
                <w:rFonts w:hint="default" w:ascii="Times New Roman" w:hAnsi="Times New Roman" w:cs="Times New Roman"/>
                <w:b/>
                <w:color w:val="000000"/>
                <w:sz w:val="24"/>
                <w:szCs w:val="24"/>
              </w:rPr>
              <w:t xml:space="preserve">  项目用水量及分配情况</w:t>
            </w:r>
          </w:p>
          <w:tbl>
            <w:tblPr>
              <w:tblStyle w:val="1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5"/>
              <w:gridCol w:w="1452"/>
              <w:gridCol w:w="1216"/>
              <w:gridCol w:w="1388"/>
              <w:gridCol w:w="24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78" w:type="pct"/>
                  <w:noWrap w:val="0"/>
                  <w:vAlign w:val="center"/>
                </w:tcPr>
                <w:p>
                  <w:pPr>
                    <w:snapToGrid w:val="0"/>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类别</w:t>
                  </w:r>
                </w:p>
              </w:tc>
              <w:tc>
                <w:tcPr>
                  <w:tcW w:w="896" w:type="pct"/>
                  <w:noWrap w:val="0"/>
                  <w:vAlign w:val="center"/>
                </w:tcPr>
                <w:p>
                  <w:pPr>
                    <w:snapToGrid w:val="0"/>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日最大</w:t>
                  </w:r>
                </w:p>
                <w:p>
                  <w:pPr>
                    <w:snapToGrid w:val="0"/>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容量</w:t>
                  </w:r>
                </w:p>
              </w:tc>
              <w:tc>
                <w:tcPr>
                  <w:tcW w:w="750" w:type="pct"/>
                  <w:noWrap w:val="0"/>
                  <w:vAlign w:val="center"/>
                </w:tcPr>
                <w:p>
                  <w:pPr>
                    <w:snapToGrid w:val="0"/>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用水标准</w:t>
                  </w:r>
                </w:p>
              </w:tc>
              <w:tc>
                <w:tcPr>
                  <w:tcW w:w="857" w:type="pct"/>
                  <w:noWrap w:val="0"/>
                  <w:vAlign w:val="center"/>
                </w:tcPr>
                <w:p>
                  <w:pPr>
                    <w:snapToGrid w:val="0"/>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最大日用</w:t>
                  </w:r>
                </w:p>
                <w:p>
                  <w:pPr>
                    <w:snapToGrid w:val="0"/>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水量(m3)</w:t>
                  </w:r>
                </w:p>
              </w:tc>
              <w:tc>
                <w:tcPr>
                  <w:tcW w:w="1516" w:type="pct"/>
                  <w:noWrap w:val="0"/>
                  <w:vAlign w:val="center"/>
                </w:tcPr>
                <w:p>
                  <w:pPr>
                    <w:snapToGrid w:val="0"/>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78" w:type="pct"/>
                  <w:noWrap w:val="0"/>
                  <w:vAlign w:val="center"/>
                </w:tcPr>
                <w:p>
                  <w:pPr>
                    <w:snapToGrid w:val="0"/>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eastAsia="宋体" w:cs="Times New Roman"/>
                      <w:b w:val="0"/>
                      <w:bCs w:val="0"/>
                      <w:sz w:val="21"/>
                      <w:szCs w:val="21"/>
                    </w:rPr>
                    <w:t>办公生活用水</w:t>
                  </w:r>
                </w:p>
              </w:tc>
              <w:tc>
                <w:tcPr>
                  <w:tcW w:w="896" w:type="pct"/>
                  <w:tcBorders>
                    <w:right w:val="single" w:color="auto" w:sz="4" w:space="0"/>
                  </w:tcBorders>
                  <w:noWrap w:val="0"/>
                  <w:vAlign w:val="center"/>
                </w:tcPr>
                <w:p>
                  <w:pPr>
                    <w:snapToGrid w:val="0"/>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35人</w:t>
                  </w:r>
                </w:p>
              </w:tc>
              <w:tc>
                <w:tcPr>
                  <w:tcW w:w="750" w:type="pct"/>
                  <w:tcBorders>
                    <w:left w:val="single" w:color="auto" w:sz="4" w:space="0"/>
                  </w:tcBorders>
                  <w:noWrap w:val="0"/>
                  <w:vAlign w:val="center"/>
                </w:tcPr>
                <w:p>
                  <w:pPr>
                    <w:snapToGrid w:val="0"/>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50L/人·d</w:t>
                  </w:r>
                </w:p>
              </w:tc>
              <w:tc>
                <w:tcPr>
                  <w:tcW w:w="857" w:type="pct"/>
                  <w:noWrap w:val="0"/>
                  <w:vAlign w:val="center"/>
                </w:tcPr>
                <w:p>
                  <w:pPr>
                    <w:snapToGrid w:val="0"/>
                    <w:spacing w:line="240" w:lineRule="auto"/>
                    <w:jc w:val="center"/>
                    <w:rPr>
                      <w:rFonts w:hint="default" w:ascii="Times New Roman" w:hAnsi="Times New Roman" w:cs="Times New Roman"/>
                      <w:b w:val="0"/>
                      <w:bCs w:val="0"/>
                      <w:sz w:val="21"/>
                      <w:szCs w:val="21"/>
                      <w:lang w:val="zh-CN" w:eastAsia="zh-CN"/>
                    </w:rPr>
                  </w:pPr>
                  <w:r>
                    <w:rPr>
                      <w:rFonts w:hint="default" w:ascii="Times New Roman" w:hAnsi="Times New Roman" w:cs="Times New Roman"/>
                      <w:b w:val="0"/>
                      <w:bCs w:val="0"/>
                      <w:sz w:val="21"/>
                      <w:szCs w:val="21"/>
                      <w:lang w:val="zh-CN" w:eastAsia="zh-CN"/>
                    </w:rPr>
                    <w:t>1.75</w:t>
                  </w:r>
                </w:p>
              </w:tc>
              <w:tc>
                <w:tcPr>
                  <w:tcW w:w="1516" w:type="pct"/>
                  <w:noWrap w:val="0"/>
                  <w:vAlign w:val="center"/>
                </w:tcPr>
                <w:p>
                  <w:pPr>
                    <w:snapToGrid w:val="0"/>
                    <w:spacing w:line="240" w:lineRule="auto"/>
                    <w:jc w:val="center"/>
                    <w:rPr>
                      <w:rFonts w:hint="default" w:ascii="Times New Roman" w:hAnsi="Times New Roman" w:cs="Times New Roman"/>
                      <w:b w:val="0"/>
                      <w:bCs w:val="0"/>
                      <w:sz w:val="21"/>
                      <w:szCs w:val="21"/>
                      <w:lang w:val="zh-CN" w:eastAsia="zh-CN"/>
                    </w:rPr>
                  </w:pPr>
                  <w:r>
                    <w:rPr>
                      <w:rFonts w:hint="default" w:ascii="Times New Roman" w:hAnsi="Times New Roman" w:eastAsia="宋体" w:cs="Times New Roman"/>
                      <w:b w:val="0"/>
                      <w:bCs w:val="0"/>
                      <w:sz w:val="21"/>
                      <w:szCs w:val="21"/>
                      <w:lang w:val="zh-CN"/>
                    </w:rPr>
                    <w:t>依托已建预处理池处理后排入蓬溪县来龙山污水处理厂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78" w:type="pct"/>
                  <w:noWrap w:val="0"/>
                  <w:vAlign w:val="center"/>
                </w:tcPr>
                <w:p>
                  <w:pPr>
                    <w:snapToGrid w:val="0"/>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碱喷淋塔补水（碱液浓度1%）</w:t>
                  </w:r>
                </w:p>
              </w:tc>
              <w:tc>
                <w:tcPr>
                  <w:tcW w:w="896" w:type="pct"/>
                  <w:tcBorders>
                    <w:right w:val="single" w:color="auto" w:sz="4" w:space="0"/>
                  </w:tcBorders>
                  <w:noWrap w:val="0"/>
                  <w:vAlign w:val="center"/>
                </w:tcPr>
                <w:p>
                  <w:pPr>
                    <w:snapToGrid w:val="0"/>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循环量为3.5m3/d</w:t>
                  </w:r>
                </w:p>
              </w:tc>
              <w:tc>
                <w:tcPr>
                  <w:tcW w:w="750" w:type="pct"/>
                  <w:tcBorders>
                    <w:left w:val="single" w:color="auto" w:sz="4" w:space="0"/>
                  </w:tcBorders>
                  <w:noWrap w:val="0"/>
                  <w:vAlign w:val="center"/>
                </w:tcPr>
                <w:p>
                  <w:pPr>
                    <w:snapToGrid w:val="0"/>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补水量按用水量10%</w:t>
                  </w:r>
                </w:p>
              </w:tc>
              <w:tc>
                <w:tcPr>
                  <w:tcW w:w="857" w:type="pct"/>
                  <w:noWrap w:val="0"/>
                  <w:vAlign w:val="center"/>
                </w:tcPr>
                <w:p>
                  <w:pPr>
                    <w:snapToGrid w:val="0"/>
                    <w:spacing w:line="240" w:lineRule="auto"/>
                    <w:jc w:val="center"/>
                    <w:rPr>
                      <w:rFonts w:hint="default" w:ascii="Times New Roman" w:hAnsi="Times New Roman" w:cs="Times New Roman"/>
                      <w:b w:val="0"/>
                      <w:bCs w:val="0"/>
                      <w:sz w:val="21"/>
                      <w:szCs w:val="21"/>
                      <w:lang w:val="zh-CN" w:eastAsia="zh-CN"/>
                    </w:rPr>
                  </w:pPr>
                  <w:r>
                    <w:rPr>
                      <w:rFonts w:hint="default" w:ascii="Times New Roman" w:hAnsi="Times New Roman" w:cs="Times New Roman"/>
                      <w:b w:val="0"/>
                      <w:bCs w:val="0"/>
                      <w:sz w:val="21"/>
                      <w:szCs w:val="21"/>
                      <w:lang w:val="zh-CN" w:eastAsia="zh-CN"/>
                    </w:rPr>
                    <w:t>0.05</w:t>
                  </w:r>
                </w:p>
              </w:tc>
              <w:tc>
                <w:tcPr>
                  <w:tcW w:w="1516" w:type="pct"/>
                  <w:noWrap w:val="0"/>
                  <w:vAlign w:val="center"/>
                </w:tcPr>
                <w:p>
                  <w:pPr>
                    <w:snapToGrid w:val="0"/>
                    <w:spacing w:line="240" w:lineRule="auto"/>
                    <w:jc w:val="center"/>
                    <w:rPr>
                      <w:rFonts w:hint="default" w:ascii="Times New Roman" w:hAnsi="Times New Roman" w:cs="Times New Roman"/>
                      <w:b w:val="0"/>
                      <w:bCs w:val="0"/>
                      <w:sz w:val="21"/>
                      <w:szCs w:val="21"/>
                      <w:lang w:val="zh-CN" w:eastAsia="zh-CN"/>
                    </w:rPr>
                  </w:pPr>
                  <w:r>
                    <w:rPr>
                      <w:rFonts w:hint="default" w:ascii="Times New Roman" w:hAnsi="Times New Roman" w:cs="Times New Roman"/>
                      <w:b w:val="0"/>
                      <w:bCs w:val="0"/>
                      <w:sz w:val="21"/>
                      <w:szCs w:val="21"/>
                      <w:lang w:val="zh-CN" w:eastAsia="zh-CN"/>
                    </w:rPr>
                    <w:t>循环使用，定期外排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78" w:type="pct"/>
                  <w:noWrap w:val="0"/>
                  <w:vAlign w:val="center"/>
                </w:tcPr>
                <w:p>
                  <w:pPr>
                    <w:snapToGrid w:val="0"/>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循环水池补充用水</w:t>
                  </w:r>
                </w:p>
              </w:tc>
              <w:tc>
                <w:tcPr>
                  <w:tcW w:w="896" w:type="pct"/>
                  <w:tcBorders>
                    <w:right w:val="single" w:color="auto" w:sz="4" w:space="0"/>
                  </w:tcBorders>
                  <w:noWrap w:val="0"/>
                  <w:vAlign w:val="center"/>
                </w:tcPr>
                <w:p>
                  <w:pPr>
                    <w:snapToGrid w:val="0"/>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循环水池1个，约</w:t>
                  </w:r>
                  <w:r>
                    <w:rPr>
                      <w:rFonts w:hint="eastAsia" w:cs="Times New Roman"/>
                      <w:b w:val="0"/>
                      <w:bCs w:val="0"/>
                      <w:sz w:val="21"/>
                      <w:szCs w:val="21"/>
                      <w:lang w:val="en-US" w:eastAsia="zh-CN"/>
                    </w:rPr>
                    <w:t>1</w:t>
                  </w:r>
                  <w:r>
                    <w:rPr>
                      <w:rFonts w:hint="default" w:ascii="Times New Roman" w:hAnsi="Times New Roman" w:cs="Times New Roman"/>
                      <w:b w:val="0"/>
                      <w:bCs w:val="0"/>
                      <w:sz w:val="21"/>
                      <w:szCs w:val="21"/>
                      <w:lang w:val="en-US" w:eastAsia="zh-CN"/>
                    </w:rPr>
                    <w:t>00m3，定期补充</w:t>
                  </w:r>
                </w:p>
              </w:tc>
              <w:tc>
                <w:tcPr>
                  <w:tcW w:w="750" w:type="pct"/>
                  <w:tcBorders>
                    <w:left w:val="single" w:color="auto" w:sz="4" w:space="0"/>
                  </w:tcBorders>
                  <w:noWrap w:val="0"/>
                  <w:vAlign w:val="center"/>
                </w:tcPr>
                <w:p>
                  <w:pPr>
                    <w:snapToGrid w:val="0"/>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补水量按用水量1%</w:t>
                  </w:r>
                </w:p>
              </w:tc>
              <w:tc>
                <w:tcPr>
                  <w:tcW w:w="857" w:type="pct"/>
                  <w:noWrap w:val="0"/>
                  <w:vAlign w:val="center"/>
                </w:tcPr>
                <w:p>
                  <w:pPr>
                    <w:snapToGrid w:val="0"/>
                    <w:spacing w:line="240" w:lineRule="auto"/>
                    <w:jc w:val="center"/>
                    <w:rPr>
                      <w:rFonts w:hint="default" w:ascii="Times New Roman" w:hAnsi="Times New Roman" w:cs="Times New Roman"/>
                      <w:b w:val="0"/>
                      <w:bCs w:val="0"/>
                      <w:sz w:val="21"/>
                      <w:szCs w:val="21"/>
                      <w:lang w:val="zh-CN" w:eastAsia="zh-CN"/>
                    </w:rPr>
                  </w:pPr>
                  <w:r>
                    <w:rPr>
                      <w:rFonts w:hint="default" w:ascii="Times New Roman" w:hAnsi="Times New Roman" w:cs="Times New Roman"/>
                      <w:b w:val="0"/>
                      <w:bCs w:val="0"/>
                      <w:sz w:val="21"/>
                      <w:szCs w:val="21"/>
                      <w:lang w:val="zh-CN" w:eastAsia="zh-CN"/>
                    </w:rPr>
                    <w:t>2</w:t>
                  </w:r>
                </w:p>
              </w:tc>
              <w:tc>
                <w:tcPr>
                  <w:tcW w:w="1516" w:type="pct"/>
                  <w:noWrap w:val="0"/>
                  <w:vAlign w:val="center"/>
                </w:tcPr>
                <w:p>
                  <w:pPr>
                    <w:snapToGrid w:val="0"/>
                    <w:spacing w:line="240" w:lineRule="auto"/>
                    <w:jc w:val="center"/>
                    <w:rPr>
                      <w:rFonts w:hint="default" w:ascii="Times New Roman" w:hAnsi="Times New Roman" w:cs="Times New Roman"/>
                      <w:b w:val="0"/>
                      <w:bCs w:val="0"/>
                      <w:sz w:val="21"/>
                      <w:szCs w:val="21"/>
                      <w:lang w:val="zh-CN" w:eastAsia="zh-CN"/>
                    </w:rPr>
                  </w:pPr>
                  <w:r>
                    <w:rPr>
                      <w:rFonts w:hint="default" w:ascii="Times New Roman" w:hAnsi="Times New Roman" w:cs="Times New Roman"/>
                      <w:b w:val="0"/>
                      <w:bCs w:val="0"/>
                      <w:sz w:val="21"/>
                      <w:szCs w:val="21"/>
                      <w:lang w:val="zh-CN" w:eastAsia="zh-CN"/>
                    </w:rPr>
                    <w:t>循环使用，不外排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978" w:type="pct"/>
                  <w:noWrap w:val="0"/>
                  <w:vAlign w:val="center"/>
                </w:tcPr>
                <w:p>
                  <w:pPr>
                    <w:snapToGrid w:val="0"/>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小计</w:t>
                  </w:r>
                </w:p>
              </w:tc>
              <w:tc>
                <w:tcPr>
                  <w:tcW w:w="896" w:type="pct"/>
                  <w:tcBorders>
                    <w:right w:val="single" w:color="auto" w:sz="4" w:space="0"/>
                  </w:tcBorders>
                  <w:noWrap w:val="0"/>
                  <w:vAlign w:val="center"/>
                </w:tcPr>
                <w:p>
                  <w:pPr>
                    <w:snapToGrid w:val="0"/>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750" w:type="pct"/>
                  <w:tcBorders>
                    <w:right w:val="single" w:color="auto" w:sz="4" w:space="0"/>
                  </w:tcBorders>
                  <w:noWrap w:val="0"/>
                  <w:vAlign w:val="center"/>
                </w:tcPr>
                <w:p>
                  <w:pPr>
                    <w:snapToGrid w:val="0"/>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c>
                <w:tcPr>
                  <w:tcW w:w="857" w:type="pct"/>
                  <w:tcBorders>
                    <w:left w:val="single" w:color="auto" w:sz="4" w:space="0"/>
                    <w:right w:val="single" w:color="auto" w:sz="4" w:space="0"/>
                  </w:tcBorders>
                  <w:noWrap w:val="0"/>
                  <w:vAlign w:val="center"/>
                </w:tcPr>
                <w:p>
                  <w:pPr>
                    <w:snapToGrid w:val="0"/>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3.8</w:t>
                  </w:r>
                </w:p>
              </w:tc>
              <w:tc>
                <w:tcPr>
                  <w:tcW w:w="1516" w:type="pct"/>
                  <w:tcBorders>
                    <w:left w:val="single" w:color="auto" w:sz="4" w:space="0"/>
                  </w:tcBorders>
                  <w:noWrap w:val="0"/>
                  <w:vAlign w:val="center"/>
                </w:tcPr>
                <w:p>
                  <w:pPr>
                    <w:snapToGrid w:val="0"/>
                    <w:spacing w:line="240" w:lineRule="auto"/>
                    <w:jc w:val="center"/>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w:t>
                  </w:r>
                </w:p>
              </w:tc>
            </w:tr>
          </w:tbl>
          <w:p>
            <w:pPr>
              <w:pStyle w:val="24"/>
              <w:bidi w:val="0"/>
              <w:spacing w:line="360" w:lineRule="auto"/>
              <w:ind w:left="0" w:leftChars="0" w:firstLine="240" w:firstLineChars="100"/>
              <w:rPr>
                <w:rFonts w:hint="default" w:ascii="Times New Roman" w:hAnsi="Times New Roman" w:cs="Times New Roman"/>
              </w:rPr>
            </w:pPr>
            <w:r>
              <w:rPr>
                <w:rFonts w:hint="default" w:ascii="Times New Roman" w:hAnsi="Times New Roman" w:cs="Times New Roman"/>
              </w:rPr>
              <w:t>（2）排水</w:t>
            </w:r>
          </w:p>
          <w:p>
            <w:pPr>
              <w:snapToGrid w:val="0"/>
              <w:spacing w:line="360" w:lineRule="auto"/>
              <w:ind w:firstLine="482"/>
              <w:rPr>
                <w:rFonts w:hAnsi="宋体"/>
                <w:sz w:val="24"/>
              </w:rPr>
            </w:pPr>
            <w:r>
              <w:rPr>
                <w:rFonts w:hAnsi="宋体"/>
                <w:sz w:val="24"/>
              </w:rPr>
              <w:t>本</w:t>
            </w:r>
            <w:r>
              <w:rPr>
                <w:rFonts w:hint="eastAsia"/>
                <w:sz w:val="24"/>
              </w:rPr>
              <w:t>项目厂区内采用雨污分流制排水系统，其中冷却用水循环使用，无外排废水，生产车间不进行冲洗，采用拖把拖地，不产生车间清洗废水。因此，项目排放污水主要为生活污水及碱喷淋废水。碱喷淋废水先经过酸碱中和处理后，再汇同生活污水一起依托配套的容积不低于20m</w:t>
            </w:r>
            <w:r>
              <w:rPr>
                <w:rFonts w:hint="eastAsia"/>
                <w:sz w:val="24"/>
                <w:vertAlign w:val="superscript"/>
              </w:rPr>
              <w:t>3</w:t>
            </w:r>
            <w:r>
              <w:rPr>
                <w:rFonts w:hint="eastAsia"/>
                <w:sz w:val="24"/>
              </w:rPr>
              <w:t>的预处理池处理后接园区的市政污水管网，最终进入蓬溪县来龙山污水处理厂进行处理</w:t>
            </w:r>
            <w:r>
              <w:rPr>
                <w:rFonts w:hint="eastAsia"/>
                <w:sz w:val="24"/>
                <w:lang w:val="zh-CN"/>
              </w:rPr>
              <w:t>达到《城镇污水处理厂污染物排放标准》（GB18918-2002）一级A标后排入芝溪河</w:t>
            </w:r>
            <w:r>
              <w:rPr>
                <w:rFonts w:hint="eastAsia"/>
                <w:sz w:val="24"/>
              </w:rPr>
              <w:t>。</w:t>
            </w:r>
          </w:p>
          <w:p>
            <w:pPr>
              <w:pStyle w:val="24"/>
              <w:bidi w:val="0"/>
              <w:spacing w:line="360" w:lineRule="auto"/>
              <w:ind w:left="0" w:leftChars="0" w:firstLine="480" w:firstLineChars="200"/>
              <w:rPr>
                <w:rFonts w:hint="default" w:ascii="Times New Roman" w:hAnsi="Times New Roman" w:cs="Times New Roman"/>
              </w:rPr>
            </w:pPr>
            <w:r>
              <w:rPr>
                <w:rFonts w:hint="default" w:ascii="Times New Roman" w:hAnsi="Times New Roman" w:cs="Times New Roman"/>
              </w:rPr>
              <w:t>（3）供电</w:t>
            </w:r>
          </w:p>
          <w:p>
            <w:pPr>
              <w:pStyle w:val="24"/>
              <w:bidi w:val="0"/>
              <w:spacing w:line="360" w:lineRule="auto"/>
              <w:rPr>
                <w:rFonts w:hint="default" w:ascii="Times New Roman" w:hAnsi="Times New Roman" w:cs="Times New Roman"/>
              </w:rPr>
            </w:pPr>
            <w:r>
              <w:rPr>
                <w:rFonts w:hint="default" w:ascii="Times New Roman" w:hAnsi="Times New Roman" w:cs="Times New Roman"/>
              </w:rPr>
              <w:t>本项目依托</w:t>
            </w:r>
            <w:r>
              <w:rPr>
                <w:rFonts w:hint="default" w:ascii="Times New Roman" w:hAnsi="Times New Roman" w:cs="Times New Roman"/>
                <w:lang w:eastAsia="zh-CN"/>
              </w:rPr>
              <w:t>蓬溪县上游工业园</w:t>
            </w:r>
            <w:r>
              <w:rPr>
                <w:rFonts w:hint="default" w:ascii="Times New Roman" w:hAnsi="Times New Roman" w:cs="Times New Roman"/>
              </w:rPr>
              <w:t>已建设的市政供电设施供电。</w:t>
            </w:r>
          </w:p>
          <w:p>
            <w:pPr>
              <w:pStyle w:val="24"/>
              <w:numPr>
                <w:ilvl w:val="0"/>
                <w:numId w:val="0"/>
              </w:numPr>
              <w:bidi w:val="0"/>
              <w:spacing w:line="360" w:lineRule="auto"/>
              <w:ind w:firstLine="482" w:firstLineChars="20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8、厂区平面布置</w:t>
            </w:r>
          </w:p>
          <w:p>
            <w:pPr>
              <w:snapToGrid w:val="0"/>
              <w:spacing w:line="360" w:lineRule="auto"/>
              <w:ind w:firstLine="482"/>
              <w:rPr>
                <w:rFonts w:hint="default" w:ascii="Times New Roman" w:hAnsi="Times New Roman" w:cs="Times New Roman"/>
                <w:bCs/>
                <w:sz w:val="24"/>
              </w:rPr>
            </w:pPr>
            <w:r>
              <w:rPr>
                <w:rFonts w:hint="default" w:ascii="Times New Roman" w:hAnsi="Times New Roman" w:cs="Times New Roman"/>
                <w:sz w:val="24"/>
              </w:rPr>
              <w:t>本项目租用的生产车间位于四川省遂宁市蓬溪县上游工业园内，本项目整个车间呈规则矩形内</w:t>
            </w:r>
            <w:r>
              <w:rPr>
                <w:rFonts w:hint="default" w:ascii="Times New Roman" w:hAnsi="Times New Roman" w:cs="Times New Roman"/>
                <w:sz w:val="24"/>
                <w:lang w:eastAsia="zh-CN"/>
              </w:rPr>
              <w:t>，</w:t>
            </w:r>
            <w:r>
              <w:rPr>
                <w:rFonts w:hint="default" w:ascii="Times New Roman" w:hAnsi="Times New Roman" w:cs="Times New Roman"/>
                <w:sz w:val="24"/>
              </w:rPr>
              <w:t>根据项目工艺流程，在车间</w:t>
            </w:r>
            <w:r>
              <w:rPr>
                <w:rFonts w:hint="default" w:ascii="Times New Roman" w:hAnsi="Times New Roman" w:cs="Times New Roman"/>
                <w:sz w:val="24"/>
                <w:lang w:val="en-US" w:eastAsia="zh-CN"/>
              </w:rPr>
              <w:t>北侧</w:t>
            </w:r>
            <w:r>
              <w:rPr>
                <w:rFonts w:hint="default" w:ascii="Times New Roman" w:hAnsi="Times New Roman" w:cs="Times New Roman"/>
                <w:sz w:val="24"/>
              </w:rPr>
              <w:t>布置PE管材生产线、PPR管材生产线、</w:t>
            </w:r>
            <w:r>
              <w:rPr>
                <w:rFonts w:hint="default" w:ascii="Times New Roman" w:hAnsi="Times New Roman" w:cs="Times New Roman"/>
                <w:sz w:val="24"/>
                <w:lang w:val="en-US" w:eastAsia="zh-CN"/>
              </w:rPr>
              <w:t>车间南侧</w:t>
            </w:r>
            <w:r>
              <w:rPr>
                <w:rFonts w:hint="default" w:ascii="Times New Roman" w:hAnsi="Times New Roman" w:cs="Times New Roman"/>
                <w:sz w:val="24"/>
              </w:rPr>
              <w:t>PVC管材生产线、破碎房、混料间、原料堆放区及成品堆放区</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厂</w:t>
            </w:r>
            <w:r>
              <w:rPr>
                <w:rFonts w:hint="default" w:ascii="Times New Roman" w:hAnsi="Times New Roman" w:eastAsia="宋体" w:cs="Times New Roman"/>
                <w:sz w:val="24"/>
                <w:lang w:val="en-US" w:eastAsia="zh-CN"/>
              </w:rPr>
              <w:t>区</w:t>
            </w:r>
            <w:r>
              <w:rPr>
                <w:rFonts w:hint="default" w:ascii="Times New Roman" w:hAnsi="Times New Roman" w:eastAsia="宋体" w:cs="Times New Roman"/>
                <w:sz w:val="24"/>
                <w:lang w:eastAsia="zh-CN"/>
              </w:rPr>
              <w:t>二楼为</w:t>
            </w:r>
            <w:r>
              <w:rPr>
                <w:rFonts w:hint="default" w:ascii="Times New Roman" w:hAnsi="Times New Roman" w:eastAsia="宋体" w:cs="Times New Roman"/>
                <w:sz w:val="24"/>
                <w:lang w:val="en-US" w:eastAsia="zh-CN"/>
              </w:rPr>
              <w:t>办公生活区</w:t>
            </w:r>
            <w:r>
              <w:rPr>
                <w:rFonts w:hint="default" w:ascii="Times New Roman" w:hAnsi="Times New Roman" w:cs="Times New Roman"/>
                <w:sz w:val="24"/>
              </w:rPr>
              <w:t>。项目生产布局顺应工艺流程，能充分保证生产工艺的顺畅，并且又便于各物料的组织交通。</w:t>
            </w:r>
          </w:p>
          <w:p>
            <w:pPr>
              <w:snapToGrid w:val="0"/>
              <w:spacing w:line="360" w:lineRule="auto"/>
              <w:ind w:firstLine="482"/>
              <w:rPr>
                <w:rFonts w:hint="default" w:ascii="Times New Roman" w:hAnsi="Times New Roman" w:cs="Times New Roman"/>
                <w:b w:val="0"/>
                <w:bCs w:val="0"/>
                <w:sz w:val="24"/>
              </w:rPr>
            </w:pPr>
            <w:r>
              <w:rPr>
                <w:rFonts w:hint="default" w:ascii="Times New Roman" w:hAnsi="Times New Roman" w:cs="Times New Roman"/>
                <w:sz w:val="24"/>
              </w:rPr>
              <w:t>项目的生产布局顺应工艺流程，保证生产工艺的顺畅。因此项目的生产车间平面布置较为合理。</w:t>
            </w:r>
            <w:r>
              <w:rPr>
                <w:rFonts w:hint="default" w:ascii="Times New Roman" w:hAnsi="Times New Roman" w:cs="Times New Roman"/>
                <w:b w:val="0"/>
                <w:bCs w:val="0"/>
                <w:sz w:val="24"/>
              </w:rPr>
              <w:t>项目所在地位于工业园内，项目周边企业均为各类工业企业，对噪声环境要求不高，无居民、学校、医院等噪声敏感目标；经厂房隔声，车间合理布局，不会对周边产生明显影响。</w:t>
            </w:r>
          </w:p>
          <w:p>
            <w:pPr>
              <w:snapToGrid w:val="0"/>
              <w:spacing w:line="360" w:lineRule="auto"/>
              <w:ind w:firstLine="482"/>
              <w:rPr>
                <w:rFonts w:hint="default" w:ascii="Times New Roman" w:hAnsi="Times New Roman" w:cs="Times New Roman"/>
                <w:bCs/>
                <w:szCs w:val="21"/>
              </w:rPr>
            </w:pPr>
            <w:r>
              <w:rPr>
                <w:rFonts w:hint="default" w:ascii="Times New Roman" w:hAnsi="Times New Roman" w:cs="Times New Roman"/>
                <w:sz w:val="24"/>
              </w:rPr>
              <w:t>综上，本项目在尽量满足生产的工艺、运输、防火及安全要求的前提下，合理利用土地、功能分区明确、组织协作良好，方便生产联系和管理，避免人流、物流交叉干扰、污染，以确保生产运输和安全。项目平面布置比较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noWrap w:val="0"/>
            <w:vAlign w:val="center"/>
          </w:tcPr>
          <w:p>
            <w:pPr>
              <w:pStyle w:val="14"/>
              <w:adjustRightInd w:val="0"/>
              <w:snapToGrid w:val="0"/>
              <w:spacing w:before="0" w:beforeAutospacing="0" w:after="0" w:afterAutospacing="0"/>
              <w:jc w:val="center"/>
              <w:rPr>
                <w:rFonts w:hint="default" w:ascii="Times New Roman" w:hAnsi="Times New Roman" w:cs="Times New Roman"/>
                <w:sz w:val="24"/>
                <w:szCs w:val="24"/>
              </w:rPr>
            </w:pPr>
          </w:p>
          <w:p>
            <w:pPr>
              <w:pStyle w:val="14"/>
              <w:adjustRightInd w:val="0"/>
              <w:snapToGrid w:val="0"/>
              <w:spacing w:before="0" w:beforeAutospacing="0" w:after="0" w:afterAutospacing="0"/>
              <w:jc w:val="center"/>
              <w:rPr>
                <w:rFonts w:hint="default" w:ascii="Times New Roman" w:hAnsi="Times New Roman" w:cs="Times New Roman"/>
                <w:sz w:val="24"/>
                <w:szCs w:val="24"/>
              </w:rPr>
            </w:pPr>
          </w:p>
          <w:p>
            <w:pPr>
              <w:pStyle w:val="14"/>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4"/>
                <w:szCs w:val="24"/>
              </w:rPr>
              <w:t>工艺流程和产排污环节</w:t>
            </w:r>
          </w:p>
        </w:tc>
        <w:tc>
          <w:tcPr>
            <w:tcW w:w="8322" w:type="dxa"/>
            <w:noWrap w:val="0"/>
            <w:vAlign w:val="top"/>
          </w:tcPr>
          <w:p>
            <w:pPr>
              <w:pStyle w:val="24"/>
              <w:numPr>
                <w:ilvl w:val="0"/>
                <w:numId w:val="2"/>
              </w:numPr>
              <w:bidi w:val="0"/>
              <w:spacing w:line="36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施工期工艺流程简述：</w:t>
            </w:r>
          </w:p>
          <w:p>
            <w:pPr>
              <w:pStyle w:val="24"/>
              <w:numPr>
                <w:ilvl w:val="0"/>
                <w:numId w:val="0"/>
              </w:numPr>
              <w:bidi w:val="0"/>
              <w:spacing w:line="360" w:lineRule="auto"/>
              <w:ind w:firstLine="480" w:firstLineChars="200"/>
              <w:rPr>
                <w:rFonts w:hint="default" w:ascii="Times New Roman" w:hAnsi="Times New Roman" w:cs="Times New Roman"/>
              </w:rPr>
            </w:pPr>
            <w:r>
              <w:rPr>
                <w:rFonts w:hint="default" w:ascii="Times New Roman" w:hAnsi="Times New Roman" w:cs="Times New Roman"/>
              </w:rPr>
              <w:t>本项目位于</w:t>
            </w:r>
            <w:r>
              <w:rPr>
                <w:rFonts w:hint="default" w:ascii="Times New Roman" w:hAnsi="Times New Roman" w:cs="Times New Roman"/>
                <w:lang w:eastAsia="zh-CN"/>
              </w:rPr>
              <w:t>蓬溪县上游工业园遂宁市齐科环保设备有限公司</w:t>
            </w:r>
            <w:r>
              <w:rPr>
                <w:rFonts w:hint="default" w:ascii="Times New Roman" w:hAnsi="Times New Roman" w:cs="Times New Roman"/>
              </w:rPr>
              <w:t xml:space="preserve">已建设的厂房内。施工期主要进行生产设备安装和生产线布置，不进行基础设施建设。施工期间污染物为废水（生活污水）、废气（扬尘、汽车尾气）、噪声（设备安装噪声）、固废（废包装材料、生活垃圾）。流程图见图 </w:t>
            </w:r>
            <w:r>
              <w:rPr>
                <w:rFonts w:hint="default" w:ascii="Times New Roman" w:hAnsi="Times New Roman" w:cs="Times New Roman"/>
                <w:lang w:val="en-US" w:eastAsia="zh-CN"/>
              </w:rPr>
              <w:t>2-2</w:t>
            </w:r>
            <w:r>
              <w:rPr>
                <w:rFonts w:hint="default" w:ascii="Times New Roman" w:hAnsi="Times New Roman" w:cs="Times New Roman"/>
              </w:rPr>
              <w:t>。</w:t>
            </w:r>
          </w:p>
          <w:p>
            <w:pPr>
              <w:pStyle w:val="26"/>
              <w:ind w:firstLine="480"/>
              <w:rPr>
                <w:rFonts w:hint="default" w:ascii="Times New Roman" w:hAnsi="Times New Roman" w:cs="Times New Roman"/>
              </w:rPr>
            </w:pPr>
            <w:r>
              <w:rPr>
                <w:rFonts w:hint="default" w:ascii="Times New Roman" w:hAnsi="Times New Roman" w:cs="Times New Roman"/>
              </w:rPr>
              <w:drawing>
                <wp:inline distT="0" distB="0" distL="114300" distR="114300">
                  <wp:extent cx="5097780" cy="1407795"/>
                  <wp:effectExtent l="0" t="0" r="0" b="0"/>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pic:cNvPicPr>
                        </pic:nvPicPr>
                        <pic:blipFill>
                          <a:blip r:embed="rId15"/>
                          <a:stretch>
                            <a:fillRect/>
                          </a:stretch>
                        </pic:blipFill>
                        <pic:spPr>
                          <a:xfrm>
                            <a:off x="0" y="0"/>
                            <a:ext cx="5097780" cy="1407795"/>
                          </a:xfrm>
                          <a:prstGeom prst="rect">
                            <a:avLst/>
                          </a:prstGeom>
                          <a:noFill/>
                          <a:ln>
                            <a:noFill/>
                          </a:ln>
                        </pic:spPr>
                      </pic:pic>
                    </a:graphicData>
                  </a:graphic>
                </wp:inline>
              </w:drawing>
            </w:r>
          </w:p>
          <w:p>
            <w:pPr>
              <w:pStyle w:val="25"/>
              <w:bidi w:val="0"/>
              <w:rPr>
                <w:rFonts w:hint="default" w:ascii="Times New Roman" w:hAnsi="Times New Roman" w:cs="Times New Roman"/>
              </w:rPr>
            </w:pPr>
            <w:r>
              <w:rPr>
                <w:rFonts w:hint="default" w:ascii="Times New Roman" w:hAnsi="Times New Roman" w:cs="Times New Roman"/>
              </w:rPr>
              <w:t>图</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1</w:t>
            </w:r>
            <w:r>
              <w:rPr>
                <w:rFonts w:hint="default" w:ascii="Times New Roman" w:hAnsi="Times New Roman" w:cs="Times New Roman"/>
              </w:rPr>
              <w:t>施工流程图及产污节点</w:t>
            </w:r>
          </w:p>
          <w:p>
            <w:pPr>
              <w:pStyle w:val="24"/>
              <w:bidi w:val="0"/>
              <w:spacing w:line="360" w:lineRule="auto"/>
              <w:rPr>
                <w:rFonts w:hint="default" w:ascii="Times New Roman" w:hAnsi="Times New Roman" w:cs="Times New Roman"/>
              </w:rPr>
            </w:pPr>
            <w:r>
              <w:rPr>
                <w:rFonts w:hint="default" w:ascii="Times New Roman" w:hAnsi="Times New Roman" w:cs="Times New Roman"/>
              </w:rPr>
              <w:t>本项目在既有厂房内建设，利用厂房隔音可以消除施工期噪声对外界的影响。施工期包装设备产生的废弃包装材料收集后，由业主方外卖给资源回收部门；施工期产生的生活垃圾经生活垃圾收集桶收集后交由</w:t>
            </w:r>
            <w:r>
              <w:rPr>
                <w:rFonts w:hint="default" w:ascii="Times New Roman" w:hAnsi="Times New Roman" w:cs="Times New Roman"/>
                <w:lang w:eastAsia="zh-CN"/>
              </w:rPr>
              <w:t>蓬溪县</w:t>
            </w:r>
            <w:r>
              <w:rPr>
                <w:rFonts w:hint="default" w:ascii="Times New Roman" w:hAnsi="Times New Roman" w:cs="Times New Roman"/>
              </w:rPr>
              <w:t>环卫部门统一处置。施工期人员生活废水依托厂房既有设施收集预处理后排入市政污水管网送</w:t>
            </w:r>
            <w:r>
              <w:rPr>
                <w:rFonts w:hint="default" w:ascii="Times New Roman" w:hAnsi="Times New Roman" w:cs="Times New Roman"/>
                <w:lang w:eastAsia="zh-CN"/>
              </w:rPr>
              <w:t>蓬溪县来龙山污水处理厂</w:t>
            </w:r>
            <w:r>
              <w:rPr>
                <w:rFonts w:hint="default" w:ascii="Times New Roman" w:hAnsi="Times New Roman" w:cs="Times New Roman"/>
              </w:rPr>
              <w:t>处理。</w:t>
            </w:r>
          </w:p>
          <w:p>
            <w:pPr>
              <w:pStyle w:val="24"/>
              <w:bidi w:val="0"/>
              <w:spacing w:line="360" w:lineRule="auto"/>
              <w:rPr>
                <w:rFonts w:hint="default" w:ascii="Times New Roman" w:hAnsi="Times New Roman" w:cs="Times New Roman"/>
              </w:rPr>
            </w:pPr>
            <w:r>
              <w:rPr>
                <w:rFonts w:hint="default" w:ascii="Times New Roman" w:hAnsi="Times New Roman" w:cs="Times New Roman"/>
              </w:rPr>
              <w:t>施工期为进一步防控噪声，业主方还应采取如下噪声治理措施</w:t>
            </w:r>
          </w:p>
          <w:p>
            <w:pPr>
              <w:pStyle w:val="24"/>
              <w:bidi w:val="0"/>
              <w:spacing w:line="360" w:lineRule="auto"/>
              <w:rPr>
                <w:rFonts w:hint="default" w:ascii="Times New Roman" w:hAnsi="Times New Roman" w:cs="Times New Roman"/>
              </w:rPr>
            </w:pPr>
            <w:r>
              <w:rPr>
                <w:rFonts w:hint="default" w:ascii="Times New Roman" w:hAnsi="Times New Roman" w:cs="Times New Roman"/>
              </w:rPr>
              <w:t>① 从声源上控制。文明施工，</w:t>
            </w:r>
            <w:r>
              <w:rPr>
                <w:rFonts w:hint="default" w:ascii="Times New Roman" w:hAnsi="Times New Roman" w:cs="Times New Roman"/>
                <w:lang w:eastAsia="zh-CN"/>
              </w:rPr>
              <w:t>尽可能地</w:t>
            </w:r>
            <w:r>
              <w:rPr>
                <w:rFonts w:hint="default" w:ascii="Times New Roman" w:hAnsi="Times New Roman" w:cs="Times New Roman"/>
              </w:rPr>
              <w:t>声源上降低噪声对外界的影响。</w:t>
            </w:r>
          </w:p>
          <w:p>
            <w:pPr>
              <w:pStyle w:val="24"/>
              <w:bidi w:val="0"/>
              <w:spacing w:line="360" w:lineRule="auto"/>
              <w:rPr>
                <w:rFonts w:hint="default" w:ascii="Times New Roman" w:hAnsi="Times New Roman" w:cs="Times New Roman"/>
              </w:rPr>
            </w:pPr>
            <w:r>
              <w:rPr>
                <w:rFonts w:hint="default" w:ascii="Times New Roman" w:hAnsi="Times New Roman" w:cs="Times New Roman"/>
              </w:rPr>
              <w:t>②业主单位应与周围单位建立良好关系，及时让他们了解施工进度及采取的降噪措施，并取得大家的共同理解。</w:t>
            </w:r>
          </w:p>
          <w:p>
            <w:pPr>
              <w:pStyle w:val="24"/>
              <w:bidi w:val="0"/>
              <w:spacing w:line="360" w:lineRule="auto"/>
              <w:rPr>
                <w:rFonts w:hint="default" w:ascii="Times New Roman" w:hAnsi="Times New Roman" w:cs="Times New Roman"/>
              </w:rPr>
            </w:pPr>
            <w:r>
              <w:rPr>
                <w:rFonts w:hint="default" w:ascii="Times New Roman" w:hAnsi="Times New Roman" w:cs="Times New Roman"/>
              </w:rPr>
              <w:t>③合理安排施工时间，施工机械要合理有序调度。</w:t>
            </w:r>
          </w:p>
          <w:p>
            <w:pPr>
              <w:pStyle w:val="24"/>
              <w:bidi w:val="0"/>
              <w:spacing w:line="360" w:lineRule="auto"/>
              <w:ind w:left="0" w:leftChars="0" w:firstLine="482" w:firstLineChars="200"/>
              <w:rPr>
                <w:rFonts w:hint="default" w:ascii="Times New Roman" w:hAnsi="Times New Roman" w:cs="Times New Roman"/>
                <w:b/>
                <w:bCs/>
              </w:rPr>
            </w:pPr>
            <w:r>
              <w:rPr>
                <w:rFonts w:hint="default" w:ascii="Times New Roman" w:hAnsi="Times New Roman" w:cs="Times New Roman"/>
                <w:b/>
                <w:bCs/>
                <w:lang w:val="en-US" w:eastAsia="zh-CN"/>
              </w:rPr>
              <w:t>2、</w:t>
            </w:r>
            <w:r>
              <w:rPr>
                <w:rFonts w:hint="default" w:ascii="Times New Roman" w:hAnsi="Times New Roman" w:cs="Times New Roman"/>
                <w:b/>
                <w:bCs/>
              </w:rPr>
              <w:t>运行期工艺流程概述：</w:t>
            </w:r>
          </w:p>
          <w:p>
            <w:pPr>
              <w:pStyle w:val="24"/>
              <w:bidi w:val="0"/>
              <w:spacing w:line="360" w:lineRule="auto"/>
              <w:rPr>
                <w:rFonts w:hint="eastAsia" w:ascii="Times New Roman" w:hAnsi="Times New Roman" w:cs="Times New Roman"/>
                <w:b/>
                <w:bCs/>
                <w:u w:val="single"/>
                <w:lang w:eastAsia="zh-CN"/>
              </w:rPr>
            </w:pPr>
            <w:r>
              <w:rPr>
                <w:rFonts w:hint="default" w:ascii="Times New Roman" w:hAnsi="Times New Roman" w:cs="Times New Roman"/>
                <w:b/>
                <w:bCs/>
                <w:u w:val="single"/>
              </w:rPr>
              <w:t>本项目产品为聚乙烯管材、管件</w:t>
            </w:r>
            <w:r>
              <w:rPr>
                <w:rFonts w:hint="eastAsia" w:ascii="Times New Roman" w:hAnsi="Times New Roman" w:cs="Times New Roman"/>
                <w:b/>
                <w:bCs/>
                <w:u w:val="single"/>
                <w:lang w:eastAsia="zh-CN"/>
              </w:rPr>
              <w:t>；</w:t>
            </w:r>
          </w:p>
          <w:p>
            <w:pPr>
              <w:pStyle w:val="24"/>
              <w:bidi w:val="0"/>
              <w:spacing w:line="360" w:lineRule="auto"/>
              <w:rPr>
                <w:rFonts w:hint="eastAsia" w:ascii="Times New Roman" w:hAnsi="Times New Roman" w:cs="Times New Roman"/>
                <w:b/>
                <w:bCs/>
                <w:u w:val="single"/>
                <w:lang w:eastAsia="zh-CN"/>
              </w:rPr>
            </w:pPr>
            <w:r>
              <w:rPr>
                <w:rFonts w:hint="default" w:ascii="Times New Roman" w:hAnsi="Times New Roman" w:cs="Times New Roman"/>
                <w:b/>
                <w:bCs/>
                <w:u w:val="single"/>
              </w:rPr>
              <w:t>聚丙烯管材、管件</w:t>
            </w:r>
            <w:r>
              <w:rPr>
                <w:rFonts w:hint="eastAsia" w:ascii="Times New Roman" w:hAnsi="Times New Roman" w:cs="Times New Roman"/>
                <w:b/>
                <w:bCs/>
                <w:u w:val="single"/>
                <w:lang w:eastAsia="zh-CN"/>
              </w:rPr>
              <w:t>；</w:t>
            </w:r>
          </w:p>
          <w:p>
            <w:pPr>
              <w:pStyle w:val="24"/>
              <w:bidi w:val="0"/>
              <w:spacing w:line="360" w:lineRule="auto"/>
              <w:rPr>
                <w:rFonts w:hint="default" w:ascii="Times New Roman" w:hAnsi="Times New Roman" w:cs="Times New Roman"/>
                <w:u w:val="none"/>
              </w:rPr>
            </w:pPr>
            <w:r>
              <w:rPr>
                <w:rFonts w:hint="default" w:ascii="Times New Roman" w:hAnsi="Times New Roman" w:cs="Times New Roman"/>
                <w:b/>
                <w:bCs/>
                <w:u w:val="single"/>
              </w:rPr>
              <w:t>聚氯乙烯管材、管件等</w:t>
            </w:r>
            <w:r>
              <w:rPr>
                <w:rFonts w:hint="default" w:ascii="Times New Roman" w:hAnsi="Times New Roman" w:cs="Times New Roman"/>
                <w:u w:val="none"/>
              </w:rPr>
              <w:t>，</w:t>
            </w:r>
          </w:p>
          <w:p>
            <w:pPr>
              <w:pStyle w:val="24"/>
              <w:bidi w:val="0"/>
              <w:spacing w:line="360" w:lineRule="auto"/>
              <w:rPr>
                <w:rFonts w:hint="default" w:ascii="Times New Roman" w:hAnsi="Times New Roman" w:cs="Times New Roman"/>
                <w:u w:val="single"/>
              </w:rPr>
            </w:pPr>
            <w:r>
              <w:rPr>
                <w:rFonts w:hint="eastAsia" w:ascii="Times New Roman" w:hAnsi="Times New Roman" w:cs="Times New Roman"/>
                <w:u w:val="single"/>
                <w:lang w:val="en-US" w:eastAsia="zh-CN"/>
              </w:rPr>
              <w:t>项目</w:t>
            </w:r>
            <w:r>
              <w:rPr>
                <w:rFonts w:hint="default" w:ascii="Times New Roman" w:hAnsi="Times New Roman" w:cs="Times New Roman"/>
                <w:b w:val="0"/>
                <w:bCs w:val="0"/>
                <w:u w:val="single"/>
              </w:rPr>
              <w:t>生产过程为物理混合过程，无化学反应</w:t>
            </w:r>
            <w:r>
              <w:rPr>
                <w:rFonts w:hint="default" w:ascii="Times New Roman" w:hAnsi="Times New Roman" w:cs="Times New Roman"/>
                <w:u w:val="single"/>
              </w:rPr>
              <w:t>，其中聚乙烯管材及聚丙烯管材生产工艺相同，仅添加原料不同；聚乙烯管件、聚丙烯管件设备通用，生产工艺相同，仅添加原料不同。</w:t>
            </w:r>
          </w:p>
          <w:p>
            <w:pPr>
              <w:pStyle w:val="24"/>
              <w:bidi w:val="0"/>
              <w:spacing w:line="360" w:lineRule="auto"/>
              <w:rPr>
                <w:rFonts w:hint="default" w:ascii="Times New Roman" w:hAnsi="Times New Roman" w:cs="Times New Roman"/>
                <w:b/>
                <w:bCs/>
              </w:rPr>
            </w:pPr>
            <w:r>
              <w:rPr>
                <w:rFonts w:hint="default" w:ascii="Times New Roman" w:hAnsi="Times New Roman" w:cs="Times New Roman"/>
                <w:b/>
                <w:bCs/>
                <w:lang w:val="zh-CN"/>
              </w:rPr>
              <w:t>（</w:t>
            </w:r>
            <w:r>
              <w:rPr>
                <w:rFonts w:hint="default" w:ascii="Times New Roman" w:hAnsi="Times New Roman" w:cs="Times New Roman"/>
                <w:b/>
                <w:bCs/>
                <w:lang w:val="en-US" w:eastAsia="zh-CN"/>
              </w:rPr>
              <w:t>1</w:t>
            </w:r>
            <w:r>
              <w:rPr>
                <w:rFonts w:hint="default" w:ascii="Times New Roman" w:hAnsi="Times New Roman" w:cs="Times New Roman"/>
                <w:b/>
                <w:bCs/>
                <w:lang w:val="zh-CN"/>
              </w:rPr>
              <w:t>）聚乙烯管材、聚丙烯管材</w:t>
            </w:r>
            <w:r>
              <w:rPr>
                <w:rFonts w:hint="default" w:ascii="Times New Roman" w:hAnsi="Times New Roman" w:cs="Times New Roman"/>
                <w:b/>
                <w:bCs/>
              </w:rPr>
              <w:t>工艺流程简述</w:t>
            </w:r>
          </w:p>
          <w:p>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26685" cy="5274945"/>
                  <wp:effectExtent l="0" t="0" r="635" b="13335"/>
                  <wp:docPr id="2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3"/>
                          <pic:cNvPicPr>
                            <a:picLocks noChangeAspect="1"/>
                          </pic:cNvPicPr>
                        </pic:nvPicPr>
                        <pic:blipFill>
                          <a:blip r:embed="rId16"/>
                          <a:stretch>
                            <a:fillRect/>
                          </a:stretch>
                        </pic:blipFill>
                        <pic:spPr>
                          <a:xfrm>
                            <a:off x="0" y="0"/>
                            <a:ext cx="5226685" cy="5274945"/>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cs="Times New Roman"/>
                <w:b/>
                <w:bCs/>
              </w:rPr>
            </w:pPr>
            <w:r>
              <w:rPr>
                <w:rFonts w:hint="default" w:ascii="Times New Roman" w:hAnsi="Times New Roman" w:cs="Times New Roman"/>
                <w:b/>
                <w:bCs/>
                <w:sz w:val="24"/>
                <w:szCs w:val="32"/>
              </w:rPr>
              <w:t>图</w:t>
            </w:r>
            <w:r>
              <w:rPr>
                <w:rFonts w:hint="default" w:ascii="Times New Roman" w:hAnsi="Times New Roman" w:cs="Times New Roman"/>
                <w:b/>
                <w:bCs/>
                <w:sz w:val="24"/>
                <w:szCs w:val="32"/>
                <w:lang w:val="en-US" w:eastAsia="zh-CN"/>
              </w:rPr>
              <w:t>2-2</w:t>
            </w:r>
            <w:r>
              <w:rPr>
                <w:rFonts w:hint="default" w:ascii="Times New Roman" w:hAnsi="Times New Roman" w:cs="Times New Roman"/>
                <w:b/>
                <w:bCs/>
                <w:sz w:val="24"/>
                <w:szCs w:val="32"/>
              </w:rPr>
              <w:t xml:space="preserve">  聚乙烯及聚丙烯管材生产工艺流程及产污位置图</w:t>
            </w:r>
          </w:p>
          <w:p>
            <w:pPr>
              <w:pStyle w:val="24"/>
              <w:bidi w:val="0"/>
              <w:spacing w:line="360" w:lineRule="auto"/>
              <w:rPr>
                <w:rFonts w:hint="default" w:ascii="Times New Roman" w:hAnsi="Times New Roman" w:cs="Times New Roman"/>
                <w:lang w:val="zh-CN"/>
              </w:rPr>
            </w:pPr>
            <w:r>
              <w:rPr>
                <w:rFonts w:hint="default" w:ascii="Times New Roman" w:hAnsi="Times New Roman" w:cs="Times New Roman"/>
              </w:rPr>
              <w:t>本项目采用PE挤塑机及PPR挤塑机用于生产PE管材及PPR管材，该设备为成套设备，其中包含挤塑主机、真空负压定径箱、冷却水箱</w:t>
            </w:r>
            <w:r>
              <w:rPr>
                <w:rFonts w:hint="default" w:ascii="Times New Roman" w:hAnsi="Times New Roman" w:cs="Times New Roman"/>
                <w:lang w:eastAsia="zh-CN"/>
              </w:rPr>
              <w:t>、</w:t>
            </w:r>
            <w:r>
              <w:rPr>
                <w:rFonts w:hint="default" w:ascii="Times New Roman" w:hAnsi="Times New Roman" w:cs="Times New Roman"/>
              </w:rPr>
              <w:t>牵引机、切割机及翻管架。</w:t>
            </w:r>
          </w:p>
          <w:p>
            <w:pPr>
              <w:pStyle w:val="24"/>
              <w:bidi w:val="0"/>
              <w:spacing w:line="360" w:lineRule="auto"/>
              <w:rPr>
                <w:rFonts w:hint="default" w:ascii="Times New Roman" w:hAnsi="Times New Roman" w:cs="Times New Roman"/>
                <w:b/>
                <w:bCs/>
                <w:u w:val="single"/>
              </w:rPr>
            </w:pPr>
            <w:r>
              <w:rPr>
                <w:rFonts w:hint="default" w:ascii="Times New Roman" w:hAnsi="Times New Roman" w:cs="Times New Roman"/>
              </w:rPr>
              <w:t>①混料：将原料倒入搅拌机中充分混合均匀，由于聚乙烯及聚丙烯颗粒的粒径均在2mm以上，因此，搅拌过程中无粉尘产生。</w:t>
            </w:r>
            <w:r>
              <w:rPr>
                <w:rFonts w:hint="default" w:ascii="Times New Roman" w:hAnsi="Times New Roman" w:cs="Times New Roman"/>
                <w:b/>
                <w:bCs/>
                <w:u w:val="single"/>
              </w:rPr>
              <w:t>该工序产生的污染物主要为搅拌设备噪声。</w:t>
            </w:r>
          </w:p>
          <w:p>
            <w:pPr>
              <w:pStyle w:val="24"/>
              <w:bidi w:val="0"/>
              <w:spacing w:line="360" w:lineRule="auto"/>
              <w:rPr>
                <w:rFonts w:hint="default" w:ascii="Times New Roman" w:hAnsi="Times New Roman" w:cs="Times New Roman"/>
              </w:rPr>
            </w:pPr>
            <w:r>
              <w:rPr>
                <w:rFonts w:hint="default" w:ascii="Times New Roman" w:hAnsi="Times New Roman" w:cs="Times New Roman"/>
              </w:rPr>
              <w:t>②烘干：为保证产品质量，原料中水分含量必须小于等于300mg/kg，方可投入生产。因此，原材料使用（挤出成型）前，要先对原料进行烘干，采用搅拌机自动电烘干系统，烘干温度控制在80~85℃，因此，烘干过程中无有机废气产生。</w:t>
            </w:r>
            <w:r>
              <w:rPr>
                <w:rFonts w:hint="default" w:ascii="Times New Roman" w:hAnsi="Times New Roman" w:cs="Times New Roman"/>
                <w:b/>
                <w:bCs/>
                <w:u w:val="single"/>
              </w:rPr>
              <w:t>该工序产生的污染物主要为烘干噪声。</w:t>
            </w:r>
          </w:p>
          <w:p>
            <w:pPr>
              <w:pStyle w:val="24"/>
              <w:bidi w:val="0"/>
              <w:spacing w:line="360" w:lineRule="auto"/>
              <w:rPr>
                <w:rFonts w:hint="default" w:ascii="Times New Roman" w:hAnsi="Times New Roman" w:cs="Times New Roman"/>
                <w:b/>
                <w:bCs/>
                <w:u w:val="single"/>
              </w:rPr>
            </w:pPr>
            <w:r>
              <w:rPr>
                <w:rFonts w:hint="default" w:ascii="Times New Roman" w:hAnsi="Times New Roman" w:cs="Times New Roman"/>
              </w:rPr>
              <w:t>③高温加热软化挤塑：物料由管道直接进入挤塑机内，挤塑机设定温度一般为180~220℃。在旋转着的螺杆的作用下，通过机筒内壁和螺杆表面的磨擦作用，由机筒外的加热圈（以电作为能源）对机筒进行加热，使原料在沿料筒里前进时温度逐渐升高，加热温度约为200℃，颗粒转变成熔融的状态（塑化过程）。在加压的作用下，通过挤塑模具而使之成为截面与出口模形状相仿的连续体。</w:t>
            </w:r>
            <w:r>
              <w:rPr>
                <w:rFonts w:hint="default" w:ascii="Times New Roman" w:hAnsi="Times New Roman" w:cs="Times New Roman"/>
                <w:b/>
                <w:bCs/>
                <w:u w:val="single"/>
              </w:rPr>
              <w:t>该步工序产生的污染物主要为设备噪声和挤塑过程中产生的有机废气。</w:t>
            </w:r>
          </w:p>
          <w:p>
            <w:pPr>
              <w:pStyle w:val="24"/>
              <w:bidi w:val="0"/>
              <w:spacing w:line="360" w:lineRule="auto"/>
              <w:rPr>
                <w:rFonts w:hint="default" w:ascii="Times New Roman" w:hAnsi="Times New Roman" w:cs="Times New Roman"/>
              </w:rPr>
            </w:pPr>
            <w:r>
              <w:rPr>
                <w:rFonts w:hint="default" w:ascii="Times New Roman" w:hAnsi="Times New Roman" w:cs="Times New Roman"/>
              </w:rPr>
              <w:t>④冷却成型：采用冷却水对模具进行冷却（即间接冷却产品），使冷却固化。最终由人工取出产品，即脱模。</w:t>
            </w:r>
          </w:p>
          <w:p>
            <w:pPr>
              <w:pStyle w:val="24"/>
              <w:bidi w:val="0"/>
              <w:spacing w:line="360" w:lineRule="auto"/>
              <w:rPr>
                <w:rFonts w:hint="default" w:ascii="Times New Roman" w:hAnsi="Times New Roman" w:cs="Times New Roman"/>
              </w:rPr>
            </w:pPr>
            <w:r>
              <w:rPr>
                <w:rFonts w:hint="default" w:ascii="Times New Roman" w:hAnsi="Times New Roman" w:cs="Times New Roman"/>
              </w:rPr>
              <w:t>⑤打码：采用激光打码机进行喷码，无有机废气产生。</w:t>
            </w:r>
          </w:p>
          <w:p>
            <w:pPr>
              <w:pStyle w:val="24"/>
              <w:bidi w:val="0"/>
              <w:spacing w:line="360" w:lineRule="auto"/>
              <w:rPr>
                <w:rFonts w:hint="default" w:ascii="Times New Roman" w:hAnsi="Times New Roman" w:cs="Times New Roman"/>
                <w:b/>
                <w:bCs/>
                <w:u w:val="single"/>
              </w:rPr>
            </w:pPr>
            <w:r>
              <w:rPr>
                <w:rFonts w:hint="default" w:ascii="Times New Roman" w:hAnsi="Times New Roman" w:cs="Times New Roman"/>
              </w:rPr>
              <w:t>⑥牵引：牵引的作用是将已经冷却成型的管材从上游设备连续不断地拉出。</w:t>
            </w:r>
            <w:r>
              <w:rPr>
                <w:rFonts w:hint="default" w:ascii="Times New Roman" w:hAnsi="Times New Roman" w:cs="Times New Roman"/>
                <w:b/>
                <w:bCs/>
                <w:u w:val="single"/>
              </w:rPr>
              <w:t>该步工序产生的污染物主要为设备噪声</w:t>
            </w:r>
          </w:p>
          <w:p>
            <w:pPr>
              <w:pStyle w:val="24"/>
              <w:bidi w:val="0"/>
              <w:spacing w:line="360" w:lineRule="auto"/>
              <w:rPr>
                <w:rFonts w:hint="default" w:ascii="Times New Roman" w:hAnsi="Times New Roman" w:cs="Times New Roman"/>
              </w:rPr>
            </w:pPr>
            <w:r>
              <w:rPr>
                <w:rFonts w:hint="default" w:ascii="Times New Roman" w:hAnsi="Times New Roman" w:cs="Times New Roman"/>
              </w:rPr>
              <w:t>⑦切割</w:t>
            </w:r>
            <w:r>
              <w:rPr>
                <w:rFonts w:hint="default" w:ascii="Times New Roman" w:hAnsi="Times New Roman" w:cs="Times New Roman"/>
                <w:lang w:eastAsia="zh-CN"/>
              </w:rPr>
              <w:t>：</w:t>
            </w:r>
            <w:r>
              <w:rPr>
                <w:rFonts w:hint="default" w:ascii="Times New Roman" w:hAnsi="Times New Roman" w:cs="Times New Roman"/>
              </w:rPr>
              <w:t>设定管材长度尺寸，将管材切割后使长度达到用户要求。该步工序产生的污染物主要为设备噪声和废边角料。</w:t>
            </w:r>
          </w:p>
          <w:p>
            <w:pPr>
              <w:pStyle w:val="24"/>
              <w:bidi w:val="0"/>
              <w:spacing w:line="360" w:lineRule="auto"/>
              <w:rPr>
                <w:rFonts w:hint="default" w:ascii="Times New Roman" w:hAnsi="Times New Roman" w:cs="Times New Roman"/>
              </w:rPr>
            </w:pPr>
            <w:r>
              <w:rPr>
                <w:rFonts w:hint="default" w:ascii="Times New Roman" w:hAnsi="Times New Roman" w:cs="Times New Roman"/>
              </w:rPr>
              <w:t>⑧检验</w:t>
            </w:r>
          </w:p>
          <w:p>
            <w:pPr>
              <w:pStyle w:val="24"/>
              <w:bidi w:val="0"/>
              <w:spacing w:line="360" w:lineRule="auto"/>
              <w:rPr>
                <w:rFonts w:hint="default" w:ascii="Times New Roman" w:hAnsi="Times New Roman" w:cs="Times New Roman"/>
              </w:rPr>
            </w:pPr>
            <w:r>
              <w:rPr>
                <w:rFonts w:hint="default" w:ascii="Times New Roman" w:hAnsi="Times New Roman" w:cs="Times New Roman"/>
              </w:rPr>
              <w:t>人工检验管材外径、壁厚及长度是否合规。</w:t>
            </w:r>
          </w:p>
          <w:p>
            <w:pPr>
              <w:pStyle w:val="24"/>
              <w:bidi w:val="0"/>
              <w:spacing w:line="360" w:lineRule="auto"/>
              <w:rPr>
                <w:rFonts w:hint="default" w:ascii="Times New Roman" w:hAnsi="Times New Roman" w:cs="Times New Roman"/>
              </w:rPr>
            </w:pPr>
          </w:p>
          <w:p>
            <w:pPr>
              <w:pStyle w:val="24"/>
              <w:bidi w:val="0"/>
              <w:spacing w:line="360" w:lineRule="auto"/>
              <w:rPr>
                <w:rFonts w:hint="default" w:ascii="Times New Roman" w:hAnsi="Times New Roman" w:cs="Times New Roman"/>
              </w:rPr>
            </w:pPr>
          </w:p>
          <w:p>
            <w:pPr>
              <w:pStyle w:val="24"/>
              <w:bidi w:val="0"/>
              <w:spacing w:line="360" w:lineRule="auto"/>
              <w:rPr>
                <w:rFonts w:hint="default" w:ascii="Times New Roman" w:hAnsi="Times New Roman" w:cs="Times New Roman"/>
              </w:rPr>
            </w:pPr>
          </w:p>
          <w:p>
            <w:pPr>
              <w:pStyle w:val="24"/>
              <w:bidi w:val="0"/>
              <w:spacing w:line="360" w:lineRule="auto"/>
              <w:rPr>
                <w:rFonts w:hint="default" w:ascii="Times New Roman" w:hAnsi="Times New Roman" w:cs="Times New Roman"/>
              </w:rPr>
            </w:pPr>
          </w:p>
          <w:p>
            <w:pPr>
              <w:pStyle w:val="24"/>
              <w:bidi w:val="0"/>
              <w:spacing w:line="360" w:lineRule="auto"/>
              <w:rPr>
                <w:rFonts w:hint="default" w:ascii="Times New Roman" w:hAnsi="Times New Roman" w:cs="Times New Roman"/>
              </w:rPr>
            </w:pPr>
          </w:p>
          <w:p>
            <w:pPr>
              <w:pStyle w:val="24"/>
              <w:bidi w:val="0"/>
              <w:spacing w:line="360" w:lineRule="auto"/>
              <w:rPr>
                <w:rFonts w:hint="default" w:ascii="Times New Roman" w:hAnsi="Times New Roman" w:cs="Times New Roman"/>
              </w:rPr>
            </w:pPr>
          </w:p>
          <w:p>
            <w:pPr>
              <w:pStyle w:val="24"/>
              <w:bidi w:val="0"/>
              <w:spacing w:line="360" w:lineRule="auto"/>
              <w:rPr>
                <w:rFonts w:hint="default" w:ascii="Times New Roman" w:hAnsi="Times New Roman" w:cs="Times New Roman"/>
              </w:rPr>
            </w:pPr>
          </w:p>
          <w:p>
            <w:pPr>
              <w:pStyle w:val="24"/>
              <w:bidi w:val="0"/>
              <w:spacing w:line="360" w:lineRule="auto"/>
              <w:rPr>
                <w:rFonts w:hint="default" w:ascii="Times New Roman" w:hAnsi="Times New Roman" w:cs="Times New Roman"/>
              </w:rPr>
            </w:pPr>
          </w:p>
          <w:p>
            <w:pPr>
              <w:pStyle w:val="24"/>
              <w:bidi w:val="0"/>
              <w:spacing w:line="360" w:lineRule="auto"/>
              <w:rPr>
                <w:rFonts w:hint="default" w:ascii="Times New Roman" w:hAnsi="Times New Roman" w:cs="Times New Roman"/>
              </w:rPr>
            </w:pPr>
          </w:p>
          <w:p>
            <w:pPr>
              <w:pStyle w:val="24"/>
              <w:bidi w:val="0"/>
              <w:spacing w:line="360" w:lineRule="auto"/>
              <w:rPr>
                <w:rFonts w:hint="default" w:ascii="Times New Roman" w:hAnsi="Times New Roman" w:cs="Times New Roman"/>
              </w:rPr>
            </w:pPr>
          </w:p>
          <w:p>
            <w:pPr>
              <w:pStyle w:val="24"/>
              <w:bidi w:val="0"/>
              <w:spacing w:line="360" w:lineRule="auto"/>
              <w:rPr>
                <w:rFonts w:hint="default" w:ascii="Times New Roman" w:hAnsi="Times New Roman" w:cs="Times New Roman"/>
              </w:rPr>
            </w:pPr>
          </w:p>
          <w:p>
            <w:pPr>
              <w:pStyle w:val="24"/>
              <w:bidi w:val="0"/>
              <w:spacing w:line="360" w:lineRule="auto"/>
              <w:rPr>
                <w:rFonts w:hint="default" w:ascii="Times New Roman" w:hAnsi="Times New Roman" w:cs="Times New Roman"/>
              </w:rPr>
            </w:pPr>
          </w:p>
          <w:p>
            <w:pPr>
              <w:pStyle w:val="24"/>
              <w:bidi w:val="0"/>
              <w:spacing w:line="360" w:lineRule="auto"/>
              <w:ind w:left="0" w:leftChars="0" w:firstLine="0" w:firstLineChars="0"/>
              <w:rPr>
                <w:rFonts w:hint="default" w:ascii="Times New Roman" w:hAnsi="Times New Roman" w:cs="Times New Roman"/>
              </w:rPr>
            </w:pPr>
          </w:p>
          <w:p>
            <w:pPr>
              <w:pStyle w:val="24"/>
              <w:numPr>
                <w:ilvl w:val="0"/>
                <w:numId w:val="3"/>
              </w:numPr>
              <w:bidi w:val="0"/>
              <w:spacing w:line="360" w:lineRule="auto"/>
              <w:rPr>
                <w:rFonts w:hint="default" w:ascii="Times New Roman" w:hAnsi="Times New Roman" w:cs="Times New Roman"/>
                <w:b/>
                <w:bCs/>
              </w:rPr>
            </w:pPr>
            <w:r>
              <w:rPr>
                <w:rFonts w:hint="default" w:ascii="Times New Roman" w:hAnsi="Times New Roman" w:cs="Times New Roman"/>
                <w:b/>
                <w:bCs/>
                <w:lang w:val="zh-CN"/>
              </w:rPr>
              <w:t>PVC管材</w:t>
            </w:r>
            <w:r>
              <w:rPr>
                <w:rFonts w:hint="default" w:ascii="Times New Roman" w:hAnsi="Times New Roman" w:cs="Times New Roman"/>
                <w:b/>
                <w:bCs/>
              </w:rPr>
              <w:t>工艺流程简述</w:t>
            </w:r>
          </w:p>
          <w:p>
            <w:pPr>
              <w:pStyle w:val="15"/>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147310" cy="5207635"/>
                  <wp:effectExtent l="0" t="0" r="381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147310" cy="5207635"/>
                          </a:xfrm>
                          <a:prstGeom prst="rect">
                            <a:avLst/>
                          </a:prstGeom>
                          <a:noFill/>
                          <a:ln>
                            <a:noFill/>
                          </a:ln>
                        </pic:spPr>
                      </pic:pic>
                    </a:graphicData>
                  </a:graphic>
                </wp:inline>
              </w:drawing>
            </w:r>
          </w:p>
          <w:p>
            <w:pPr>
              <w:adjustRightInd w:val="0"/>
              <w:snapToGrid w:val="0"/>
              <w:spacing w:line="360" w:lineRule="auto"/>
              <w:ind w:firstLine="1205" w:firstLineChars="500"/>
              <w:jc w:val="left"/>
              <w:rPr>
                <w:rFonts w:hint="default" w:ascii="Times New Roman" w:hAnsi="Times New Roman" w:cs="Times New Roman"/>
                <w:b/>
                <w:bCs/>
                <w:sz w:val="24"/>
                <w:szCs w:val="32"/>
                <w:lang w:val="zh-CN"/>
              </w:rPr>
            </w:pPr>
            <w:r>
              <w:rPr>
                <w:rFonts w:hint="default" w:ascii="Times New Roman" w:hAnsi="Times New Roman" w:cs="Times New Roman"/>
                <w:b/>
                <w:bCs/>
                <w:sz w:val="24"/>
                <w:szCs w:val="32"/>
              </w:rPr>
              <w:t>图</w:t>
            </w:r>
            <w:r>
              <w:rPr>
                <w:rFonts w:hint="default" w:ascii="Times New Roman" w:hAnsi="Times New Roman" w:cs="Times New Roman"/>
                <w:b/>
                <w:bCs/>
                <w:sz w:val="24"/>
                <w:szCs w:val="32"/>
                <w:lang w:val="en-US" w:eastAsia="zh-CN"/>
              </w:rPr>
              <w:t>2</w:t>
            </w:r>
            <w:r>
              <w:rPr>
                <w:rFonts w:hint="default" w:ascii="Times New Roman" w:hAnsi="Times New Roman" w:cs="Times New Roman"/>
                <w:b/>
                <w:bCs/>
                <w:sz w:val="24"/>
                <w:szCs w:val="32"/>
              </w:rPr>
              <w:t>-3  PVC管材生产工艺流程及产污位置图</w:t>
            </w:r>
          </w:p>
          <w:p>
            <w:pPr>
              <w:pStyle w:val="24"/>
              <w:bidi w:val="0"/>
              <w:spacing w:line="360" w:lineRule="auto"/>
              <w:rPr>
                <w:rFonts w:hint="default" w:ascii="Times New Roman" w:hAnsi="Times New Roman" w:cs="Times New Roman"/>
                <w:lang w:val="zh-CN"/>
              </w:rPr>
            </w:pPr>
            <w:r>
              <w:rPr>
                <w:rFonts w:hint="default" w:ascii="Times New Roman" w:hAnsi="Times New Roman" w:cs="Times New Roman"/>
              </w:rPr>
              <w:t>本项目采用PVC挤塑机用于生产PVC管材，该设备为成套设备，其中包含挤塑主机、真空负压定径箱、冷却水箱</w:t>
            </w:r>
            <w:r>
              <w:rPr>
                <w:rFonts w:hint="default" w:ascii="Times New Roman" w:hAnsi="Times New Roman" w:cs="Times New Roman"/>
                <w:lang w:eastAsia="zh-CN"/>
              </w:rPr>
              <w:t>、</w:t>
            </w:r>
            <w:r>
              <w:rPr>
                <w:rFonts w:hint="default" w:ascii="Times New Roman" w:hAnsi="Times New Roman" w:cs="Times New Roman"/>
              </w:rPr>
              <w:t>牵引机、切割机及翻管架。</w:t>
            </w:r>
          </w:p>
          <w:p>
            <w:pPr>
              <w:pStyle w:val="24"/>
              <w:bidi w:val="0"/>
              <w:spacing w:line="360" w:lineRule="auto"/>
              <w:rPr>
                <w:rFonts w:hint="default" w:ascii="Times New Roman" w:hAnsi="Times New Roman" w:cs="Times New Roman"/>
                <w:b/>
                <w:bCs/>
                <w:u w:val="single"/>
              </w:rPr>
            </w:pPr>
            <w:r>
              <w:rPr>
                <w:rFonts w:hint="default" w:ascii="Times New Roman" w:hAnsi="Times New Roman" w:cs="Times New Roman"/>
              </w:rPr>
              <w:t>①混料捏合：人工将聚氯乙烯树脂</w:t>
            </w:r>
            <w:r>
              <w:rPr>
                <w:rFonts w:hint="eastAsia" w:ascii="Times New Roman" w:hAnsi="Times New Roman" w:cs="Times New Roman"/>
                <w:lang w:eastAsia="zh-CN"/>
              </w:rPr>
              <w:t>、</w:t>
            </w:r>
            <w:r>
              <w:rPr>
                <w:rFonts w:hint="default" w:ascii="Times New Roman" w:hAnsi="Times New Roman" w:cs="Times New Roman"/>
              </w:rPr>
              <w:t>钙粉、稳定剂、石蜡、钛白粉等按一定的比例投入混料间高低速混料机组中进行捏合混料处理，经捏合的混合物料，采用管道输送至料仓，通过管道接入挤塑主机进行塑化。</w:t>
            </w:r>
            <w:r>
              <w:rPr>
                <w:rFonts w:hint="default" w:ascii="Times New Roman" w:hAnsi="Times New Roman" w:cs="Times New Roman"/>
                <w:b/>
                <w:bCs/>
                <w:u w:val="single"/>
              </w:rPr>
              <w:t>该工序产生的污染物主要为搅拌设备噪声及混料粉尘。</w:t>
            </w:r>
          </w:p>
          <w:p>
            <w:pPr>
              <w:pStyle w:val="24"/>
              <w:bidi w:val="0"/>
              <w:spacing w:line="360" w:lineRule="auto"/>
              <w:rPr>
                <w:rFonts w:hint="default" w:ascii="Times New Roman" w:hAnsi="Times New Roman" w:cs="Times New Roman"/>
              </w:rPr>
            </w:pPr>
            <w:r>
              <w:rPr>
                <w:rFonts w:hint="default" w:ascii="Times New Roman" w:hAnsi="Times New Roman" w:cs="Times New Roman"/>
              </w:rPr>
              <w:t>②热熔挤塑成型</w:t>
            </w:r>
          </w:p>
          <w:p>
            <w:pPr>
              <w:pStyle w:val="24"/>
              <w:bidi w:val="0"/>
              <w:spacing w:line="360" w:lineRule="auto"/>
              <w:rPr>
                <w:rFonts w:hint="default" w:ascii="Times New Roman" w:hAnsi="Times New Roman" w:eastAsia="宋体" w:cs="Times New Roman"/>
                <w:b/>
                <w:bCs/>
                <w:u w:val="single"/>
                <w:lang w:val="en-US" w:eastAsia="zh-CN"/>
              </w:rPr>
            </w:pPr>
            <w:r>
              <w:rPr>
                <w:rFonts w:hint="default" w:ascii="Times New Roman" w:hAnsi="Times New Roman" w:cs="Times New Roman"/>
              </w:rPr>
              <w:t>物料由管道直接进入挤塑主机内，挤塑机设定温度一般为200~220℃。在旋转着的螺杆的作用下，通过机筒内壁和螺杆表面的磨擦作用，由机筒外的加热圈（以电作为能源）对机筒进行加热，使原料在沿料筒里前进时温度逐渐升高，加热温度约为150℃~1</w:t>
            </w:r>
            <w:r>
              <w:rPr>
                <w:rFonts w:hint="default" w:ascii="Times New Roman" w:hAnsi="Times New Roman" w:cs="Times New Roman"/>
                <w:lang w:val="en-US" w:eastAsia="zh-CN"/>
              </w:rPr>
              <w:t>9</w:t>
            </w:r>
            <w:r>
              <w:rPr>
                <w:rFonts w:hint="default" w:ascii="Times New Roman" w:hAnsi="Times New Roman" w:cs="Times New Roman"/>
              </w:rPr>
              <w:t>5℃，颗粒转变成熔融的状态（塑化过程）。在加压的作用下，通过挤塑模具而使之成为截面与出口模形状相仿的连续体。</w:t>
            </w:r>
            <w:r>
              <w:rPr>
                <w:rFonts w:hint="default" w:ascii="Times New Roman" w:hAnsi="Times New Roman" w:cs="Times New Roman"/>
                <w:b/>
                <w:bCs/>
                <w:u w:val="single"/>
              </w:rPr>
              <w:t>该步工序产生的污染物主要为设备噪声和挤塑过程中产生的有机废气</w:t>
            </w:r>
            <w:r>
              <w:rPr>
                <w:rFonts w:hint="eastAsia" w:ascii="Times New Roman" w:hAnsi="Times New Roman" w:cs="Times New Roman"/>
                <w:b/>
                <w:bCs/>
                <w:u w:val="single"/>
                <w:lang w:eastAsia="zh-CN"/>
              </w:rPr>
              <w:t>、</w:t>
            </w:r>
            <w:r>
              <w:rPr>
                <w:rFonts w:hint="eastAsia" w:ascii="Times New Roman" w:hAnsi="Times New Roman" w:cs="Times New Roman"/>
                <w:b/>
                <w:bCs/>
                <w:u w:val="single"/>
                <w:lang w:val="en-US" w:eastAsia="zh-CN"/>
              </w:rPr>
              <w:t>HCl</w:t>
            </w:r>
          </w:p>
          <w:p>
            <w:pPr>
              <w:pStyle w:val="24"/>
              <w:bidi w:val="0"/>
              <w:spacing w:line="360" w:lineRule="auto"/>
              <w:rPr>
                <w:rFonts w:hint="default" w:ascii="Times New Roman" w:hAnsi="Times New Roman" w:cs="Times New Roman"/>
              </w:rPr>
            </w:pPr>
            <w:r>
              <w:rPr>
                <w:rFonts w:hint="default" w:ascii="Times New Roman" w:hAnsi="Times New Roman" w:cs="Times New Roman"/>
              </w:rPr>
              <w:t>④冷却成型：采用冷却水对模具进行冷却（即间接冷却产品），使冷却固化。最终由人工取出产品，即脱模。</w:t>
            </w:r>
          </w:p>
          <w:p>
            <w:pPr>
              <w:pStyle w:val="24"/>
              <w:bidi w:val="0"/>
              <w:spacing w:line="360" w:lineRule="auto"/>
              <w:rPr>
                <w:rFonts w:hint="default" w:ascii="Times New Roman" w:hAnsi="Times New Roman" w:cs="Times New Roman"/>
              </w:rPr>
            </w:pPr>
            <w:r>
              <w:rPr>
                <w:rFonts w:hint="default" w:ascii="Times New Roman" w:hAnsi="Times New Roman" w:cs="Times New Roman"/>
              </w:rPr>
              <w:t>⑤打码：采用激光打码机进行喷码，无有机废气产生。</w:t>
            </w:r>
          </w:p>
          <w:p>
            <w:pPr>
              <w:pStyle w:val="24"/>
              <w:bidi w:val="0"/>
              <w:spacing w:line="360" w:lineRule="auto"/>
              <w:rPr>
                <w:rFonts w:hint="default" w:ascii="Times New Roman" w:hAnsi="Times New Roman" w:cs="Times New Roman"/>
                <w:b/>
                <w:bCs/>
                <w:u w:val="single"/>
              </w:rPr>
            </w:pPr>
            <w:r>
              <w:rPr>
                <w:rFonts w:hint="default" w:ascii="Times New Roman" w:hAnsi="Times New Roman" w:cs="Times New Roman"/>
              </w:rPr>
              <w:t>⑥牵引：牵引的作用是将已经冷却成型的管材从上游设备连续不断地拉出。</w:t>
            </w:r>
            <w:r>
              <w:rPr>
                <w:rFonts w:hint="default" w:ascii="Times New Roman" w:hAnsi="Times New Roman" w:cs="Times New Roman"/>
                <w:b/>
                <w:bCs/>
                <w:u w:val="single"/>
              </w:rPr>
              <w:t>该步工序产生的污染物主要为设备噪声</w:t>
            </w:r>
          </w:p>
          <w:p>
            <w:pPr>
              <w:pStyle w:val="24"/>
              <w:bidi w:val="0"/>
              <w:spacing w:line="360" w:lineRule="auto"/>
              <w:rPr>
                <w:rFonts w:hint="default" w:ascii="Times New Roman" w:hAnsi="Times New Roman" w:cs="Times New Roman"/>
              </w:rPr>
            </w:pPr>
            <w:r>
              <w:rPr>
                <w:rFonts w:hint="default" w:ascii="Times New Roman" w:hAnsi="Times New Roman" w:cs="Times New Roman"/>
              </w:rPr>
              <w:t>⑦切割</w:t>
            </w:r>
          </w:p>
          <w:p>
            <w:pPr>
              <w:pStyle w:val="24"/>
              <w:bidi w:val="0"/>
              <w:spacing w:line="360" w:lineRule="auto"/>
              <w:rPr>
                <w:rFonts w:hint="default" w:ascii="Times New Roman" w:hAnsi="Times New Roman" w:cs="Times New Roman"/>
                <w:b/>
                <w:bCs/>
                <w:sz w:val="24"/>
                <w:szCs w:val="24"/>
                <w:u w:val="single"/>
              </w:rPr>
            </w:pPr>
            <w:r>
              <w:rPr>
                <w:rFonts w:hint="default" w:ascii="Times New Roman" w:hAnsi="Times New Roman" w:cs="Times New Roman"/>
              </w:rPr>
              <w:t>设定管材长度尺寸，将管材切割后使长度达到用户要求。该</w:t>
            </w:r>
            <w:r>
              <w:rPr>
                <w:rFonts w:hint="default" w:ascii="Times New Roman" w:hAnsi="Times New Roman" w:cs="Times New Roman"/>
                <w:b/>
                <w:bCs/>
                <w:u w:val="single"/>
              </w:rPr>
              <w:t>步工序产生的</w:t>
            </w:r>
            <w:r>
              <w:rPr>
                <w:rFonts w:hint="default" w:ascii="Times New Roman" w:hAnsi="Times New Roman" w:cs="Times New Roman"/>
                <w:b/>
                <w:bCs/>
                <w:sz w:val="24"/>
                <w:szCs w:val="24"/>
                <w:u w:val="single"/>
              </w:rPr>
              <w:t>污染物主要为设备噪声和废边角料。</w:t>
            </w:r>
          </w:p>
          <w:p>
            <w:pPr>
              <w:pStyle w:val="24"/>
              <w:bidi w:val="0"/>
              <w:spacing w:line="360" w:lineRule="auto"/>
              <w:rPr>
                <w:rFonts w:hint="default" w:ascii="Times New Roman" w:hAnsi="Times New Roman" w:cs="Times New Roman"/>
                <w:sz w:val="24"/>
                <w:szCs w:val="24"/>
              </w:rPr>
            </w:pPr>
            <w:r>
              <w:rPr>
                <w:rFonts w:hint="default" w:ascii="Times New Roman" w:hAnsi="Times New Roman" w:cs="Times New Roman"/>
                <w:sz w:val="24"/>
                <w:szCs w:val="24"/>
              </w:rPr>
              <w:t>⑧检验</w:t>
            </w:r>
          </w:p>
          <w:p>
            <w:pPr>
              <w:pStyle w:val="24"/>
              <w:bidi w:val="0"/>
              <w:spacing w:line="360" w:lineRule="auto"/>
              <w:rPr>
                <w:rFonts w:hint="default" w:ascii="Times New Roman" w:hAnsi="Times New Roman" w:cs="Times New Roman"/>
                <w:sz w:val="24"/>
                <w:szCs w:val="24"/>
              </w:rPr>
            </w:pPr>
            <w:r>
              <w:rPr>
                <w:rFonts w:hint="default" w:ascii="Times New Roman" w:hAnsi="Times New Roman" w:cs="Times New Roman"/>
                <w:sz w:val="24"/>
                <w:szCs w:val="24"/>
              </w:rPr>
              <w:t>人工检验管材外径、壁厚及长度是否合规。</w:t>
            </w:r>
          </w:p>
          <w:p>
            <w:pPr>
              <w:autoSpaceDE w:val="0"/>
              <w:autoSpaceDN w:val="0"/>
              <w:adjustRightInd w:val="0"/>
              <w:snapToGrid w:val="0"/>
              <w:spacing w:line="360" w:lineRule="auto"/>
              <w:ind w:firstLine="475" w:firstLineChars="197"/>
              <w:rPr>
                <w:rFonts w:hint="default" w:ascii="Times New Roman" w:hAnsi="Times New Roman" w:cs="Times New Roman"/>
                <w:b/>
                <w:bCs/>
                <w:sz w:val="24"/>
                <w:szCs w:val="24"/>
                <w:lang w:val="zh-CN"/>
              </w:rPr>
            </w:pPr>
            <w:r>
              <w:rPr>
                <w:rFonts w:hint="default" w:ascii="Times New Roman" w:hAnsi="Times New Roman" w:cs="Times New Roman"/>
                <w:b/>
                <w:bCs/>
                <w:sz w:val="24"/>
                <w:szCs w:val="24"/>
                <w:lang w:val="zh-CN"/>
              </w:rPr>
              <w:t>（</w:t>
            </w:r>
            <w:r>
              <w:rPr>
                <w:rFonts w:hint="default" w:ascii="Times New Roman" w:hAnsi="Times New Roman" w:cs="Times New Roman"/>
                <w:b/>
                <w:bCs/>
                <w:sz w:val="24"/>
                <w:szCs w:val="24"/>
                <w:lang w:val="en-US" w:eastAsia="zh-CN"/>
              </w:rPr>
              <w:t>3</w:t>
            </w:r>
            <w:r>
              <w:rPr>
                <w:rFonts w:hint="default" w:ascii="Times New Roman" w:hAnsi="Times New Roman" w:cs="Times New Roman"/>
                <w:b/>
                <w:bCs/>
                <w:sz w:val="24"/>
                <w:szCs w:val="24"/>
                <w:lang w:val="zh-CN"/>
              </w:rPr>
              <w:t>）聚乙烯及聚丙烯管件</w:t>
            </w:r>
            <w:r>
              <w:rPr>
                <w:rFonts w:hint="default" w:ascii="Times New Roman" w:hAnsi="Times New Roman" w:cs="Times New Roman"/>
                <w:b/>
                <w:bCs/>
                <w:sz w:val="24"/>
                <w:szCs w:val="24"/>
              </w:rPr>
              <w:t>工艺流程简述</w:t>
            </w:r>
          </w:p>
          <w:p>
            <w:pPr>
              <w:spacing w:line="360" w:lineRule="auto"/>
              <w:rPr>
                <w:rFonts w:hint="default" w:ascii="Times New Roman" w:hAnsi="Times New Roman" w:cs="Times New Roman"/>
                <w:b/>
                <w:bCs/>
              </w:rPr>
            </w:pPr>
            <w:r>
              <w:rPr>
                <w:rFonts w:hint="default" w:ascii="Times New Roman" w:hAnsi="Times New Roman" w:cs="Times New Roman"/>
              </w:rPr>
              <w:drawing>
                <wp:inline distT="0" distB="0" distL="114300" distR="114300">
                  <wp:extent cx="5142865" cy="3189605"/>
                  <wp:effectExtent l="0" t="0" r="8255" b="10795"/>
                  <wp:docPr id="2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5"/>
                          <pic:cNvPicPr>
                            <a:picLocks noChangeAspect="1"/>
                          </pic:cNvPicPr>
                        </pic:nvPicPr>
                        <pic:blipFill>
                          <a:blip r:embed="rId18"/>
                          <a:stretch>
                            <a:fillRect/>
                          </a:stretch>
                        </pic:blipFill>
                        <pic:spPr>
                          <a:xfrm>
                            <a:off x="0" y="0"/>
                            <a:ext cx="5142865" cy="3189605"/>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cs="Times New Roman"/>
                <w:b/>
                <w:bCs/>
                <w:sz w:val="24"/>
                <w:szCs w:val="32"/>
              </w:rPr>
            </w:pPr>
            <w:r>
              <w:rPr>
                <w:rFonts w:hint="default" w:ascii="Times New Roman" w:hAnsi="Times New Roman" w:cs="Times New Roman"/>
                <w:b/>
                <w:bCs/>
                <w:sz w:val="24"/>
                <w:szCs w:val="32"/>
              </w:rPr>
              <w:t>图</w:t>
            </w:r>
            <w:r>
              <w:rPr>
                <w:rFonts w:hint="default" w:ascii="Times New Roman" w:hAnsi="Times New Roman" w:cs="Times New Roman"/>
                <w:b/>
                <w:bCs/>
                <w:sz w:val="24"/>
                <w:szCs w:val="32"/>
                <w:lang w:val="en-US" w:eastAsia="zh-CN"/>
              </w:rPr>
              <w:t>2</w:t>
            </w:r>
            <w:r>
              <w:rPr>
                <w:rFonts w:hint="default" w:ascii="Times New Roman" w:hAnsi="Times New Roman" w:cs="Times New Roman"/>
                <w:b/>
                <w:bCs/>
                <w:sz w:val="24"/>
                <w:szCs w:val="32"/>
              </w:rPr>
              <w:t>-4  聚乙烯、聚丙烯管件生产工艺流程及产污位置图</w:t>
            </w:r>
          </w:p>
          <w:p>
            <w:pPr>
              <w:spacing w:line="360" w:lineRule="auto"/>
              <w:ind w:firstLine="480" w:firstLineChars="200"/>
              <w:rPr>
                <w:rFonts w:hint="default" w:ascii="Times New Roman" w:hAnsi="Times New Roman" w:cs="Times New Roman"/>
                <w:sz w:val="24"/>
                <w:szCs w:val="32"/>
              </w:rPr>
            </w:pPr>
            <w:r>
              <w:rPr>
                <w:rFonts w:hint="default" w:ascii="Times New Roman" w:hAnsi="Times New Roman" w:cs="Times New Roman"/>
                <w:sz w:val="24"/>
                <w:szCs w:val="32"/>
              </w:rPr>
              <w:t>项目管件生产中以外购PE聚乙烯颗粒/PP-R聚丙烯颗粒等为原料，根据配方先将PE聚乙烯颗粒/PP-R聚丙烯颗粒、色母料等原料按照比例真空吸入搅拌机中，经搅拌混合后，由泵抽吸送到注塑生产线的料筐，然后加入注塑机（用电加热，工作温度约200℃），注塑冷却（用冷却水进行间接冷却）后定型，再经检验后包装，为管件成品，入库待销。</w:t>
            </w:r>
          </w:p>
          <w:p>
            <w:pPr>
              <w:autoSpaceDE w:val="0"/>
              <w:autoSpaceDN w:val="0"/>
              <w:adjustRightInd w:val="0"/>
              <w:snapToGrid w:val="0"/>
              <w:spacing w:line="360" w:lineRule="auto"/>
              <w:ind w:firstLine="415" w:firstLineChars="197"/>
              <w:rPr>
                <w:rFonts w:hint="default" w:ascii="Times New Roman" w:hAnsi="Times New Roman" w:cs="Times New Roman"/>
                <w:b/>
                <w:bCs/>
                <w:sz w:val="21"/>
                <w:szCs w:val="21"/>
                <w:lang w:val="zh-CN"/>
              </w:rPr>
            </w:pPr>
            <w:r>
              <w:rPr>
                <w:rFonts w:hint="default" w:ascii="Times New Roman" w:hAnsi="Times New Roman" w:cs="Times New Roman"/>
                <w:b/>
                <w:bCs/>
                <w:sz w:val="21"/>
                <w:szCs w:val="21"/>
                <w:lang w:val="zh-CN"/>
              </w:rPr>
              <w:t>（</w:t>
            </w:r>
            <w:r>
              <w:rPr>
                <w:rFonts w:hint="default" w:ascii="Times New Roman" w:hAnsi="Times New Roman" w:cs="Times New Roman"/>
                <w:b/>
                <w:bCs/>
                <w:sz w:val="21"/>
                <w:szCs w:val="21"/>
                <w:lang w:val="en-US" w:eastAsia="zh-CN"/>
              </w:rPr>
              <w:t>4</w:t>
            </w:r>
            <w:r>
              <w:rPr>
                <w:rFonts w:hint="default" w:ascii="Times New Roman" w:hAnsi="Times New Roman" w:cs="Times New Roman"/>
                <w:b/>
                <w:bCs/>
                <w:sz w:val="21"/>
                <w:szCs w:val="21"/>
                <w:lang w:val="zh-CN"/>
              </w:rPr>
              <w:t>）PVC管件</w:t>
            </w:r>
            <w:r>
              <w:rPr>
                <w:rFonts w:hint="default" w:ascii="Times New Roman" w:hAnsi="Times New Roman" w:cs="Times New Roman"/>
                <w:b/>
                <w:bCs/>
                <w:sz w:val="21"/>
                <w:szCs w:val="21"/>
              </w:rPr>
              <w:t>工艺流程简述</w:t>
            </w:r>
          </w:p>
          <w:p>
            <w:pPr>
              <w:spacing w:line="360" w:lineRule="auto"/>
              <w:rPr>
                <w:rFonts w:hint="default" w:ascii="Times New Roman" w:hAnsi="Times New Roman" w:cs="Times New Roman"/>
              </w:rPr>
            </w:pPr>
            <w:r>
              <w:rPr>
                <w:rFonts w:hint="default" w:ascii="Times New Roman" w:hAnsi="Times New Roman" w:cs="Times New Roman"/>
              </w:rPr>
              <w:drawing>
                <wp:inline distT="0" distB="0" distL="114300" distR="114300">
                  <wp:extent cx="5052060" cy="3314700"/>
                  <wp:effectExtent l="0" t="0" r="7620" b="762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9"/>
                          <a:stretch>
                            <a:fillRect/>
                          </a:stretch>
                        </pic:blipFill>
                        <pic:spPr>
                          <a:xfrm>
                            <a:off x="0" y="0"/>
                            <a:ext cx="5052060" cy="3314700"/>
                          </a:xfrm>
                          <a:prstGeom prst="rect">
                            <a:avLst/>
                          </a:prstGeom>
                          <a:noFill/>
                          <a:ln>
                            <a:noFill/>
                          </a:ln>
                        </pic:spPr>
                      </pic:pic>
                    </a:graphicData>
                  </a:graphic>
                </wp:inline>
              </w:drawing>
            </w:r>
          </w:p>
          <w:p>
            <w:pPr>
              <w:spacing w:line="360" w:lineRule="auto"/>
              <w:ind w:firstLine="1205" w:firstLineChars="500"/>
              <w:jc w:val="both"/>
              <w:rPr>
                <w:rFonts w:hint="default" w:ascii="Times New Roman" w:hAnsi="Times New Roman" w:cs="Times New Roman"/>
                <w:b/>
                <w:bCs/>
                <w:sz w:val="24"/>
                <w:szCs w:val="24"/>
              </w:rPr>
            </w:pPr>
            <w:r>
              <w:rPr>
                <w:rFonts w:hint="default" w:ascii="Times New Roman" w:hAnsi="Times New Roman" w:cs="Times New Roman"/>
                <w:b/>
                <w:bCs/>
                <w:sz w:val="24"/>
                <w:szCs w:val="24"/>
              </w:rPr>
              <w:t>图</w:t>
            </w:r>
            <w:r>
              <w:rPr>
                <w:rFonts w:hint="default" w:ascii="Times New Roman" w:hAnsi="Times New Roman" w:cs="Times New Roman"/>
                <w:b/>
                <w:bCs/>
                <w:sz w:val="24"/>
                <w:szCs w:val="24"/>
                <w:lang w:val="en-US" w:eastAsia="zh-CN"/>
              </w:rPr>
              <w:t>2</w:t>
            </w:r>
            <w:r>
              <w:rPr>
                <w:rFonts w:hint="default" w:ascii="Times New Roman" w:hAnsi="Times New Roman" w:cs="Times New Roman"/>
                <w:b/>
                <w:bCs/>
                <w:sz w:val="24"/>
                <w:szCs w:val="24"/>
              </w:rPr>
              <w:t>-5  PVC管件生产工艺流程及产污位置图</w:t>
            </w:r>
          </w:p>
          <w:p>
            <w:pPr>
              <w:spacing w:line="360" w:lineRule="auto"/>
              <w:ind w:firstLine="720" w:firstLineChars="300"/>
              <w:rPr>
                <w:rFonts w:hint="default" w:ascii="Times New Roman" w:hAnsi="Times New Roman" w:cs="Times New Roman"/>
                <w:sz w:val="24"/>
                <w:szCs w:val="24"/>
              </w:rPr>
            </w:pPr>
            <w:r>
              <w:rPr>
                <w:rFonts w:hint="default" w:ascii="Times New Roman" w:hAnsi="Times New Roman" w:cs="Times New Roman"/>
                <w:sz w:val="24"/>
                <w:szCs w:val="24"/>
              </w:rPr>
              <w:t>将外购聚氯乙烯树脂、钙粉、稳定剂、石蜡、钛白粉等按一定的比例投入混料间高低速混料机组中进行捏合混料处理，经捏合的混合物料，采用管道输送至料仓，通过管道抽吸送到注塑生产线的料筐，然后加入注塑机（用电加热，工作温度约200℃），注塑冷却（用冷却水进行间接冷却）后定型，再经检验后包装，为PVC管件成品，入库待销。</w:t>
            </w:r>
          </w:p>
          <w:p>
            <w:pPr>
              <w:autoSpaceDE w:val="0"/>
              <w:autoSpaceDN w:val="0"/>
              <w:adjustRightInd w:val="0"/>
              <w:snapToGrid w:val="0"/>
              <w:spacing w:line="360" w:lineRule="auto"/>
              <w:ind w:firstLine="472" w:firstLineChars="197"/>
              <w:rPr>
                <w:rFonts w:hint="default" w:ascii="Times New Roman" w:hAnsi="Times New Roman" w:cs="Times New Roman"/>
                <w:b/>
                <w:bCs/>
                <w:sz w:val="24"/>
                <w:szCs w:val="24"/>
              </w:rPr>
            </w:pPr>
            <w:r>
              <w:rPr>
                <w:rFonts w:hint="default" w:ascii="Times New Roman" w:hAnsi="Times New Roman" w:cs="Times New Roman"/>
                <w:sz w:val="24"/>
                <w:szCs w:val="24"/>
                <w:lang w:val="zh-CN"/>
              </w:rPr>
              <w:t>（</w:t>
            </w:r>
            <w:r>
              <w:rPr>
                <w:rFonts w:hint="default" w:ascii="Times New Roman" w:hAnsi="Times New Roman" w:cs="Times New Roman"/>
                <w:b/>
                <w:bCs/>
                <w:sz w:val="24"/>
                <w:szCs w:val="24"/>
                <w:lang w:val="en-US" w:eastAsia="zh-CN"/>
              </w:rPr>
              <w:t>5</w:t>
            </w:r>
            <w:r>
              <w:rPr>
                <w:rFonts w:hint="default" w:ascii="Times New Roman" w:hAnsi="Times New Roman" w:cs="Times New Roman"/>
                <w:b/>
                <w:bCs/>
                <w:sz w:val="24"/>
                <w:szCs w:val="24"/>
                <w:lang w:val="zh-CN"/>
              </w:rPr>
              <w:t>）不合格产品破碎回收</w:t>
            </w:r>
            <w:r>
              <w:rPr>
                <w:rFonts w:hint="default" w:ascii="Times New Roman" w:hAnsi="Times New Roman" w:cs="Times New Roman"/>
                <w:b/>
                <w:bCs/>
                <w:sz w:val="24"/>
                <w:szCs w:val="24"/>
              </w:rPr>
              <w:t>产污流程简述</w:t>
            </w:r>
          </w:p>
          <w:p>
            <w:pPr>
              <w:snapToGrid w:val="0"/>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sz w:val="24"/>
                <w:szCs w:val="24"/>
              </w:rPr>
              <w:t>项目生产过程中，会产生少量不合格产品。不合格产品由破碎机进行破碎，破碎成直径1~3cm左右的回收料，回收料与新料在搅拌机内混合均匀后再回用于产品生产。项目不合格产品回收仅进行破碎后直接回用，不进行重新热熔、造粒。</w:t>
            </w:r>
            <w:r>
              <w:rPr>
                <w:rFonts w:hint="default" w:ascii="Times New Roman" w:hAnsi="Times New Roman" w:cs="Times New Roman"/>
                <w:b/>
                <w:bCs/>
                <w:sz w:val="24"/>
                <w:szCs w:val="24"/>
                <w:u w:val="single"/>
              </w:rPr>
              <w:t>该工序主要产生破碎机产生的噪声、粉尘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9" w:hRule="atLeast"/>
          <w:jc w:val="center"/>
        </w:trPr>
        <w:tc>
          <w:tcPr>
            <w:tcW w:w="738" w:type="dxa"/>
            <w:noWrap w:val="0"/>
            <w:vAlign w:val="center"/>
          </w:tcPr>
          <w:p>
            <w:pPr>
              <w:pStyle w:val="14"/>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bCs/>
                <w:kern w:val="2"/>
                <w:sz w:val="24"/>
                <w:szCs w:val="24"/>
              </w:rPr>
              <w:t>与项目有关的原有环境污染问题</w:t>
            </w:r>
          </w:p>
        </w:tc>
        <w:tc>
          <w:tcPr>
            <w:tcW w:w="8322" w:type="dxa"/>
            <w:noWrap w:val="0"/>
            <w:vAlign w:val="top"/>
          </w:tcPr>
          <w:p>
            <w:pPr>
              <w:pStyle w:val="24"/>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ascii="Times New Roman" w:hAnsi="Times New Roman" w:cs="Times New Roman"/>
                <w:b/>
                <w:bCs/>
                <w:color w:val="0000FF"/>
                <w:lang w:eastAsia="zh-CN"/>
              </w:rPr>
            </w:pPr>
            <w:r>
              <w:rPr>
                <w:rFonts w:hint="default" w:ascii="Times New Roman" w:hAnsi="Times New Roman" w:cs="Times New Roman"/>
                <w:color w:val="0000FF"/>
                <w:lang w:eastAsia="zh-CN"/>
              </w:rPr>
              <w:t>本项目为新建项目，租赁遂宁市齐科环保设备有限公司的闲置厂房建设，</w:t>
            </w:r>
            <w:r>
              <w:rPr>
                <w:rFonts w:hint="eastAsia" w:ascii="Times New Roman" w:hAnsi="Times New Roman" w:cs="Times New Roman"/>
                <w:color w:val="0000FF"/>
                <w:lang w:val="en-US" w:eastAsia="zh-CN"/>
              </w:rPr>
              <w:t>原</w:t>
            </w:r>
            <w:r>
              <w:rPr>
                <w:rFonts w:hint="default" w:ascii="Times New Roman" w:hAnsi="Times New Roman" w:cs="Times New Roman"/>
                <w:color w:val="0000FF"/>
                <w:lang w:eastAsia="zh-CN"/>
              </w:rPr>
              <w:t>遂宁市齐科环保设备有限公司</w:t>
            </w:r>
            <w:r>
              <w:rPr>
                <w:rFonts w:hint="default" w:ascii="Times New Roman" w:hAnsi="Times New Roman" w:cs="Times New Roman"/>
                <w:b/>
                <w:bCs/>
                <w:color w:val="0000FF"/>
              </w:rPr>
              <w:t>未办理环保手续</w:t>
            </w:r>
            <w:r>
              <w:rPr>
                <w:rFonts w:hint="eastAsia" w:ascii="Times New Roman" w:hAnsi="Times New Roman" w:cs="Times New Roman"/>
                <w:b/>
                <w:bCs/>
                <w:color w:val="0000FF"/>
                <w:lang w:eastAsia="zh-CN"/>
              </w:rPr>
              <w:t>。</w:t>
            </w:r>
          </w:p>
          <w:p>
            <w:pPr>
              <w:pStyle w:val="24"/>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lang w:eastAsia="zh-CN"/>
              </w:rPr>
            </w:pPr>
            <w:r>
              <w:rPr>
                <w:rFonts w:hint="default" w:ascii="Times New Roman" w:hAnsi="Times New Roman" w:cs="Times New Roman"/>
                <w:lang w:eastAsia="zh-CN"/>
              </w:rPr>
              <w:t>根据现场调查，在本项目建设前，此厂房已拆除生产</w:t>
            </w:r>
            <w:r>
              <w:rPr>
                <w:rFonts w:hint="default" w:ascii="Times New Roman" w:hAnsi="Times New Roman" w:cs="Times New Roman"/>
                <w:lang w:val="en-US" w:eastAsia="zh-CN"/>
              </w:rPr>
              <w:t>设备</w:t>
            </w:r>
            <w:r>
              <w:rPr>
                <w:rFonts w:hint="default" w:ascii="Times New Roman" w:hAnsi="Times New Roman" w:cs="Times New Roman"/>
                <w:lang w:eastAsia="zh-CN"/>
              </w:rPr>
              <w:t>并搬离厂房，根据现场调查，未发现有遗留的环境问题。厂房现状如下图所示：</w:t>
            </w:r>
          </w:p>
          <w:p>
            <w:pPr>
              <w:pStyle w:val="24"/>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jc w:val="center"/>
              <w:textAlignment w:val="auto"/>
              <w:rPr>
                <w:rFonts w:hint="default" w:ascii="Times New Roman" w:hAnsi="Times New Roman" w:cs="Times New Roman"/>
                <w:lang w:val="en-US" w:eastAsia="zh-CN"/>
              </w:rPr>
            </w:pPr>
            <w:r>
              <w:rPr>
                <w:rFonts w:hint="default" w:ascii="Times New Roman" w:hAnsi="Times New Roman" w:eastAsia="宋体" w:cs="Times New Roman"/>
                <w:lang w:eastAsia="zh-CN"/>
              </w:rPr>
              <w:drawing>
                <wp:inline distT="0" distB="0" distL="114300" distR="114300">
                  <wp:extent cx="3474085" cy="2606675"/>
                  <wp:effectExtent l="0" t="0" r="635" b="14605"/>
                  <wp:docPr id="6" name="图片 6" descr="IMG_20210505_15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10505_151450"/>
                          <pic:cNvPicPr>
                            <a:picLocks noChangeAspect="1"/>
                          </pic:cNvPicPr>
                        </pic:nvPicPr>
                        <pic:blipFill>
                          <a:blip r:embed="rId20"/>
                          <a:stretch>
                            <a:fillRect/>
                          </a:stretch>
                        </pic:blipFill>
                        <pic:spPr>
                          <a:xfrm>
                            <a:off x="0" y="0"/>
                            <a:ext cx="3474085" cy="2606675"/>
                          </a:xfrm>
                          <a:prstGeom prst="rect">
                            <a:avLst/>
                          </a:prstGeom>
                        </pic:spPr>
                      </pic:pic>
                    </a:graphicData>
                  </a:graphic>
                </wp:inline>
              </w:drawing>
            </w:r>
          </w:p>
        </w:tc>
      </w:tr>
    </w:tbl>
    <w:p>
      <w:pPr>
        <w:pStyle w:val="14"/>
        <w:jc w:val="center"/>
        <w:rPr>
          <w:rFonts w:hint="default" w:ascii="Times New Roman" w:hAnsi="Times New Roman" w:eastAsia="黑体" w:cs="Times New Roman"/>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三、区域环境质量现状、环境保护目标及评价标准</w:t>
      </w:r>
    </w:p>
    <w:tbl>
      <w:tblPr>
        <w:tblStyle w:val="16"/>
        <w:tblW w:w="100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8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165"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区域</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质量</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现状</w:t>
            </w:r>
          </w:p>
        </w:tc>
        <w:tc>
          <w:tcPr>
            <w:tcW w:w="8868" w:type="dxa"/>
            <w:noWrap w:val="0"/>
            <w:vAlign w:val="center"/>
          </w:tcPr>
          <w:p>
            <w:pPr>
              <w:pStyle w:val="24"/>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firstLine="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t>一、大气环境</w:t>
            </w:r>
          </w:p>
          <w:p>
            <w:pPr>
              <w:pStyle w:val="24"/>
              <w:bidi w:val="0"/>
              <w:spacing w:line="360" w:lineRule="auto"/>
              <w:rPr>
                <w:rFonts w:hint="default" w:ascii="Times New Roman" w:hAnsi="Times New Roman" w:cs="Times New Roman"/>
                <w:color w:val="auto"/>
              </w:rPr>
            </w:pPr>
            <w:r>
              <w:rPr>
                <w:rFonts w:hint="default" w:ascii="Times New Roman" w:hAnsi="Times New Roman" w:cs="Times New Roman"/>
                <w:color w:val="auto"/>
              </w:rPr>
              <w:t>本次环境空气质量现状评价引用遂宁市污染防治攻坚战领导小组办公室202</w:t>
            </w:r>
            <w:r>
              <w:rPr>
                <w:rFonts w:hint="default" w:ascii="Times New Roman" w:hAnsi="Times New Roman" w:cs="Times New Roman"/>
                <w:color w:val="auto"/>
                <w:lang w:val="en-US" w:eastAsia="zh-CN"/>
              </w:rPr>
              <w:t>1</w:t>
            </w:r>
            <w:r>
              <w:rPr>
                <w:rFonts w:hint="default" w:ascii="Times New Roman" w:hAnsi="Times New Roman" w:cs="Times New Roman"/>
                <w:color w:val="auto"/>
              </w:rPr>
              <w:t>年</w:t>
            </w:r>
            <w:r>
              <w:rPr>
                <w:rFonts w:hint="default" w:ascii="Times New Roman" w:hAnsi="Times New Roman" w:cs="Times New Roman"/>
                <w:color w:val="auto"/>
                <w:lang w:val="en-US" w:eastAsia="zh-CN"/>
              </w:rPr>
              <w:t>1</w:t>
            </w:r>
            <w:r>
              <w:rPr>
                <w:rFonts w:hint="default" w:ascii="Times New Roman" w:hAnsi="Times New Roman" w:cs="Times New Roman"/>
                <w:color w:val="auto"/>
              </w:rPr>
              <w:t>月</w:t>
            </w:r>
            <w:r>
              <w:rPr>
                <w:rFonts w:hint="default" w:ascii="Times New Roman" w:hAnsi="Times New Roman" w:cs="Times New Roman"/>
                <w:color w:val="auto"/>
                <w:lang w:val="en-US" w:eastAsia="zh-CN"/>
              </w:rPr>
              <w:t>22日</w:t>
            </w:r>
            <w:r>
              <w:rPr>
                <w:rFonts w:hint="default" w:ascii="Times New Roman" w:hAnsi="Times New Roman" w:cs="Times New Roman"/>
                <w:color w:val="auto"/>
                <w:lang w:eastAsia="zh-CN"/>
              </w:rPr>
              <w:t>发布的</w:t>
            </w:r>
            <w:r>
              <w:rPr>
                <w:rFonts w:hint="default" w:ascii="Times New Roman" w:hAnsi="Times New Roman" w:cs="Times New Roman"/>
                <w:color w:val="auto"/>
              </w:rPr>
              <w:t>关于20</w:t>
            </w:r>
            <w:r>
              <w:rPr>
                <w:rFonts w:hint="default" w:ascii="Times New Roman" w:hAnsi="Times New Roman" w:cs="Times New Roman"/>
                <w:color w:val="auto"/>
                <w:lang w:val="en-US" w:eastAsia="zh-CN"/>
              </w:rPr>
              <w:t>20</w:t>
            </w:r>
            <w:r>
              <w:rPr>
                <w:rFonts w:hint="default" w:ascii="Times New Roman" w:hAnsi="Times New Roman" w:cs="Times New Roman"/>
                <w:color w:val="auto"/>
              </w:rPr>
              <w:t>年全市环境空气质量的通报（遂污防攻坚办〔202</w:t>
            </w: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号）中公布的数据。</w:t>
            </w:r>
          </w:p>
          <w:p>
            <w:pPr>
              <w:pStyle w:val="24"/>
              <w:bidi w:val="0"/>
              <w:spacing w:line="360" w:lineRule="auto"/>
              <w:rPr>
                <w:rFonts w:hint="default" w:ascii="Times New Roman" w:hAnsi="Times New Roman" w:cs="Times New Roman"/>
                <w:color w:val="auto"/>
              </w:rPr>
            </w:pPr>
            <w:r>
              <w:rPr>
                <w:rFonts w:hint="default" w:ascii="Times New Roman" w:hAnsi="Times New Roman" w:cs="Times New Roman"/>
                <w:color w:val="auto"/>
              </w:rPr>
              <w:t>20</w:t>
            </w:r>
            <w:r>
              <w:rPr>
                <w:rFonts w:hint="default" w:ascii="Times New Roman" w:hAnsi="Times New Roman" w:cs="Times New Roman"/>
                <w:color w:val="auto"/>
                <w:lang w:val="en-US" w:eastAsia="zh-CN"/>
              </w:rPr>
              <w:t>20</w:t>
            </w:r>
            <w:r>
              <w:rPr>
                <w:rFonts w:hint="default" w:ascii="Times New Roman" w:hAnsi="Times New Roman" w:cs="Times New Roman"/>
                <w:color w:val="auto"/>
              </w:rPr>
              <w:t>年</w:t>
            </w:r>
            <w:r>
              <w:rPr>
                <w:rFonts w:hint="default" w:ascii="Times New Roman" w:hAnsi="Times New Roman" w:cs="Times New Roman"/>
                <w:color w:val="auto"/>
                <w:lang w:eastAsia="zh-CN"/>
              </w:rPr>
              <w:t>蓬溪县</w:t>
            </w:r>
            <w:r>
              <w:rPr>
                <w:rFonts w:hint="default" w:ascii="Times New Roman" w:hAnsi="Times New Roman" w:cs="Times New Roman"/>
                <w:color w:val="auto"/>
              </w:rPr>
              <w:t>环境空气质量详见下表 3-1。</w:t>
            </w:r>
          </w:p>
          <w:p>
            <w:pPr>
              <w:pStyle w:val="25"/>
              <w:bidi w:val="0"/>
              <w:spacing w:line="240" w:lineRule="auto"/>
              <w:rPr>
                <w:rFonts w:hint="default" w:ascii="Times New Roman" w:hAnsi="Times New Roman" w:cs="Times New Roman"/>
                <w:color w:val="auto"/>
              </w:rPr>
            </w:pPr>
            <w:r>
              <w:rPr>
                <w:rFonts w:hint="default" w:ascii="Times New Roman" w:hAnsi="Times New Roman" w:cs="Times New Roman"/>
                <w:color w:val="auto"/>
              </w:rPr>
              <w:t xml:space="preserve">表3-1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20</w:t>
            </w:r>
            <w:r>
              <w:rPr>
                <w:rFonts w:hint="default" w:ascii="Times New Roman" w:hAnsi="Times New Roman" w:cs="Times New Roman"/>
                <w:color w:val="auto"/>
                <w:lang w:val="en-US" w:eastAsia="zh-CN"/>
              </w:rPr>
              <w:t>20</w:t>
            </w:r>
            <w:r>
              <w:rPr>
                <w:rFonts w:hint="default" w:ascii="Times New Roman" w:hAnsi="Times New Roman" w:cs="Times New Roman"/>
                <w:color w:val="auto"/>
              </w:rPr>
              <w:t>年</w:t>
            </w:r>
            <w:r>
              <w:rPr>
                <w:rFonts w:hint="default" w:ascii="Times New Roman" w:hAnsi="Times New Roman" w:cs="Times New Roman"/>
                <w:color w:val="auto"/>
                <w:lang w:eastAsia="zh-CN"/>
              </w:rPr>
              <w:t>蓬溪县</w:t>
            </w:r>
            <w:r>
              <w:rPr>
                <w:rFonts w:hint="default" w:ascii="Times New Roman" w:hAnsi="Times New Roman" w:cs="Times New Roman"/>
                <w:color w:val="auto"/>
              </w:rPr>
              <w:t>城市环境空气质量</w:t>
            </w:r>
          </w:p>
          <w:tbl>
            <w:tblPr>
              <w:tblStyle w:val="16"/>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213"/>
              <w:gridCol w:w="1422"/>
              <w:gridCol w:w="1065"/>
              <w:gridCol w:w="1000"/>
              <w:gridCol w:w="1052"/>
              <w:gridCol w:w="1024"/>
              <w:gridCol w:w="933"/>
              <w:gridCol w:w="93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702" w:type="pct"/>
                  <w:noWrap/>
                  <w:vAlign w:val="center"/>
                </w:tcPr>
                <w:p>
                  <w:pPr>
                    <w:widowControl/>
                    <w:spacing w:line="240" w:lineRule="auto"/>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各县区、园区</w:t>
                  </w:r>
                </w:p>
              </w:tc>
              <w:tc>
                <w:tcPr>
                  <w:tcW w:w="821" w:type="pct"/>
                  <w:noWrap/>
                  <w:vAlign w:val="center"/>
                </w:tcPr>
                <w:p>
                  <w:pPr>
                    <w:widowControl/>
                    <w:spacing w:line="240" w:lineRule="auto"/>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监测站点</w:t>
                  </w:r>
                </w:p>
              </w:tc>
              <w:tc>
                <w:tcPr>
                  <w:tcW w:w="615" w:type="pct"/>
                  <w:noWrap/>
                  <w:vAlign w:val="center"/>
                </w:tcPr>
                <w:p>
                  <w:pPr>
                    <w:widowControl/>
                    <w:spacing w:line="240" w:lineRule="auto"/>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SO</w:t>
                  </w:r>
                  <w:r>
                    <w:rPr>
                      <w:rFonts w:hint="default" w:ascii="Times New Roman" w:hAnsi="Times New Roman" w:eastAsia="宋体" w:cs="Times New Roman"/>
                      <w:b/>
                      <w:color w:val="auto"/>
                      <w:kern w:val="0"/>
                      <w:sz w:val="21"/>
                      <w:szCs w:val="21"/>
                      <w:vertAlign w:val="subscript"/>
                      <w:lang w:bidi="ar"/>
                    </w:rPr>
                    <w:t>2</w:t>
                  </w:r>
                  <w:r>
                    <w:rPr>
                      <w:rFonts w:hint="default" w:ascii="Times New Roman" w:hAnsi="Times New Roman" w:eastAsia="宋体" w:cs="Times New Roman"/>
                      <w:b/>
                      <w:color w:val="auto"/>
                      <w:kern w:val="0"/>
                      <w:sz w:val="21"/>
                      <w:szCs w:val="21"/>
                      <w:lang w:bidi="ar"/>
                    </w:rPr>
                    <w:t>平均浓度（</w:t>
                  </w:r>
                  <w:r>
                    <w:rPr>
                      <w:rFonts w:hint="default" w:ascii="Times New Roman" w:hAnsi="Times New Roman" w:eastAsia="宋体" w:cs="Times New Roman"/>
                      <w:color w:val="auto"/>
                      <w:sz w:val="21"/>
                      <w:szCs w:val="21"/>
                    </w:rPr>
                    <w:t>μg/</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c>
                <w:tcPr>
                  <w:tcW w:w="578" w:type="pct"/>
                  <w:noWrap/>
                  <w:vAlign w:val="center"/>
                </w:tcPr>
                <w:p>
                  <w:pPr>
                    <w:widowControl/>
                    <w:spacing w:line="240" w:lineRule="auto"/>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NO</w:t>
                  </w:r>
                  <w:r>
                    <w:rPr>
                      <w:rFonts w:hint="default" w:ascii="Times New Roman" w:hAnsi="Times New Roman" w:eastAsia="宋体" w:cs="Times New Roman"/>
                      <w:b/>
                      <w:color w:val="auto"/>
                      <w:kern w:val="0"/>
                      <w:sz w:val="21"/>
                      <w:szCs w:val="21"/>
                      <w:vertAlign w:val="subscript"/>
                      <w:lang w:bidi="ar"/>
                    </w:rPr>
                    <w:t>2</w:t>
                  </w:r>
                  <w:r>
                    <w:rPr>
                      <w:rFonts w:hint="default" w:ascii="Times New Roman" w:hAnsi="Times New Roman" w:eastAsia="宋体" w:cs="Times New Roman"/>
                      <w:b/>
                      <w:color w:val="auto"/>
                      <w:kern w:val="0"/>
                      <w:sz w:val="21"/>
                      <w:szCs w:val="21"/>
                      <w:lang w:bidi="ar"/>
                    </w:rPr>
                    <w:t>平均浓度（</w:t>
                  </w:r>
                  <w:r>
                    <w:rPr>
                      <w:rFonts w:hint="default" w:ascii="Times New Roman" w:hAnsi="Times New Roman" w:eastAsia="宋体" w:cs="Times New Roman"/>
                      <w:color w:val="auto"/>
                      <w:sz w:val="21"/>
                      <w:szCs w:val="21"/>
                    </w:rPr>
                    <w:t>μg/</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c>
                <w:tcPr>
                  <w:tcW w:w="608" w:type="pct"/>
                  <w:noWrap/>
                  <w:vAlign w:val="center"/>
                </w:tcPr>
                <w:p>
                  <w:pPr>
                    <w:widowControl/>
                    <w:spacing w:line="240" w:lineRule="auto"/>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O</w:t>
                  </w:r>
                  <w:r>
                    <w:rPr>
                      <w:rFonts w:hint="default" w:ascii="Times New Roman" w:hAnsi="Times New Roman" w:eastAsia="宋体" w:cs="Times New Roman"/>
                      <w:b/>
                      <w:color w:val="auto"/>
                      <w:kern w:val="0"/>
                      <w:sz w:val="21"/>
                      <w:szCs w:val="21"/>
                      <w:vertAlign w:val="subscript"/>
                      <w:lang w:bidi="ar"/>
                    </w:rPr>
                    <w:t>3</w:t>
                  </w:r>
                  <w:r>
                    <w:rPr>
                      <w:rFonts w:hint="default" w:ascii="Times New Roman" w:hAnsi="Times New Roman" w:eastAsia="宋体" w:cs="Times New Roman"/>
                      <w:b/>
                      <w:color w:val="auto"/>
                      <w:kern w:val="0"/>
                      <w:sz w:val="21"/>
                      <w:szCs w:val="21"/>
                      <w:lang w:bidi="ar"/>
                    </w:rPr>
                    <w:t>-8h</w:t>
                  </w:r>
                  <w:r>
                    <w:rPr>
                      <w:rFonts w:hint="default" w:ascii="Times New Roman" w:hAnsi="Times New Roman" w:eastAsia="宋体" w:cs="Times New Roman"/>
                      <w:b/>
                      <w:color w:val="auto"/>
                      <w:kern w:val="0"/>
                      <w:sz w:val="21"/>
                      <w:szCs w:val="21"/>
                      <w:lang w:val="en-US" w:eastAsia="zh-CN" w:bidi="ar"/>
                    </w:rPr>
                    <w:t xml:space="preserve"> </w:t>
                  </w:r>
                  <w:r>
                    <w:rPr>
                      <w:rFonts w:hint="default" w:ascii="Times New Roman" w:hAnsi="Times New Roman" w:eastAsia="宋体" w:cs="Times New Roman"/>
                      <w:b/>
                      <w:color w:val="auto"/>
                      <w:kern w:val="0"/>
                      <w:sz w:val="21"/>
                      <w:szCs w:val="21"/>
                      <w:lang w:bidi="ar"/>
                    </w:rPr>
                    <w:t>90百分位（</w:t>
                  </w:r>
                  <w:r>
                    <w:rPr>
                      <w:rFonts w:hint="default" w:ascii="Times New Roman" w:hAnsi="Times New Roman" w:eastAsia="宋体" w:cs="Times New Roman"/>
                      <w:color w:val="auto"/>
                      <w:sz w:val="21"/>
                      <w:szCs w:val="21"/>
                    </w:rPr>
                    <w:t>μg/</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c>
                <w:tcPr>
                  <w:tcW w:w="592" w:type="pct"/>
                  <w:noWrap/>
                  <w:vAlign w:val="center"/>
                </w:tcPr>
                <w:p>
                  <w:pPr>
                    <w:widowControl/>
                    <w:spacing w:line="240" w:lineRule="auto"/>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CO95百分位（</w:t>
                  </w: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c>
                <w:tcPr>
                  <w:tcW w:w="539" w:type="pct"/>
                  <w:noWrap/>
                  <w:vAlign w:val="center"/>
                </w:tcPr>
                <w:p>
                  <w:pPr>
                    <w:widowControl/>
                    <w:spacing w:line="240" w:lineRule="auto"/>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PM</w:t>
                  </w:r>
                  <w:r>
                    <w:rPr>
                      <w:rFonts w:hint="default" w:ascii="Times New Roman" w:hAnsi="Times New Roman" w:eastAsia="宋体" w:cs="Times New Roman"/>
                      <w:b/>
                      <w:color w:val="auto"/>
                      <w:kern w:val="0"/>
                      <w:sz w:val="21"/>
                      <w:szCs w:val="21"/>
                      <w:vertAlign w:val="subscript"/>
                      <w:lang w:bidi="ar"/>
                    </w:rPr>
                    <w:t>10</w:t>
                  </w:r>
                  <w:r>
                    <w:rPr>
                      <w:rFonts w:hint="default" w:ascii="Times New Roman" w:hAnsi="Times New Roman" w:eastAsia="宋体" w:cs="Times New Roman"/>
                      <w:b/>
                      <w:color w:val="auto"/>
                      <w:kern w:val="0"/>
                      <w:sz w:val="21"/>
                      <w:szCs w:val="21"/>
                      <w:lang w:bidi="ar"/>
                    </w:rPr>
                    <w:t>平均浓度（</w:t>
                  </w:r>
                  <w:r>
                    <w:rPr>
                      <w:rFonts w:hint="default" w:ascii="Times New Roman" w:hAnsi="Times New Roman" w:eastAsia="宋体" w:cs="Times New Roman"/>
                      <w:color w:val="auto"/>
                      <w:sz w:val="21"/>
                      <w:szCs w:val="21"/>
                    </w:rPr>
                    <w:t>μg/</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c>
                <w:tcPr>
                  <w:tcW w:w="541" w:type="pct"/>
                  <w:noWrap/>
                  <w:vAlign w:val="center"/>
                </w:tcPr>
                <w:p>
                  <w:pPr>
                    <w:widowControl/>
                    <w:spacing w:line="240" w:lineRule="auto"/>
                    <w:ind w:firstLine="0" w:firstLineChars="0"/>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lang w:bidi="ar"/>
                    </w:rPr>
                    <w:t>PM</w:t>
                  </w:r>
                  <w:r>
                    <w:rPr>
                      <w:rFonts w:hint="default" w:ascii="Times New Roman" w:hAnsi="Times New Roman" w:eastAsia="宋体" w:cs="Times New Roman"/>
                      <w:b/>
                      <w:color w:val="auto"/>
                      <w:kern w:val="0"/>
                      <w:sz w:val="21"/>
                      <w:szCs w:val="21"/>
                      <w:vertAlign w:val="subscript"/>
                      <w:lang w:bidi="ar"/>
                    </w:rPr>
                    <w:t>2.5</w:t>
                  </w:r>
                  <w:r>
                    <w:rPr>
                      <w:rFonts w:hint="default" w:ascii="Times New Roman" w:hAnsi="Times New Roman" w:eastAsia="宋体" w:cs="Times New Roman"/>
                      <w:b/>
                      <w:color w:val="auto"/>
                      <w:kern w:val="0"/>
                      <w:sz w:val="21"/>
                      <w:szCs w:val="21"/>
                      <w:lang w:bidi="ar"/>
                    </w:rPr>
                    <w:t>平均浓度（</w:t>
                  </w:r>
                  <w:r>
                    <w:rPr>
                      <w:rFonts w:hint="default" w:ascii="Times New Roman" w:hAnsi="Times New Roman" w:eastAsia="宋体" w:cs="Times New Roman"/>
                      <w:color w:val="auto"/>
                      <w:sz w:val="21"/>
                      <w:szCs w:val="21"/>
                    </w:rPr>
                    <w:t>μg/</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b/>
                      <w:color w:val="auto"/>
                      <w:kern w:val="0"/>
                      <w:sz w:val="21"/>
                      <w:szCs w:val="21"/>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702" w:type="pct"/>
                  <w:noWrap/>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蓬溪县</w:t>
                  </w:r>
                </w:p>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年均值</w:t>
                  </w:r>
                </w:p>
              </w:tc>
              <w:tc>
                <w:tcPr>
                  <w:tcW w:w="821" w:type="pct"/>
                  <w:noWrap/>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实验中学</w:t>
                  </w:r>
                </w:p>
              </w:tc>
              <w:tc>
                <w:tcPr>
                  <w:tcW w:w="615" w:type="pct"/>
                  <w:noWrap/>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w:t>
                  </w:r>
                </w:p>
              </w:tc>
              <w:tc>
                <w:tcPr>
                  <w:tcW w:w="578" w:type="pct"/>
                  <w:noWrap/>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15.3</w:t>
                  </w:r>
                </w:p>
              </w:tc>
              <w:tc>
                <w:tcPr>
                  <w:tcW w:w="608" w:type="pct"/>
                  <w:noWrap/>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127.5</w:t>
                  </w:r>
                </w:p>
              </w:tc>
              <w:tc>
                <w:tcPr>
                  <w:tcW w:w="592" w:type="pct"/>
                  <w:noWrap/>
                  <w:vAlign w:val="center"/>
                </w:tcPr>
                <w:p>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1.</w:t>
                  </w:r>
                  <w:r>
                    <w:rPr>
                      <w:rFonts w:hint="default" w:ascii="Times New Roman" w:hAnsi="Times New Roman" w:eastAsia="宋体" w:cs="Times New Roman"/>
                      <w:sz w:val="21"/>
                      <w:szCs w:val="21"/>
                      <w:lang w:val="en-US" w:eastAsia="zh-CN"/>
                    </w:rPr>
                    <w:t>0</w:t>
                  </w:r>
                </w:p>
              </w:tc>
              <w:tc>
                <w:tcPr>
                  <w:tcW w:w="539" w:type="pct"/>
                  <w:noWrap/>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44.8</w:t>
                  </w:r>
                </w:p>
              </w:tc>
              <w:tc>
                <w:tcPr>
                  <w:tcW w:w="541" w:type="pct"/>
                  <w:noWrap/>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1524" w:type="pct"/>
                  <w:gridSpan w:val="2"/>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标准值</w:t>
                  </w:r>
                </w:p>
              </w:tc>
              <w:tc>
                <w:tcPr>
                  <w:tcW w:w="615" w:type="pct"/>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578" w:type="pct"/>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608" w:type="pct"/>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w:t>
                  </w:r>
                </w:p>
              </w:tc>
              <w:tc>
                <w:tcPr>
                  <w:tcW w:w="592" w:type="pct"/>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539" w:type="pct"/>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541" w:type="pct"/>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3" w:hRule="atLeast"/>
                <w:jc w:val="center"/>
              </w:trPr>
              <w:tc>
                <w:tcPr>
                  <w:tcW w:w="1524" w:type="pct"/>
                  <w:gridSpan w:val="2"/>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占标率（%）</w:t>
                  </w:r>
                </w:p>
              </w:tc>
              <w:tc>
                <w:tcPr>
                  <w:tcW w:w="615" w:type="pct"/>
                  <w:noWrap/>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11.5</w:t>
                  </w:r>
                </w:p>
              </w:tc>
              <w:tc>
                <w:tcPr>
                  <w:tcW w:w="578" w:type="pct"/>
                  <w:noWrap/>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38.25</w:t>
                  </w:r>
                </w:p>
              </w:tc>
              <w:tc>
                <w:tcPr>
                  <w:tcW w:w="608" w:type="pct"/>
                  <w:noWrap/>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79.69</w:t>
                  </w:r>
                </w:p>
              </w:tc>
              <w:tc>
                <w:tcPr>
                  <w:tcW w:w="592" w:type="pct"/>
                  <w:noWrap/>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w:t>
                  </w:r>
                </w:p>
              </w:tc>
              <w:tc>
                <w:tcPr>
                  <w:tcW w:w="539" w:type="pct"/>
                  <w:noWrap/>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64.0</w:t>
                  </w:r>
                </w:p>
              </w:tc>
              <w:tc>
                <w:tcPr>
                  <w:tcW w:w="541" w:type="pct"/>
                  <w:noWrap/>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1524" w:type="pct"/>
                  <w:gridSpan w:val="2"/>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达标情况</w:t>
                  </w:r>
                </w:p>
              </w:tc>
              <w:tc>
                <w:tcPr>
                  <w:tcW w:w="615" w:type="pct"/>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578" w:type="pct"/>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608" w:type="pct"/>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592" w:type="pct"/>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539" w:type="pct"/>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541" w:type="pct"/>
                  <w:noWrap/>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24"/>
              <w:bidi w:val="0"/>
              <w:spacing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◆特征污染物</w:t>
            </w:r>
          </w:p>
          <w:p>
            <w:pPr>
              <w:pStyle w:val="24"/>
              <w:bidi w:val="0"/>
              <w:spacing w:line="360" w:lineRule="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val="en-US" w:eastAsia="zh-CN"/>
              </w:rPr>
              <w:t>建设项目环境影响报告表编制技术指南</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污染影响类</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试行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特征污染物可引用建设项目周边5km范围内近3年的现有监测数据。</w:t>
            </w:r>
          </w:p>
          <w:p>
            <w:pPr>
              <w:pStyle w:val="24"/>
              <w:bidi w:val="0"/>
              <w:spacing w:line="360" w:lineRule="auto"/>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本项目特征污染因子TSP、TVOC环境质量现状引用</w:t>
            </w:r>
            <w:r>
              <w:rPr>
                <w:rFonts w:hint="default" w:ascii="Times New Roman" w:hAnsi="Times New Roman" w:cs="Times New Roman"/>
                <w:color w:val="auto"/>
                <w:highlight w:val="none"/>
              </w:rPr>
              <w:t>四川</w:t>
            </w:r>
            <w:r>
              <w:rPr>
                <w:rFonts w:hint="default" w:ascii="Times New Roman" w:hAnsi="Times New Roman" w:cs="Times New Roman"/>
                <w:color w:val="auto"/>
                <w:highlight w:val="none"/>
                <w:lang w:val="en-US" w:eastAsia="zh-CN"/>
              </w:rPr>
              <w:t>甲乙环境检测有限公司</w:t>
            </w:r>
            <w:r>
              <w:rPr>
                <w:rFonts w:hint="default" w:ascii="Times New Roman" w:hAnsi="Times New Roman" w:cs="Times New Roman"/>
                <w:color w:val="auto"/>
                <w:highlight w:val="none"/>
              </w:rPr>
              <w:t>于20</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rPr>
              <w:t>年1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月2</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日~</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日对</w:t>
            </w:r>
            <w:r>
              <w:rPr>
                <w:rFonts w:hint="default" w:ascii="Times New Roman" w:hAnsi="Times New Roman" w:cs="Times New Roman"/>
                <w:color w:val="auto"/>
                <w:highlight w:val="none"/>
                <w:lang w:val="en-US" w:eastAsia="zh-CN"/>
              </w:rPr>
              <w:t>蓬溪欧范家具有限公司《高端定制家具生产线目》</w:t>
            </w:r>
            <w:r>
              <w:rPr>
                <w:rFonts w:hint="default" w:ascii="Times New Roman" w:hAnsi="Times New Roman" w:cs="Times New Roman"/>
                <w:color w:val="auto"/>
                <w:highlight w:val="none"/>
              </w:rPr>
              <w:t>环境空气质量</w:t>
            </w:r>
            <w:r>
              <w:rPr>
                <w:rFonts w:hint="default" w:ascii="Times New Roman" w:hAnsi="Times New Roman" w:cs="Times New Roman"/>
                <w:color w:val="auto"/>
                <w:highlight w:val="none"/>
                <w:lang w:val="en-US" w:eastAsia="zh-CN"/>
              </w:rPr>
              <w:t>的</w:t>
            </w:r>
            <w:r>
              <w:rPr>
                <w:rFonts w:hint="default" w:ascii="Times New Roman" w:hAnsi="Times New Roman" w:cs="Times New Roman"/>
                <w:color w:val="auto"/>
                <w:highlight w:val="none"/>
              </w:rPr>
              <w:t>监测</w:t>
            </w:r>
            <w:r>
              <w:rPr>
                <w:rFonts w:hint="default" w:ascii="Times New Roman" w:hAnsi="Times New Roman" w:cs="Times New Roman"/>
                <w:color w:val="auto"/>
                <w:highlight w:val="none"/>
                <w:lang w:val="en-US" w:eastAsia="zh-CN"/>
              </w:rPr>
              <w:t>数据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引用项目1#监测点位于本项目西侧880m＜5km；引用项目2#</w:t>
            </w:r>
            <w:r>
              <w:rPr>
                <w:rFonts w:hint="default" w:ascii="Times New Roman" w:hAnsi="Times New Roman" w:cs="Times New Roman"/>
                <w:color w:val="auto"/>
                <w:highlight w:val="none"/>
              </w:rPr>
              <w:t>监测点</w:t>
            </w:r>
            <w:r>
              <w:rPr>
                <w:rFonts w:hint="default" w:ascii="Times New Roman" w:hAnsi="Times New Roman" w:cs="Times New Roman"/>
                <w:color w:val="auto"/>
                <w:highlight w:val="none"/>
                <w:lang w:val="en-US" w:eastAsia="zh-CN"/>
              </w:rPr>
              <w:t>位于本项目西南侧1000m＜5km</w:t>
            </w:r>
            <w:r>
              <w:rPr>
                <w:rFonts w:hint="default" w:ascii="Times New Roman" w:hAnsi="Times New Roman" w:cs="Times New Roman"/>
                <w:color w:val="auto"/>
                <w:highlight w:val="none"/>
              </w:rPr>
              <w:t>，监测点位置见表3-</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p>
          <w:p>
            <w:pPr>
              <w:pStyle w:val="25"/>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表3-2  引用项目大气监测点位置</w:t>
            </w:r>
          </w:p>
          <w:tbl>
            <w:tblPr>
              <w:tblStyle w:val="16"/>
              <w:tblW w:w="813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25"/>
              <w:gridCol w:w="2440"/>
              <w:gridCol w:w="2440"/>
              <w:gridCol w:w="20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25" w:type="dxa"/>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点号</w:t>
                  </w:r>
                </w:p>
              </w:tc>
              <w:tc>
                <w:tcPr>
                  <w:tcW w:w="2440" w:type="dxa"/>
                  <w:noWrap w:val="0"/>
                  <w:vAlign w:val="center"/>
                </w:tcPr>
                <w:p>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监测点位名称</w:t>
                  </w:r>
                </w:p>
              </w:tc>
              <w:tc>
                <w:tcPr>
                  <w:tcW w:w="2440" w:type="dxa"/>
                  <w:noWrap w:val="0"/>
                  <w:vAlign w:val="center"/>
                </w:tcPr>
                <w:p>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与本项目相对位置</w:t>
                  </w:r>
                </w:p>
              </w:tc>
              <w:tc>
                <w:tcPr>
                  <w:tcW w:w="2034" w:type="dxa"/>
                  <w:noWrap w:val="0"/>
                  <w:vAlign w:val="center"/>
                </w:tcPr>
                <w:p>
                  <w:pPr>
                    <w:spacing w:line="240" w:lineRule="auto"/>
                    <w:jc w:val="center"/>
                    <w:rPr>
                      <w:rFonts w:hint="default" w:ascii="Times New Roman" w:hAnsi="Times New Roman" w:eastAsia="宋体" w:cs="Times New Roman"/>
                      <w:b/>
                      <w:bCs/>
                      <w:color w:val="0000FF"/>
                      <w:sz w:val="21"/>
                      <w:szCs w:val="21"/>
                    </w:rPr>
                  </w:pPr>
                  <w:r>
                    <w:rPr>
                      <w:rFonts w:hint="default" w:ascii="Times New Roman" w:hAnsi="Times New Roman" w:eastAsia="宋体" w:cs="Times New Roman"/>
                      <w:b/>
                      <w:bCs/>
                      <w:color w:val="0000FF"/>
                      <w:sz w:val="21"/>
                      <w:szCs w:val="21"/>
                    </w:rPr>
                    <w:t>备   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25"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440"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欧范家具有限公司</w:t>
                  </w:r>
                </w:p>
              </w:tc>
              <w:tc>
                <w:tcPr>
                  <w:tcW w:w="2440"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W </w:t>
                  </w:r>
                  <w:r>
                    <w:rPr>
                      <w:rFonts w:hint="default" w:ascii="Times New Roman" w:hAnsi="Times New Roman" w:cs="Times New Roman"/>
                      <w:sz w:val="21"/>
                      <w:szCs w:val="21"/>
                      <w:lang w:val="en-US" w:eastAsia="zh-CN"/>
                    </w:rPr>
                    <w:t>880</w:t>
                  </w:r>
                  <w:r>
                    <w:rPr>
                      <w:rFonts w:hint="default" w:ascii="Times New Roman" w:hAnsi="Times New Roman" w:eastAsia="宋体" w:cs="Times New Roman"/>
                      <w:sz w:val="21"/>
                      <w:szCs w:val="21"/>
                      <w:lang w:val="en-US" w:eastAsia="zh-CN"/>
                    </w:rPr>
                    <w:t>m</w:t>
                  </w:r>
                </w:p>
              </w:tc>
              <w:tc>
                <w:tcPr>
                  <w:tcW w:w="2034" w:type="dxa"/>
                  <w:noWrap w:val="0"/>
                  <w:vAlign w:val="center"/>
                </w:tcPr>
                <w:p>
                  <w:pPr>
                    <w:spacing w:line="240" w:lineRule="auto"/>
                    <w:jc w:val="center"/>
                    <w:rPr>
                      <w:rFonts w:hint="default" w:ascii="Times New Roman" w:hAnsi="Times New Roman" w:eastAsia="宋体" w:cs="Times New Roman"/>
                      <w:color w:val="0000FF"/>
                      <w:sz w:val="21"/>
                      <w:szCs w:val="21"/>
                    </w:rPr>
                  </w:pPr>
                  <w:r>
                    <w:rPr>
                      <w:rFonts w:hint="eastAsia" w:cs="Times New Roman"/>
                      <w:color w:val="0000FF"/>
                      <w:sz w:val="21"/>
                      <w:szCs w:val="21"/>
                      <w:lang w:val="en-US" w:eastAsia="zh-CN"/>
                    </w:rPr>
                    <w:t>引用现状</w:t>
                  </w:r>
                  <w:r>
                    <w:rPr>
                      <w:rFonts w:hint="default" w:ascii="Times New Roman" w:hAnsi="Times New Roman" w:eastAsia="宋体" w:cs="Times New Roman"/>
                      <w:color w:val="0000FF"/>
                      <w:sz w:val="21"/>
                      <w:szCs w:val="21"/>
                    </w:rPr>
                    <w:t>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225" w:type="dxa"/>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440"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西华安置小区</w:t>
                  </w:r>
                </w:p>
              </w:tc>
              <w:tc>
                <w:tcPr>
                  <w:tcW w:w="2440"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S</w:t>
                  </w:r>
                  <w:r>
                    <w:rPr>
                      <w:rFonts w:hint="default" w:ascii="Times New Roman" w:hAnsi="Times New Roman" w:eastAsia="宋体" w:cs="Times New Roman"/>
                      <w:sz w:val="21"/>
                      <w:szCs w:val="21"/>
                      <w:lang w:val="en-US" w:eastAsia="zh-CN"/>
                    </w:rPr>
                    <w:t>W 1</w:t>
                  </w:r>
                  <w:r>
                    <w:rPr>
                      <w:rFonts w:hint="default" w:ascii="Times New Roman" w:hAnsi="Times New Roman" w:cs="Times New Roman"/>
                      <w:sz w:val="21"/>
                      <w:szCs w:val="21"/>
                      <w:lang w:val="en-US" w:eastAsia="zh-CN"/>
                    </w:rPr>
                    <w:t>000</w:t>
                  </w:r>
                  <w:r>
                    <w:rPr>
                      <w:rFonts w:hint="default" w:ascii="Times New Roman" w:hAnsi="Times New Roman" w:eastAsia="宋体" w:cs="Times New Roman"/>
                      <w:sz w:val="21"/>
                      <w:szCs w:val="21"/>
                      <w:lang w:val="en-US" w:eastAsia="zh-CN"/>
                    </w:rPr>
                    <w:t>m</w:t>
                  </w:r>
                </w:p>
              </w:tc>
              <w:tc>
                <w:tcPr>
                  <w:tcW w:w="2034" w:type="dxa"/>
                  <w:noWrap w:val="0"/>
                  <w:vAlign w:val="center"/>
                </w:tcPr>
                <w:p>
                  <w:pPr>
                    <w:spacing w:line="240" w:lineRule="auto"/>
                    <w:jc w:val="center"/>
                    <w:rPr>
                      <w:rFonts w:hint="default" w:ascii="Times New Roman" w:hAnsi="Times New Roman" w:eastAsia="宋体" w:cs="Times New Roman"/>
                      <w:color w:val="0000FF"/>
                      <w:sz w:val="21"/>
                      <w:szCs w:val="21"/>
                    </w:rPr>
                  </w:pPr>
                  <w:r>
                    <w:rPr>
                      <w:rFonts w:hint="eastAsia" w:cs="Times New Roman"/>
                      <w:color w:val="0000FF"/>
                      <w:sz w:val="21"/>
                      <w:szCs w:val="21"/>
                      <w:lang w:val="en-US" w:eastAsia="zh-CN"/>
                    </w:rPr>
                    <w:t>引用现状</w:t>
                  </w:r>
                  <w:r>
                    <w:rPr>
                      <w:rFonts w:hint="default" w:ascii="Times New Roman" w:hAnsi="Times New Roman" w:eastAsia="宋体" w:cs="Times New Roman"/>
                      <w:color w:val="0000FF"/>
                      <w:sz w:val="21"/>
                      <w:szCs w:val="21"/>
                    </w:rPr>
                    <w:t>监测</w:t>
                  </w:r>
                </w:p>
              </w:tc>
            </w:tr>
          </w:tbl>
          <w:p>
            <w:pPr>
              <w:tabs>
                <w:tab w:val="left" w:pos="2160"/>
              </w:tabs>
              <w:spacing w:before="156" w:beforeLines="50"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fldChar w:fldCharType="begin"/>
            </w:r>
            <w:r>
              <w:rPr>
                <w:rFonts w:hint="default" w:ascii="Times New Roman" w:hAnsi="Times New Roman" w:eastAsia="宋体" w:cs="Times New Roman"/>
                <w:color w:val="auto"/>
                <w:kern w:val="2"/>
                <w:sz w:val="24"/>
                <w:szCs w:val="21"/>
                <w:lang w:val="en-US" w:eastAsia="zh-CN" w:bidi="ar-SA"/>
              </w:rPr>
              <w:instrText xml:space="preserve"> = 1 \* GB3 \* MERGEFORMAT </w:instrText>
            </w:r>
            <w:r>
              <w:rPr>
                <w:rFonts w:hint="default" w:ascii="Times New Roman" w:hAnsi="Times New Roman" w:eastAsia="宋体" w:cs="Times New Roman"/>
                <w:color w:val="auto"/>
                <w:kern w:val="2"/>
                <w:sz w:val="24"/>
                <w:szCs w:val="21"/>
                <w:lang w:val="en-US" w:eastAsia="zh-CN" w:bidi="ar-SA"/>
              </w:rPr>
              <w:fldChar w:fldCharType="separate"/>
            </w:r>
            <w:r>
              <w:rPr>
                <w:rFonts w:hint="default" w:ascii="Times New Roman" w:hAnsi="Times New Roman" w:eastAsia="宋体" w:cs="Times New Roman"/>
                <w:color w:val="auto"/>
                <w:kern w:val="2"/>
                <w:sz w:val="24"/>
                <w:szCs w:val="21"/>
                <w:lang w:val="en-US" w:eastAsia="zh-CN" w:bidi="ar-SA"/>
              </w:rPr>
              <w:t>①</w:t>
            </w:r>
            <w:r>
              <w:rPr>
                <w:rFonts w:hint="default" w:ascii="Times New Roman" w:hAnsi="Times New Roman" w:eastAsia="宋体" w:cs="Times New Roman"/>
                <w:color w:val="auto"/>
                <w:kern w:val="2"/>
                <w:sz w:val="24"/>
                <w:szCs w:val="21"/>
                <w:lang w:val="en-US" w:eastAsia="zh-CN" w:bidi="ar-SA"/>
              </w:rPr>
              <w:fldChar w:fldCharType="end"/>
            </w:r>
            <w:r>
              <w:rPr>
                <w:rFonts w:hint="default" w:ascii="Times New Roman" w:hAnsi="Times New Roman" w:eastAsia="宋体" w:cs="Times New Roman"/>
                <w:color w:val="auto"/>
                <w:kern w:val="2"/>
                <w:sz w:val="24"/>
                <w:szCs w:val="21"/>
                <w:lang w:val="en-US" w:eastAsia="zh-CN" w:bidi="ar-SA"/>
              </w:rPr>
              <w:t>监测因子</w:t>
            </w:r>
          </w:p>
          <w:p>
            <w:pPr>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监测因子：TSP、TVOC。</w:t>
            </w:r>
          </w:p>
          <w:p>
            <w:pPr>
              <w:tabs>
                <w:tab w:val="left" w:pos="2160"/>
              </w:tabs>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fldChar w:fldCharType="begin"/>
            </w:r>
            <w:r>
              <w:rPr>
                <w:rFonts w:hint="default" w:ascii="Times New Roman" w:hAnsi="Times New Roman" w:eastAsia="宋体" w:cs="Times New Roman"/>
                <w:color w:val="auto"/>
                <w:kern w:val="2"/>
                <w:sz w:val="24"/>
                <w:szCs w:val="21"/>
                <w:lang w:val="en-US" w:eastAsia="zh-CN" w:bidi="ar-SA"/>
              </w:rPr>
              <w:instrText xml:space="preserve"> = 2 \* GB3 \* MERGEFORMAT </w:instrText>
            </w:r>
            <w:r>
              <w:rPr>
                <w:rFonts w:hint="default" w:ascii="Times New Roman" w:hAnsi="Times New Roman" w:eastAsia="宋体" w:cs="Times New Roman"/>
                <w:color w:val="auto"/>
                <w:kern w:val="2"/>
                <w:sz w:val="24"/>
                <w:szCs w:val="21"/>
                <w:lang w:val="en-US" w:eastAsia="zh-CN" w:bidi="ar-SA"/>
              </w:rPr>
              <w:fldChar w:fldCharType="separate"/>
            </w:r>
            <w:r>
              <w:rPr>
                <w:rFonts w:hint="default" w:ascii="Times New Roman" w:hAnsi="Times New Roman" w:eastAsia="宋体" w:cs="Times New Roman"/>
                <w:color w:val="auto"/>
                <w:kern w:val="2"/>
                <w:sz w:val="24"/>
                <w:szCs w:val="21"/>
                <w:lang w:val="en-US" w:eastAsia="zh-CN" w:bidi="ar-SA"/>
              </w:rPr>
              <w:t>②</w:t>
            </w:r>
            <w:r>
              <w:rPr>
                <w:rFonts w:hint="default" w:ascii="Times New Roman" w:hAnsi="Times New Roman" w:eastAsia="宋体" w:cs="Times New Roman"/>
                <w:color w:val="auto"/>
                <w:kern w:val="2"/>
                <w:sz w:val="24"/>
                <w:szCs w:val="21"/>
                <w:lang w:val="en-US" w:eastAsia="zh-CN" w:bidi="ar-SA"/>
              </w:rPr>
              <w:fldChar w:fldCharType="end"/>
            </w:r>
            <w:r>
              <w:rPr>
                <w:rFonts w:hint="default" w:ascii="Times New Roman" w:hAnsi="Times New Roman" w:eastAsia="宋体" w:cs="Times New Roman"/>
                <w:color w:val="auto"/>
                <w:kern w:val="2"/>
                <w:sz w:val="24"/>
                <w:szCs w:val="21"/>
                <w:lang w:val="en-US" w:eastAsia="zh-CN" w:bidi="ar-SA"/>
              </w:rPr>
              <w:t>采样及分析方法</w:t>
            </w:r>
          </w:p>
          <w:p>
            <w:pPr>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采样按规范执行，分析方法采用《环境空气质量标准》（GB3095-2012）中的规定方法。连续监测7天，TVOC测8小时均值，TSP每天采样一次，采样时段为7：00～19：00。在监测期间，同步对温度、气压、风向、风速进行观测。</w:t>
            </w:r>
          </w:p>
          <w:p>
            <w:pPr>
              <w:pStyle w:val="25"/>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表3-3 大气污染物监测方法来源</w:t>
            </w:r>
          </w:p>
          <w:tbl>
            <w:tblPr>
              <w:tblStyle w:val="16"/>
              <w:tblW w:w="805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065"/>
              <w:gridCol w:w="2571"/>
              <w:gridCol w:w="2699"/>
              <w:gridCol w:w="172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1065" w:type="dxa"/>
                  <w:noWrap w:val="0"/>
                  <w:vAlign w:val="center"/>
                </w:tcPr>
                <w:p>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w:t>
                  </w:r>
                </w:p>
              </w:tc>
              <w:tc>
                <w:tcPr>
                  <w:tcW w:w="2571" w:type="dxa"/>
                  <w:noWrap w:val="0"/>
                  <w:vAlign w:val="center"/>
                </w:tcPr>
                <w:p>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监测方法</w:t>
                  </w:r>
                </w:p>
              </w:tc>
              <w:tc>
                <w:tcPr>
                  <w:tcW w:w="2699" w:type="dxa"/>
                  <w:noWrap w:val="0"/>
                  <w:vAlign w:val="center"/>
                </w:tcPr>
                <w:p>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方法来源</w:t>
                  </w:r>
                </w:p>
              </w:tc>
              <w:tc>
                <w:tcPr>
                  <w:tcW w:w="1723" w:type="dxa"/>
                  <w:noWrap w:val="0"/>
                  <w:vAlign w:val="center"/>
                </w:tcPr>
                <w:p>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使用仪器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1065"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TSP</w:t>
                  </w:r>
                </w:p>
              </w:tc>
              <w:tc>
                <w:tcPr>
                  <w:tcW w:w="2571"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重量法</w:t>
                  </w:r>
                </w:p>
              </w:tc>
              <w:tc>
                <w:tcPr>
                  <w:tcW w:w="2699"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GB/T15432—1995</w:t>
                  </w:r>
                </w:p>
              </w:tc>
              <w:tc>
                <w:tcPr>
                  <w:tcW w:w="1723"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电子天平</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jc w:val="center"/>
              </w:trPr>
              <w:tc>
                <w:tcPr>
                  <w:tcW w:w="1065"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TVOC</w:t>
                  </w:r>
                </w:p>
              </w:tc>
              <w:tc>
                <w:tcPr>
                  <w:tcW w:w="2571"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室内空气质量标准</w:t>
                  </w:r>
                </w:p>
              </w:tc>
              <w:tc>
                <w:tcPr>
                  <w:tcW w:w="2699"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GB/T18883-2002附录C</w:t>
                  </w:r>
                </w:p>
              </w:tc>
              <w:tc>
                <w:tcPr>
                  <w:tcW w:w="1723" w:type="dxa"/>
                  <w:noWrap w:val="0"/>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气相色谱仪</w:t>
                  </w:r>
                </w:p>
              </w:tc>
            </w:tr>
          </w:tbl>
          <w:p>
            <w:pPr>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（2）环境空气质量现状评价</w:t>
            </w:r>
          </w:p>
          <w:p>
            <w:pPr>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fldChar w:fldCharType="begin"/>
            </w:r>
            <w:r>
              <w:rPr>
                <w:rFonts w:hint="default" w:ascii="Times New Roman" w:hAnsi="Times New Roman" w:eastAsia="宋体" w:cs="Times New Roman"/>
                <w:color w:val="auto"/>
                <w:kern w:val="2"/>
                <w:sz w:val="24"/>
                <w:szCs w:val="21"/>
                <w:lang w:val="en-US" w:eastAsia="zh-CN" w:bidi="ar-SA"/>
              </w:rPr>
              <w:instrText xml:space="preserve"> = 1 \* GB3 \* MERGEFORMAT </w:instrText>
            </w:r>
            <w:r>
              <w:rPr>
                <w:rFonts w:hint="default" w:ascii="Times New Roman" w:hAnsi="Times New Roman" w:eastAsia="宋体" w:cs="Times New Roman"/>
                <w:color w:val="auto"/>
                <w:kern w:val="2"/>
                <w:sz w:val="24"/>
                <w:szCs w:val="21"/>
                <w:lang w:val="en-US" w:eastAsia="zh-CN" w:bidi="ar-SA"/>
              </w:rPr>
              <w:fldChar w:fldCharType="separate"/>
            </w:r>
            <w:r>
              <w:rPr>
                <w:rFonts w:hint="default" w:ascii="Times New Roman" w:hAnsi="Times New Roman" w:eastAsia="宋体" w:cs="Times New Roman"/>
                <w:color w:val="auto"/>
                <w:kern w:val="2"/>
                <w:sz w:val="24"/>
                <w:szCs w:val="21"/>
                <w:lang w:val="en-US" w:eastAsia="zh-CN" w:bidi="ar-SA"/>
              </w:rPr>
              <w:t>①</w:t>
            </w:r>
            <w:r>
              <w:rPr>
                <w:rFonts w:hint="default" w:ascii="Times New Roman" w:hAnsi="Times New Roman" w:eastAsia="宋体" w:cs="Times New Roman"/>
                <w:color w:val="auto"/>
                <w:kern w:val="2"/>
                <w:sz w:val="24"/>
                <w:szCs w:val="21"/>
                <w:lang w:val="en-US" w:eastAsia="zh-CN" w:bidi="ar-SA"/>
              </w:rPr>
              <w:fldChar w:fldCharType="end"/>
            </w:r>
            <w:r>
              <w:rPr>
                <w:rFonts w:hint="default" w:ascii="Times New Roman" w:hAnsi="Times New Roman" w:eastAsia="宋体" w:cs="Times New Roman"/>
                <w:color w:val="auto"/>
                <w:kern w:val="2"/>
                <w:sz w:val="24"/>
                <w:szCs w:val="21"/>
                <w:lang w:val="en-US" w:eastAsia="zh-CN" w:bidi="ar-SA"/>
              </w:rPr>
              <w:t>评价因子</w:t>
            </w:r>
          </w:p>
          <w:p>
            <w:pPr>
              <w:spacing w:line="360" w:lineRule="auto"/>
              <w:ind w:firstLine="482"/>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根据环境空气质量标准，确定以TSP、TVOC为评价因子。</w:t>
            </w:r>
          </w:p>
          <w:p>
            <w:pPr>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fldChar w:fldCharType="begin"/>
            </w:r>
            <w:r>
              <w:rPr>
                <w:rFonts w:hint="default" w:ascii="Times New Roman" w:hAnsi="Times New Roman" w:eastAsia="宋体" w:cs="Times New Roman"/>
                <w:color w:val="auto"/>
                <w:kern w:val="2"/>
                <w:sz w:val="24"/>
                <w:szCs w:val="21"/>
                <w:lang w:val="en-US" w:eastAsia="zh-CN" w:bidi="ar-SA"/>
              </w:rPr>
              <w:instrText xml:space="preserve"> = 2 \* GB3 \* MERGEFORMAT </w:instrText>
            </w:r>
            <w:r>
              <w:rPr>
                <w:rFonts w:hint="default" w:ascii="Times New Roman" w:hAnsi="Times New Roman" w:eastAsia="宋体" w:cs="Times New Roman"/>
                <w:color w:val="auto"/>
                <w:kern w:val="2"/>
                <w:sz w:val="24"/>
                <w:szCs w:val="21"/>
                <w:lang w:val="en-US" w:eastAsia="zh-CN" w:bidi="ar-SA"/>
              </w:rPr>
              <w:fldChar w:fldCharType="separate"/>
            </w:r>
            <w:r>
              <w:rPr>
                <w:rFonts w:hint="default" w:ascii="Times New Roman" w:hAnsi="Times New Roman" w:eastAsia="宋体" w:cs="Times New Roman"/>
                <w:color w:val="auto"/>
                <w:kern w:val="2"/>
                <w:sz w:val="24"/>
                <w:szCs w:val="21"/>
                <w:lang w:val="en-US" w:eastAsia="zh-CN" w:bidi="ar-SA"/>
              </w:rPr>
              <w:t>②</w:t>
            </w:r>
            <w:r>
              <w:rPr>
                <w:rFonts w:hint="default" w:ascii="Times New Roman" w:hAnsi="Times New Roman" w:eastAsia="宋体" w:cs="Times New Roman"/>
                <w:color w:val="auto"/>
                <w:kern w:val="2"/>
                <w:sz w:val="24"/>
                <w:szCs w:val="21"/>
                <w:lang w:val="en-US" w:eastAsia="zh-CN" w:bidi="ar-SA"/>
              </w:rPr>
              <w:fldChar w:fldCharType="end"/>
            </w:r>
            <w:r>
              <w:rPr>
                <w:rFonts w:hint="default" w:ascii="Times New Roman" w:hAnsi="Times New Roman" w:eastAsia="宋体" w:cs="Times New Roman"/>
                <w:color w:val="auto"/>
                <w:kern w:val="2"/>
                <w:sz w:val="24"/>
                <w:szCs w:val="21"/>
                <w:lang w:val="en-US" w:eastAsia="zh-CN" w:bidi="ar-SA"/>
              </w:rPr>
              <w:t>评价标准</w:t>
            </w:r>
          </w:p>
          <w:p>
            <w:pPr>
              <w:spacing w:line="360" w:lineRule="auto"/>
              <w:ind w:firstLine="482"/>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评价区域空气环境TSP执行《环境空气质量标准》（GB3095-2012）二级标准，TVOC执行《环境影响评价技术导则-大气环境》HJ2.2-2018附录D中相关标准。</w:t>
            </w:r>
          </w:p>
          <w:p>
            <w:pPr>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fldChar w:fldCharType="begin"/>
            </w:r>
            <w:r>
              <w:rPr>
                <w:rFonts w:hint="default" w:ascii="Times New Roman" w:hAnsi="Times New Roman" w:eastAsia="宋体" w:cs="Times New Roman"/>
                <w:color w:val="auto"/>
                <w:kern w:val="2"/>
                <w:sz w:val="24"/>
                <w:szCs w:val="21"/>
                <w:lang w:val="en-US" w:eastAsia="zh-CN" w:bidi="ar-SA"/>
              </w:rPr>
              <w:instrText xml:space="preserve"> = 3 \* GB3 \* MERGEFORMAT </w:instrText>
            </w:r>
            <w:r>
              <w:rPr>
                <w:rFonts w:hint="default" w:ascii="Times New Roman" w:hAnsi="Times New Roman" w:eastAsia="宋体" w:cs="Times New Roman"/>
                <w:color w:val="auto"/>
                <w:kern w:val="2"/>
                <w:sz w:val="24"/>
                <w:szCs w:val="21"/>
                <w:lang w:val="en-US" w:eastAsia="zh-CN" w:bidi="ar-SA"/>
              </w:rPr>
              <w:fldChar w:fldCharType="separate"/>
            </w:r>
            <w:r>
              <w:rPr>
                <w:rFonts w:hint="default" w:ascii="Times New Roman" w:hAnsi="Times New Roman" w:eastAsia="宋体" w:cs="Times New Roman"/>
                <w:color w:val="auto"/>
                <w:kern w:val="2"/>
                <w:sz w:val="24"/>
                <w:szCs w:val="21"/>
                <w:lang w:val="en-US" w:eastAsia="zh-CN" w:bidi="ar-SA"/>
              </w:rPr>
              <w:t>③</w:t>
            </w:r>
            <w:r>
              <w:rPr>
                <w:rFonts w:hint="default" w:ascii="Times New Roman" w:hAnsi="Times New Roman" w:eastAsia="宋体" w:cs="Times New Roman"/>
                <w:color w:val="auto"/>
                <w:kern w:val="2"/>
                <w:sz w:val="24"/>
                <w:szCs w:val="21"/>
                <w:lang w:val="en-US" w:eastAsia="zh-CN" w:bidi="ar-SA"/>
              </w:rPr>
              <w:fldChar w:fldCharType="end"/>
            </w:r>
            <w:r>
              <w:rPr>
                <w:rFonts w:hint="default" w:ascii="Times New Roman" w:hAnsi="Times New Roman" w:eastAsia="宋体" w:cs="Times New Roman"/>
                <w:color w:val="auto"/>
                <w:kern w:val="2"/>
                <w:sz w:val="24"/>
                <w:szCs w:val="21"/>
                <w:lang w:val="en-US" w:eastAsia="zh-CN" w:bidi="ar-SA"/>
              </w:rPr>
              <w:t>评价方法</w:t>
            </w:r>
          </w:p>
          <w:p>
            <w:pPr>
              <w:spacing w:line="36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大气环境现状采用单项标准指数法进行评价。评价公式：</w:t>
            </w:r>
          </w:p>
          <w:p>
            <w:pPr>
              <w:tabs>
                <w:tab w:val="left" w:leader="dot" w:pos="7770"/>
              </w:tabs>
              <w:spacing w:line="360" w:lineRule="auto"/>
              <w:jc w:val="center"/>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object>
                <v:shape id="_x0000_i1025" o:spt="75" type="#_x0000_t75" style="height:36.5pt;width:39pt;" o:ole="t" filled="f" o:preferrelative="t" stroked="f" coordsize="21600,21600">
                  <v:path/>
                  <v:fill on="f" focussize="0,0"/>
                  <v:stroke on="f" joinstyle="miter"/>
                  <v:imagedata r:id="rId22" o:title=""/>
                  <o:lock v:ext="edit" aspectratio="t"/>
                  <w10:wrap type="none"/>
                  <w10:anchorlock/>
                </v:shape>
                <o:OLEObject Type="Embed" ProgID="Equation.DSMT4" ShapeID="_x0000_i1025" DrawAspect="Content" ObjectID="_1468075725" r:id="rId21">
                  <o:LockedField>false</o:LockedField>
                </o:OLEObject>
              </w:object>
            </w:r>
          </w:p>
          <w:p>
            <w:pPr>
              <w:spacing w:line="360" w:lineRule="auto"/>
              <w:ind w:firstLine="482"/>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式中：Ii——i种污染物的单项指数；</w:t>
            </w:r>
          </w:p>
          <w:p>
            <w:pPr>
              <w:spacing w:line="360" w:lineRule="auto"/>
              <w:ind w:firstLine="1200" w:firstLineChars="5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Ci——i种污染物的实测浓度，mg/Nm3；</w:t>
            </w:r>
          </w:p>
          <w:p>
            <w:pPr>
              <w:spacing w:line="360" w:lineRule="auto"/>
              <w:ind w:firstLine="1200" w:firstLineChars="5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Si——i种污染物的评价标准，mg/Nm3。</w:t>
            </w:r>
          </w:p>
          <w:p>
            <w:pPr>
              <w:spacing w:line="240" w:lineRule="auto"/>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fldChar w:fldCharType="begin"/>
            </w:r>
            <w:r>
              <w:rPr>
                <w:rFonts w:hint="default" w:ascii="Times New Roman" w:hAnsi="Times New Roman" w:eastAsia="宋体" w:cs="Times New Roman"/>
                <w:color w:val="auto"/>
                <w:kern w:val="2"/>
                <w:sz w:val="24"/>
                <w:szCs w:val="21"/>
                <w:lang w:val="en-US" w:eastAsia="zh-CN" w:bidi="ar-SA"/>
              </w:rPr>
              <w:instrText xml:space="preserve"> = 4 \* GB3 \* MERGEFORMAT </w:instrText>
            </w:r>
            <w:r>
              <w:rPr>
                <w:rFonts w:hint="default" w:ascii="Times New Roman" w:hAnsi="Times New Roman" w:eastAsia="宋体" w:cs="Times New Roman"/>
                <w:color w:val="auto"/>
                <w:kern w:val="2"/>
                <w:sz w:val="24"/>
                <w:szCs w:val="21"/>
                <w:lang w:val="en-US" w:eastAsia="zh-CN" w:bidi="ar-SA"/>
              </w:rPr>
              <w:fldChar w:fldCharType="separate"/>
            </w:r>
            <w:r>
              <w:rPr>
                <w:rFonts w:hint="default" w:ascii="Times New Roman" w:hAnsi="Times New Roman" w:eastAsia="宋体" w:cs="Times New Roman"/>
                <w:color w:val="auto"/>
                <w:kern w:val="2"/>
                <w:sz w:val="24"/>
                <w:szCs w:val="21"/>
                <w:lang w:val="en-US" w:eastAsia="zh-CN" w:bidi="ar-SA"/>
              </w:rPr>
              <w:t>④</w:t>
            </w:r>
            <w:r>
              <w:rPr>
                <w:rFonts w:hint="default" w:ascii="Times New Roman" w:hAnsi="Times New Roman" w:eastAsia="宋体" w:cs="Times New Roman"/>
                <w:color w:val="auto"/>
                <w:kern w:val="2"/>
                <w:sz w:val="24"/>
                <w:szCs w:val="21"/>
                <w:lang w:val="en-US" w:eastAsia="zh-CN" w:bidi="ar-SA"/>
              </w:rPr>
              <w:fldChar w:fldCharType="end"/>
            </w:r>
            <w:r>
              <w:rPr>
                <w:rFonts w:hint="default" w:ascii="Times New Roman" w:hAnsi="Times New Roman" w:eastAsia="宋体" w:cs="Times New Roman"/>
                <w:color w:val="auto"/>
                <w:kern w:val="2"/>
                <w:sz w:val="24"/>
                <w:szCs w:val="21"/>
                <w:lang w:val="en-US" w:eastAsia="zh-CN" w:bidi="ar-SA"/>
              </w:rPr>
              <w:t>监测结果</w:t>
            </w:r>
          </w:p>
          <w:p>
            <w:pPr>
              <w:pStyle w:val="25"/>
              <w:bidi w:val="0"/>
              <w:spacing w:line="24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表3-4 大气监测因子评价结果表</w:t>
            </w:r>
          </w:p>
          <w:tbl>
            <w:tblPr>
              <w:tblStyle w:val="16"/>
              <w:tblW w:w="80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336"/>
              <w:gridCol w:w="1328"/>
              <w:gridCol w:w="1787"/>
              <w:gridCol w:w="1338"/>
              <w:gridCol w:w="12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2336"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328"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监测项目</w:t>
                  </w:r>
                </w:p>
              </w:tc>
              <w:tc>
                <w:tcPr>
                  <w:tcW w:w="4374" w:type="dxa"/>
                  <w:gridSpan w:val="3"/>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平均浓度(mg/m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2336"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rPr>
                  </w:pPr>
                </w:p>
              </w:tc>
              <w:tc>
                <w:tcPr>
                  <w:tcW w:w="1328" w:type="dxa"/>
                  <w:vMerge w:val="continue"/>
                  <w:noWrap w:val="0"/>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color w:val="auto"/>
                      <w:sz w:val="21"/>
                      <w:szCs w:val="21"/>
                    </w:rPr>
                  </w:pPr>
                </w:p>
              </w:tc>
              <w:tc>
                <w:tcPr>
                  <w:tcW w:w="178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浓度范围</w:t>
                  </w:r>
                </w:p>
              </w:tc>
              <w:tc>
                <w:tcPr>
                  <w:tcW w:w="133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标准值</w:t>
                  </w:r>
                </w:p>
              </w:tc>
              <w:tc>
                <w:tcPr>
                  <w:tcW w:w="124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PImax</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2336"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欧范家具有限公司</w:t>
                  </w:r>
                </w:p>
              </w:tc>
              <w:tc>
                <w:tcPr>
                  <w:tcW w:w="132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TSP</w:t>
                  </w:r>
                </w:p>
              </w:tc>
              <w:tc>
                <w:tcPr>
                  <w:tcW w:w="178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0.076~0.086</w:t>
                  </w:r>
                </w:p>
              </w:tc>
              <w:tc>
                <w:tcPr>
                  <w:tcW w:w="133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0.3</w:t>
                  </w:r>
                </w:p>
              </w:tc>
              <w:tc>
                <w:tcPr>
                  <w:tcW w:w="124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0.287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2336"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p>
              </w:tc>
              <w:tc>
                <w:tcPr>
                  <w:tcW w:w="132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TVOC</w:t>
                  </w:r>
                </w:p>
              </w:tc>
              <w:tc>
                <w:tcPr>
                  <w:tcW w:w="178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0.0037~0.0164</w:t>
                  </w:r>
                </w:p>
              </w:tc>
              <w:tc>
                <w:tcPr>
                  <w:tcW w:w="133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w:t>
                  </w:r>
                </w:p>
              </w:tc>
              <w:tc>
                <w:tcPr>
                  <w:tcW w:w="124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2336" w:type="dxa"/>
                  <w:vMerge w:val="restar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西华安置小区</w:t>
                  </w:r>
                </w:p>
              </w:tc>
              <w:tc>
                <w:tcPr>
                  <w:tcW w:w="1328"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TSP</w:t>
                  </w:r>
                </w:p>
              </w:tc>
              <w:tc>
                <w:tcPr>
                  <w:tcW w:w="1787"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0.073~0.095</w:t>
                  </w:r>
                </w:p>
              </w:tc>
              <w:tc>
                <w:tcPr>
                  <w:tcW w:w="1338"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0.3</w:t>
                  </w:r>
                </w:p>
              </w:tc>
              <w:tc>
                <w:tcPr>
                  <w:tcW w:w="1249" w:type="dxa"/>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0.317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2336"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132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TVOC</w:t>
                  </w:r>
                </w:p>
              </w:tc>
              <w:tc>
                <w:tcPr>
                  <w:tcW w:w="178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0.0033~0.0161</w:t>
                  </w:r>
                </w:p>
              </w:tc>
              <w:tc>
                <w:tcPr>
                  <w:tcW w:w="133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0.6</w:t>
                  </w:r>
                </w:p>
              </w:tc>
              <w:tc>
                <w:tcPr>
                  <w:tcW w:w="124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0.027</w:t>
                  </w:r>
                </w:p>
              </w:tc>
            </w:tr>
          </w:tbl>
          <w:p>
            <w:pPr>
              <w:spacing w:line="360" w:lineRule="auto"/>
              <w:ind w:firstLine="482"/>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fldChar w:fldCharType="begin"/>
            </w:r>
            <w:r>
              <w:rPr>
                <w:rFonts w:hint="default" w:ascii="Times New Roman" w:hAnsi="Times New Roman" w:eastAsia="宋体" w:cs="Times New Roman"/>
                <w:color w:val="auto"/>
                <w:kern w:val="2"/>
                <w:sz w:val="24"/>
                <w:szCs w:val="21"/>
                <w:lang w:val="en-US" w:eastAsia="zh-CN" w:bidi="ar-SA"/>
              </w:rPr>
              <w:instrText xml:space="preserve"> = 5 \* GB3 \* MERGEFORMAT </w:instrText>
            </w:r>
            <w:r>
              <w:rPr>
                <w:rFonts w:hint="default" w:ascii="Times New Roman" w:hAnsi="Times New Roman" w:eastAsia="宋体" w:cs="Times New Roman"/>
                <w:color w:val="auto"/>
                <w:kern w:val="2"/>
                <w:sz w:val="24"/>
                <w:szCs w:val="21"/>
                <w:lang w:val="en-US" w:eastAsia="zh-CN" w:bidi="ar-SA"/>
              </w:rPr>
              <w:fldChar w:fldCharType="separate"/>
            </w:r>
            <w:r>
              <w:rPr>
                <w:rFonts w:hint="default" w:ascii="Times New Roman" w:hAnsi="Times New Roman" w:eastAsia="宋体" w:cs="Times New Roman"/>
                <w:color w:val="auto"/>
                <w:kern w:val="2"/>
                <w:sz w:val="24"/>
                <w:szCs w:val="21"/>
                <w:lang w:val="en-US" w:eastAsia="zh-CN" w:bidi="ar-SA"/>
              </w:rPr>
              <w:t>⑤</w:t>
            </w:r>
            <w:r>
              <w:rPr>
                <w:rFonts w:hint="default" w:ascii="Times New Roman" w:hAnsi="Times New Roman" w:eastAsia="宋体" w:cs="Times New Roman"/>
                <w:color w:val="auto"/>
                <w:kern w:val="2"/>
                <w:sz w:val="24"/>
                <w:szCs w:val="21"/>
                <w:lang w:val="en-US" w:eastAsia="zh-CN" w:bidi="ar-SA"/>
              </w:rPr>
              <w:fldChar w:fldCharType="end"/>
            </w:r>
            <w:r>
              <w:rPr>
                <w:rFonts w:hint="default" w:ascii="Times New Roman" w:hAnsi="Times New Roman" w:eastAsia="宋体" w:cs="Times New Roman"/>
                <w:color w:val="auto"/>
                <w:kern w:val="2"/>
                <w:sz w:val="24"/>
                <w:szCs w:val="21"/>
                <w:lang w:val="en-US" w:eastAsia="zh-CN" w:bidi="ar-SA"/>
              </w:rPr>
              <w:t>现状评价结论</w:t>
            </w:r>
          </w:p>
          <w:p>
            <w:pPr>
              <w:spacing w:line="360" w:lineRule="auto"/>
              <w:ind w:firstLine="482"/>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由表3-</w:t>
            </w:r>
            <w:r>
              <w:rPr>
                <w:rFonts w:hint="default" w:ascii="Times New Roman" w:hAnsi="Times New Roman" w:cs="Times New Roman"/>
                <w:color w:val="auto"/>
                <w:kern w:val="2"/>
                <w:sz w:val="24"/>
                <w:szCs w:val="21"/>
                <w:lang w:val="en-US" w:eastAsia="zh-CN" w:bidi="ar-SA"/>
              </w:rPr>
              <w:t>4</w:t>
            </w:r>
            <w:r>
              <w:rPr>
                <w:rFonts w:hint="default" w:ascii="Times New Roman" w:hAnsi="Times New Roman" w:eastAsia="宋体" w:cs="Times New Roman"/>
                <w:color w:val="auto"/>
                <w:kern w:val="2"/>
                <w:sz w:val="24"/>
                <w:szCs w:val="21"/>
                <w:lang w:val="en-US" w:eastAsia="zh-CN" w:bidi="ar-SA"/>
              </w:rPr>
              <w:t>可知，评价区目前环境空气中，各项监测因子均能达到相关标准要求，说明厂址所在区域环境空气质量较好，尚有一定的环境容量。</w:t>
            </w:r>
          </w:p>
          <w:p>
            <w:pPr>
              <w:pStyle w:val="24"/>
              <w:bidi w:val="0"/>
              <w:spacing w:line="360" w:lineRule="auto"/>
              <w:ind w:left="0" w:leftChars="0" w:firstLine="482" w:firstLineChars="200"/>
              <w:rPr>
                <w:rFonts w:hint="default" w:ascii="Times New Roman" w:hAnsi="Times New Roman" w:cs="Times New Roman"/>
                <w:b/>
                <w:bCs/>
                <w:color w:val="auto"/>
              </w:rPr>
            </w:pPr>
            <w:r>
              <w:rPr>
                <w:rFonts w:hint="default" w:ascii="Times New Roman" w:hAnsi="Times New Roman" w:cs="Times New Roman"/>
                <w:b/>
                <w:bCs/>
                <w:color w:val="auto"/>
              </w:rPr>
              <w:t>二、地表水环境</w:t>
            </w:r>
          </w:p>
          <w:p>
            <w:pPr>
              <w:pStyle w:val="24"/>
              <w:bidi w:val="0"/>
              <w:spacing w:line="360" w:lineRule="auto"/>
              <w:rPr>
                <w:rFonts w:hint="default" w:ascii="Times New Roman" w:hAnsi="Times New Roman" w:cs="Times New Roman"/>
                <w:color w:val="auto"/>
              </w:rPr>
            </w:pPr>
            <w:r>
              <w:rPr>
                <w:rFonts w:hint="default" w:ascii="Times New Roman" w:hAnsi="Times New Roman" w:cs="Times New Roman"/>
                <w:color w:val="auto"/>
              </w:rPr>
              <w:t>本项目处于</w:t>
            </w:r>
            <w:r>
              <w:rPr>
                <w:rFonts w:hint="default" w:ascii="Times New Roman" w:hAnsi="Times New Roman" w:cs="Times New Roman"/>
                <w:color w:val="auto"/>
                <w:lang w:eastAsia="zh-CN"/>
              </w:rPr>
              <w:t>蓬溪县上游工业园</w:t>
            </w:r>
            <w:r>
              <w:rPr>
                <w:rFonts w:hint="default" w:ascii="Times New Roman" w:hAnsi="Times New Roman" w:cs="Times New Roman"/>
                <w:color w:val="auto"/>
              </w:rPr>
              <w:t>，项目附近地表水体为</w:t>
            </w:r>
            <w:r>
              <w:rPr>
                <w:rFonts w:hint="default" w:ascii="Times New Roman" w:hAnsi="Times New Roman" w:cs="Times New Roman"/>
                <w:color w:val="auto"/>
                <w:lang w:eastAsia="zh-CN"/>
              </w:rPr>
              <w:t>芝溪河</w:t>
            </w:r>
            <w:r>
              <w:rPr>
                <w:rFonts w:hint="default" w:ascii="Times New Roman" w:hAnsi="Times New Roman" w:cs="Times New Roman"/>
                <w:color w:val="auto"/>
              </w:rPr>
              <w:t>。本项目无生产废水产生，生活污水依托</w:t>
            </w:r>
            <w:r>
              <w:rPr>
                <w:rFonts w:hint="default" w:ascii="Times New Roman" w:hAnsi="Times New Roman" w:cs="Times New Roman"/>
                <w:color w:val="auto"/>
                <w:lang w:val="en-US" w:eastAsia="zh-CN"/>
              </w:rPr>
              <w:t>租赁厂房</w:t>
            </w:r>
            <w:r>
              <w:rPr>
                <w:rFonts w:hint="default" w:ascii="Times New Roman" w:hAnsi="Times New Roman" w:cs="Times New Roman"/>
                <w:color w:val="auto"/>
              </w:rPr>
              <w:t>已建预处理池处理后，经市政污水管网进入来龙山污水处理厂处理后达标排入芝溪河。</w:t>
            </w:r>
          </w:p>
          <w:p>
            <w:pPr>
              <w:pStyle w:val="24"/>
              <w:bidi w:val="0"/>
              <w:spacing w:line="360" w:lineRule="auto"/>
              <w:rPr>
                <w:rFonts w:hint="default" w:ascii="Times New Roman" w:hAnsi="Times New Roman" w:cs="Times New Roman"/>
                <w:color w:val="auto"/>
              </w:rPr>
            </w:pPr>
            <w:r>
              <w:rPr>
                <w:rFonts w:hint="default" w:ascii="Times New Roman" w:hAnsi="Times New Roman" w:cs="Times New Roman"/>
                <w:color w:val="auto"/>
              </w:rPr>
              <w:t>根据《建设项目环境影响报告表编制技术指南》（污染影响类）（试行）</w:t>
            </w:r>
            <w:r>
              <w:rPr>
                <w:rFonts w:hint="default" w:ascii="Times New Roman" w:hAnsi="Times New Roman" w:cs="Times New Roman"/>
                <w:color w:val="auto"/>
                <w:lang w:eastAsia="zh-CN"/>
              </w:rPr>
              <w:t>，</w:t>
            </w:r>
            <w:r>
              <w:rPr>
                <w:rFonts w:hint="default" w:ascii="Times New Roman" w:hAnsi="Times New Roman" w:cs="Times New Roman"/>
                <w:color w:val="auto"/>
              </w:rPr>
              <w:t>为了解项目所在区域地表水环境质量现状，本次环评引用遂宁市</w:t>
            </w:r>
            <w:r>
              <w:rPr>
                <w:rFonts w:hint="default" w:ascii="Times New Roman" w:hAnsi="Times New Roman" w:cs="Times New Roman"/>
                <w:color w:val="auto"/>
                <w:lang w:eastAsia="zh-CN"/>
              </w:rPr>
              <w:t>生态环境局</w:t>
            </w:r>
            <w:r>
              <w:rPr>
                <w:rFonts w:hint="default" w:ascii="Times New Roman" w:hAnsi="Times New Roman" w:cs="Times New Roman"/>
                <w:color w:val="auto"/>
              </w:rPr>
              <w:t>202</w:t>
            </w:r>
            <w:r>
              <w:rPr>
                <w:rFonts w:hint="default" w:ascii="Times New Roman" w:hAnsi="Times New Roman" w:cs="Times New Roman"/>
                <w:color w:val="auto"/>
                <w:lang w:val="en-US" w:eastAsia="zh-CN"/>
              </w:rPr>
              <w:t>1</w:t>
            </w:r>
            <w:r>
              <w:rPr>
                <w:rFonts w:hint="default" w:ascii="Times New Roman" w:hAnsi="Times New Roman" w:cs="Times New Roman"/>
                <w:color w:val="auto"/>
              </w:rPr>
              <w:t>年</w:t>
            </w:r>
            <w:r>
              <w:rPr>
                <w:rFonts w:hint="default" w:ascii="Times New Roman" w:hAnsi="Times New Roman" w:cs="Times New Roman"/>
                <w:color w:val="auto"/>
                <w:lang w:val="en-US" w:eastAsia="zh-CN"/>
              </w:rPr>
              <w:t>1</w:t>
            </w:r>
            <w:r>
              <w:rPr>
                <w:rFonts w:hint="default" w:ascii="Times New Roman" w:hAnsi="Times New Roman" w:cs="Times New Roman"/>
                <w:color w:val="auto"/>
              </w:rPr>
              <w:t>月</w:t>
            </w:r>
            <w:r>
              <w:rPr>
                <w:rFonts w:hint="default" w:ascii="Times New Roman" w:hAnsi="Times New Roman" w:cs="Times New Roman"/>
                <w:color w:val="auto"/>
                <w:lang w:eastAsia="zh-CN"/>
              </w:rPr>
              <w:t>发布的</w:t>
            </w:r>
            <w:r>
              <w:rPr>
                <w:rFonts w:hint="default" w:ascii="Times New Roman" w:hAnsi="Times New Roman" w:cs="Times New Roman"/>
                <w:color w:val="auto"/>
              </w:rPr>
              <w:t>关于20</w:t>
            </w:r>
            <w:r>
              <w:rPr>
                <w:rFonts w:hint="default" w:ascii="Times New Roman" w:hAnsi="Times New Roman" w:cs="Times New Roman"/>
                <w:color w:val="auto"/>
                <w:lang w:val="en-US" w:eastAsia="zh-CN"/>
              </w:rPr>
              <w:t>20</w:t>
            </w:r>
            <w:r>
              <w:rPr>
                <w:rFonts w:hint="default" w:ascii="Times New Roman" w:hAnsi="Times New Roman" w:cs="Times New Roman"/>
                <w:color w:val="auto"/>
              </w:rPr>
              <w:t>年</w:t>
            </w:r>
            <w:r>
              <w:rPr>
                <w:rFonts w:hint="default" w:ascii="Times New Roman" w:hAnsi="Times New Roman" w:cs="Times New Roman"/>
                <w:color w:val="auto"/>
                <w:lang w:eastAsia="zh-CN"/>
              </w:rPr>
              <w:t>遂宁市</w:t>
            </w:r>
            <w:r>
              <w:rPr>
                <w:rFonts w:hint="default" w:ascii="Times New Roman" w:hAnsi="Times New Roman" w:cs="Times New Roman"/>
                <w:color w:val="auto"/>
              </w:rPr>
              <w:t>质量</w:t>
            </w:r>
            <w:r>
              <w:rPr>
                <w:rFonts w:hint="default" w:ascii="Times New Roman" w:hAnsi="Times New Roman" w:cs="Times New Roman"/>
                <w:color w:val="auto"/>
                <w:lang w:eastAsia="zh-CN"/>
              </w:rPr>
              <w:t>公告中</w:t>
            </w:r>
            <w:r>
              <w:rPr>
                <w:rFonts w:hint="default" w:ascii="Times New Roman" w:hAnsi="Times New Roman" w:cs="Times New Roman"/>
                <w:color w:val="auto"/>
              </w:rPr>
              <w:t>中公布的数据，链接http://www.suining.gov.cn/web/sn/shjzl/-/articles/18736404.shtml。</w:t>
            </w:r>
          </w:p>
          <w:p>
            <w:pPr>
              <w:pStyle w:val="25"/>
              <w:bidi w:val="0"/>
              <w:spacing w:line="360" w:lineRule="auto"/>
              <w:rPr>
                <w:rFonts w:hint="default" w:ascii="Times New Roman" w:hAnsi="Times New Roman" w:cs="Times New Roman"/>
                <w:color w:val="auto"/>
              </w:rPr>
            </w:pPr>
            <w:r>
              <w:rPr>
                <w:rFonts w:hint="default" w:ascii="Times New Roman" w:hAnsi="Times New Roman" w:cs="Times New Roman"/>
                <w:color w:val="auto"/>
              </w:rPr>
              <w:t>表3-</w:t>
            </w:r>
            <w:r>
              <w:rPr>
                <w:rFonts w:hint="default" w:ascii="Times New Roman" w:hAnsi="Times New Roman" w:cs="Times New Roman"/>
                <w:color w:val="auto"/>
                <w:lang w:val="en-US" w:eastAsia="zh-CN"/>
              </w:rPr>
              <w:t>5</w:t>
            </w:r>
            <w:r>
              <w:rPr>
                <w:rFonts w:hint="default" w:ascii="Times New Roman" w:hAnsi="Times New Roman" w:cs="Times New Roman"/>
                <w:color w:val="auto"/>
              </w:rPr>
              <w:t xml:space="preserve">  20</w:t>
            </w:r>
            <w:r>
              <w:rPr>
                <w:rFonts w:hint="default" w:ascii="Times New Roman" w:hAnsi="Times New Roman" w:cs="Times New Roman"/>
                <w:color w:val="auto"/>
                <w:lang w:val="en-US" w:eastAsia="zh-CN"/>
              </w:rPr>
              <w:t>20</w:t>
            </w:r>
            <w:r>
              <w:rPr>
                <w:rFonts w:hint="default" w:ascii="Times New Roman" w:hAnsi="Times New Roman" w:cs="Times New Roman"/>
                <w:color w:val="auto"/>
              </w:rPr>
              <w:t>年</w:t>
            </w:r>
            <w:r>
              <w:rPr>
                <w:rFonts w:hint="default" w:ascii="Times New Roman" w:hAnsi="Times New Roman" w:cs="Times New Roman"/>
                <w:color w:val="auto"/>
                <w:lang w:eastAsia="zh-CN"/>
              </w:rPr>
              <w:t>蓬溪县</w:t>
            </w:r>
            <w:r>
              <w:rPr>
                <w:rFonts w:hint="default" w:ascii="Times New Roman" w:hAnsi="Times New Roman" w:cs="Times New Roman"/>
                <w:color w:val="auto"/>
              </w:rPr>
              <w:t>地表水环境质量公告数据</w:t>
            </w:r>
          </w:p>
          <w:tbl>
            <w:tblPr>
              <w:tblStyle w:val="1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40"/>
              <w:gridCol w:w="1253"/>
              <w:gridCol w:w="1526"/>
              <w:gridCol w:w="1526"/>
              <w:gridCol w:w="31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23" w:hRule="atLeast"/>
                <w:tblHeader/>
                <w:jc w:val="center"/>
              </w:trPr>
              <w:tc>
                <w:tcPr>
                  <w:tcW w:w="717" w:type="pct"/>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断面名称</w:t>
                  </w:r>
                </w:p>
              </w:tc>
              <w:tc>
                <w:tcPr>
                  <w:tcW w:w="724" w:type="pct"/>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规定类别</w:t>
                  </w:r>
                </w:p>
              </w:tc>
              <w:tc>
                <w:tcPr>
                  <w:tcW w:w="882" w:type="pct"/>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上年度类别</w:t>
                  </w:r>
                </w:p>
              </w:tc>
              <w:tc>
                <w:tcPr>
                  <w:tcW w:w="882" w:type="pct"/>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本年度类别</w:t>
                  </w:r>
                </w:p>
              </w:tc>
              <w:tc>
                <w:tcPr>
                  <w:tcW w:w="1792" w:type="pct"/>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主要污染指标/超标倍数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717" w:type="pct"/>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涪山坝</w:t>
                  </w:r>
                </w:p>
              </w:tc>
              <w:tc>
                <w:tcPr>
                  <w:tcW w:w="724" w:type="pct"/>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III</w:t>
                  </w:r>
                </w:p>
              </w:tc>
              <w:tc>
                <w:tcPr>
                  <w:tcW w:w="882" w:type="pct"/>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w:t>
                  </w:r>
                </w:p>
              </w:tc>
              <w:tc>
                <w:tcPr>
                  <w:tcW w:w="882" w:type="pct"/>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V</w:t>
                  </w:r>
                </w:p>
              </w:tc>
              <w:tc>
                <w:tcPr>
                  <w:tcW w:w="1792" w:type="pct"/>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aps w:val="0"/>
                      <w:color w:val="333333"/>
                      <w:spacing w:val="0"/>
                      <w:sz w:val="21"/>
                      <w:szCs w:val="21"/>
                      <w:shd w:val="clear" w:color="auto" w:fill="FFFFFF"/>
                    </w:rPr>
                    <w:t>总磷/0.55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000" w:type="pct"/>
                  <w:gridSpan w:val="5"/>
                  <w:tcBorders>
                    <w:tl2br w:val="nil"/>
                    <w:tr2bl w:val="nil"/>
                  </w:tcBorders>
                  <w:shd w:val="clear" w:color="auto" w:fill="FFFFFF"/>
                  <w:noWrap w:val="0"/>
                  <w:vAlign w:val="center"/>
                </w:tcPr>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注：1. 地表水环境评价执行《地表水环境质量标准》（GB3838-2002）和《地表水环境质量评价办法（试行）》（环办〔2011〕22号）。</w:t>
                  </w:r>
                </w:p>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 21项评价指标为：pH、溶解氧、高锰酸盐指数、五日生化需氧量、氨氮、石油类、酚、汞、铅、镉、阴离子表面活性剂、铬（六价）、氟化物、总磷、氰化物、硫化物、砷、化学需氧量、铜、锌、硒。</w:t>
                  </w:r>
                </w:p>
                <w:p>
                  <w:pPr>
                    <w:spacing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 超过Ⅲ类水质标准的指标为断面污染指标，取超标倍数最大的前三项为主要污染指标。</w:t>
                  </w:r>
                </w:p>
              </w:tc>
            </w:tr>
          </w:tbl>
          <w:p>
            <w:pPr>
              <w:pStyle w:val="24"/>
              <w:bidi w:val="0"/>
              <w:spacing w:line="360" w:lineRule="auto"/>
              <w:rPr>
                <w:rFonts w:hint="default" w:ascii="Times New Roman" w:hAnsi="Times New Roman" w:cs="Times New Roman"/>
                <w:color w:val="auto"/>
                <w:lang w:eastAsia="zh-CN"/>
              </w:rPr>
            </w:pPr>
            <w:r>
              <w:rPr>
                <w:rFonts w:hint="default" w:ascii="Times New Roman" w:hAnsi="Times New Roman" w:cs="Times New Roman"/>
                <w:color w:val="auto"/>
              </w:rPr>
              <w:t>根据环境质量公报，</w:t>
            </w:r>
            <w:r>
              <w:rPr>
                <w:rFonts w:hint="default" w:ascii="Times New Roman" w:hAnsi="Times New Roman" w:cs="Times New Roman"/>
                <w:color w:val="auto"/>
                <w:lang w:eastAsia="zh-CN"/>
              </w:rPr>
              <w:t>芝溪河涪山坝</w:t>
            </w:r>
            <w:r>
              <w:rPr>
                <w:rFonts w:hint="default" w:ascii="Times New Roman" w:hAnsi="Times New Roman" w:cs="Times New Roman"/>
                <w:color w:val="auto"/>
              </w:rPr>
              <w:t>断面，水质</w:t>
            </w:r>
            <w:r>
              <w:rPr>
                <w:rFonts w:hint="default" w:ascii="Times New Roman" w:hAnsi="Times New Roman" w:cs="Times New Roman"/>
                <w:color w:val="auto"/>
                <w:lang w:eastAsia="zh-CN"/>
              </w:rPr>
              <w:t>不</w:t>
            </w:r>
            <w:r>
              <w:rPr>
                <w:rFonts w:hint="default" w:ascii="Times New Roman" w:hAnsi="Times New Roman" w:cs="Times New Roman"/>
                <w:color w:val="auto"/>
              </w:rPr>
              <w:t>符合规定水质标准，</w:t>
            </w:r>
            <w:r>
              <w:rPr>
                <w:rFonts w:hint="default" w:ascii="Times New Roman" w:hAnsi="Times New Roman" w:cs="Times New Roman"/>
                <w:color w:val="auto"/>
                <w:lang w:eastAsia="zh-CN"/>
              </w:rPr>
              <w:t>芝溪河</w:t>
            </w:r>
            <w:r>
              <w:rPr>
                <w:rFonts w:hint="default" w:ascii="Times New Roman" w:hAnsi="Times New Roman" w:cs="Times New Roman"/>
                <w:color w:val="auto"/>
              </w:rPr>
              <w:t>水质</w:t>
            </w:r>
            <w:r>
              <w:rPr>
                <w:rFonts w:hint="default" w:ascii="Times New Roman" w:hAnsi="Times New Roman" w:cs="Times New Roman"/>
                <w:color w:val="auto"/>
                <w:lang w:eastAsia="zh-CN"/>
              </w:rPr>
              <w:t>不</w:t>
            </w:r>
            <w:r>
              <w:rPr>
                <w:rFonts w:hint="default" w:ascii="Times New Roman" w:hAnsi="Times New Roman" w:cs="Times New Roman"/>
                <w:color w:val="auto"/>
              </w:rPr>
              <w:t>满足《地表水环境质量标准》（GB3838-2002）III类水质要求。</w:t>
            </w:r>
            <w:r>
              <w:rPr>
                <w:rFonts w:hint="default" w:ascii="Times New Roman" w:hAnsi="Times New Roman" w:cs="Times New Roman"/>
                <w:color w:val="auto"/>
                <w:lang w:eastAsia="zh-CN"/>
              </w:rPr>
              <w:t>本项目无生产废水排放，生活废水经过蓬溪县来龙山污水处理厂处理后达标排放，项目的运营不会加重区域水环境污染。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lang w:eastAsia="zh-CN"/>
              </w:rPr>
            </w:pPr>
            <w:r>
              <w:rPr>
                <w:rFonts w:hint="eastAsia" w:ascii="Times New Roman" w:hAnsi="Times New Roman" w:eastAsia="宋体" w:cs="Times New Roman"/>
                <w:bCs/>
                <w:color w:val="0000FF"/>
                <w:sz w:val="24"/>
                <w:szCs w:val="22"/>
                <w:lang w:val="en-US" w:eastAsia="zh-CN"/>
              </w:rPr>
              <w:t>2018年，蓬溪县</w:t>
            </w:r>
            <w:r>
              <w:rPr>
                <w:rFonts w:hint="eastAsia" w:ascii="Times New Roman" w:hAnsi="Times New Roman" w:eastAsia="宋体" w:cs="Times New Roman"/>
                <w:bCs/>
                <w:color w:val="0000FF"/>
                <w:sz w:val="24"/>
                <w:szCs w:val="22"/>
              </w:rPr>
              <w:t>通过了《蓬溪县芝溪河流域水环境质量考核办法》</w:t>
            </w:r>
            <w:r>
              <w:rPr>
                <w:rFonts w:hint="eastAsia" w:ascii="Times New Roman" w:hAnsi="Times New Roman" w:eastAsia="宋体" w:cs="Times New Roman"/>
                <w:bCs/>
                <w:color w:val="0000FF"/>
                <w:sz w:val="24"/>
                <w:szCs w:val="22"/>
                <w:lang w:eastAsia="zh-CN"/>
              </w:rPr>
              <w:t>、</w:t>
            </w:r>
            <w:r>
              <w:rPr>
                <w:rFonts w:hint="eastAsia" w:ascii="Times New Roman" w:hAnsi="Times New Roman" w:eastAsia="宋体" w:cs="Times New Roman"/>
                <w:bCs/>
                <w:color w:val="0000FF"/>
                <w:sz w:val="24"/>
                <w:szCs w:val="22"/>
              </w:rPr>
              <w:t>《蓬溪县集中式饮用水水源地环境问题整改方案》，县政府与县住建局和芝溪河流域途经乡镇签订了环境</w:t>
            </w:r>
            <w:r>
              <w:rPr>
                <w:rFonts w:hint="eastAsia" w:ascii="Times New Roman" w:hAnsi="Times New Roman" w:eastAsia="宋体" w:cs="Times New Roman"/>
                <w:bCs/>
                <w:color w:val="0000FF"/>
                <w:sz w:val="24"/>
                <w:szCs w:val="22"/>
                <w:highlight w:val="none"/>
              </w:rPr>
              <w:t>保护目标责任书</w:t>
            </w:r>
            <w:r>
              <w:rPr>
                <w:rFonts w:hint="eastAsia" w:ascii="Times New Roman" w:hAnsi="Times New Roman" w:eastAsia="宋体" w:cs="Times New Roman"/>
                <w:bCs/>
                <w:color w:val="0000FF"/>
                <w:sz w:val="24"/>
                <w:szCs w:val="22"/>
                <w:highlight w:val="none"/>
                <w:lang w:eastAsia="zh-CN"/>
              </w:rPr>
              <w:t>，</w:t>
            </w:r>
            <w:r>
              <w:rPr>
                <w:rFonts w:hint="eastAsia" w:ascii="Times New Roman" w:hAnsi="Times New Roman" w:eastAsia="宋体" w:cs="Times New Roman"/>
                <w:bCs/>
                <w:color w:val="0000FF"/>
                <w:sz w:val="24"/>
                <w:szCs w:val="22"/>
                <w:highlight w:val="none"/>
                <w:lang w:val="en-US" w:eastAsia="zh-CN"/>
              </w:rPr>
              <w:t>开展芝溪河水质治理工作</w:t>
            </w:r>
            <w:r>
              <w:rPr>
                <w:rFonts w:hint="eastAsia" w:ascii="Times New Roman" w:hAnsi="Times New Roman" w:eastAsia="宋体" w:cs="Times New Roman"/>
                <w:bCs/>
                <w:color w:val="0000FF"/>
                <w:sz w:val="24"/>
                <w:szCs w:val="22"/>
                <w:highlight w:val="none"/>
              </w:rPr>
              <w:t>。</w:t>
            </w:r>
          </w:p>
          <w:p>
            <w:pPr>
              <w:pStyle w:val="6"/>
              <w:spacing w:line="360" w:lineRule="auto"/>
              <w:ind w:left="0" w:firstLine="0" w:firstLineChars="0"/>
              <w:rPr>
                <w:rFonts w:hint="default" w:ascii="Times New Roman" w:hAnsi="Times New Roman" w:eastAsia="宋体" w:cs="Times New Roman"/>
                <w:b/>
                <w:bCs/>
                <w:color w:val="auto"/>
                <w:kern w:val="2"/>
                <w:sz w:val="24"/>
                <w:szCs w:val="21"/>
                <w:lang w:val="en-US" w:eastAsia="zh-CN" w:bidi="ar-SA"/>
              </w:rPr>
            </w:pPr>
            <w:r>
              <w:rPr>
                <w:rFonts w:hint="default" w:ascii="Times New Roman" w:hAnsi="Times New Roman" w:eastAsia="宋体" w:cs="Times New Roman"/>
                <w:b/>
                <w:bCs/>
                <w:color w:val="auto"/>
                <w:kern w:val="2"/>
                <w:sz w:val="24"/>
                <w:szCs w:val="21"/>
                <w:lang w:val="en-US" w:eastAsia="zh-CN" w:bidi="ar-SA"/>
              </w:rPr>
              <w:t>三、声环境质量现状监测与评价</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0000FF"/>
                <w:sz w:val="24"/>
                <w:szCs w:val="24"/>
                <w:u w:val="single"/>
                <w:lang w:val="en-US" w:eastAsia="zh-CN"/>
              </w:rPr>
              <w:t>本项目周边50m范围内均为工业企业，无声环境保护目标，</w:t>
            </w:r>
            <w:r>
              <w:rPr>
                <w:rFonts w:hint="eastAsia" w:ascii="Times New Roman" w:hAnsi="Times New Roman" w:cs="Times New Roman"/>
                <w:color w:val="0000FF"/>
                <w:sz w:val="24"/>
                <w:szCs w:val="24"/>
                <w:u w:val="none"/>
                <w:lang w:val="en-US" w:eastAsia="zh-CN"/>
              </w:rPr>
              <w:t>根据《建设项目环境影响报告表编制技术指南》（污染影响类）（试行），本项目无需开展声环境质量现状监测。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7" w:hRule="atLeast"/>
          <w:jc w:val="center"/>
        </w:trPr>
        <w:tc>
          <w:tcPr>
            <w:tcW w:w="1165" w:type="dxa"/>
            <w:noWrap w:val="0"/>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环境</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保护</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 w:val="24"/>
                <w:szCs w:val="24"/>
              </w:rPr>
              <w:t>目标</w:t>
            </w:r>
          </w:p>
        </w:tc>
        <w:tc>
          <w:tcPr>
            <w:tcW w:w="8868" w:type="dxa"/>
            <w:noWrap w:val="0"/>
            <w:vAlign w:val="top"/>
          </w:tcPr>
          <w:p>
            <w:pPr>
              <w:pStyle w:val="24"/>
              <w:numPr>
                <w:ilvl w:val="0"/>
                <w:numId w:val="4"/>
              </w:numPr>
              <w:bidi w:val="0"/>
              <w:spacing w:line="360" w:lineRule="auto"/>
              <w:rPr>
                <w:rFonts w:hint="default" w:ascii="Times New Roman" w:hAnsi="Times New Roman" w:cs="Times New Roman"/>
                <w:b/>
                <w:bCs/>
                <w:lang w:val="en-US" w:eastAsia="zh-CN"/>
              </w:rPr>
            </w:pPr>
            <w:r>
              <w:rPr>
                <w:rFonts w:hint="default" w:ascii="Times New Roman" w:hAnsi="Times New Roman" w:cs="Times New Roman"/>
                <w:b/>
                <w:bCs/>
                <w:lang w:val="en-US" w:eastAsia="zh-CN"/>
              </w:rPr>
              <w:t>外环境关系</w:t>
            </w:r>
          </w:p>
          <w:p>
            <w:pPr>
              <w:pStyle w:val="24"/>
              <w:bidi w:val="0"/>
              <w:spacing w:line="360" w:lineRule="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项目北侧10米为四川嘉汇隆包装材料有限公司，北侧120米为芯汇通大药房，北侧约190米为遂宁市欧南科技有限公司，北侧约220米为四川清泉酒业有限公司；西侧约120米为四川聚泰材料有限公司，西侧约200米为四川省欧尚家美门业有限公司，西侧约400米为山东好莱客门配；西北侧约 260米为四川八天木业有限责任公司，西北侧约 320米为四川梦凯门窗有限公司；南侧约50米为四川新钰彬家具有限公司，南侧约220米为蓬溪宏飞顺捷汽车检测有限公司，南侧约310米为竹华门业；东侧约10米为空地；东南侧约300米为四川王力安防产品有限公司。</w:t>
            </w:r>
          </w:p>
          <w:p>
            <w:pPr>
              <w:adjustRightInd w:val="0"/>
              <w:snapToGrid w:val="0"/>
              <w:spacing w:line="360" w:lineRule="auto"/>
              <w:jc w:val="center"/>
              <w:rPr>
                <w:rFonts w:hint="default" w:ascii="Times New Roman" w:hAnsi="Times New Roman" w:cs="Times New Roman"/>
                <w:b/>
              </w:rPr>
            </w:pPr>
            <w:r>
              <w:rPr>
                <w:rFonts w:hint="default" w:ascii="Times New Roman" w:hAnsi="Times New Roman" w:cs="Times New Roman"/>
                <w:b/>
              </w:rPr>
              <w:t>表</w:t>
            </w:r>
            <w:r>
              <w:rPr>
                <w:rFonts w:hint="default" w:ascii="Times New Roman" w:hAnsi="Times New Roman" w:cs="Times New Roman"/>
                <w:b/>
                <w:lang w:val="en-US" w:eastAsia="zh-CN"/>
              </w:rPr>
              <w:t>3</w:t>
            </w:r>
            <w:r>
              <w:rPr>
                <w:rFonts w:hint="eastAsia" w:cs="Times New Roman"/>
                <w:b/>
                <w:lang w:val="en-US" w:eastAsia="zh-CN"/>
              </w:rPr>
              <w:t>-6</w:t>
            </w:r>
            <w:r>
              <w:rPr>
                <w:rFonts w:hint="default" w:ascii="Times New Roman" w:hAnsi="Times New Roman" w:cs="Times New Roman"/>
                <w:b/>
              </w:rPr>
              <w:t xml:space="preserve">  项目周边企业及外环境分布情况</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3500"/>
              <w:gridCol w:w="2288"/>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tcBorders>
                    <w:bottom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序号</w:t>
                  </w:r>
                </w:p>
              </w:tc>
              <w:tc>
                <w:tcPr>
                  <w:tcW w:w="2025" w:type="pct"/>
                  <w:tcBorders>
                    <w:bottom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名称</w:t>
                  </w:r>
                </w:p>
              </w:tc>
              <w:tc>
                <w:tcPr>
                  <w:tcW w:w="1324" w:type="pct"/>
                  <w:tcBorders>
                    <w:bottom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相对位置关系（距离本项目厂界）</w:t>
                  </w:r>
                </w:p>
              </w:tc>
              <w:tc>
                <w:tcPr>
                  <w:tcW w:w="1237" w:type="pct"/>
                  <w:tcBorders>
                    <w:bottom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生产产品/企业类型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tcBorders>
                    <w:bottom w:val="single" w:color="auto" w:sz="4" w:space="0"/>
                  </w:tcBorders>
                  <w:vAlign w:val="center"/>
                </w:tcPr>
                <w:p>
                  <w:pPr>
                    <w:adjustRightInd w:val="0"/>
                    <w:snapToGrid w:val="0"/>
                    <w:ind w:firstLine="199" w:firstLineChars="95"/>
                    <w:jc w:val="center"/>
                    <w:rPr>
                      <w:rFonts w:hint="default" w:ascii="Times New Roman" w:hAnsi="Times New Roman" w:cs="Times New Roman"/>
                      <w:szCs w:val="21"/>
                    </w:rPr>
                  </w:pPr>
                  <w:r>
                    <w:rPr>
                      <w:rFonts w:hint="default" w:ascii="Times New Roman" w:hAnsi="Times New Roman" w:cs="Times New Roman"/>
                      <w:szCs w:val="21"/>
                    </w:rPr>
                    <w:t>1</w:t>
                  </w:r>
                </w:p>
              </w:tc>
              <w:tc>
                <w:tcPr>
                  <w:tcW w:w="2025" w:type="pct"/>
                  <w:tcBorders>
                    <w:bottom w:val="single" w:color="auto" w:sz="4" w:space="0"/>
                  </w:tcBorders>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四川嘉汇隆包装材料有限公司</w:t>
                  </w:r>
                </w:p>
              </w:tc>
              <w:tc>
                <w:tcPr>
                  <w:tcW w:w="1324" w:type="pct"/>
                  <w:tcBorders>
                    <w:bottom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厂房北/10m</w:t>
                  </w:r>
                </w:p>
              </w:tc>
              <w:tc>
                <w:tcPr>
                  <w:tcW w:w="1237" w:type="pct"/>
                  <w:tcBorders>
                    <w:bottom w:val="single" w:color="auto" w:sz="4" w:space="0"/>
                  </w:tcBorders>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包装材料生产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tcBorders>
                    <w:bottom w:val="single" w:color="auto" w:sz="4" w:space="0"/>
                  </w:tcBorders>
                  <w:vAlign w:val="center"/>
                </w:tcPr>
                <w:p>
                  <w:pPr>
                    <w:adjustRightInd w:val="0"/>
                    <w:snapToGrid w:val="0"/>
                    <w:ind w:firstLine="199" w:firstLineChars="95"/>
                    <w:jc w:val="center"/>
                    <w:rPr>
                      <w:rFonts w:hint="default" w:ascii="Times New Roman" w:hAnsi="Times New Roman" w:cs="Times New Roman"/>
                      <w:szCs w:val="21"/>
                    </w:rPr>
                  </w:pPr>
                  <w:r>
                    <w:rPr>
                      <w:rFonts w:hint="default" w:ascii="Times New Roman" w:hAnsi="Times New Roman" w:cs="Times New Roman"/>
                      <w:szCs w:val="21"/>
                    </w:rPr>
                    <w:t>2</w:t>
                  </w:r>
                </w:p>
              </w:tc>
              <w:tc>
                <w:tcPr>
                  <w:tcW w:w="2025" w:type="pct"/>
                  <w:tcBorders>
                    <w:bottom w:val="single" w:color="auto" w:sz="4" w:space="0"/>
                  </w:tcBorders>
                  <w:vAlign w:val="center"/>
                </w:tcPr>
                <w:p>
                  <w:pPr>
                    <w:adjustRightInd w:val="0"/>
                    <w:snapToGrid w:val="0"/>
                    <w:jc w:val="center"/>
                    <w:rPr>
                      <w:rFonts w:hint="default" w:ascii="Times New Roman" w:hAnsi="Times New Roman" w:cs="Times New Roman"/>
                      <w:b/>
                      <w:bCs/>
                      <w:sz w:val="21"/>
                      <w:szCs w:val="21"/>
                      <w:highlight w:val="yellow"/>
                    </w:rPr>
                  </w:pPr>
                  <w:r>
                    <w:rPr>
                      <w:rFonts w:hint="default" w:ascii="Times New Roman" w:hAnsi="Times New Roman" w:cs="Times New Roman"/>
                      <w:sz w:val="21"/>
                      <w:szCs w:val="21"/>
                      <w:lang w:eastAsia="zh-CN"/>
                    </w:rPr>
                    <w:t>芯汇通大药房</w:t>
                  </w:r>
                </w:p>
              </w:tc>
              <w:tc>
                <w:tcPr>
                  <w:tcW w:w="1324" w:type="pct"/>
                  <w:tcBorders>
                    <w:bottom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厂房北/1</w:t>
                  </w:r>
                  <w:r>
                    <w:rPr>
                      <w:rFonts w:hint="default" w:ascii="Times New Roman" w:hAnsi="Times New Roman" w:cs="Times New Roman"/>
                      <w:szCs w:val="21"/>
                      <w:lang w:val="en-US" w:eastAsia="zh-CN"/>
                    </w:rPr>
                    <w:t>2</w:t>
                  </w:r>
                  <w:r>
                    <w:rPr>
                      <w:rFonts w:hint="default" w:ascii="Times New Roman" w:hAnsi="Times New Roman" w:cs="Times New Roman"/>
                      <w:szCs w:val="21"/>
                    </w:rPr>
                    <w:t>0m</w:t>
                  </w:r>
                </w:p>
              </w:tc>
              <w:tc>
                <w:tcPr>
                  <w:tcW w:w="1237" w:type="pct"/>
                  <w:tcBorders>
                    <w:bottom w:val="single" w:color="auto" w:sz="4" w:space="0"/>
                  </w:tcBorders>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医药销售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tcBorders>
                    <w:bottom w:val="single" w:color="auto" w:sz="4" w:space="0"/>
                  </w:tcBorders>
                  <w:vAlign w:val="center"/>
                </w:tcPr>
                <w:p>
                  <w:pPr>
                    <w:adjustRightInd w:val="0"/>
                    <w:snapToGrid w:val="0"/>
                    <w:ind w:firstLine="199" w:firstLineChars="95"/>
                    <w:jc w:val="center"/>
                    <w:rPr>
                      <w:rFonts w:hint="default" w:ascii="Times New Roman" w:hAnsi="Times New Roman" w:cs="Times New Roman"/>
                      <w:szCs w:val="21"/>
                    </w:rPr>
                  </w:pPr>
                  <w:r>
                    <w:rPr>
                      <w:rFonts w:hint="default" w:ascii="Times New Roman" w:hAnsi="Times New Roman" w:cs="Times New Roman"/>
                      <w:szCs w:val="21"/>
                    </w:rPr>
                    <w:t>3</w:t>
                  </w:r>
                </w:p>
              </w:tc>
              <w:tc>
                <w:tcPr>
                  <w:tcW w:w="2025" w:type="pct"/>
                  <w:tcBorders>
                    <w:bottom w:val="single" w:color="auto" w:sz="4" w:space="0"/>
                  </w:tcBorders>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遂宁市欧南科技有限公司</w:t>
                  </w:r>
                </w:p>
              </w:tc>
              <w:tc>
                <w:tcPr>
                  <w:tcW w:w="1324" w:type="pct"/>
                  <w:tcBorders>
                    <w:bottom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厂房北/</w:t>
                  </w:r>
                  <w:r>
                    <w:rPr>
                      <w:rFonts w:hint="default" w:ascii="Times New Roman" w:hAnsi="Times New Roman" w:cs="Times New Roman"/>
                      <w:szCs w:val="21"/>
                      <w:lang w:val="en-US" w:eastAsia="zh-CN"/>
                    </w:rPr>
                    <w:t>190</w:t>
                  </w:r>
                  <w:r>
                    <w:rPr>
                      <w:rFonts w:hint="default" w:ascii="Times New Roman" w:hAnsi="Times New Roman" w:cs="Times New Roman"/>
                      <w:szCs w:val="21"/>
                    </w:rPr>
                    <w:t>m</w:t>
                  </w:r>
                </w:p>
              </w:tc>
              <w:tc>
                <w:tcPr>
                  <w:tcW w:w="1237" w:type="pct"/>
                  <w:tcBorders>
                    <w:bottom w:val="single" w:color="auto" w:sz="4" w:space="0"/>
                  </w:tcBorders>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塑料制品制造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tcBorders>
                    <w:bottom w:val="single" w:color="auto" w:sz="4" w:space="0"/>
                  </w:tcBorders>
                  <w:vAlign w:val="center"/>
                </w:tcPr>
                <w:p>
                  <w:pPr>
                    <w:adjustRightInd w:val="0"/>
                    <w:snapToGrid w:val="0"/>
                    <w:ind w:firstLine="199" w:firstLineChars="95"/>
                    <w:jc w:val="center"/>
                    <w:rPr>
                      <w:rFonts w:hint="default" w:ascii="Times New Roman" w:hAnsi="Times New Roman" w:cs="Times New Roman"/>
                      <w:szCs w:val="21"/>
                    </w:rPr>
                  </w:pPr>
                  <w:r>
                    <w:rPr>
                      <w:rFonts w:hint="default" w:ascii="Times New Roman" w:hAnsi="Times New Roman" w:cs="Times New Roman"/>
                      <w:szCs w:val="21"/>
                    </w:rPr>
                    <w:t>4</w:t>
                  </w:r>
                </w:p>
              </w:tc>
              <w:tc>
                <w:tcPr>
                  <w:tcW w:w="2025" w:type="pct"/>
                  <w:tcBorders>
                    <w:bottom w:val="single" w:color="auto" w:sz="4" w:space="0"/>
                  </w:tcBorders>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四川清泉酒业有限公司</w:t>
                  </w:r>
                </w:p>
              </w:tc>
              <w:tc>
                <w:tcPr>
                  <w:tcW w:w="1324" w:type="pct"/>
                  <w:tcBorders>
                    <w:bottom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厂房北/</w:t>
                  </w:r>
                  <w:r>
                    <w:rPr>
                      <w:rFonts w:hint="default" w:ascii="Times New Roman" w:hAnsi="Times New Roman" w:cs="Times New Roman"/>
                      <w:szCs w:val="21"/>
                      <w:lang w:val="en-US" w:eastAsia="zh-CN"/>
                    </w:rPr>
                    <w:t>22</w:t>
                  </w:r>
                  <w:r>
                    <w:rPr>
                      <w:rFonts w:hint="default" w:ascii="Times New Roman" w:hAnsi="Times New Roman" w:cs="Times New Roman"/>
                      <w:szCs w:val="21"/>
                    </w:rPr>
                    <w:t>0m</w:t>
                  </w:r>
                </w:p>
              </w:tc>
              <w:tc>
                <w:tcPr>
                  <w:tcW w:w="1237" w:type="pct"/>
                  <w:tcBorders>
                    <w:bottom w:val="single" w:color="auto" w:sz="4" w:space="0"/>
                  </w:tcBorders>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酒类制造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tcBorders>
                    <w:bottom w:val="single" w:color="auto" w:sz="4" w:space="0"/>
                  </w:tcBorders>
                  <w:vAlign w:val="center"/>
                </w:tcPr>
                <w:p>
                  <w:pPr>
                    <w:adjustRightInd w:val="0"/>
                    <w:snapToGrid w:val="0"/>
                    <w:ind w:firstLine="199" w:firstLineChars="95"/>
                    <w:jc w:val="center"/>
                    <w:rPr>
                      <w:rFonts w:hint="default" w:ascii="Times New Roman" w:hAnsi="Times New Roman" w:cs="Times New Roman"/>
                      <w:szCs w:val="21"/>
                    </w:rPr>
                  </w:pPr>
                  <w:r>
                    <w:rPr>
                      <w:rFonts w:hint="default" w:ascii="Times New Roman" w:hAnsi="Times New Roman" w:cs="Times New Roman"/>
                      <w:szCs w:val="21"/>
                    </w:rPr>
                    <w:t>5</w:t>
                  </w:r>
                </w:p>
              </w:tc>
              <w:tc>
                <w:tcPr>
                  <w:tcW w:w="2025" w:type="pct"/>
                  <w:tcBorders>
                    <w:bottom w:val="single" w:color="auto" w:sz="4" w:space="0"/>
                  </w:tcBorders>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四川聚泰材料有限公司</w:t>
                  </w:r>
                </w:p>
              </w:tc>
              <w:tc>
                <w:tcPr>
                  <w:tcW w:w="1324" w:type="pct"/>
                  <w:tcBorders>
                    <w:bottom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厂房西/</w:t>
                  </w:r>
                  <w:r>
                    <w:rPr>
                      <w:rFonts w:hint="default" w:ascii="Times New Roman" w:hAnsi="Times New Roman" w:cs="Times New Roman"/>
                      <w:szCs w:val="21"/>
                      <w:lang w:val="en-US" w:eastAsia="zh-CN"/>
                    </w:rPr>
                    <w:t>12</w:t>
                  </w:r>
                  <w:r>
                    <w:rPr>
                      <w:rFonts w:hint="default" w:ascii="Times New Roman" w:hAnsi="Times New Roman" w:cs="Times New Roman"/>
                      <w:szCs w:val="21"/>
                    </w:rPr>
                    <w:t>0m</w:t>
                  </w:r>
                </w:p>
              </w:tc>
              <w:tc>
                <w:tcPr>
                  <w:tcW w:w="1237" w:type="pct"/>
                  <w:tcBorders>
                    <w:bottom w:val="single" w:color="auto" w:sz="4" w:space="0"/>
                  </w:tcBorders>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化工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tcBorders>
                    <w:bottom w:val="single" w:color="auto" w:sz="4" w:space="0"/>
                  </w:tcBorders>
                  <w:vAlign w:val="center"/>
                </w:tcPr>
                <w:p>
                  <w:pPr>
                    <w:adjustRightInd w:val="0"/>
                    <w:snapToGrid w:val="0"/>
                    <w:ind w:firstLine="199" w:firstLineChars="95"/>
                    <w:jc w:val="center"/>
                    <w:rPr>
                      <w:rFonts w:hint="default" w:ascii="Times New Roman" w:hAnsi="Times New Roman" w:cs="Times New Roman"/>
                      <w:szCs w:val="21"/>
                    </w:rPr>
                  </w:pPr>
                  <w:r>
                    <w:rPr>
                      <w:rFonts w:hint="default" w:ascii="Times New Roman" w:hAnsi="Times New Roman" w:cs="Times New Roman"/>
                      <w:szCs w:val="21"/>
                    </w:rPr>
                    <w:t>6</w:t>
                  </w:r>
                </w:p>
              </w:tc>
              <w:tc>
                <w:tcPr>
                  <w:tcW w:w="2025" w:type="pct"/>
                  <w:tcBorders>
                    <w:bottom w:val="single" w:color="auto" w:sz="4" w:space="0"/>
                  </w:tcBorders>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四川省欧尚家美门业有限公司</w:t>
                  </w:r>
                </w:p>
              </w:tc>
              <w:tc>
                <w:tcPr>
                  <w:tcW w:w="1324" w:type="pct"/>
                  <w:tcBorders>
                    <w:bottom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厂房西/</w:t>
                  </w:r>
                  <w:r>
                    <w:rPr>
                      <w:rFonts w:hint="default" w:ascii="Times New Roman" w:hAnsi="Times New Roman" w:cs="Times New Roman"/>
                      <w:szCs w:val="21"/>
                      <w:lang w:val="en-US" w:eastAsia="zh-CN"/>
                    </w:rPr>
                    <w:t>20</w:t>
                  </w:r>
                  <w:r>
                    <w:rPr>
                      <w:rFonts w:hint="default" w:ascii="Times New Roman" w:hAnsi="Times New Roman" w:cs="Times New Roman"/>
                      <w:szCs w:val="21"/>
                    </w:rPr>
                    <w:t>0m</w:t>
                  </w:r>
                </w:p>
              </w:tc>
              <w:tc>
                <w:tcPr>
                  <w:tcW w:w="1237" w:type="pct"/>
                  <w:tcBorders>
                    <w:bottom w:val="single" w:color="auto" w:sz="4" w:space="0"/>
                  </w:tcBorders>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家装生产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tcBorders>
                    <w:bottom w:val="single" w:color="auto" w:sz="4" w:space="0"/>
                  </w:tcBorders>
                  <w:vAlign w:val="center"/>
                </w:tcPr>
                <w:p>
                  <w:pPr>
                    <w:adjustRightInd w:val="0"/>
                    <w:snapToGrid w:val="0"/>
                    <w:ind w:firstLine="199" w:firstLineChars="95"/>
                    <w:jc w:val="center"/>
                    <w:rPr>
                      <w:rFonts w:hint="default" w:ascii="Times New Roman" w:hAnsi="Times New Roman" w:cs="Times New Roman"/>
                      <w:szCs w:val="21"/>
                    </w:rPr>
                  </w:pPr>
                  <w:r>
                    <w:rPr>
                      <w:rFonts w:hint="default" w:ascii="Times New Roman" w:hAnsi="Times New Roman" w:cs="Times New Roman"/>
                      <w:szCs w:val="21"/>
                    </w:rPr>
                    <w:t>7</w:t>
                  </w:r>
                </w:p>
              </w:tc>
              <w:tc>
                <w:tcPr>
                  <w:tcW w:w="2025" w:type="pct"/>
                  <w:tcBorders>
                    <w:bottom w:val="single" w:color="auto" w:sz="4" w:space="0"/>
                  </w:tcBorders>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山东好莱客门配</w:t>
                  </w:r>
                </w:p>
              </w:tc>
              <w:tc>
                <w:tcPr>
                  <w:tcW w:w="1324" w:type="pct"/>
                  <w:tcBorders>
                    <w:bottom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厂房西/</w:t>
                  </w:r>
                  <w:r>
                    <w:rPr>
                      <w:rFonts w:hint="default" w:ascii="Times New Roman" w:hAnsi="Times New Roman" w:cs="Times New Roman"/>
                      <w:szCs w:val="21"/>
                      <w:lang w:val="en-US" w:eastAsia="zh-CN"/>
                    </w:rPr>
                    <w:t>4</w:t>
                  </w:r>
                  <w:r>
                    <w:rPr>
                      <w:rFonts w:hint="default" w:ascii="Times New Roman" w:hAnsi="Times New Roman" w:cs="Times New Roman"/>
                      <w:szCs w:val="21"/>
                    </w:rPr>
                    <w:t>00m</w:t>
                  </w:r>
                </w:p>
              </w:tc>
              <w:tc>
                <w:tcPr>
                  <w:tcW w:w="1237" w:type="pct"/>
                  <w:tcBorders>
                    <w:bottom w:val="single" w:color="auto" w:sz="4" w:space="0"/>
                  </w:tcBorders>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eastAsia="zh-CN"/>
                    </w:rPr>
                    <w:t>家装生产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tcBorders>
                    <w:bottom w:val="single" w:color="auto" w:sz="4" w:space="0"/>
                  </w:tcBorders>
                  <w:vAlign w:val="center"/>
                </w:tcPr>
                <w:p>
                  <w:pPr>
                    <w:adjustRightInd w:val="0"/>
                    <w:snapToGrid w:val="0"/>
                    <w:ind w:firstLine="199" w:firstLineChars="95"/>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8</w:t>
                  </w:r>
                </w:p>
              </w:tc>
              <w:tc>
                <w:tcPr>
                  <w:tcW w:w="2025" w:type="pct"/>
                  <w:tcBorders>
                    <w:bottom w:val="single" w:color="auto" w:sz="4" w:space="0"/>
                  </w:tcBorders>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四川新钰彬家具有限公司</w:t>
                  </w:r>
                </w:p>
              </w:tc>
              <w:tc>
                <w:tcPr>
                  <w:tcW w:w="1324" w:type="pct"/>
                  <w:tcBorders>
                    <w:bottom w:val="single" w:color="auto" w:sz="4" w:space="0"/>
                  </w:tcBorders>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厂房南</w:t>
                  </w:r>
                  <w:r>
                    <w:rPr>
                      <w:rFonts w:hint="default" w:ascii="Times New Roman" w:hAnsi="Times New Roman" w:cs="Times New Roman"/>
                      <w:szCs w:val="21"/>
                      <w:lang w:val="en-US" w:eastAsia="zh-CN"/>
                    </w:rPr>
                    <w:t>/50m</w:t>
                  </w:r>
                </w:p>
              </w:tc>
              <w:tc>
                <w:tcPr>
                  <w:tcW w:w="1237" w:type="pct"/>
                  <w:tcBorders>
                    <w:bottom w:val="single" w:color="auto" w:sz="4" w:space="0"/>
                  </w:tcBorders>
                  <w:vAlign w:val="center"/>
                </w:tcPr>
                <w:p>
                  <w:pPr>
                    <w:adjustRightInd w:val="0"/>
                    <w:snapToGrid w:val="0"/>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家具生产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tcBorders>
                    <w:bottom w:val="single" w:color="auto" w:sz="4" w:space="0"/>
                  </w:tcBorders>
                  <w:vAlign w:val="center"/>
                </w:tcPr>
                <w:p>
                  <w:pPr>
                    <w:adjustRightInd w:val="0"/>
                    <w:snapToGrid w:val="0"/>
                    <w:ind w:firstLine="199" w:firstLineChars="95"/>
                    <w:jc w:val="center"/>
                    <w:rPr>
                      <w:rFonts w:hint="default" w:ascii="Times New Roman" w:hAnsi="Times New Roman" w:cs="Times New Roman"/>
                      <w:szCs w:val="21"/>
                    </w:rPr>
                  </w:pPr>
                  <w:r>
                    <w:rPr>
                      <w:rFonts w:hint="default" w:ascii="Times New Roman" w:hAnsi="Times New Roman" w:cs="Times New Roman"/>
                      <w:szCs w:val="21"/>
                    </w:rPr>
                    <w:t>9</w:t>
                  </w:r>
                </w:p>
              </w:tc>
              <w:tc>
                <w:tcPr>
                  <w:tcW w:w="2025" w:type="pct"/>
                  <w:tcBorders>
                    <w:bottom w:val="single" w:color="auto" w:sz="4" w:space="0"/>
                  </w:tcBorders>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四川八天木业有限责任公司</w:t>
                  </w:r>
                </w:p>
              </w:tc>
              <w:tc>
                <w:tcPr>
                  <w:tcW w:w="1324" w:type="pct"/>
                  <w:tcBorders>
                    <w:bottom w:val="single" w:color="auto" w:sz="4" w:space="0"/>
                  </w:tcBorders>
                  <w:vAlign w:val="center"/>
                </w:tcPr>
                <w:p>
                  <w:pPr>
                    <w:adjustRightInd w:val="0"/>
                    <w:snapToGrid w:val="0"/>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厂房西北</w:t>
                  </w:r>
                  <w:r>
                    <w:rPr>
                      <w:rFonts w:hint="default" w:ascii="Times New Roman" w:hAnsi="Times New Roman" w:cs="Times New Roman"/>
                      <w:szCs w:val="21"/>
                    </w:rPr>
                    <w:t>/</w:t>
                  </w:r>
                  <w:r>
                    <w:rPr>
                      <w:rFonts w:hint="default" w:ascii="Times New Roman" w:hAnsi="Times New Roman" w:cs="Times New Roman"/>
                      <w:szCs w:val="21"/>
                      <w:lang w:val="en-US" w:eastAsia="zh-CN"/>
                    </w:rPr>
                    <w:t>260</w:t>
                  </w:r>
                  <w:r>
                    <w:rPr>
                      <w:rFonts w:hint="default" w:ascii="Times New Roman" w:hAnsi="Times New Roman" w:cs="Times New Roman"/>
                      <w:szCs w:val="21"/>
                    </w:rPr>
                    <w:t>m</w:t>
                  </w:r>
                </w:p>
              </w:tc>
              <w:tc>
                <w:tcPr>
                  <w:tcW w:w="1237" w:type="pct"/>
                  <w:tcBorders>
                    <w:bottom w:val="single" w:color="auto" w:sz="4" w:space="0"/>
                  </w:tcBorders>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木材加工及制造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tcBorders>
                    <w:bottom w:val="single" w:color="auto" w:sz="4" w:space="0"/>
                  </w:tcBorders>
                  <w:vAlign w:val="center"/>
                </w:tcPr>
                <w:p>
                  <w:pPr>
                    <w:adjustRightInd w:val="0"/>
                    <w:snapToGrid w:val="0"/>
                    <w:ind w:firstLine="199" w:firstLineChars="95"/>
                    <w:jc w:val="center"/>
                    <w:rPr>
                      <w:rFonts w:hint="default" w:ascii="Times New Roman" w:hAnsi="Times New Roman" w:cs="Times New Roman"/>
                      <w:szCs w:val="21"/>
                    </w:rPr>
                  </w:pPr>
                  <w:r>
                    <w:rPr>
                      <w:rFonts w:hint="default" w:ascii="Times New Roman" w:hAnsi="Times New Roman" w:cs="Times New Roman"/>
                      <w:szCs w:val="21"/>
                    </w:rPr>
                    <w:t>10</w:t>
                  </w:r>
                </w:p>
              </w:tc>
              <w:tc>
                <w:tcPr>
                  <w:tcW w:w="2025" w:type="pct"/>
                  <w:tcBorders>
                    <w:bottom w:val="single" w:color="auto" w:sz="4" w:space="0"/>
                  </w:tcBorders>
                  <w:vAlign w:val="center"/>
                </w:tcPr>
                <w:p>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eastAsia="zh-CN"/>
                    </w:rPr>
                    <w:t>蓬溪宏飞顺捷汽车检测有限公司</w:t>
                  </w:r>
                </w:p>
              </w:tc>
              <w:tc>
                <w:tcPr>
                  <w:tcW w:w="1324" w:type="pct"/>
                  <w:tcBorders>
                    <w:bottom w:val="single" w:color="auto" w:sz="4" w:space="0"/>
                  </w:tcBorders>
                  <w:vAlign w:val="center"/>
                </w:tcPr>
                <w:p>
                  <w:pPr>
                    <w:adjustRightInd w:val="0"/>
                    <w:snapToGrid w:val="0"/>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厂房</w:t>
                  </w:r>
                  <w:r>
                    <w:rPr>
                      <w:rFonts w:hint="default" w:ascii="Times New Roman" w:hAnsi="Times New Roman" w:cs="Times New Roman"/>
                      <w:szCs w:val="21"/>
                    </w:rPr>
                    <w:t>南/</w:t>
                  </w:r>
                  <w:r>
                    <w:rPr>
                      <w:rFonts w:hint="default" w:ascii="Times New Roman" w:hAnsi="Times New Roman" w:cs="Times New Roman"/>
                      <w:szCs w:val="21"/>
                      <w:lang w:val="en-US" w:eastAsia="zh-CN"/>
                    </w:rPr>
                    <w:t>22</w:t>
                  </w:r>
                  <w:r>
                    <w:rPr>
                      <w:rFonts w:hint="default" w:ascii="Times New Roman" w:hAnsi="Times New Roman" w:cs="Times New Roman"/>
                      <w:szCs w:val="21"/>
                    </w:rPr>
                    <w:t>0m</w:t>
                  </w:r>
                </w:p>
              </w:tc>
              <w:tc>
                <w:tcPr>
                  <w:tcW w:w="1237" w:type="pct"/>
                  <w:tcBorders>
                    <w:bottom w:val="single" w:color="auto" w:sz="4" w:space="0"/>
                  </w:tcBorders>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汽车检测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vAlign w:val="center"/>
                </w:tcPr>
                <w:p>
                  <w:pPr>
                    <w:adjustRightInd w:val="0"/>
                    <w:snapToGrid w:val="0"/>
                    <w:ind w:firstLine="199" w:firstLineChars="95"/>
                    <w:jc w:val="center"/>
                    <w:rPr>
                      <w:rFonts w:hint="default" w:ascii="Times New Roman" w:hAnsi="Times New Roman" w:cs="Times New Roman"/>
                      <w:szCs w:val="21"/>
                    </w:rPr>
                  </w:pPr>
                  <w:r>
                    <w:rPr>
                      <w:rFonts w:hint="default" w:ascii="Times New Roman" w:hAnsi="Times New Roman" w:cs="Times New Roman"/>
                      <w:szCs w:val="21"/>
                    </w:rPr>
                    <w:t>11</w:t>
                  </w:r>
                </w:p>
              </w:tc>
              <w:tc>
                <w:tcPr>
                  <w:tcW w:w="2025" w:type="pct"/>
                  <w:vAlign w:val="center"/>
                </w:tcPr>
                <w:p>
                  <w:pPr>
                    <w:adjustRightInd w:val="0"/>
                    <w:snapToGrid w:val="0"/>
                    <w:jc w:val="center"/>
                    <w:rPr>
                      <w:rFonts w:hint="default" w:ascii="Times New Roman" w:hAnsi="Times New Roman" w:cs="Times New Roman"/>
                      <w:sz w:val="21"/>
                      <w:szCs w:val="21"/>
                      <w:highlight w:val="yellow"/>
                    </w:rPr>
                  </w:pPr>
                  <w:r>
                    <w:rPr>
                      <w:rFonts w:hint="default" w:ascii="Times New Roman" w:hAnsi="Times New Roman" w:cs="Times New Roman"/>
                      <w:sz w:val="21"/>
                      <w:szCs w:val="21"/>
                      <w:lang w:val="en-US" w:eastAsia="zh-CN"/>
                    </w:rPr>
                    <w:t>竹华门业</w:t>
                  </w:r>
                </w:p>
              </w:tc>
              <w:tc>
                <w:tcPr>
                  <w:tcW w:w="1324" w:type="pct"/>
                  <w:vAlign w:val="center"/>
                </w:tcPr>
                <w:p>
                  <w:pPr>
                    <w:adjustRightInd w:val="0"/>
                    <w:snapToGrid w:val="0"/>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厂房南</w:t>
                  </w:r>
                  <w:r>
                    <w:rPr>
                      <w:rFonts w:hint="default" w:ascii="Times New Roman" w:hAnsi="Times New Roman" w:cs="Times New Roman"/>
                      <w:szCs w:val="21"/>
                    </w:rPr>
                    <w:t>/</w:t>
                  </w:r>
                  <w:r>
                    <w:rPr>
                      <w:rFonts w:hint="default" w:ascii="Times New Roman" w:hAnsi="Times New Roman" w:cs="Times New Roman"/>
                      <w:szCs w:val="21"/>
                      <w:lang w:val="en-US" w:eastAsia="zh-CN"/>
                    </w:rPr>
                    <w:t>3</w:t>
                  </w:r>
                  <w:r>
                    <w:rPr>
                      <w:rFonts w:hint="default" w:ascii="Times New Roman" w:hAnsi="Times New Roman" w:cs="Times New Roman"/>
                      <w:szCs w:val="21"/>
                    </w:rPr>
                    <w:t>10m</w:t>
                  </w:r>
                </w:p>
              </w:tc>
              <w:tc>
                <w:tcPr>
                  <w:tcW w:w="1237" w:type="pct"/>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门类生产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2" w:type="pct"/>
                  <w:tcBorders>
                    <w:bottom w:val="single" w:color="auto" w:sz="4" w:space="0"/>
                  </w:tcBorders>
                  <w:vAlign w:val="center"/>
                </w:tcPr>
                <w:p>
                  <w:pPr>
                    <w:adjustRightInd w:val="0"/>
                    <w:snapToGrid w:val="0"/>
                    <w:ind w:firstLine="199" w:firstLineChars="95"/>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12</w:t>
                  </w:r>
                </w:p>
              </w:tc>
              <w:tc>
                <w:tcPr>
                  <w:tcW w:w="2025" w:type="pct"/>
                  <w:tcBorders>
                    <w:bottom w:val="single" w:color="auto" w:sz="4" w:space="0"/>
                  </w:tcBorders>
                  <w:vAlign w:val="center"/>
                </w:tcPr>
                <w:p>
                  <w:pPr>
                    <w:adjustRightInd w:val="0"/>
                    <w:snapToGrid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四川王力安防产品有限公司</w:t>
                  </w:r>
                </w:p>
              </w:tc>
              <w:tc>
                <w:tcPr>
                  <w:tcW w:w="1324" w:type="pct"/>
                  <w:tcBorders>
                    <w:bottom w:val="single" w:color="auto" w:sz="4" w:space="0"/>
                  </w:tcBorders>
                  <w:vAlign w:val="center"/>
                </w:tcPr>
                <w:p>
                  <w:pPr>
                    <w:adjustRightInd w:val="0"/>
                    <w:snapToGrid w:val="0"/>
                    <w:jc w:val="center"/>
                    <w:rPr>
                      <w:rFonts w:hint="default" w:ascii="Times New Roman" w:hAnsi="Times New Roman" w:cs="Times New Roman"/>
                      <w:szCs w:val="21"/>
                      <w:lang w:eastAsia="zh-CN"/>
                    </w:rPr>
                  </w:pPr>
                  <w:r>
                    <w:rPr>
                      <w:rFonts w:hint="default" w:ascii="Times New Roman" w:hAnsi="Times New Roman" w:cs="Times New Roman"/>
                      <w:szCs w:val="21"/>
                      <w:lang w:eastAsia="zh-CN"/>
                    </w:rPr>
                    <w:t>厂房东南</w:t>
                  </w:r>
                  <w:r>
                    <w:rPr>
                      <w:rFonts w:hint="default" w:ascii="Times New Roman" w:hAnsi="Times New Roman" w:cs="Times New Roman"/>
                      <w:szCs w:val="21"/>
                      <w:lang w:val="en-US" w:eastAsia="zh-CN"/>
                    </w:rPr>
                    <w:t>/300m</w:t>
                  </w:r>
                </w:p>
              </w:tc>
              <w:tc>
                <w:tcPr>
                  <w:tcW w:w="1237" w:type="pct"/>
                  <w:tcBorders>
                    <w:bottom w:val="single" w:color="auto" w:sz="4" w:space="0"/>
                  </w:tcBorders>
                  <w:vAlign w:val="center"/>
                </w:tcPr>
                <w:p>
                  <w:pPr>
                    <w:adjustRightInd w:val="0"/>
                    <w:snapToGrid w:val="0"/>
                    <w:jc w:val="center"/>
                    <w:rPr>
                      <w:rFonts w:hint="default" w:ascii="Times New Roman" w:hAnsi="Times New Roman" w:eastAsia="宋体" w:cs="Times New Roman"/>
                      <w:szCs w:val="21"/>
                      <w:lang w:eastAsia="zh-CN"/>
                    </w:rPr>
                  </w:pPr>
                  <w:r>
                    <w:rPr>
                      <w:rFonts w:hint="default" w:ascii="Times New Roman" w:hAnsi="Times New Roman" w:cs="Times New Roman"/>
                      <w:szCs w:val="21"/>
                      <w:lang w:eastAsia="zh-CN"/>
                    </w:rPr>
                    <w:t>门类制造</w:t>
                  </w:r>
                </w:p>
              </w:tc>
            </w:tr>
          </w:tbl>
          <w:p>
            <w:pPr>
              <w:pStyle w:val="24"/>
              <w:bidi w:val="0"/>
              <w:spacing w:line="360" w:lineRule="auto"/>
              <w:ind w:left="0" w:leftChars="0" w:firstLine="480" w:firstLineChars="20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项目500m范围内无居住区、学校、行政办公、医疗等敏感区域。本项目具体外环境关系图如附图2所示。</w:t>
            </w:r>
          </w:p>
          <w:p>
            <w:pPr>
              <w:pStyle w:val="24"/>
              <w:bidi w:val="0"/>
              <w:spacing w:line="360" w:lineRule="auto"/>
              <w:rPr>
                <w:rFonts w:hint="default" w:ascii="Times New Roman" w:hAnsi="Times New Roman" w:cs="Times New Roman"/>
                <w:b/>
                <w:bCs/>
                <w:lang w:eastAsia="zh-CN"/>
              </w:rPr>
            </w:pPr>
            <w:r>
              <w:rPr>
                <w:rFonts w:hint="default" w:ascii="Times New Roman" w:hAnsi="Times New Roman" w:cs="Times New Roman"/>
                <w:b/>
                <w:bCs/>
                <w:lang w:val="en-US" w:eastAsia="zh-CN"/>
              </w:rPr>
              <w:t>2、环境保护目标</w:t>
            </w:r>
          </w:p>
          <w:p>
            <w:pPr>
              <w:pStyle w:val="24"/>
              <w:bidi w:val="0"/>
              <w:spacing w:line="360" w:lineRule="auto"/>
              <w:rPr>
                <w:rFonts w:hint="default" w:ascii="Times New Roman" w:hAnsi="Times New Roman" w:cs="Times New Roman"/>
                <w:lang w:eastAsia="zh-CN"/>
              </w:rPr>
            </w:pPr>
            <w:r>
              <w:rPr>
                <w:rFonts w:hint="default" w:ascii="Times New Roman" w:hAnsi="Times New Roman" w:cs="Times New Roman"/>
                <w:lang w:val="en-US" w:eastAsia="zh-CN"/>
              </w:rPr>
              <w:t>据现场调查结合《建设项目环境影响报告表编制技术指南（污染影响类）》（试行）确定本项目主要环境保护目标如下</w:t>
            </w:r>
            <w:r>
              <w:rPr>
                <w:rFonts w:hint="default" w:ascii="Times New Roman" w:hAnsi="Times New Roman" w:cs="Times New Roman"/>
                <w:lang w:eastAsia="zh-CN"/>
              </w:rPr>
              <w:t>：</w:t>
            </w:r>
          </w:p>
          <w:p>
            <w:pPr>
              <w:spacing w:line="240" w:lineRule="auto"/>
              <w:ind w:firstLine="0" w:firstLineChars="0"/>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表3-</w:t>
            </w:r>
            <w:r>
              <w:rPr>
                <w:rFonts w:hint="eastAsia" w:cs="Times New Roman"/>
                <w:b/>
                <w:bCs/>
                <w:kern w:val="2"/>
                <w:sz w:val="24"/>
                <w:szCs w:val="24"/>
                <w:lang w:val="en-US" w:eastAsia="zh-CN" w:bidi="ar-SA"/>
              </w:rPr>
              <w:t>7</w:t>
            </w:r>
            <w:r>
              <w:rPr>
                <w:rFonts w:hint="default" w:ascii="Times New Roman" w:hAnsi="Times New Roman" w:eastAsia="宋体" w:cs="Times New Roman"/>
                <w:b/>
                <w:bCs/>
                <w:kern w:val="2"/>
                <w:sz w:val="24"/>
                <w:szCs w:val="24"/>
                <w:lang w:val="en-US" w:eastAsia="zh-CN" w:bidi="ar-SA"/>
              </w:rPr>
              <w:t xml:space="preserve"> 项目主要环境保护目标一览表</w:t>
            </w:r>
          </w:p>
          <w:tbl>
            <w:tblPr>
              <w:tblStyle w:val="16"/>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61"/>
              <w:gridCol w:w="1476"/>
              <w:gridCol w:w="667"/>
              <w:gridCol w:w="1998"/>
              <w:gridCol w:w="197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061" w:type="dxa"/>
                  <w:noWrap w:val="0"/>
                  <w:vAlign w:val="center"/>
                </w:tcPr>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保护类别</w:t>
                  </w:r>
                </w:p>
              </w:tc>
              <w:tc>
                <w:tcPr>
                  <w:tcW w:w="1476" w:type="dxa"/>
                  <w:noWrap w:val="0"/>
                  <w:vAlign w:val="center"/>
                </w:tcPr>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保护目标</w:t>
                  </w:r>
                </w:p>
              </w:tc>
              <w:tc>
                <w:tcPr>
                  <w:tcW w:w="667" w:type="dxa"/>
                  <w:noWrap w:val="0"/>
                  <w:vAlign w:val="center"/>
                </w:tcPr>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名称</w:t>
                  </w:r>
                </w:p>
              </w:tc>
              <w:tc>
                <w:tcPr>
                  <w:tcW w:w="1998" w:type="dxa"/>
                  <w:noWrap w:val="0"/>
                  <w:vAlign w:val="center"/>
                </w:tcPr>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与项目关系</w:t>
                  </w:r>
                </w:p>
              </w:tc>
              <w:tc>
                <w:tcPr>
                  <w:tcW w:w="1975" w:type="dxa"/>
                  <w:noWrap w:val="0"/>
                  <w:vAlign w:val="center"/>
                </w:tcPr>
                <w:p>
                  <w:pPr>
                    <w:spacing w:line="240" w:lineRule="auto"/>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功能类别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0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生态保护目标</w:t>
                  </w:r>
                </w:p>
              </w:tc>
              <w:tc>
                <w:tcPr>
                  <w:tcW w:w="6116" w:type="dxa"/>
                  <w:gridSpan w:val="4"/>
                  <w:noWrap w:val="0"/>
                  <w:vAlign w:val="center"/>
                </w:tcPr>
                <w:p>
                  <w:pPr>
                    <w:spacing w:line="240" w:lineRule="auto"/>
                    <w:ind w:firstLine="0" w:firstLineChars="0"/>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项目为园区内项目，区域内无生态环境保护目标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0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z w:val="21"/>
                      <w:szCs w:val="21"/>
                    </w:rPr>
                  </w:pPr>
                  <w:r>
                    <w:rPr>
                      <w:rFonts w:hint="default" w:ascii="Times New Roman" w:hAnsi="Times New Roman" w:cs="Times New Roman"/>
                      <w:bCs/>
                      <w:sz w:val="21"/>
                      <w:szCs w:val="21"/>
                    </w:rPr>
                    <w:t>大气环境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（调查</w:t>
                  </w:r>
                  <w:r>
                    <w:rPr>
                      <w:rFonts w:hint="default" w:ascii="Times New Roman" w:hAnsi="Times New Roman" w:cs="Times New Roman"/>
                      <w:bCs/>
                      <w:sz w:val="21"/>
                      <w:szCs w:val="21"/>
                      <w:lang w:val="en-US" w:eastAsia="zh-CN"/>
                    </w:rPr>
                    <w:t>范围500m</w:t>
                  </w:r>
                  <w:r>
                    <w:rPr>
                      <w:rFonts w:hint="default" w:ascii="Times New Roman" w:hAnsi="Times New Roman" w:cs="Times New Roman"/>
                      <w:bCs/>
                      <w:sz w:val="21"/>
                      <w:szCs w:val="21"/>
                      <w:lang w:eastAsia="zh-CN"/>
                    </w:rPr>
                    <w:t>）</w:t>
                  </w:r>
                </w:p>
              </w:tc>
              <w:tc>
                <w:tcPr>
                  <w:tcW w:w="6116" w:type="dxa"/>
                  <w:gridSpan w:val="4"/>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根据调查，本项目</w:t>
                  </w:r>
                  <w:r>
                    <w:rPr>
                      <w:rFonts w:hint="default" w:ascii="Times New Roman" w:hAnsi="Times New Roman" w:cs="Times New Roman"/>
                      <w:sz w:val="21"/>
                      <w:szCs w:val="21"/>
                      <w:lang w:val="en-US" w:eastAsia="zh-CN"/>
                    </w:rPr>
                    <w:t>500m范围内无大气环境保护目标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0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声环境</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bCs/>
                      <w:sz w:val="21"/>
                      <w:szCs w:val="21"/>
                      <w:lang w:eastAsia="zh-CN"/>
                    </w:rPr>
                    <w:t>（调查</w:t>
                  </w:r>
                  <w:r>
                    <w:rPr>
                      <w:rFonts w:hint="default" w:ascii="Times New Roman" w:hAnsi="Times New Roman" w:cs="Times New Roman"/>
                      <w:bCs/>
                      <w:sz w:val="21"/>
                      <w:szCs w:val="21"/>
                      <w:lang w:val="en-US" w:eastAsia="zh-CN"/>
                    </w:rPr>
                    <w:t>范围50m</w:t>
                  </w:r>
                  <w:r>
                    <w:rPr>
                      <w:rFonts w:hint="default" w:ascii="Times New Roman" w:hAnsi="Times New Roman" w:cs="Times New Roman"/>
                      <w:bCs/>
                      <w:sz w:val="21"/>
                      <w:szCs w:val="21"/>
                      <w:lang w:eastAsia="zh-CN"/>
                    </w:rPr>
                    <w:t>）</w:t>
                  </w:r>
                </w:p>
              </w:tc>
              <w:tc>
                <w:tcPr>
                  <w:tcW w:w="6116" w:type="dxa"/>
                  <w:gridSpan w:val="4"/>
                  <w:noWrap w:val="0"/>
                  <w:vAlign w:val="center"/>
                </w:tcPr>
                <w:p>
                  <w:pPr>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项目厂界外50m无声环境敏感目标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0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地下水</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eastAsia="zh-CN"/>
                    </w:rPr>
                  </w:pPr>
                  <w:r>
                    <w:rPr>
                      <w:rFonts w:hint="default" w:ascii="Times New Roman" w:hAnsi="Times New Roman" w:cs="Times New Roman"/>
                      <w:bCs/>
                      <w:sz w:val="21"/>
                      <w:szCs w:val="21"/>
                      <w:lang w:eastAsia="zh-CN"/>
                    </w:rPr>
                    <w:t>（调查</w:t>
                  </w:r>
                  <w:r>
                    <w:rPr>
                      <w:rFonts w:hint="default" w:ascii="Times New Roman" w:hAnsi="Times New Roman" w:cs="Times New Roman"/>
                      <w:bCs/>
                      <w:sz w:val="21"/>
                      <w:szCs w:val="21"/>
                      <w:lang w:val="en-US" w:eastAsia="zh-CN"/>
                    </w:rPr>
                    <w:t>范围500m</w:t>
                  </w:r>
                  <w:r>
                    <w:rPr>
                      <w:rFonts w:hint="default" w:ascii="Times New Roman" w:hAnsi="Times New Roman" w:cs="Times New Roman"/>
                      <w:bCs/>
                      <w:sz w:val="21"/>
                      <w:szCs w:val="21"/>
                      <w:lang w:eastAsia="zh-CN"/>
                    </w:rPr>
                    <w:t>）</w:t>
                  </w:r>
                </w:p>
              </w:tc>
              <w:tc>
                <w:tcPr>
                  <w:tcW w:w="6116" w:type="dxa"/>
                  <w:gridSpan w:val="4"/>
                  <w:noWrap w:val="0"/>
                  <w:vAlign w:val="center"/>
                </w:tcPr>
                <w:p>
                  <w:pPr>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项目厂界外500m范围内无地下水集中式饮用水源、热水、矿泉水温泉等地下水环境敏感目标</w:t>
                  </w:r>
                </w:p>
              </w:tc>
            </w:tr>
          </w:tbl>
          <w:p>
            <w:pPr>
              <w:pStyle w:val="7"/>
              <w:rPr>
                <w:rFonts w:hint="default" w:ascii="Times New Roman" w:hAnsi="Times New Roman" w:cs="Times New Roman"/>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1165" w:type="dxa"/>
            <w:noWrap w:val="0"/>
            <w:tcMar>
              <w:left w:w="28" w:type="dxa"/>
              <w:right w:w="28" w:type="dxa"/>
            </w:tcMar>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污染</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物排</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放控</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制标</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 w:val="24"/>
                <w:szCs w:val="24"/>
              </w:rPr>
              <w:t>准</w:t>
            </w:r>
          </w:p>
        </w:tc>
        <w:tc>
          <w:tcPr>
            <w:tcW w:w="886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lang w:val="en-US" w:eastAsia="zh-CN"/>
              </w:rPr>
              <w:t>1、</w:t>
            </w:r>
            <w:r>
              <w:rPr>
                <w:rFonts w:hint="default" w:ascii="Times New Roman" w:hAnsi="Times New Roman" w:eastAsia="宋体" w:cs="Times New Roman"/>
                <w:b/>
                <w:bCs/>
                <w:color w:val="auto"/>
                <w:sz w:val="24"/>
                <w:szCs w:val="32"/>
              </w:rPr>
              <w:t>大气污染物排放标准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default" w:ascii="Times New Roman" w:hAnsi="Times New Roman" w:eastAsia="宋体" w:cs="Times New Roman"/>
                <w:color w:val="0000FF"/>
                <w:sz w:val="24"/>
                <w:szCs w:val="32"/>
                <w:lang w:val="en-US" w:eastAsia="zh-CN"/>
              </w:rPr>
            </w:pPr>
            <w:r>
              <w:rPr>
                <w:rFonts w:hint="eastAsia" w:cs="Times New Roman"/>
                <w:color w:val="0000FF"/>
                <w:sz w:val="24"/>
                <w:szCs w:val="32"/>
                <w:lang w:val="en-US" w:eastAsia="zh-CN"/>
              </w:rPr>
              <w:t>项目</w:t>
            </w:r>
            <w:r>
              <w:rPr>
                <w:rFonts w:hint="default" w:ascii="Times New Roman" w:hAnsi="Times New Roman" w:eastAsia="宋体" w:cs="Times New Roman"/>
                <w:color w:val="0000FF"/>
                <w:sz w:val="24"/>
                <w:szCs w:val="32"/>
                <w:lang w:val="en-US" w:eastAsia="zh-CN"/>
              </w:rPr>
              <w:t>聚丙烯</w:t>
            </w:r>
            <w:r>
              <w:rPr>
                <w:rFonts w:hint="eastAsia" w:ascii="Times New Roman" w:hAnsi="Times New Roman" w:eastAsia="宋体" w:cs="Times New Roman"/>
                <w:color w:val="0000FF"/>
                <w:sz w:val="24"/>
                <w:szCs w:val="32"/>
                <w:lang w:val="en-US" w:eastAsia="zh-CN"/>
              </w:rPr>
              <w:t>和</w:t>
            </w:r>
            <w:r>
              <w:rPr>
                <w:rFonts w:hint="default" w:ascii="Times New Roman" w:hAnsi="Times New Roman" w:eastAsia="宋体" w:cs="Times New Roman"/>
                <w:color w:val="0000FF"/>
                <w:sz w:val="24"/>
                <w:szCs w:val="32"/>
                <w:lang w:val="en-US" w:eastAsia="zh-CN"/>
              </w:rPr>
              <w:t>聚乙烯管材、管件</w:t>
            </w:r>
            <w:r>
              <w:rPr>
                <w:rFonts w:hint="eastAsia" w:ascii="Times New Roman" w:hAnsi="Times New Roman" w:eastAsia="宋体" w:cs="Times New Roman"/>
                <w:color w:val="0000FF"/>
                <w:sz w:val="24"/>
                <w:szCs w:val="32"/>
                <w:lang w:val="en-US" w:eastAsia="zh-CN"/>
              </w:rPr>
              <w:t>生产中有组织废气非甲烷总烃</w:t>
            </w:r>
            <w:r>
              <w:rPr>
                <w:rFonts w:hint="default" w:ascii="Times New Roman" w:hAnsi="Times New Roman" w:eastAsia="宋体" w:cs="Times New Roman"/>
                <w:color w:val="0000FF"/>
                <w:sz w:val="24"/>
                <w:szCs w:val="32"/>
                <w:lang w:val="en-US" w:eastAsia="zh-CN"/>
              </w:rPr>
              <w:t>执行《合成树脂工业污染物排放标准》（GB 31572—2015）中表</w:t>
            </w:r>
            <w:r>
              <w:rPr>
                <w:rFonts w:hint="eastAsia" w:ascii="Times New Roman" w:hAnsi="Times New Roman" w:eastAsia="宋体" w:cs="Times New Roman"/>
                <w:color w:val="0000FF"/>
                <w:sz w:val="24"/>
                <w:szCs w:val="32"/>
                <w:lang w:val="en-US" w:eastAsia="zh-CN"/>
              </w:rPr>
              <w:t>4</w:t>
            </w:r>
            <w:r>
              <w:rPr>
                <w:rFonts w:hint="default" w:ascii="Times New Roman" w:hAnsi="Times New Roman" w:eastAsia="宋体" w:cs="Times New Roman"/>
                <w:color w:val="0000FF"/>
                <w:sz w:val="24"/>
                <w:szCs w:val="32"/>
                <w:lang w:val="en-US" w:eastAsia="zh-CN"/>
              </w:rPr>
              <w:t>标准限值。</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s="Times New Roman"/>
                <w:color w:val="0000FF"/>
                <w:sz w:val="24"/>
                <w:szCs w:val="32"/>
                <w:lang w:val="en-US" w:eastAsia="zh-CN"/>
              </w:rPr>
            </w:pPr>
            <w:r>
              <w:rPr>
                <w:rFonts w:hint="eastAsia" w:cs="Times New Roman"/>
                <w:color w:val="0000FF"/>
                <w:sz w:val="24"/>
                <w:szCs w:val="32"/>
                <w:lang w:val="en-US" w:eastAsia="zh-CN"/>
              </w:rPr>
              <w:t>项目</w:t>
            </w:r>
            <w:r>
              <w:rPr>
                <w:rFonts w:hint="eastAsia" w:ascii="Times New Roman" w:hAnsi="Times New Roman" w:eastAsia="宋体" w:cs="Times New Roman"/>
                <w:color w:val="0000FF"/>
                <w:sz w:val="24"/>
                <w:szCs w:val="32"/>
                <w:lang w:val="en-US" w:eastAsia="zh-CN"/>
              </w:rPr>
              <w:t>聚氯乙烯</w:t>
            </w:r>
            <w:r>
              <w:rPr>
                <w:rFonts w:hint="default" w:ascii="Times New Roman" w:hAnsi="Times New Roman" w:eastAsia="宋体" w:cs="Times New Roman"/>
                <w:color w:val="0000FF"/>
                <w:sz w:val="24"/>
                <w:szCs w:val="32"/>
                <w:lang w:val="en-US" w:eastAsia="zh-CN"/>
              </w:rPr>
              <w:t>管材、管件</w:t>
            </w:r>
            <w:r>
              <w:rPr>
                <w:rFonts w:hint="eastAsia" w:ascii="Times New Roman" w:hAnsi="Times New Roman" w:eastAsia="宋体" w:cs="Times New Roman"/>
                <w:color w:val="0000FF"/>
                <w:sz w:val="24"/>
                <w:szCs w:val="32"/>
                <w:lang w:val="en-US" w:eastAsia="zh-CN"/>
              </w:rPr>
              <w:t>生产过程中产生的有组织废气非甲烷总烃应执行《大气污染物综合排放标准》(GB16297-1996）表2二级标准。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s="Times New Roman"/>
                <w:color w:val="0000FF"/>
                <w:sz w:val="24"/>
                <w:szCs w:val="32"/>
                <w:lang w:val="en-US" w:eastAsia="zh-CN"/>
              </w:rPr>
            </w:pPr>
            <w:r>
              <w:rPr>
                <w:rFonts w:hint="eastAsia" w:cs="Times New Roman"/>
                <w:color w:val="0000FF"/>
                <w:sz w:val="24"/>
                <w:szCs w:val="32"/>
                <w:lang w:val="en-US" w:eastAsia="zh-CN"/>
              </w:rPr>
              <w:t>项目</w:t>
            </w:r>
            <w:r>
              <w:rPr>
                <w:rFonts w:hint="eastAsia" w:ascii="Times New Roman" w:hAnsi="Times New Roman" w:eastAsia="宋体" w:cs="Times New Roman"/>
                <w:color w:val="0000FF"/>
                <w:sz w:val="24"/>
                <w:szCs w:val="32"/>
                <w:lang w:val="en-US" w:eastAsia="zh-CN"/>
              </w:rPr>
              <w:t>项目无组织废气非甲烷总烃执行《挥发性有机物无组织排放控制标准》（GB37822—2019）附录A 企业厂区内挥发性有机物无组织排放监控点浓度限值。</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lang w:val="en-US" w:eastAsia="zh-CN"/>
              </w:rPr>
            </w:pPr>
            <w:r>
              <w:rPr>
                <w:rFonts w:hint="eastAsia" w:ascii="Times New Roman" w:hAnsi="Times New Roman" w:eastAsia="宋体" w:cs="Times New Roman"/>
                <w:color w:val="0000FF"/>
                <w:sz w:val="24"/>
                <w:szCs w:val="32"/>
                <w:lang w:val="en-US" w:eastAsia="zh-CN"/>
              </w:rPr>
              <w:t>项目废气颗粒物、氯化氢执行《大气污染物综合排放标准》（GB16297-1996）中表2排放监控浓值</w:t>
            </w:r>
            <w:r>
              <w:rPr>
                <w:rFonts w:hint="eastAsia" w:cs="Times New Roman"/>
                <w:color w:val="0000FF"/>
                <w:sz w:val="24"/>
                <w:szCs w:val="32"/>
                <w:lang w:val="en-US" w:eastAsia="zh-CN"/>
              </w:rPr>
              <w:t>。</w:t>
            </w:r>
          </w:p>
          <w:p>
            <w:pPr>
              <w:pStyle w:val="33"/>
              <w:keepNext w:val="0"/>
              <w:keepLines w:val="0"/>
              <w:pageBreakBefore w:val="0"/>
              <w:widowControl w:val="0"/>
              <w:kinsoku/>
              <w:wordWrap/>
              <w:overflowPunct/>
              <w:topLinePunct w:val="0"/>
              <w:autoSpaceDE/>
              <w:autoSpaceDN/>
              <w:bidi w:val="0"/>
              <w:adjustRightInd/>
              <w:snapToGrid/>
              <w:spacing w:before="0" w:after="0" w:afterLines="0" w:line="360" w:lineRule="auto"/>
              <w:ind w:right="0"/>
              <w:textAlignment w:val="auto"/>
              <w:outlineLvl w:val="9"/>
              <w:rPr>
                <w:rFonts w:hint="default" w:ascii="Times New Roman" w:hAnsi="Times New Roman" w:eastAsia="宋体" w:cs="Times New Roman"/>
                <w:b/>
                <w:bCs/>
                <w:color w:val="0000FF"/>
                <w:highlight w:val="none"/>
              </w:rPr>
            </w:pPr>
            <w:r>
              <w:rPr>
                <w:rFonts w:hint="default" w:ascii="Times New Roman" w:hAnsi="Times New Roman" w:eastAsia="宋体" w:cs="Times New Roman"/>
                <w:b/>
                <w:bCs/>
                <w:color w:val="0000FF"/>
                <w:highlight w:val="none"/>
              </w:rPr>
              <w:t>表</w:t>
            </w:r>
            <w:r>
              <w:rPr>
                <w:rFonts w:hint="default" w:ascii="Times New Roman" w:hAnsi="Times New Roman" w:eastAsia="宋体" w:cs="Times New Roman"/>
                <w:b/>
                <w:bCs/>
                <w:color w:val="0000FF"/>
                <w:highlight w:val="none"/>
                <w:lang w:val="en-US" w:eastAsia="zh-CN"/>
              </w:rPr>
              <w:t>3</w:t>
            </w:r>
            <w:r>
              <w:rPr>
                <w:rFonts w:hint="default" w:ascii="Times New Roman" w:hAnsi="Times New Roman" w:eastAsia="宋体" w:cs="Times New Roman"/>
                <w:b/>
                <w:bCs/>
                <w:color w:val="0000FF"/>
                <w:highlight w:val="none"/>
              </w:rPr>
              <w:t>-</w:t>
            </w:r>
            <w:r>
              <w:rPr>
                <w:rFonts w:hint="eastAsia" w:cs="Times New Roman"/>
                <w:b/>
                <w:bCs/>
                <w:color w:val="0000FF"/>
                <w:highlight w:val="none"/>
                <w:lang w:val="en-US" w:eastAsia="zh-CN"/>
              </w:rPr>
              <w:t>8</w:t>
            </w:r>
            <w:r>
              <w:rPr>
                <w:rFonts w:hint="default" w:ascii="Times New Roman" w:hAnsi="Times New Roman" w:eastAsia="宋体" w:cs="Times New Roman"/>
                <w:b/>
                <w:bCs/>
                <w:color w:val="0000FF"/>
                <w:highlight w:val="none"/>
              </w:rPr>
              <w:t xml:space="preserve"> </w:t>
            </w:r>
            <w:r>
              <w:rPr>
                <w:rFonts w:hint="default" w:ascii="Times New Roman" w:hAnsi="Times New Roman" w:eastAsia="宋体" w:cs="Times New Roman"/>
                <w:b/>
                <w:bCs/>
                <w:color w:val="0000FF"/>
                <w:highlight w:val="none"/>
                <w:lang w:val="en-US" w:eastAsia="zh-CN"/>
              </w:rPr>
              <w:t xml:space="preserve"> </w:t>
            </w:r>
            <w:r>
              <w:rPr>
                <w:rFonts w:hint="default" w:ascii="Times New Roman" w:hAnsi="Times New Roman" w:eastAsia="宋体" w:cs="Times New Roman"/>
                <w:b/>
                <w:bCs/>
                <w:color w:val="0000FF"/>
                <w:highlight w:val="none"/>
              </w:rPr>
              <w:t>大气污染物排放标准</w:t>
            </w:r>
          </w:p>
          <w:tbl>
            <w:tblPr>
              <w:tblStyle w:val="16"/>
              <w:tblW w:w="4999" w:type="pct"/>
              <w:jc w:val="right"/>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18"/>
              <w:gridCol w:w="1155"/>
              <w:gridCol w:w="1334"/>
              <w:gridCol w:w="914"/>
              <w:gridCol w:w="2269"/>
              <w:gridCol w:w="96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1166" w:type="pct"/>
                  <w:vMerge w:val="restart"/>
                  <w:tcBorders>
                    <w:tl2br w:val="nil"/>
                    <w:tr2bl w:val="nil"/>
                  </w:tcBorders>
                  <w:noWrap w:val="0"/>
                  <w:vAlign w:val="center"/>
                </w:tcPr>
                <w:p>
                  <w:pPr>
                    <w:spacing w:line="240" w:lineRule="auto"/>
                    <w:jc w:val="center"/>
                    <w:rPr>
                      <w:b/>
                      <w:bCs/>
                      <w:color w:val="0000FF"/>
                      <w:sz w:val="21"/>
                      <w:szCs w:val="21"/>
                      <w:highlight w:val="none"/>
                    </w:rPr>
                  </w:pPr>
                  <w:r>
                    <w:rPr>
                      <w:b/>
                      <w:bCs/>
                      <w:color w:val="0000FF"/>
                      <w:sz w:val="21"/>
                      <w:szCs w:val="21"/>
                      <w:highlight w:val="none"/>
                    </w:rPr>
                    <w:t>污染物</w:t>
                  </w:r>
                </w:p>
              </w:tc>
              <w:tc>
                <w:tcPr>
                  <w:tcW w:w="667" w:type="pct"/>
                  <w:vMerge w:val="restart"/>
                  <w:tcBorders>
                    <w:tl2br w:val="nil"/>
                    <w:tr2bl w:val="nil"/>
                  </w:tcBorders>
                  <w:noWrap w:val="0"/>
                  <w:vAlign w:val="center"/>
                </w:tcPr>
                <w:p>
                  <w:pPr>
                    <w:spacing w:line="240" w:lineRule="auto"/>
                    <w:jc w:val="center"/>
                    <w:rPr>
                      <w:b/>
                      <w:bCs/>
                      <w:color w:val="0000FF"/>
                      <w:sz w:val="21"/>
                      <w:szCs w:val="21"/>
                      <w:highlight w:val="none"/>
                    </w:rPr>
                  </w:pPr>
                  <w:r>
                    <w:rPr>
                      <w:b/>
                      <w:bCs/>
                      <w:color w:val="0000FF"/>
                      <w:sz w:val="21"/>
                      <w:szCs w:val="21"/>
                      <w:highlight w:val="none"/>
                    </w:rPr>
                    <w:t>最高允许排放浓度（mg/m</w:t>
                  </w:r>
                  <w:r>
                    <w:rPr>
                      <w:b/>
                      <w:bCs/>
                      <w:color w:val="0000FF"/>
                      <w:sz w:val="21"/>
                      <w:szCs w:val="21"/>
                      <w:highlight w:val="none"/>
                      <w:vertAlign w:val="superscript"/>
                    </w:rPr>
                    <w:t>3</w:t>
                  </w:r>
                  <w:r>
                    <w:rPr>
                      <w:b/>
                      <w:bCs/>
                      <w:color w:val="0000FF"/>
                      <w:sz w:val="21"/>
                      <w:szCs w:val="21"/>
                      <w:highlight w:val="none"/>
                    </w:rPr>
                    <w:t>）</w:t>
                  </w:r>
                </w:p>
              </w:tc>
              <w:tc>
                <w:tcPr>
                  <w:tcW w:w="1299" w:type="pct"/>
                  <w:gridSpan w:val="2"/>
                  <w:tcBorders>
                    <w:tl2br w:val="nil"/>
                    <w:tr2bl w:val="nil"/>
                  </w:tcBorders>
                  <w:noWrap w:val="0"/>
                  <w:vAlign w:val="center"/>
                </w:tcPr>
                <w:p>
                  <w:pPr>
                    <w:spacing w:line="240" w:lineRule="auto"/>
                    <w:jc w:val="center"/>
                    <w:rPr>
                      <w:b/>
                      <w:bCs/>
                      <w:color w:val="0000FF"/>
                      <w:sz w:val="21"/>
                      <w:szCs w:val="21"/>
                      <w:highlight w:val="none"/>
                    </w:rPr>
                  </w:pPr>
                  <w:r>
                    <w:rPr>
                      <w:b/>
                      <w:bCs/>
                      <w:color w:val="0000FF"/>
                      <w:sz w:val="21"/>
                      <w:szCs w:val="21"/>
                      <w:highlight w:val="none"/>
                    </w:rPr>
                    <w:t>最高允许排放（kg/h）</w:t>
                  </w:r>
                </w:p>
              </w:tc>
              <w:tc>
                <w:tcPr>
                  <w:tcW w:w="1866" w:type="pct"/>
                  <w:gridSpan w:val="2"/>
                  <w:tcBorders>
                    <w:tl2br w:val="nil"/>
                    <w:tr2bl w:val="nil"/>
                  </w:tcBorders>
                  <w:noWrap w:val="0"/>
                  <w:vAlign w:val="center"/>
                </w:tcPr>
                <w:p>
                  <w:pPr>
                    <w:spacing w:line="240" w:lineRule="auto"/>
                    <w:jc w:val="center"/>
                    <w:rPr>
                      <w:b/>
                      <w:bCs/>
                      <w:color w:val="0000FF"/>
                      <w:sz w:val="21"/>
                      <w:szCs w:val="21"/>
                      <w:highlight w:val="none"/>
                    </w:rPr>
                  </w:pPr>
                  <w:r>
                    <w:rPr>
                      <w:b/>
                      <w:bCs/>
                      <w:color w:val="0000FF"/>
                      <w:sz w:val="21"/>
                      <w:szCs w:val="21"/>
                      <w:highlight w:val="none"/>
                    </w:rPr>
                    <w:t>无组织排放监控浓值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1166" w:type="pct"/>
                  <w:vMerge w:val="continue"/>
                  <w:tcBorders>
                    <w:tl2br w:val="nil"/>
                    <w:tr2bl w:val="nil"/>
                  </w:tcBorders>
                  <w:noWrap w:val="0"/>
                  <w:vAlign w:val="center"/>
                </w:tcPr>
                <w:p>
                  <w:pPr>
                    <w:spacing w:line="240" w:lineRule="auto"/>
                    <w:jc w:val="center"/>
                    <w:rPr>
                      <w:b/>
                      <w:bCs/>
                      <w:color w:val="0000FF"/>
                      <w:sz w:val="21"/>
                      <w:szCs w:val="21"/>
                      <w:highlight w:val="none"/>
                    </w:rPr>
                  </w:pPr>
                </w:p>
              </w:tc>
              <w:tc>
                <w:tcPr>
                  <w:tcW w:w="667" w:type="pct"/>
                  <w:vMerge w:val="continue"/>
                  <w:tcBorders>
                    <w:tl2br w:val="nil"/>
                    <w:tr2bl w:val="nil"/>
                  </w:tcBorders>
                  <w:noWrap w:val="0"/>
                  <w:vAlign w:val="center"/>
                </w:tcPr>
                <w:p>
                  <w:pPr>
                    <w:spacing w:line="240" w:lineRule="auto"/>
                    <w:jc w:val="center"/>
                    <w:rPr>
                      <w:b/>
                      <w:bCs/>
                      <w:color w:val="0000FF"/>
                      <w:sz w:val="21"/>
                      <w:szCs w:val="21"/>
                      <w:highlight w:val="none"/>
                    </w:rPr>
                  </w:pPr>
                </w:p>
              </w:tc>
              <w:tc>
                <w:tcPr>
                  <w:tcW w:w="771" w:type="pct"/>
                  <w:tcBorders>
                    <w:tl2br w:val="nil"/>
                    <w:tr2bl w:val="nil"/>
                  </w:tcBorders>
                  <w:noWrap w:val="0"/>
                  <w:vAlign w:val="center"/>
                </w:tcPr>
                <w:p>
                  <w:pPr>
                    <w:spacing w:line="240" w:lineRule="auto"/>
                    <w:jc w:val="center"/>
                    <w:rPr>
                      <w:b/>
                      <w:bCs/>
                      <w:color w:val="0000FF"/>
                      <w:sz w:val="21"/>
                      <w:szCs w:val="21"/>
                      <w:highlight w:val="none"/>
                    </w:rPr>
                  </w:pPr>
                  <w:r>
                    <w:rPr>
                      <w:b/>
                      <w:bCs/>
                      <w:color w:val="0000FF"/>
                      <w:sz w:val="21"/>
                      <w:szCs w:val="21"/>
                      <w:highlight w:val="none"/>
                    </w:rPr>
                    <w:t>排气筒（m）</w:t>
                  </w:r>
                </w:p>
              </w:tc>
              <w:tc>
                <w:tcPr>
                  <w:tcW w:w="528" w:type="pct"/>
                  <w:tcBorders>
                    <w:tl2br w:val="nil"/>
                    <w:tr2bl w:val="nil"/>
                  </w:tcBorders>
                  <w:noWrap w:val="0"/>
                  <w:vAlign w:val="center"/>
                </w:tcPr>
                <w:p>
                  <w:pPr>
                    <w:spacing w:line="240" w:lineRule="auto"/>
                    <w:jc w:val="center"/>
                    <w:rPr>
                      <w:b/>
                      <w:bCs/>
                      <w:color w:val="0000FF"/>
                      <w:sz w:val="21"/>
                      <w:szCs w:val="21"/>
                      <w:highlight w:val="none"/>
                    </w:rPr>
                  </w:pPr>
                  <w:r>
                    <w:rPr>
                      <w:b/>
                      <w:bCs/>
                      <w:color w:val="0000FF"/>
                      <w:sz w:val="21"/>
                      <w:szCs w:val="21"/>
                      <w:highlight w:val="none"/>
                    </w:rPr>
                    <w:t>二级</w:t>
                  </w:r>
                </w:p>
              </w:tc>
              <w:tc>
                <w:tcPr>
                  <w:tcW w:w="1311" w:type="pct"/>
                  <w:tcBorders>
                    <w:tl2br w:val="nil"/>
                    <w:tr2bl w:val="nil"/>
                  </w:tcBorders>
                  <w:noWrap w:val="0"/>
                  <w:vAlign w:val="center"/>
                </w:tcPr>
                <w:p>
                  <w:pPr>
                    <w:spacing w:line="240" w:lineRule="auto"/>
                    <w:jc w:val="center"/>
                    <w:rPr>
                      <w:b/>
                      <w:bCs/>
                      <w:color w:val="0000FF"/>
                      <w:sz w:val="21"/>
                      <w:szCs w:val="21"/>
                      <w:highlight w:val="none"/>
                    </w:rPr>
                  </w:pPr>
                  <w:r>
                    <w:rPr>
                      <w:b/>
                      <w:bCs/>
                      <w:color w:val="0000FF"/>
                      <w:sz w:val="21"/>
                      <w:szCs w:val="21"/>
                      <w:highlight w:val="none"/>
                    </w:rPr>
                    <w:t>监控点</w:t>
                  </w:r>
                </w:p>
              </w:tc>
              <w:tc>
                <w:tcPr>
                  <w:tcW w:w="555" w:type="pct"/>
                  <w:tcBorders>
                    <w:tl2br w:val="nil"/>
                    <w:tr2bl w:val="nil"/>
                  </w:tcBorders>
                  <w:noWrap w:val="0"/>
                  <w:vAlign w:val="center"/>
                </w:tcPr>
                <w:p>
                  <w:pPr>
                    <w:spacing w:line="240" w:lineRule="auto"/>
                    <w:jc w:val="center"/>
                    <w:rPr>
                      <w:b/>
                      <w:bCs/>
                      <w:color w:val="0000FF"/>
                      <w:sz w:val="21"/>
                      <w:szCs w:val="21"/>
                      <w:highlight w:val="none"/>
                    </w:rPr>
                  </w:pPr>
                  <w:r>
                    <w:rPr>
                      <w:b/>
                      <w:bCs/>
                      <w:color w:val="0000FF"/>
                      <w:sz w:val="21"/>
                      <w:szCs w:val="21"/>
                      <w:highlight w:val="none"/>
                    </w:rPr>
                    <w:t>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1166" w:type="pct"/>
                  <w:tcBorders>
                    <w:tl2br w:val="nil"/>
                    <w:tr2bl w:val="nil"/>
                  </w:tcBorders>
                  <w:noWrap w:val="0"/>
                  <w:vAlign w:val="center"/>
                </w:tcPr>
                <w:p>
                  <w:pPr>
                    <w:spacing w:line="240" w:lineRule="auto"/>
                    <w:jc w:val="center"/>
                    <w:rPr>
                      <w:color w:val="0000FF"/>
                      <w:sz w:val="21"/>
                      <w:szCs w:val="21"/>
                      <w:highlight w:val="none"/>
                    </w:rPr>
                  </w:pPr>
                  <w:r>
                    <w:rPr>
                      <w:color w:val="0000FF"/>
                      <w:sz w:val="21"/>
                      <w:szCs w:val="21"/>
                      <w:highlight w:val="none"/>
                    </w:rPr>
                    <w:t>颗粒物</w:t>
                  </w:r>
                </w:p>
              </w:tc>
              <w:tc>
                <w:tcPr>
                  <w:tcW w:w="667" w:type="pct"/>
                  <w:tcBorders>
                    <w:tl2br w:val="nil"/>
                    <w:tr2bl w:val="nil"/>
                  </w:tcBorders>
                  <w:noWrap w:val="0"/>
                  <w:vAlign w:val="center"/>
                </w:tcPr>
                <w:p>
                  <w:pPr>
                    <w:spacing w:line="240" w:lineRule="auto"/>
                    <w:jc w:val="center"/>
                    <w:rPr>
                      <w:color w:val="0000FF"/>
                      <w:sz w:val="21"/>
                      <w:szCs w:val="21"/>
                      <w:highlight w:val="none"/>
                    </w:rPr>
                  </w:pPr>
                  <w:r>
                    <w:rPr>
                      <w:color w:val="0000FF"/>
                      <w:sz w:val="21"/>
                      <w:szCs w:val="21"/>
                      <w:highlight w:val="none"/>
                    </w:rPr>
                    <w:t>120</w:t>
                  </w:r>
                </w:p>
              </w:tc>
              <w:tc>
                <w:tcPr>
                  <w:tcW w:w="771" w:type="pct"/>
                  <w:tcBorders>
                    <w:tl2br w:val="nil"/>
                    <w:tr2bl w:val="nil"/>
                  </w:tcBorders>
                  <w:noWrap w:val="0"/>
                  <w:vAlign w:val="center"/>
                </w:tcPr>
                <w:p>
                  <w:pPr>
                    <w:spacing w:line="240" w:lineRule="auto"/>
                    <w:jc w:val="center"/>
                    <w:rPr>
                      <w:color w:val="0000FF"/>
                      <w:sz w:val="21"/>
                      <w:szCs w:val="21"/>
                      <w:highlight w:val="none"/>
                    </w:rPr>
                  </w:pPr>
                  <w:r>
                    <w:rPr>
                      <w:color w:val="0000FF"/>
                      <w:sz w:val="21"/>
                      <w:szCs w:val="21"/>
                      <w:highlight w:val="none"/>
                    </w:rPr>
                    <w:t>15</w:t>
                  </w:r>
                </w:p>
              </w:tc>
              <w:tc>
                <w:tcPr>
                  <w:tcW w:w="528" w:type="pct"/>
                  <w:tcBorders>
                    <w:tl2br w:val="nil"/>
                    <w:tr2bl w:val="nil"/>
                  </w:tcBorders>
                  <w:noWrap w:val="0"/>
                  <w:vAlign w:val="center"/>
                </w:tcPr>
                <w:p>
                  <w:pPr>
                    <w:spacing w:line="240" w:lineRule="auto"/>
                    <w:jc w:val="center"/>
                    <w:rPr>
                      <w:color w:val="0000FF"/>
                      <w:sz w:val="21"/>
                      <w:szCs w:val="21"/>
                      <w:highlight w:val="none"/>
                    </w:rPr>
                  </w:pPr>
                  <w:r>
                    <w:rPr>
                      <w:color w:val="0000FF"/>
                      <w:sz w:val="21"/>
                      <w:szCs w:val="21"/>
                      <w:highlight w:val="none"/>
                    </w:rPr>
                    <w:t>3.5</w:t>
                  </w:r>
                </w:p>
              </w:tc>
              <w:tc>
                <w:tcPr>
                  <w:tcW w:w="1311" w:type="pct"/>
                  <w:vMerge w:val="restart"/>
                  <w:tcBorders>
                    <w:tl2br w:val="nil"/>
                    <w:tr2bl w:val="nil"/>
                  </w:tcBorders>
                  <w:noWrap w:val="0"/>
                  <w:vAlign w:val="center"/>
                </w:tcPr>
                <w:p>
                  <w:pPr>
                    <w:spacing w:line="240" w:lineRule="auto"/>
                    <w:jc w:val="center"/>
                    <w:rPr>
                      <w:color w:val="0000FF"/>
                      <w:sz w:val="21"/>
                      <w:szCs w:val="21"/>
                      <w:highlight w:val="none"/>
                    </w:rPr>
                  </w:pPr>
                  <w:r>
                    <w:rPr>
                      <w:color w:val="0000FF"/>
                      <w:sz w:val="21"/>
                      <w:szCs w:val="21"/>
                      <w:highlight w:val="none"/>
                    </w:rPr>
                    <w:t>周界外浓度最高点</w:t>
                  </w:r>
                </w:p>
              </w:tc>
              <w:tc>
                <w:tcPr>
                  <w:tcW w:w="555" w:type="pct"/>
                  <w:tcBorders>
                    <w:tl2br w:val="nil"/>
                    <w:tr2bl w:val="nil"/>
                  </w:tcBorders>
                  <w:noWrap w:val="0"/>
                  <w:vAlign w:val="center"/>
                </w:tcPr>
                <w:p>
                  <w:pPr>
                    <w:spacing w:line="240" w:lineRule="auto"/>
                    <w:jc w:val="center"/>
                    <w:rPr>
                      <w:color w:val="0000FF"/>
                      <w:sz w:val="21"/>
                      <w:szCs w:val="21"/>
                      <w:highlight w:val="none"/>
                    </w:rPr>
                  </w:pPr>
                  <w:r>
                    <w:rPr>
                      <w:color w:val="0000FF"/>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1166" w:type="pct"/>
                  <w:tcBorders>
                    <w:tl2br w:val="nil"/>
                    <w:tr2bl w:val="nil"/>
                  </w:tcBorders>
                  <w:noWrap w:val="0"/>
                  <w:vAlign w:val="center"/>
                </w:tcPr>
                <w:p>
                  <w:pPr>
                    <w:spacing w:line="240" w:lineRule="auto"/>
                    <w:jc w:val="center"/>
                    <w:rPr>
                      <w:color w:val="0000FF"/>
                      <w:sz w:val="21"/>
                      <w:szCs w:val="21"/>
                      <w:highlight w:val="none"/>
                    </w:rPr>
                  </w:pPr>
                  <w:r>
                    <w:rPr>
                      <w:color w:val="0000FF"/>
                      <w:sz w:val="21"/>
                      <w:szCs w:val="21"/>
                      <w:highlight w:val="none"/>
                    </w:rPr>
                    <w:t>氯化氢</w:t>
                  </w:r>
                </w:p>
              </w:tc>
              <w:tc>
                <w:tcPr>
                  <w:tcW w:w="667" w:type="pct"/>
                  <w:tcBorders>
                    <w:tl2br w:val="nil"/>
                    <w:tr2bl w:val="nil"/>
                  </w:tcBorders>
                  <w:noWrap w:val="0"/>
                  <w:vAlign w:val="center"/>
                </w:tcPr>
                <w:p>
                  <w:pPr>
                    <w:spacing w:line="240" w:lineRule="auto"/>
                    <w:jc w:val="center"/>
                    <w:rPr>
                      <w:rFonts w:hint="eastAsia"/>
                      <w:color w:val="0000FF"/>
                      <w:sz w:val="21"/>
                      <w:szCs w:val="21"/>
                      <w:highlight w:val="none"/>
                    </w:rPr>
                  </w:pPr>
                  <w:r>
                    <w:rPr>
                      <w:rFonts w:hint="eastAsia"/>
                      <w:color w:val="0000FF"/>
                      <w:sz w:val="21"/>
                      <w:szCs w:val="21"/>
                      <w:highlight w:val="none"/>
                    </w:rPr>
                    <w:t>100</w:t>
                  </w:r>
                </w:p>
              </w:tc>
              <w:tc>
                <w:tcPr>
                  <w:tcW w:w="771" w:type="pct"/>
                  <w:tcBorders>
                    <w:tl2br w:val="nil"/>
                    <w:tr2bl w:val="nil"/>
                  </w:tcBorders>
                  <w:noWrap w:val="0"/>
                  <w:vAlign w:val="center"/>
                </w:tcPr>
                <w:p>
                  <w:pPr>
                    <w:spacing w:line="240" w:lineRule="auto"/>
                    <w:jc w:val="center"/>
                    <w:rPr>
                      <w:rFonts w:hint="eastAsia"/>
                      <w:color w:val="0000FF"/>
                      <w:sz w:val="21"/>
                      <w:szCs w:val="21"/>
                      <w:highlight w:val="none"/>
                    </w:rPr>
                  </w:pPr>
                  <w:r>
                    <w:rPr>
                      <w:rFonts w:hint="eastAsia"/>
                      <w:color w:val="0000FF"/>
                      <w:sz w:val="21"/>
                      <w:szCs w:val="21"/>
                      <w:highlight w:val="none"/>
                    </w:rPr>
                    <w:t>15</w:t>
                  </w:r>
                </w:p>
              </w:tc>
              <w:tc>
                <w:tcPr>
                  <w:tcW w:w="528" w:type="pct"/>
                  <w:tcBorders>
                    <w:tl2br w:val="nil"/>
                    <w:tr2bl w:val="nil"/>
                  </w:tcBorders>
                  <w:noWrap w:val="0"/>
                  <w:vAlign w:val="center"/>
                </w:tcPr>
                <w:p>
                  <w:pPr>
                    <w:spacing w:line="240" w:lineRule="auto"/>
                    <w:jc w:val="center"/>
                    <w:rPr>
                      <w:rFonts w:hint="eastAsia"/>
                      <w:color w:val="0000FF"/>
                      <w:sz w:val="21"/>
                      <w:szCs w:val="21"/>
                      <w:highlight w:val="none"/>
                    </w:rPr>
                  </w:pPr>
                  <w:r>
                    <w:rPr>
                      <w:rFonts w:hint="eastAsia"/>
                      <w:color w:val="0000FF"/>
                      <w:sz w:val="21"/>
                      <w:szCs w:val="21"/>
                      <w:highlight w:val="none"/>
                    </w:rPr>
                    <w:t>0.26</w:t>
                  </w:r>
                </w:p>
              </w:tc>
              <w:tc>
                <w:tcPr>
                  <w:tcW w:w="1311" w:type="pct"/>
                  <w:vMerge w:val="continue"/>
                  <w:tcBorders>
                    <w:tl2br w:val="nil"/>
                    <w:tr2bl w:val="nil"/>
                  </w:tcBorders>
                  <w:noWrap w:val="0"/>
                  <w:vAlign w:val="center"/>
                </w:tcPr>
                <w:p>
                  <w:pPr>
                    <w:spacing w:line="240" w:lineRule="auto"/>
                    <w:jc w:val="center"/>
                    <w:rPr>
                      <w:color w:val="0000FF"/>
                      <w:sz w:val="21"/>
                      <w:szCs w:val="21"/>
                      <w:highlight w:val="none"/>
                    </w:rPr>
                  </w:pPr>
                </w:p>
              </w:tc>
              <w:tc>
                <w:tcPr>
                  <w:tcW w:w="555" w:type="pct"/>
                  <w:tcBorders>
                    <w:tl2br w:val="nil"/>
                    <w:tr2bl w:val="nil"/>
                  </w:tcBorders>
                  <w:noWrap w:val="0"/>
                  <w:vAlign w:val="center"/>
                </w:tcPr>
                <w:p>
                  <w:pPr>
                    <w:spacing w:line="240" w:lineRule="auto"/>
                    <w:jc w:val="center"/>
                    <w:rPr>
                      <w:rFonts w:hint="eastAsia"/>
                      <w:color w:val="0000FF"/>
                      <w:sz w:val="21"/>
                      <w:szCs w:val="21"/>
                      <w:highlight w:val="none"/>
                    </w:rPr>
                  </w:pPr>
                  <w:r>
                    <w:rPr>
                      <w:rFonts w:hint="eastAsia"/>
                      <w:color w:val="0000FF"/>
                      <w:sz w:val="21"/>
                      <w:szCs w:val="21"/>
                      <w:highlight w:val="none"/>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1166" w:type="pct"/>
                  <w:tcBorders>
                    <w:tl2br w:val="nil"/>
                    <w:tr2bl w:val="nil"/>
                  </w:tcBorders>
                  <w:noWrap w:val="0"/>
                  <w:vAlign w:val="center"/>
                </w:tcPr>
                <w:p>
                  <w:pPr>
                    <w:spacing w:line="240" w:lineRule="auto"/>
                    <w:jc w:val="center"/>
                    <w:rPr>
                      <w:color w:val="0000FF"/>
                      <w:sz w:val="21"/>
                      <w:szCs w:val="21"/>
                      <w:highlight w:val="none"/>
                    </w:rPr>
                  </w:pPr>
                  <w:r>
                    <w:rPr>
                      <w:rFonts w:hint="eastAsia" w:ascii="Times New Roman" w:hAnsi="Times New Roman" w:eastAsia="宋体" w:cs="Times New Roman"/>
                      <w:color w:val="0000FF"/>
                      <w:sz w:val="21"/>
                      <w:szCs w:val="21"/>
                      <w:highlight w:val="none"/>
                      <w:lang w:val="en-US" w:eastAsia="zh-CN"/>
                    </w:rPr>
                    <w:t>非甲烷总烃</w:t>
                  </w:r>
                  <w:r>
                    <w:rPr>
                      <w:rFonts w:hint="eastAsia" w:cs="Times New Roman"/>
                      <w:color w:val="0000FF"/>
                      <w:sz w:val="21"/>
                      <w:szCs w:val="21"/>
                      <w:highlight w:val="none"/>
                      <w:lang w:val="en-US" w:eastAsia="zh-CN"/>
                    </w:rPr>
                    <w:t>（使用除聚氯乙烯以外的树脂生产塑料制品）</w:t>
                  </w:r>
                </w:p>
              </w:tc>
              <w:tc>
                <w:tcPr>
                  <w:tcW w:w="667" w:type="pct"/>
                  <w:tcBorders>
                    <w:tl2br w:val="nil"/>
                    <w:tr2bl w:val="nil"/>
                  </w:tcBorders>
                  <w:noWrap w:val="0"/>
                  <w:vAlign w:val="center"/>
                </w:tcPr>
                <w:p>
                  <w:pPr>
                    <w:spacing w:line="240" w:lineRule="auto"/>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100</w:t>
                  </w:r>
                </w:p>
              </w:tc>
              <w:tc>
                <w:tcPr>
                  <w:tcW w:w="771" w:type="pct"/>
                  <w:tcBorders>
                    <w:tl2br w:val="nil"/>
                    <w:tr2bl w:val="nil"/>
                  </w:tcBorders>
                  <w:noWrap w:val="0"/>
                  <w:vAlign w:val="center"/>
                </w:tcPr>
                <w:p>
                  <w:pPr>
                    <w:spacing w:line="240" w:lineRule="auto"/>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w:t>
                  </w:r>
                </w:p>
              </w:tc>
              <w:tc>
                <w:tcPr>
                  <w:tcW w:w="528" w:type="pct"/>
                  <w:tcBorders>
                    <w:tl2br w:val="nil"/>
                    <w:tr2bl w:val="nil"/>
                  </w:tcBorders>
                  <w:noWrap w:val="0"/>
                  <w:vAlign w:val="center"/>
                </w:tcPr>
                <w:p>
                  <w:pPr>
                    <w:spacing w:line="240" w:lineRule="auto"/>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w:t>
                  </w:r>
                </w:p>
              </w:tc>
              <w:tc>
                <w:tcPr>
                  <w:tcW w:w="1311" w:type="pct"/>
                  <w:vMerge w:val="restart"/>
                  <w:tcBorders>
                    <w:tl2br w:val="nil"/>
                    <w:tr2bl w:val="nil"/>
                  </w:tcBorders>
                  <w:noWrap w:val="0"/>
                  <w:vAlign w:val="center"/>
                </w:tcPr>
                <w:p>
                  <w:pPr>
                    <w:spacing w:line="240" w:lineRule="auto"/>
                    <w:jc w:val="center"/>
                    <w:rPr>
                      <w:rFonts w:hint="eastAsia" w:ascii="Times New Roman" w:hAnsi="Times New Roman" w:eastAsia="宋体" w:cs="Times New Roman"/>
                      <w:color w:val="0000FF"/>
                      <w:kern w:val="2"/>
                      <w:sz w:val="21"/>
                      <w:szCs w:val="21"/>
                      <w:highlight w:val="none"/>
                      <w:lang w:val="en-US" w:eastAsia="zh-CN" w:bidi="ar-SA"/>
                    </w:rPr>
                  </w:pPr>
                  <w:r>
                    <w:rPr>
                      <w:rFonts w:hint="eastAsia" w:ascii="Times New Roman" w:hAnsi="Times New Roman" w:eastAsia="宋体" w:cs="Times New Roman"/>
                      <w:color w:val="0000FF"/>
                      <w:kern w:val="2"/>
                      <w:sz w:val="21"/>
                      <w:szCs w:val="21"/>
                      <w:highlight w:val="none"/>
                      <w:lang w:val="en-US" w:eastAsia="zh-CN" w:bidi="ar-SA"/>
                    </w:rPr>
                    <w:t>在厂房外设置监控点</w:t>
                  </w:r>
                </w:p>
                <w:p>
                  <w:pPr>
                    <w:spacing w:line="240" w:lineRule="auto"/>
                    <w:jc w:val="center"/>
                    <w:rPr>
                      <w:rFonts w:hint="eastAsia" w:ascii="Times New Roman" w:hAnsi="Times New Roman" w:eastAsia="宋体" w:cs="Times New Roman"/>
                      <w:color w:val="0000FF"/>
                      <w:kern w:val="2"/>
                      <w:sz w:val="21"/>
                      <w:szCs w:val="21"/>
                      <w:highlight w:val="none"/>
                      <w:lang w:val="en-US" w:eastAsia="zh-CN" w:bidi="ar-SA"/>
                    </w:rPr>
                  </w:pPr>
                  <w:r>
                    <w:rPr>
                      <w:rFonts w:hint="eastAsia" w:cs="Times New Roman"/>
                      <w:color w:val="0000FF"/>
                      <w:kern w:val="2"/>
                      <w:sz w:val="21"/>
                      <w:szCs w:val="21"/>
                      <w:highlight w:val="none"/>
                      <w:lang w:val="en-US" w:eastAsia="zh-CN" w:bidi="ar-SA"/>
                    </w:rPr>
                    <w:t>（</w:t>
                  </w:r>
                  <w:r>
                    <w:rPr>
                      <w:rFonts w:hint="eastAsia" w:ascii="Times New Roman" w:hAnsi="Times New Roman" w:eastAsia="宋体" w:cs="Times New Roman"/>
                      <w:color w:val="0000FF"/>
                      <w:kern w:val="2"/>
                      <w:sz w:val="21"/>
                      <w:szCs w:val="21"/>
                      <w:highlight w:val="none"/>
                      <w:lang w:val="en-US" w:eastAsia="zh-CN" w:bidi="ar-SA"/>
                    </w:rPr>
                    <w:t>监控点处1 h平均浓度值</w:t>
                  </w:r>
                  <w:r>
                    <w:rPr>
                      <w:rFonts w:hint="eastAsia" w:cs="Times New Roman"/>
                      <w:color w:val="0000FF"/>
                      <w:kern w:val="2"/>
                      <w:sz w:val="21"/>
                      <w:szCs w:val="21"/>
                      <w:highlight w:val="none"/>
                      <w:lang w:val="en-US" w:eastAsia="zh-CN" w:bidi="ar-SA"/>
                    </w:rPr>
                    <w:t>）</w:t>
                  </w:r>
                </w:p>
                <w:p>
                  <w:pPr>
                    <w:spacing w:line="240" w:lineRule="auto"/>
                    <w:jc w:val="center"/>
                    <w:rPr>
                      <w:rFonts w:ascii="Times New Roman" w:hAnsi="Times New Roman" w:eastAsia="宋体" w:cs="Times New Roman"/>
                      <w:color w:val="0000FF"/>
                      <w:kern w:val="2"/>
                      <w:sz w:val="21"/>
                      <w:szCs w:val="21"/>
                      <w:highlight w:val="none"/>
                      <w:lang w:val="en-US" w:eastAsia="zh-CN" w:bidi="ar-SA"/>
                    </w:rPr>
                  </w:pPr>
                </w:p>
              </w:tc>
              <w:tc>
                <w:tcPr>
                  <w:tcW w:w="555" w:type="pct"/>
                  <w:vMerge w:val="restart"/>
                  <w:tcBorders>
                    <w:tl2br w:val="nil"/>
                    <w:tr2bl w:val="nil"/>
                  </w:tcBorders>
                  <w:noWrap w:val="0"/>
                  <w:vAlign w:val="center"/>
                </w:tcPr>
                <w:p>
                  <w:pPr>
                    <w:spacing w:line="240" w:lineRule="auto"/>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right"/>
              </w:trPr>
              <w:tc>
                <w:tcPr>
                  <w:tcW w:w="1166" w:type="pct"/>
                  <w:tcBorders>
                    <w:tl2br w:val="nil"/>
                    <w:tr2bl w:val="nil"/>
                  </w:tcBorders>
                  <w:noWrap w:val="0"/>
                  <w:vAlign w:val="center"/>
                </w:tcPr>
                <w:p>
                  <w:pPr>
                    <w:spacing w:line="240" w:lineRule="auto"/>
                    <w:jc w:val="center"/>
                    <w:rPr>
                      <w:color w:val="0000FF"/>
                      <w:sz w:val="21"/>
                      <w:szCs w:val="21"/>
                      <w:highlight w:val="none"/>
                    </w:rPr>
                  </w:pPr>
                  <w:r>
                    <w:rPr>
                      <w:rFonts w:hint="eastAsia" w:ascii="Times New Roman" w:hAnsi="Times New Roman" w:eastAsia="宋体" w:cs="Times New Roman"/>
                      <w:color w:val="0000FF"/>
                      <w:sz w:val="21"/>
                      <w:szCs w:val="21"/>
                      <w:highlight w:val="none"/>
                      <w:lang w:val="en-US" w:eastAsia="zh-CN"/>
                    </w:rPr>
                    <w:t>非甲烷总烃</w:t>
                  </w:r>
                  <w:r>
                    <w:rPr>
                      <w:rFonts w:hint="eastAsia" w:cs="Times New Roman"/>
                      <w:color w:val="0000FF"/>
                      <w:sz w:val="21"/>
                      <w:szCs w:val="21"/>
                      <w:highlight w:val="none"/>
                      <w:lang w:val="en-US" w:eastAsia="zh-CN"/>
                    </w:rPr>
                    <w:t>（使用聚氯乙烯树脂生产塑料制品）</w:t>
                  </w:r>
                </w:p>
              </w:tc>
              <w:tc>
                <w:tcPr>
                  <w:tcW w:w="667" w:type="pct"/>
                  <w:tcBorders>
                    <w:tl2br w:val="nil"/>
                    <w:tr2bl w:val="nil"/>
                  </w:tcBorders>
                  <w:noWrap w:val="0"/>
                  <w:vAlign w:val="center"/>
                </w:tcPr>
                <w:p>
                  <w:pPr>
                    <w:spacing w:line="240" w:lineRule="auto"/>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120</w:t>
                  </w:r>
                </w:p>
              </w:tc>
              <w:tc>
                <w:tcPr>
                  <w:tcW w:w="771" w:type="pct"/>
                  <w:tcBorders>
                    <w:tl2br w:val="nil"/>
                    <w:tr2bl w:val="nil"/>
                  </w:tcBorders>
                  <w:noWrap w:val="0"/>
                  <w:vAlign w:val="center"/>
                </w:tcPr>
                <w:p>
                  <w:pPr>
                    <w:spacing w:line="240" w:lineRule="auto"/>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15</w:t>
                  </w:r>
                </w:p>
              </w:tc>
              <w:tc>
                <w:tcPr>
                  <w:tcW w:w="528" w:type="pct"/>
                  <w:tcBorders>
                    <w:tl2br w:val="nil"/>
                    <w:tr2bl w:val="nil"/>
                  </w:tcBorders>
                  <w:noWrap w:val="0"/>
                  <w:vAlign w:val="center"/>
                </w:tcPr>
                <w:p>
                  <w:pPr>
                    <w:spacing w:line="240" w:lineRule="auto"/>
                    <w:jc w:val="center"/>
                    <w:rPr>
                      <w:rFonts w:hint="default" w:eastAsia="宋体"/>
                      <w:color w:val="0000FF"/>
                      <w:sz w:val="21"/>
                      <w:szCs w:val="21"/>
                      <w:highlight w:val="none"/>
                      <w:lang w:val="en-US" w:eastAsia="zh-CN"/>
                    </w:rPr>
                  </w:pPr>
                  <w:r>
                    <w:rPr>
                      <w:rFonts w:hint="eastAsia"/>
                      <w:color w:val="0000FF"/>
                      <w:sz w:val="21"/>
                      <w:szCs w:val="21"/>
                      <w:highlight w:val="none"/>
                      <w:lang w:val="en-US" w:eastAsia="zh-CN"/>
                    </w:rPr>
                    <w:t>10</w:t>
                  </w:r>
                </w:p>
              </w:tc>
              <w:tc>
                <w:tcPr>
                  <w:tcW w:w="1311" w:type="pct"/>
                  <w:vMerge w:val="continue"/>
                  <w:tcBorders>
                    <w:tl2br w:val="nil"/>
                    <w:tr2bl w:val="nil"/>
                  </w:tcBorders>
                  <w:noWrap w:val="0"/>
                  <w:vAlign w:val="center"/>
                </w:tcPr>
                <w:p>
                  <w:pPr>
                    <w:spacing w:line="240" w:lineRule="auto"/>
                    <w:jc w:val="center"/>
                    <w:rPr>
                      <w:rFonts w:ascii="Times New Roman" w:hAnsi="Times New Roman" w:eastAsia="宋体" w:cs="Times New Roman"/>
                      <w:color w:val="0000FF"/>
                      <w:kern w:val="2"/>
                      <w:sz w:val="21"/>
                      <w:szCs w:val="21"/>
                      <w:highlight w:val="none"/>
                      <w:lang w:val="en-US" w:eastAsia="zh-CN" w:bidi="ar-SA"/>
                    </w:rPr>
                  </w:pPr>
                </w:p>
              </w:tc>
              <w:tc>
                <w:tcPr>
                  <w:tcW w:w="555" w:type="pct"/>
                  <w:vMerge w:val="continue"/>
                  <w:tcBorders>
                    <w:tl2br w:val="nil"/>
                    <w:tr2bl w:val="nil"/>
                  </w:tcBorders>
                  <w:noWrap w:val="0"/>
                  <w:vAlign w:val="center"/>
                </w:tcPr>
                <w:p>
                  <w:pPr>
                    <w:spacing w:line="240" w:lineRule="auto"/>
                    <w:jc w:val="center"/>
                    <w:rPr>
                      <w:rFonts w:hint="eastAsia"/>
                      <w:color w:val="0000FF"/>
                      <w:sz w:val="21"/>
                      <w:szCs w:val="21"/>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lang w:val="en-US" w:eastAsia="zh-CN"/>
              </w:rPr>
              <w:t>2、</w:t>
            </w:r>
            <w:r>
              <w:rPr>
                <w:rFonts w:hint="default" w:ascii="Times New Roman" w:hAnsi="Times New Roman" w:eastAsia="宋体" w:cs="Times New Roman"/>
                <w:b/>
                <w:bCs/>
                <w:color w:val="auto"/>
                <w:sz w:val="24"/>
                <w:szCs w:val="32"/>
              </w:rPr>
              <w:t>水污染物排放标准</w:t>
            </w:r>
          </w:p>
          <w:p>
            <w:pPr>
              <w:pStyle w:val="35"/>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360" w:lineRule="auto"/>
              <w:ind w:right="0" w:firstLine="480" w:firstLineChars="200"/>
              <w:jc w:val="left"/>
              <w:textAlignment w:val="auto"/>
              <w:outlineLvl w:val="9"/>
              <w:rPr>
                <w:rFonts w:hint="default" w:ascii="Times New Roman" w:hAnsi="Times New Roman"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NH</w:t>
            </w:r>
            <w:r>
              <w:rPr>
                <w:rFonts w:hint="default" w:ascii="Times New Roman" w:hAnsi="Times New Roman" w:cs="Times New Roman"/>
                <w:b w:val="0"/>
                <w:bCs/>
                <w:color w:val="auto"/>
                <w:sz w:val="24"/>
                <w:szCs w:val="24"/>
                <w:vertAlign w:val="subscript"/>
                <w:lang w:val="en-US" w:eastAsia="zh-CN"/>
              </w:rPr>
              <w:t>3</w:t>
            </w:r>
            <w:r>
              <w:rPr>
                <w:rFonts w:hint="default" w:ascii="Times New Roman" w:hAnsi="Times New Roman" w:cs="Times New Roman"/>
                <w:b w:val="0"/>
                <w:bCs/>
                <w:color w:val="auto"/>
                <w:sz w:val="24"/>
                <w:szCs w:val="24"/>
                <w:lang w:val="en-US" w:eastAsia="zh-CN"/>
              </w:rPr>
              <w:t>-N执行《污水排入城镇下水道水质标准》（GB/T 31962-2015）表1中B级标准，其他执行《污水综合排放标准》（GB8978-1996）表4所列三级标准。</w:t>
            </w:r>
          </w:p>
          <w:p>
            <w:pPr>
              <w:pStyle w:val="35"/>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right="0"/>
              <w:jc w:val="center"/>
              <w:textAlignment w:val="auto"/>
              <w:outlineLvl w:val="9"/>
              <w:rPr>
                <w:rFonts w:hint="default" w:ascii="Times New Roman" w:hAnsi="Times New Roman" w:eastAsia="宋体" w:cs="Times New Roman"/>
                <w:b/>
                <w:bCs w:val="0"/>
                <w:color w:val="auto"/>
                <w:kern w:val="0"/>
                <w:sz w:val="24"/>
                <w:szCs w:val="32"/>
                <w:lang w:val="en-US" w:eastAsia="zh-CN" w:bidi="ar-SA"/>
              </w:rPr>
            </w:pPr>
            <w:r>
              <w:rPr>
                <w:rFonts w:hint="default" w:ascii="Times New Roman" w:hAnsi="Times New Roman" w:eastAsia="宋体" w:cs="Times New Roman"/>
                <w:b/>
                <w:bCs w:val="0"/>
                <w:color w:val="auto"/>
                <w:kern w:val="0"/>
                <w:sz w:val="24"/>
                <w:szCs w:val="32"/>
                <w:lang w:val="en-US" w:eastAsia="zh-CN" w:bidi="ar-SA"/>
              </w:rPr>
              <w:t>表3</w:t>
            </w:r>
            <w:r>
              <w:rPr>
                <w:rFonts w:hint="eastAsia" w:cs="Times New Roman"/>
                <w:b/>
                <w:bCs w:val="0"/>
                <w:color w:val="auto"/>
                <w:kern w:val="0"/>
                <w:sz w:val="24"/>
                <w:szCs w:val="32"/>
                <w:lang w:val="en-US" w:eastAsia="zh-CN" w:bidi="ar-SA"/>
              </w:rPr>
              <w:t>-9</w:t>
            </w:r>
            <w:r>
              <w:rPr>
                <w:rFonts w:hint="default" w:ascii="Times New Roman" w:hAnsi="Times New Roman" w:eastAsia="宋体" w:cs="Times New Roman"/>
                <w:b/>
                <w:bCs w:val="0"/>
                <w:color w:val="auto"/>
                <w:kern w:val="0"/>
                <w:sz w:val="24"/>
                <w:szCs w:val="32"/>
                <w:lang w:val="en-US" w:eastAsia="zh-CN" w:bidi="ar-SA"/>
              </w:rPr>
              <w:t xml:space="preserve">  污水综合排放标准</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1134"/>
              <w:gridCol w:w="1134"/>
              <w:gridCol w:w="1134"/>
              <w:gridCol w:w="1134"/>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133"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污染物</w:t>
                  </w:r>
                </w:p>
              </w:tc>
              <w:tc>
                <w:tcPr>
                  <w:tcW w:w="1134"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w:t>
                  </w:r>
                </w:p>
              </w:tc>
              <w:tc>
                <w:tcPr>
                  <w:tcW w:w="1134"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SS</w:t>
                  </w:r>
                </w:p>
              </w:tc>
              <w:tc>
                <w:tcPr>
                  <w:tcW w:w="1134"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COD</w:t>
                  </w:r>
                </w:p>
              </w:tc>
              <w:tc>
                <w:tcPr>
                  <w:tcW w:w="1134"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BOD</w:t>
                  </w:r>
                  <w:r>
                    <w:rPr>
                      <w:rFonts w:hint="default" w:ascii="Times New Roman" w:hAnsi="Times New Roman" w:eastAsia="宋体" w:cs="Times New Roman"/>
                      <w:color w:val="auto"/>
                      <w:sz w:val="21"/>
                      <w:szCs w:val="21"/>
                      <w:vertAlign w:val="subscript"/>
                      <w:lang w:val="en-US" w:eastAsia="zh-CN"/>
                    </w:rPr>
                    <w:t>5</w:t>
                  </w:r>
                </w:p>
              </w:tc>
              <w:tc>
                <w:tcPr>
                  <w:tcW w:w="1134"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133"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执行标准</w:t>
                  </w:r>
                </w:p>
              </w:tc>
              <w:tc>
                <w:tcPr>
                  <w:tcW w:w="1134"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6-9</w:t>
                  </w:r>
                </w:p>
              </w:tc>
              <w:tc>
                <w:tcPr>
                  <w:tcW w:w="1134"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≤400</w:t>
                  </w:r>
                </w:p>
              </w:tc>
              <w:tc>
                <w:tcPr>
                  <w:tcW w:w="1134"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≤500</w:t>
                  </w:r>
                </w:p>
              </w:tc>
              <w:tc>
                <w:tcPr>
                  <w:tcW w:w="1134"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≤300</w:t>
                  </w:r>
                </w:p>
              </w:tc>
              <w:tc>
                <w:tcPr>
                  <w:tcW w:w="1134" w:type="dxa"/>
                  <w:tcBorders>
                    <w:tl2br w:val="nil"/>
                    <w:tr2bl w:val="nil"/>
                  </w:tcBorders>
                  <w:noWrap w:val="0"/>
                  <w:vAlign w:val="center"/>
                </w:tcPr>
                <w:p>
                  <w:pPr>
                    <w:pStyle w:val="1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rPr>
                  </w:pPr>
                  <w:r>
                    <w:rPr>
                      <w:rFonts w:hint="default" w:ascii="Times New Roman" w:hAnsi="Times New Roman" w:eastAsia="宋体" w:cs="Times New Roman"/>
                      <w:color w:val="auto"/>
                      <w:sz w:val="21"/>
                      <w:szCs w:val="21"/>
                      <w:vertAlign w:val="baseline"/>
                      <w:lang w:val="en-US" w:eastAsia="zh-CN"/>
                    </w:rPr>
                    <w:t>≤45</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lang w:val="en-US" w:eastAsia="zh-CN"/>
              </w:rPr>
              <w:t>3、</w:t>
            </w:r>
            <w:r>
              <w:rPr>
                <w:rFonts w:hint="default" w:ascii="Times New Roman" w:hAnsi="Times New Roman" w:eastAsia="宋体" w:cs="Times New Roman"/>
                <w:b/>
                <w:bCs/>
                <w:color w:val="auto"/>
                <w:sz w:val="24"/>
                <w:szCs w:val="32"/>
              </w:rPr>
              <w:t>噪声排放标准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施工期噪声执行《建筑施工场界环境噪声排放标准》（GB12523-2011），营运期噪声执行《工业企业厂界环境噪声排放标准》（GB12348-2008）中的</w:t>
            </w:r>
            <w:r>
              <w:rPr>
                <w:rFonts w:hint="default" w:ascii="Times New Roman" w:hAnsi="Times New Roman" w:eastAsia="宋体" w:cs="Times New Roman"/>
                <w:color w:val="auto"/>
                <w:sz w:val="24"/>
                <w:szCs w:val="32"/>
                <w:lang w:val="en-US" w:eastAsia="zh-CN"/>
              </w:rPr>
              <w:t>3</w:t>
            </w:r>
            <w:r>
              <w:rPr>
                <w:rFonts w:hint="default" w:ascii="Times New Roman" w:hAnsi="Times New Roman" w:cs="Times New Roman"/>
                <w:color w:val="auto"/>
                <w:sz w:val="24"/>
                <w:szCs w:val="32"/>
              </w:rPr>
              <w:t>类标准，标准限值见表</w:t>
            </w:r>
            <w:r>
              <w:rPr>
                <w:rFonts w:hint="default" w:ascii="Times New Roman" w:hAnsi="Times New Roman" w:eastAsia="宋体" w:cs="Times New Roman"/>
                <w:color w:val="auto"/>
                <w:sz w:val="24"/>
                <w:szCs w:val="32"/>
                <w:lang w:val="en-US" w:eastAsia="zh-CN"/>
              </w:rPr>
              <w:t>3</w:t>
            </w:r>
            <w:r>
              <w:rPr>
                <w:rFonts w:hint="default" w:ascii="Times New Roman" w:hAnsi="Times New Roman" w:cs="Times New Roman"/>
                <w:color w:val="auto"/>
                <w:sz w:val="24"/>
                <w:szCs w:val="32"/>
              </w:rPr>
              <w:t>-</w:t>
            </w:r>
            <w:r>
              <w:rPr>
                <w:rFonts w:hint="default" w:ascii="Times New Roman" w:hAnsi="Times New Roman" w:cs="Times New Roman"/>
                <w:color w:val="auto"/>
                <w:sz w:val="24"/>
                <w:szCs w:val="32"/>
                <w:lang w:val="en-US" w:eastAsia="zh-CN"/>
              </w:rPr>
              <w:t>9</w:t>
            </w:r>
            <w:r>
              <w:rPr>
                <w:rFonts w:hint="default" w:ascii="Times New Roman" w:hAnsi="Times New Roman" w:cs="Times New Roman"/>
                <w:color w:val="auto"/>
                <w:sz w:val="24"/>
                <w:szCs w:val="32"/>
              </w:rPr>
              <w:t>。</w:t>
            </w:r>
          </w:p>
          <w:p>
            <w:pPr>
              <w:pStyle w:val="35"/>
              <w:keepNext w:val="0"/>
              <w:keepLines w:val="0"/>
              <w:pageBreakBefore w:val="0"/>
              <w:widowControl w:val="0"/>
              <w:numPr>
                <w:ilvl w:val="0"/>
                <w:numId w:val="0"/>
              </w:numPr>
              <w:kinsoku/>
              <w:wordWrap/>
              <w:overflowPunct/>
              <w:topLinePunct w:val="0"/>
              <w:autoSpaceDE/>
              <w:autoSpaceDN/>
              <w:bidi w:val="0"/>
              <w:adjustRightInd/>
              <w:snapToGrid/>
              <w:spacing w:before="0" w:line="360" w:lineRule="auto"/>
              <w:ind w:right="0"/>
              <w:jc w:val="center"/>
              <w:textAlignment w:val="auto"/>
              <w:outlineLvl w:val="9"/>
              <w:rPr>
                <w:rFonts w:hint="default" w:ascii="Times New Roman" w:hAnsi="Times New Roman" w:eastAsia="宋体" w:cs="Times New Roman"/>
                <w:b/>
                <w:bCs w:val="0"/>
                <w:color w:val="auto"/>
                <w:kern w:val="0"/>
                <w:sz w:val="24"/>
                <w:szCs w:val="32"/>
                <w:lang w:val="en-US" w:eastAsia="zh-CN" w:bidi="ar-SA"/>
              </w:rPr>
            </w:pPr>
            <w:r>
              <w:rPr>
                <w:rFonts w:hint="default" w:ascii="Times New Roman" w:hAnsi="Times New Roman" w:eastAsia="宋体" w:cs="Times New Roman"/>
                <w:b/>
                <w:bCs w:val="0"/>
                <w:color w:val="auto"/>
                <w:kern w:val="0"/>
                <w:sz w:val="24"/>
                <w:szCs w:val="32"/>
                <w:lang w:val="en-US" w:eastAsia="zh-CN" w:bidi="ar-SA"/>
              </w:rPr>
              <w:t>表3-</w:t>
            </w:r>
            <w:r>
              <w:rPr>
                <w:rFonts w:hint="default" w:ascii="Times New Roman" w:hAnsi="Times New Roman" w:cs="Times New Roman"/>
                <w:b/>
                <w:bCs w:val="0"/>
                <w:color w:val="auto"/>
                <w:kern w:val="0"/>
                <w:sz w:val="24"/>
                <w:szCs w:val="32"/>
                <w:lang w:val="en-US" w:eastAsia="zh-CN" w:bidi="ar-SA"/>
              </w:rPr>
              <w:t>1</w:t>
            </w:r>
            <w:r>
              <w:rPr>
                <w:rFonts w:hint="eastAsia" w:cs="Times New Roman"/>
                <w:b/>
                <w:bCs w:val="0"/>
                <w:color w:val="auto"/>
                <w:kern w:val="0"/>
                <w:sz w:val="24"/>
                <w:szCs w:val="32"/>
                <w:lang w:val="en-US" w:eastAsia="zh-CN" w:bidi="ar-SA"/>
              </w:rPr>
              <w:t>0</w:t>
            </w:r>
            <w:r>
              <w:rPr>
                <w:rFonts w:hint="default" w:ascii="Times New Roman" w:hAnsi="Times New Roman" w:eastAsia="宋体" w:cs="Times New Roman"/>
                <w:b/>
                <w:bCs w:val="0"/>
                <w:color w:val="auto"/>
                <w:kern w:val="0"/>
                <w:sz w:val="24"/>
                <w:szCs w:val="32"/>
                <w:lang w:val="en-US" w:eastAsia="zh-CN" w:bidi="ar-SA"/>
              </w:rPr>
              <w:t xml:space="preserve"> 噪声排放标准   单位：dB（A）</w:t>
            </w:r>
          </w:p>
          <w:tbl>
            <w:tblPr>
              <w:tblStyle w:val="16"/>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57"/>
              <w:gridCol w:w="1232"/>
              <w:gridCol w:w="1233"/>
              <w:gridCol w:w="45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3" w:hRule="atLeast"/>
              </w:trPr>
              <w:tc>
                <w:tcPr>
                  <w:tcW w:w="957"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时段</w:t>
                  </w:r>
                </w:p>
              </w:tc>
              <w:tc>
                <w:tcPr>
                  <w:tcW w:w="1232"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1233"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4516"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3" w:hRule="atLeast"/>
              </w:trPr>
              <w:tc>
                <w:tcPr>
                  <w:tcW w:w="957"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w:t>
                  </w:r>
                </w:p>
              </w:tc>
              <w:tc>
                <w:tcPr>
                  <w:tcW w:w="1232"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70</w:t>
                  </w:r>
                </w:p>
              </w:tc>
              <w:tc>
                <w:tcPr>
                  <w:tcW w:w="1233"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4516"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《建筑施工场界环境噪声排放标准》（GB12523-2011）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957"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营运期</w:t>
                  </w:r>
                </w:p>
              </w:tc>
              <w:tc>
                <w:tcPr>
                  <w:tcW w:w="1232"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1233"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4516" w:type="dxa"/>
                  <w:tcBorders>
                    <w:tl2br w:val="nil"/>
                    <w:tr2bl w:val="nil"/>
                  </w:tcBorders>
                  <w:noWrap w:val="0"/>
                  <w:vAlign w:val="center"/>
                </w:tcPr>
                <w:p>
                  <w:pPr>
                    <w:pStyle w:val="36"/>
                    <w:keepNext w:val="0"/>
                    <w:keepLines w:val="0"/>
                    <w:pageBreakBefore w:val="0"/>
                    <w:widowControl/>
                    <w:kinsoku/>
                    <w:wordWrap/>
                    <w:overflowPunct/>
                    <w:topLinePunct w:val="0"/>
                    <w:autoSpaceDE/>
                    <w:autoSpaceDN/>
                    <w:bidi w:val="0"/>
                    <w:adjustRightInd w:val="0"/>
                    <w:snapToGrid w:val="0"/>
                    <w:spacing w:before="0" w:beforeLines="0" w:after="0" w:afterLines="0" w:line="240" w:lineRule="auto"/>
                    <w:ind w:left="0" w:leftChars="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outlineLvl w:val="9"/>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lang w:val="en-US" w:eastAsia="zh-CN"/>
              </w:rPr>
              <w:t>4、</w:t>
            </w:r>
            <w:r>
              <w:rPr>
                <w:rFonts w:hint="default" w:ascii="Times New Roman" w:hAnsi="Times New Roman" w:eastAsia="宋体" w:cs="Times New Roman"/>
                <w:b/>
                <w:bCs/>
                <w:color w:val="auto"/>
                <w:sz w:val="24"/>
                <w:szCs w:val="32"/>
              </w:rPr>
              <w:t>固体废物控制标准</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kern w:val="0"/>
                <w:szCs w:val="21"/>
              </w:rPr>
            </w:pPr>
            <w:r>
              <w:rPr>
                <w:rFonts w:hint="default" w:ascii="Times New Roman" w:hAnsi="Times New Roman" w:eastAsia="宋体" w:cs="Times New Roman"/>
                <w:color w:val="auto"/>
                <w:sz w:val="24"/>
                <w:szCs w:val="24"/>
                <w:lang w:val="en-US" w:eastAsia="zh-CN"/>
              </w:rPr>
              <w:t>一般</w:t>
            </w:r>
            <w:r>
              <w:rPr>
                <w:rFonts w:hint="default" w:ascii="Times New Roman" w:hAnsi="Times New Roman" w:eastAsia="宋体" w:cs="Times New Roman"/>
                <w:color w:val="auto"/>
                <w:sz w:val="24"/>
                <w:szCs w:val="24"/>
              </w:rPr>
              <w:t>固体废物</w:t>
            </w:r>
            <w:r>
              <w:rPr>
                <w:rFonts w:hint="default" w:ascii="Times New Roman" w:hAnsi="Times New Roman" w:eastAsia="宋体" w:cs="Times New Roman"/>
                <w:color w:val="auto"/>
                <w:sz w:val="24"/>
                <w:szCs w:val="24"/>
                <w:lang w:val="en-US" w:eastAsia="zh-CN"/>
              </w:rPr>
              <w:t>处理处置</w:t>
            </w:r>
            <w:r>
              <w:rPr>
                <w:rFonts w:hint="default" w:ascii="Times New Roman" w:hAnsi="Times New Roman" w:eastAsia="宋体" w:cs="Times New Roman"/>
                <w:color w:val="auto"/>
                <w:sz w:val="24"/>
                <w:szCs w:val="24"/>
              </w:rPr>
              <w:t>执行《一般工业固体废物贮存、处置场污染控制标准》（GB18599-2001）及其修改单中有关要求；危险废物执行《危险废物贮存污染控制标准》（GB18597-2001）</w:t>
            </w:r>
            <w:r>
              <w:rPr>
                <w:rFonts w:hint="default" w:ascii="Times New Roman" w:hAnsi="Times New Roman" w:eastAsia="宋体"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1165" w:type="dxa"/>
            <w:noWrap w:val="0"/>
            <w:vAlign w:val="center"/>
          </w:tcPr>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总量</w:t>
            </w:r>
          </w:p>
          <w:p>
            <w:pPr>
              <w:adjustRightInd w:val="0"/>
              <w:snapToGrid w:val="0"/>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控制</w:t>
            </w:r>
          </w:p>
          <w:p>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 w:val="24"/>
                <w:szCs w:val="24"/>
              </w:rPr>
              <w:t>指标</w:t>
            </w:r>
          </w:p>
        </w:tc>
        <w:tc>
          <w:tcPr>
            <w:tcW w:w="8868" w:type="dxa"/>
            <w:noWrap w:val="0"/>
            <w:vAlign w:val="center"/>
          </w:tcPr>
          <w:p>
            <w:pPr>
              <w:spacing w:line="360" w:lineRule="auto"/>
              <w:ind w:firstLine="480" w:firstLineChars="200"/>
              <w:rPr>
                <w:rFonts w:hint="eastAsia"/>
                <w:color w:val="000000"/>
                <w:sz w:val="24"/>
                <w:lang w:bidi="en-US"/>
              </w:rPr>
            </w:pPr>
            <w:r>
              <w:rPr>
                <w:rFonts w:hint="eastAsia"/>
                <w:sz w:val="24"/>
              </w:rPr>
              <w:t>结合本</w:t>
            </w:r>
            <w:r>
              <w:rPr>
                <w:sz w:val="24"/>
              </w:rPr>
              <w:t>项目污染物排放特点，本评价确定的污染物排放总量控制因子为：</w:t>
            </w:r>
            <w:r>
              <w:rPr>
                <w:rFonts w:hint="eastAsia"/>
                <w:sz w:val="24"/>
              </w:rPr>
              <w:t>VOC</w:t>
            </w:r>
            <w:r>
              <w:rPr>
                <w:rFonts w:hint="eastAsia"/>
                <w:sz w:val="24"/>
                <w:vertAlign w:val="subscript"/>
              </w:rPr>
              <w:t>S</w:t>
            </w:r>
            <w:r>
              <w:rPr>
                <w:rFonts w:hint="eastAsia"/>
                <w:sz w:val="24"/>
              </w:rPr>
              <w:t>、</w:t>
            </w:r>
            <w:r>
              <w:rPr>
                <w:color w:val="000000"/>
                <w:sz w:val="24"/>
              </w:rPr>
              <w:t>粉尘</w:t>
            </w:r>
            <w:r>
              <w:rPr>
                <w:rFonts w:hint="eastAsia"/>
                <w:color w:val="000000"/>
                <w:sz w:val="24"/>
              </w:rPr>
              <w:t>、HCL、</w:t>
            </w:r>
            <w:r>
              <w:rPr>
                <w:color w:val="000000"/>
                <w:sz w:val="24"/>
                <w:lang w:bidi="en-US"/>
              </w:rPr>
              <w:t>COD、氨氮</w:t>
            </w:r>
            <w:r>
              <w:rPr>
                <w:rFonts w:hint="eastAsia"/>
                <w:color w:val="000000"/>
                <w:sz w:val="24"/>
                <w:lang w:bidi="en-US"/>
              </w:rPr>
              <w:t>、</w:t>
            </w:r>
            <w:r>
              <w:rPr>
                <w:color w:val="000000"/>
                <w:sz w:val="24"/>
                <w:lang w:bidi="en-US"/>
              </w:rPr>
              <w:t>TP</w:t>
            </w:r>
            <w:r>
              <w:rPr>
                <w:rFonts w:hint="eastAsia"/>
                <w:color w:val="000000"/>
                <w:sz w:val="24"/>
                <w:lang w:bidi="en-US"/>
              </w:rPr>
              <w:t>。</w:t>
            </w:r>
          </w:p>
          <w:p>
            <w:pPr>
              <w:spacing w:line="360" w:lineRule="auto"/>
              <w:ind w:firstLine="480" w:firstLineChars="200"/>
              <w:rPr>
                <w:rFonts w:hint="eastAsia"/>
                <w:sz w:val="24"/>
                <w:lang w:bidi="en-US"/>
              </w:rPr>
            </w:pPr>
            <w:r>
              <w:rPr>
                <w:sz w:val="24"/>
                <w:lang w:bidi="en-US"/>
              </w:rPr>
              <w:t>1、废水污染物</w:t>
            </w:r>
          </w:p>
          <w:p>
            <w:pPr>
              <w:pStyle w:val="43"/>
              <w:adjustRightInd/>
              <w:snapToGrid w:val="0"/>
              <w:ind w:firstLine="480" w:firstLineChars="200"/>
              <w:jc w:val="both"/>
              <w:rPr>
                <w:rFonts w:hint="eastAsia"/>
                <w:color w:val="000000"/>
                <w:szCs w:val="24"/>
              </w:rPr>
            </w:pPr>
            <w:r>
              <w:rPr>
                <w:color w:val="000000"/>
                <w:szCs w:val="24"/>
              </w:rPr>
              <w:t>项目废水排放量为</w:t>
            </w:r>
            <w:r>
              <w:rPr>
                <w:rFonts w:hint="eastAsia"/>
                <w:bCs/>
                <w:color w:val="000000"/>
                <w:szCs w:val="24"/>
                <w:lang w:val="en-US" w:eastAsia="zh-CN"/>
              </w:rPr>
              <w:t>504.9</w:t>
            </w:r>
            <w:r>
              <w:rPr>
                <w:color w:val="000000"/>
                <w:szCs w:val="24"/>
              </w:rPr>
              <w:t>m</w:t>
            </w:r>
            <w:r>
              <w:rPr>
                <w:color w:val="000000"/>
                <w:szCs w:val="24"/>
                <w:vertAlign w:val="superscript"/>
              </w:rPr>
              <w:t>3</w:t>
            </w:r>
            <w:r>
              <w:rPr>
                <w:color w:val="000000"/>
                <w:szCs w:val="24"/>
              </w:rPr>
              <w:t>/a</w:t>
            </w:r>
            <w:r>
              <w:rPr>
                <w:rFonts w:hint="eastAsia"/>
                <w:color w:val="000000"/>
                <w:szCs w:val="24"/>
              </w:rPr>
              <w:t>。</w:t>
            </w:r>
          </w:p>
          <w:p>
            <w:pPr>
              <w:tabs>
                <w:tab w:val="left" w:pos="1951"/>
              </w:tabs>
              <w:snapToGrid w:val="0"/>
              <w:spacing w:line="360" w:lineRule="auto"/>
              <w:ind w:firstLine="480"/>
              <w:rPr>
                <w:color w:val="000000"/>
                <w:sz w:val="24"/>
              </w:rPr>
            </w:pPr>
            <w:r>
              <w:rPr>
                <w:rFonts w:hint="eastAsia"/>
                <w:color w:val="000000"/>
                <w:sz w:val="24"/>
              </w:rPr>
              <w:t>（1）</w:t>
            </w:r>
            <w:r>
              <w:rPr>
                <w:color w:val="000000"/>
                <w:sz w:val="24"/>
              </w:rPr>
              <w:t>污水排入市政污水管网的排放量</w:t>
            </w:r>
          </w:p>
          <w:p>
            <w:pPr>
              <w:pStyle w:val="43"/>
              <w:adjustRightInd/>
              <w:snapToGrid w:val="0"/>
              <w:ind w:firstLine="480" w:firstLineChars="200"/>
              <w:jc w:val="both"/>
              <w:rPr>
                <w:szCs w:val="24"/>
              </w:rPr>
            </w:pPr>
            <w:r>
              <w:rPr>
                <w:szCs w:val="24"/>
              </w:rPr>
              <w:t>企业排口废水浓度按《污水综合排放标准》（GB8978-1996）中三级标准（COD：500mg/L）</w:t>
            </w:r>
            <w:r>
              <w:rPr>
                <w:rFonts w:hint="eastAsia"/>
                <w:szCs w:val="24"/>
              </w:rPr>
              <w:t>，</w:t>
            </w:r>
            <w:r>
              <w:rPr>
                <w:szCs w:val="24"/>
              </w:rPr>
              <w:t>氨氮</w:t>
            </w:r>
            <w:r>
              <w:rPr>
                <w:rFonts w:hint="eastAsia"/>
                <w:szCs w:val="24"/>
              </w:rPr>
              <w:t>、</w:t>
            </w:r>
            <w:r>
              <w:t>总磷</w:t>
            </w:r>
            <w:r>
              <w:rPr>
                <w:szCs w:val="24"/>
              </w:rPr>
              <w:t>按《污水排入城镇下水道水质标准》（GB/T31962-2015）（氨氮：45mg/L</w:t>
            </w:r>
            <w:r>
              <w:rPr>
                <w:rFonts w:hint="eastAsia"/>
                <w:szCs w:val="24"/>
              </w:rPr>
              <w:t>、</w:t>
            </w:r>
            <w:r>
              <w:t>总磷</w:t>
            </w:r>
            <w:r>
              <w:rPr>
                <w:rFonts w:hint="eastAsia"/>
              </w:rPr>
              <w:t>：</w:t>
            </w:r>
            <w:r>
              <w:t>8mg/L</w:t>
            </w:r>
            <w:r>
              <w:rPr>
                <w:szCs w:val="24"/>
              </w:rPr>
              <w:t>）计算</w:t>
            </w:r>
            <w:r>
              <w:t>；</w:t>
            </w:r>
            <w:r>
              <w:rPr>
                <w:szCs w:val="24"/>
              </w:rPr>
              <w:t>则：</w:t>
            </w:r>
          </w:p>
          <w:p>
            <w:pPr>
              <w:pStyle w:val="43"/>
              <w:adjustRightInd/>
              <w:snapToGrid w:val="0"/>
              <w:ind w:firstLine="480" w:firstLineChars="200"/>
              <w:rPr>
                <w:szCs w:val="24"/>
              </w:rPr>
            </w:pPr>
            <w:r>
              <w:rPr>
                <w:szCs w:val="24"/>
              </w:rPr>
              <w:t>化学需氧量（企业排口）=</w:t>
            </w:r>
            <w:r>
              <w:rPr>
                <w:rFonts w:hint="eastAsia"/>
                <w:bCs/>
                <w:szCs w:val="24"/>
                <w:lang w:eastAsia="zh-CN"/>
              </w:rPr>
              <w:t>504.9</w:t>
            </w:r>
            <w:r>
              <w:rPr>
                <w:szCs w:val="24"/>
              </w:rPr>
              <w:t>m</w:t>
            </w:r>
            <w:r>
              <w:rPr>
                <w:szCs w:val="24"/>
                <w:vertAlign w:val="superscript"/>
              </w:rPr>
              <w:t>3</w:t>
            </w:r>
            <w:r>
              <w:rPr>
                <w:szCs w:val="24"/>
              </w:rPr>
              <w:t>/a×</w:t>
            </w:r>
            <w:r>
              <w:rPr>
                <w:rFonts w:hint="eastAsia"/>
                <w:szCs w:val="24"/>
              </w:rPr>
              <w:t>500</w:t>
            </w:r>
            <w:r>
              <w:rPr>
                <w:szCs w:val="24"/>
              </w:rPr>
              <w:t>mg/L×10</w:t>
            </w:r>
            <w:r>
              <w:rPr>
                <w:szCs w:val="24"/>
                <w:vertAlign w:val="superscript"/>
              </w:rPr>
              <w:t xml:space="preserve">-6 </w:t>
            </w:r>
            <w:r>
              <w:rPr>
                <w:szCs w:val="24"/>
              </w:rPr>
              <w:t>=</w:t>
            </w:r>
            <w:r>
              <w:rPr>
                <w:rFonts w:hint="eastAsia"/>
                <w:szCs w:val="24"/>
              </w:rPr>
              <w:t>0.2</w:t>
            </w:r>
            <w:r>
              <w:rPr>
                <w:rFonts w:hint="eastAsia"/>
                <w:szCs w:val="24"/>
                <w:lang w:val="en-US" w:eastAsia="zh-CN"/>
              </w:rPr>
              <w:t>525</w:t>
            </w:r>
            <w:r>
              <w:rPr>
                <w:szCs w:val="24"/>
              </w:rPr>
              <w:t>t/a；</w:t>
            </w:r>
          </w:p>
          <w:p>
            <w:pPr>
              <w:pStyle w:val="43"/>
              <w:adjustRightInd/>
              <w:snapToGrid w:val="0"/>
              <w:ind w:firstLine="480" w:firstLineChars="200"/>
              <w:rPr>
                <w:szCs w:val="24"/>
              </w:rPr>
            </w:pPr>
            <w:r>
              <w:rPr>
                <w:szCs w:val="24"/>
              </w:rPr>
              <w:t>氨氮（企业排口）==</w:t>
            </w:r>
            <w:r>
              <w:rPr>
                <w:rFonts w:hint="eastAsia"/>
                <w:bCs/>
                <w:szCs w:val="24"/>
                <w:lang w:eastAsia="zh-CN"/>
              </w:rPr>
              <w:t>504.9</w:t>
            </w:r>
            <w:r>
              <w:rPr>
                <w:szCs w:val="24"/>
              </w:rPr>
              <w:t>m</w:t>
            </w:r>
            <w:r>
              <w:rPr>
                <w:szCs w:val="24"/>
                <w:vertAlign w:val="superscript"/>
              </w:rPr>
              <w:t>3</w:t>
            </w:r>
            <w:r>
              <w:rPr>
                <w:szCs w:val="24"/>
              </w:rPr>
              <w:t>/a×45mg/L×10</w:t>
            </w:r>
            <w:r>
              <w:rPr>
                <w:szCs w:val="24"/>
                <w:vertAlign w:val="superscript"/>
              </w:rPr>
              <w:t>-6</w:t>
            </w:r>
            <w:r>
              <w:rPr>
                <w:szCs w:val="24"/>
              </w:rPr>
              <w:t>=</w:t>
            </w:r>
            <w:r>
              <w:rPr>
                <w:rFonts w:hint="eastAsia"/>
                <w:szCs w:val="24"/>
              </w:rPr>
              <w:t>0.02</w:t>
            </w:r>
            <w:r>
              <w:rPr>
                <w:rFonts w:hint="eastAsia"/>
                <w:szCs w:val="24"/>
                <w:lang w:val="en-US" w:eastAsia="zh-CN"/>
              </w:rPr>
              <w:t>27</w:t>
            </w:r>
            <w:r>
              <w:rPr>
                <w:szCs w:val="24"/>
              </w:rPr>
              <w:t>t/a</w:t>
            </w:r>
            <w:r>
              <w:rPr>
                <w:rFonts w:hint="eastAsia"/>
                <w:szCs w:val="24"/>
              </w:rPr>
              <w:t>；</w:t>
            </w:r>
          </w:p>
          <w:p>
            <w:pPr>
              <w:pStyle w:val="43"/>
              <w:adjustRightInd/>
              <w:snapToGrid w:val="0"/>
              <w:ind w:firstLine="480" w:firstLineChars="200"/>
              <w:rPr>
                <w:szCs w:val="24"/>
              </w:rPr>
            </w:pPr>
            <w:r>
              <w:rPr>
                <w:szCs w:val="24"/>
              </w:rPr>
              <w:t>总磷（企业排口）==</w:t>
            </w:r>
            <w:r>
              <w:rPr>
                <w:rFonts w:hint="eastAsia"/>
                <w:bCs/>
                <w:szCs w:val="24"/>
                <w:lang w:eastAsia="zh-CN"/>
              </w:rPr>
              <w:t>504.9</w:t>
            </w:r>
            <w:r>
              <w:rPr>
                <w:szCs w:val="24"/>
              </w:rPr>
              <w:t>m</w:t>
            </w:r>
            <w:r>
              <w:rPr>
                <w:szCs w:val="24"/>
                <w:vertAlign w:val="superscript"/>
              </w:rPr>
              <w:t>3</w:t>
            </w:r>
            <w:r>
              <w:rPr>
                <w:szCs w:val="24"/>
              </w:rPr>
              <w:t>/a×8mg/L×10</w:t>
            </w:r>
            <w:r>
              <w:rPr>
                <w:szCs w:val="24"/>
                <w:vertAlign w:val="superscript"/>
              </w:rPr>
              <w:t>-6</w:t>
            </w:r>
            <w:r>
              <w:rPr>
                <w:szCs w:val="24"/>
              </w:rPr>
              <w:t xml:space="preserve"> =</w:t>
            </w:r>
            <w:r>
              <w:rPr>
                <w:rFonts w:hint="eastAsia"/>
                <w:szCs w:val="24"/>
              </w:rPr>
              <w:t>0.00</w:t>
            </w:r>
            <w:r>
              <w:rPr>
                <w:rFonts w:hint="eastAsia"/>
                <w:szCs w:val="24"/>
                <w:lang w:val="en-US" w:eastAsia="zh-CN"/>
              </w:rPr>
              <w:t>404</w:t>
            </w:r>
            <w:r>
              <w:rPr>
                <w:szCs w:val="24"/>
              </w:rPr>
              <w:t>t/a。</w:t>
            </w:r>
          </w:p>
          <w:p>
            <w:pPr>
              <w:spacing w:line="360" w:lineRule="auto"/>
              <w:ind w:firstLine="480" w:firstLineChars="200"/>
              <w:rPr>
                <w:rFonts w:hint="eastAsia"/>
                <w:kern w:val="0"/>
                <w:sz w:val="24"/>
              </w:rPr>
            </w:pPr>
            <w:r>
              <w:rPr>
                <w:kern w:val="0"/>
                <w:sz w:val="24"/>
              </w:rPr>
              <w:t>2、废气污染物</w:t>
            </w:r>
          </w:p>
          <w:p>
            <w:pPr>
              <w:spacing w:line="360" w:lineRule="auto"/>
              <w:ind w:firstLine="480" w:firstLineChars="200"/>
              <w:rPr>
                <w:rFonts w:hint="default" w:eastAsia="宋体"/>
                <w:kern w:val="0"/>
                <w:sz w:val="24"/>
                <w:lang w:val="en-US" w:eastAsia="zh-CN"/>
              </w:rPr>
            </w:pPr>
            <w:r>
              <w:rPr>
                <w:rFonts w:hint="eastAsia"/>
                <w:kern w:val="0"/>
                <w:sz w:val="24"/>
              </w:rPr>
              <w:t>①</w:t>
            </w:r>
            <w:r>
              <w:rPr>
                <w:rFonts w:hint="eastAsia"/>
                <w:kern w:val="0"/>
                <w:sz w:val="24"/>
                <w:lang w:val="en-US" w:eastAsia="zh-CN"/>
              </w:rPr>
              <w:t>非甲烷总烃</w:t>
            </w:r>
          </w:p>
          <w:p>
            <w:pPr>
              <w:spacing w:line="360" w:lineRule="auto"/>
              <w:ind w:firstLine="480" w:firstLineChars="200"/>
              <w:rPr>
                <w:rFonts w:hint="eastAsia"/>
                <w:bCs/>
                <w:color w:val="000000"/>
                <w:sz w:val="24"/>
              </w:rPr>
            </w:pPr>
            <w:r>
              <w:rPr>
                <w:rFonts w:hint="eastAsia"/>
                <w:bCs/>
                <w:color w:val="000000"/>
                <w:sz w:val="24"/>
              </w:rPr>
              <w:t>有组织排放总量=</w:t>
            </w:r>
            <w:r>
              <w:rPr>
                <w:rFonts w:hint="eastAsia"/>
                <w:bCs/>
                <w:color w:val="000000"/>
                <w:sz w:val="24"/>
                <w:lang w:val="en-US" w:eastAsia="zh-CN"/>
              </w:rPr>
              <w:t>1.458</w:t>
            </w:r>
            <w:r>
              <w:rPr>
                <w:rFonts w:hint="eastAsia"/>
                <w:bCs/>
                <w:color w:val="000000"/>
                <w:sz w:val="24"/>
              </w:rPr>
              <w:t>t/a+</w:t>
            </w:r>
            <w:r>
              <w:rPr>
                <w:rFonts w:hint="eastAsia"/>
                <w:bCs/>
                <w:color w:val="000000"/>
                <w:sz w:val="24"/>
                <w:lang w:val="en-US" w:eastAsia="zh-CN"/>
              </w:rPr>
              <w:t>0.972</w:t>
            </w:r>
            <w:r>
              <w:rPr>
                <w:rFonts w:hint="eastAsia"/>
                <w:bCs/>
                <w:color w:val="000000"/>
                <w:sz w:val="24"/>
              </w:rPr>
              <w:t>t/a =</w:t>
            </w:r>
            <w:r>
              <w:rPr>
                <w:rFonts w:hint="eastAsia"/>
                <w:bCs/>
                <w:color w:val="000000"/>
                <w:sz w:val="24"/>
                <w:lang w:val="en-US" w:eastAsia="zh-CN"/>
              </w:rPr>
              <w:t>2.43</w:t>
            </w:r>
            <w:r>
              <w:rPr>
                <w:rFonts w:hint="eastAsia"/>
                <w:bCs/>
                <w:color w:val="000000"/>
                <w:sz w:val="24"/>
              </w:rPr>
              <w:t>t/a</w:t>
            </w:r>
          </w:p>
          <w:p>
            <w:pPr>
              <w:spacing w:line="360" w:lineRule="auto"/>
              <w:ind w:firstLine="480" w:firstLineChars="200"/>
              <w:rPr>
                <w:rFonts w:hint="eastAsia"/>
                <w:kern w:val="0"/>
                <w:sz w:val="24"/>
              </w:rPr>
            </w:pPr>
            <w:r>
              <w:rPr>
                <w:rFonts w:hint="eastAsia"/>
                <w:kern w:val="0"/>
                <w:sz w:val="24"/>
              </w:rPr>
              <w:t>②HCL</w:t>
            </w:r>
          </w:p>
          <w:p>
            <w:pPr>
              <w:spacing w:line="360" w:lineRule="auto"/>
              <w:ind w:firstLine="480" w:firstLineChars="200"/>
              <w:rPr>
                <w:rFonts w:hint="eastAsia"/>
                <w:bCs/>
                <w:color w:val="000000"/>
                <w:sz w:val="24"/>
              </w:rPr>
            </w:pPr>
            <w:r>
              <w:rPr>
                <w:rFonts w:hint="eastAsia"/>
                <w:bCs/>
                <w:color w:val="000000"/>
                <w:sz w:val="24"/>
              </w:rPr>
              <w:t>有组织排放量=(PVC原料用量4142 t/a</w:t>
            </w:r>
            <w:r>
              <w:rPr>
                <w:bCs/>
                <w:color w:val="000000"/>
                <w:sz w:val="24"/>
              </w:rPr>
              <w:t>×</w:t>
            </w:r>
            <w:r>
              <w:rPr>
                <w:rFonts w:hint="eastAsia" w:eastAsia="黑体"/>
                <w:bCs/>
                <w:color w:val="000000"/>
                <w:sz w:val="24"/>
              </w:rPr>
              <w:t>0.01%(排放系数))</w:t>
            </w:r>
            <w:r>
              <w:rPr>
                <w:bCs/>
                <w:color w:val="000000"/>
                <w:sz w:val="24"/>
              </w:rPr>
              <w:t>×</w:t>
            </w:r>
            <w:r>
              <w:rPr>
                <w:rFonts w:hint="eastAsia"/>
                <w:bCs/>
                <w:color w:val="000000"/>
                <w:sz w:val="24"/>
              </w:rPr>
              <w:t>废气</w:t>
            </w:r>
            <w:r>
              <w:rPr>
                <w:bCs/>
                <w:color w:val="000000"/>
                <w:sz w:val="24"/>
              </w:rPr>
              <w:t>收集效率</w:t>
            </w:r>
            <w:r>
              <w:rPr>
                <w:rFonts w:hint="eastAsia"/>
                <w:bCs/>
                <w:color w:val="000000"/>
                <w:sz w:val="24"/>
              </w:rPr>
              <w:t>90</w:t>
            </w:r>
            <w:r>
              <w:rPr>
                <w:bCs/>
                <w:color w:val="000000"/>
                <w:sz w:val="24"/>
              </w:rPr>
              <w:t>%×（</w:t>
            </w:r>
            <w:r>
              <w:rPr>
                <w:rFonts w:hint="eastAsia"/>
                <w:bCs/>
                <w:color w:val="000000"/>
                <w:sz w:val="24"/>
              </w:rPr>
              <w:t>1</w:t>
            </w:r>
            <w:r>
              <w:rPr>
                <w:bCs/>
                <w:color w:val="000000"/>
                <w:sz w:val="24"/>
              </w:rPr>
              <w:t>-</w:t>
            </w:r>
            <w:r>
              <w:rPr>
                <w:rFonts w:hint="eastAsia"/>
                <w:bCs/>
                <w:color w:val="000000"/>
                <w:sz w:val="24"/>
              </w:rPr>
              <w:t>处理</w:t>
            </w:r>
            <w:r>
              <w:rPr>
                <w:bCs/>
                <w:color w:val="000000"/>
                <w:sz w:val="24"/>
              </w:rPr>
              <w:t>效率</w:t>
            </w:r>
            <w:r>
              <w:rPr>
                <w:rFonts w:hint="eastAsia"/>
                <w:bCs/>
                <w:color w:val="000000"/>
                <w:sz w:val="24"/>
              </w:rPr>
              <w:t>90</w:t>
            </w:r>
            <w:r>
              <w:rPr>
                <w:bCs/>
                <w:color w:val="000000"/>
                <w:sz w:val="24"/>
              </w:rPr>
              <w:t>%）</w:t>
            </w:r>
            <w:r>
              <w:rPr>
                <w:rFonts w:hint="eastAsia"/>
                <w:bCs/>
                <w:color w:val="000000"/>
                <w:sz w:val="24"/>
              </w:rPr>
              <w:t>=0.0</w:t>
            </w:r>
            <w:r>
              <w:rPr>
                <w:rFonts w:hint="eastAsia"/>
                <w:bCs/>
                <w:color w:val="000000"/>
                <w:sz w:val="24"/>
                <w:lang w:val="en-US" w:eastAsia="zh-CN"/>
              </w:rPr>
              <w:t>373</w:t>
            </w:r>
            <w:r>
              <w:rPr>
                <w:rFonts w:hint="eastAsia"/>
                <w:bCs/>
                <w:color w:val="000000"/>
                <w:sz w:val="24"/>
              </w:rPr>
              <w:t>t/a</w:t>
            </w:r>
          </w:p>
          <w:p>
            <w:pPr>
              <w:adjustRightInd w:val="0"/>
              <w:snapToGrid w:val="0"/>
              <w:jc w:val="center"/>
              <w:rPr>
                <w:rFonts w:hint="default" w:ascii="Times New Roman" w:hAnsi="Times New Roman" w:eastAsia="宋体" w:cs="Times New Roman"/>
                <w:kern w:val="0"/>
                <w:szCs w:val="21"/>
                <w:lang w:eastAsia="zh-CN"/>
              </w:rPr>
            </w:pPr>
          </w:p>
        </w:tc>
      </w:tr>
    </w:tbl>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6"/>
          <w:szCs w:val="36"/>
        </w:rPr>
        <w:br w:type="page"/>
      </w:r>
      <w:r>
        <w:rPr>
          <w:rFonts w:hint="default" w:ascii="Times New Roman" w:hAnsi="Times New Roman" w:eastAsia="黑体" w:cs="Times New Roman"/>
          <w:snapToGrid w:val="0"/>
          <w:sz w:val="30"/>
          <w:szCs w:val="30"/>
        </w:rPr>
        <w:t>四、主要环境影响和保护措施</w:t>
      </w:r>
    </w:p>
    <w:tbl>
      <w:tblPr>
        <w:tblStyle w:val="1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94"/>
        <w:gridCol w:w="79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9" w:hRule="atLeast"/>
          <w:jc w:val="center"/>
        </w:trPr>
        <w:tc>
          <w:tcPr>
            <w:tcW w:w="994" w:type="dxa"/>
            <w:noWrap w:val="0"/>
            <w:tcMar>
              <w:left w:w="28" w:type="dxa"/>
              <w:right w:w="28" w:type="dxa"/>
            </w:tcMar>
            <w:vAlign w:val="center"/>
          </w:tcPr>
          <w:p>
            <w:pPr>
              <w:pStyle w:val="14"/>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施工</w:t>
            </w:r>
          </w:p>
          <w:p>
            <w:pPr>
              <w:pStyle w:val="14"/>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期环</w:t>
            </w:r>
          </w:p>
          <w:p>
            <w:pPr>
              <w:pStyle w:val="14"/>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境保</w:t>
            </w:r>
          </w:p>
          <w:p>
            <w:pPr>
              <w:pStyle w:val="14"/>
              <w:adjustRightInd w:val="0"/>
              <w:snapToGrid w:val="0"/>
              <w:spacing w:before="0" w:beforeAutospacing="0" w:after="0" w:afterAutospacing="0"/>
              <w:jc w:val="center"/>
              <w:rPr>
                <w:rFonts w:hint="default" w:ascii="Times New Roman" w:hAnsi="Times New Roman" w:cs="Times New Roman"/>
                <w:kern w:val="2"/>
                <w:sz w:val="24"/>
                <w:szCs w:val="24"/>
              </w:rPr>
            </w:pPr>
            <w:r>
              <w:rPr>
                <w:rFonts w:hint="default" w:ascii="Times New Roman" w:hAnsi="Times New Roman" w:cs="Times New Roman"/>
                <w:kern w:val="2"/>
                <w:sz w:val="24"/>
                <w:szCs w:val="24"/>
              </w:rPr>
              <w:t>护措</w:t>
            </w:r>
          </w:p>
          <w:p>
            <w:pPr>
              <w:pStyle w:val="14"/>
              <w:adjustRightInd w:val="0"/>
              <w:snapToGrid w:val="0"/>
              <w:spacing w:before="0" w:beforeAutospacing="0" w:after="0" w:afterAutospacing="0"/>
              <w:jc w:val="center"/>
              <w:rPr>
                <w:rFonts w:hint="default" w:ascii="Times New Roman" w:hAnsi="Times New Roman" w:cs="Times New Roman"/>
                <w:bCs/>
                <w:kern w:val="2"/>
                <w:sz w:val="21"/>
                <w:szCs w:val="21"/>
              </w:rPr>
            </w:pPr>
            <w:r>
              <w:rPr>
                <w:rFonts w:hint="default" w:ascii="Times New Roman" w:hAnsi="Times New Roman" w:cs="Times New Roman"/>
                <w:kern w:val="2"/>
                <w:sz w:val="24"/>
                <w:szCs w:val="24"/>
              </w:rPr>
              <w:t>施</w:t>
            </w:r>
          </w:p>
        </w:tc>
        <w:tc>
          <w:tcPr>
            <w:tcW w:w="7987" w:type="dxa"/>
            <w:noWrap w:val="0"/>
            <w:vAlign w:val="center"/>
          </w:tcPr>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（1）废气</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施工期对大气环境的影响主要为施工扬尘、运输车辆汽车尾气。施工扬尘主要是车辆运输过程中引起的地面扬尘和材料搬运过程中的扬尘，扬尘经降低车速，轻拿轻放材料，保持地面清洁理措施处理后，可有效降低扬尘浓度；运输车辆的汽车尾气其特点是排放量小，且属间断性无组织排放，项目施工期主要在已建的车间内施工，车间结构降低施工粉尘对外环境的影响，</w:t>
            </w:r>
            <w:r>
              <w:rPr>
                <w:rFonts w:hint="default" w:ascii="Times New Roman" w:hAnsi="Times New Roman" w:eastAsia="宋体" w:cs="Times New Roman"/>
                <w:sz w:val="24"/>
                <w:szCs w:val="22"/>
              </w:rPr>
              <w:t>项目施工期在严格按照《四川省打赢蓝天保卫战实施方案》和《四川省施工场地扬尘排放标准》 （DB51/2682-2020）中对施工场地采取扬尘治理措施降低施工粉尘对外环境影响。</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（2）废水</w:t>
            </w:r>
          </w:p>
          <w:p>
            <w:pPr>
              <w:spacing w:line="360" w:lineRule="auto"/>
              <w:ind w:firstLine="480" w:firstLineChars="200"/>
              <w:rPr>
                <w:rFonts w:hint="default" w:ascii="Times New Roman" w:hAnsi="Times New Roman" w:eastAsia="宋体" w:cs="Times New Roman"/>
                <w:sz w:val="24"/>
                <w:szCs w:val="20"/>
                <w:lang w:val="en-US" w:eastAsia="zh-CN"/>
              </w:rPr>
            </w:pPr>
            <w:r>
              <w:rPr>
                <w:rFonts w:hint="default" w:ascii="Times New Roman" w:hAnsi="Times New Roman" w:eastAsia="宋体" w:cs="Times New Roman"/>
                <w:sz w:val="24"/>
                <w:szCs w:val="20"/>
              </w:rPr>
              <w:t>施工期产生的废水主要是施工人员产生的生活污水。生活废水经过标准厂房既有的预处理池处理后排入市政污水管网，本项目不涉及装修工具、设备安装工具的清洗水，故不产生生产废水的排放。</w:t>
            </w:r>
            <w:r>
              <w:rPr>
                <w:rFonts w:hint="default" w:ascii="Times New Roman" w:hAnsi="Times New Roman" w:eastAsia="宋体" w:cs="Times New Roman"/>
                <w:sz w:val="24"/>
                <w:szCs w:val="20"/>
                <w:lang w:eastAsia="zh-CN"/>
              </w:rPr>
              <w:t>生活废水经过预处理池收集后排入市政污水管网送蓬溪县来龙山污水处理厂处理。</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（3）噪声</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本项目施工期的噪声主要是设备安装时产生的噪声，源强为 70~100dB，通过采取厂房隔声、距离衰减、加强管理、合理安排作业时段等措施后，产生的噪声不会对周围环境产生明显不利影响。</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（4）固废</w:t>
            </w:r>
          </w:p>
          <w:p>
            <w:pPr>
              <w:spacing w:line="360" w:lineRule="auto"/>
              <w:ind w:firstLine="480" w:firstLineChars="200"/>
              <w:rPr>
                <w:rFonts w:hint="default" w:ascii="Times New Roman" w:hAnsi="Times New Roman" w:eastAsia="宋体" w:cs="Times New Roman"/>
                <w:bCs/>
                <w:sz w:val="24"/>
                <w:szCs w:val="20"/>
              </w:rPr>
            </w:pPr>
            <w:r>
              <w:rPr>
                <w:rFonts w:hint="default" w:ascii="Times New Roman" w:hAnsi="Times New Roman" w:eastAsia="宋体" w:cs="Times New Roman"/>
                <w:bCs/>
                <w:sz w:val="24"/>
                <w:szCs w:val="20"/>
              </w:rPr>
              <w:t>施工期固废主要来源于设备的废包装材料、施工人员产生的生活垃圾。废包装材料经收集后出售给废品回收站回收；生活垃圾经集中收集后由</w:t>
            </w:r>
            <w:r>
              <w:rPr>
                <w:rFonts w:hint="default" w:ascii="Times New Roman" w:hAnsi="Times New Roman" w:eastAsia="宋体" w:cs="Times New Roman"/>
                <w:bCs/>
                <w:sz w:val="24"/>
                <w:szCs w:val="20"/>
                <w:lang w:eastAsia="zh-CN"/>
              </w:rPr>
              <w:t>蓬溪县</w:t>
            </w:r>
            <w:r>
              <w:rPr>
                <w:rFonts w:hint="default" w:ascii="Times New Roman" w:hAnsi="Times New Roman" w:eastAsia="宋体" w:cs="Times New Roman"/>
                <w:bCs/>
                <w:sz w:val="24"/>
                <w:szCs w:val="20"/>
              </w:rPr>
              <w:t>市政环卫部门统一处置。</w:t>
            </w:r>
          </w:p>
          <w:p>
            <w:pPr>
              <w:spacing w:line="360" w:lineRule="auto"/>
              <w:ind w:firstLine="480" w:firstLineChars="200"/>
              <w:jc w:val="lef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（5）生态环境防治措施</w:t>
            </w:r>
          </w:p>
          <w:p>
            <w:pPr>
              <w:spacing w:line="360" w:lineRule="auto"/>
              <w:ind w:firstLine="480" w:firstLineChars="200"/>
              <w:rPr>
                <w:rFonts w:hint="default" w:ascii="Times New Roman" w:hAnsi="Times New Roman" w:cs="Times New Roman"/>
                <w:bCs/>
                <w:spacing w:val="-10"/>
                <w:szCs w:val="21"/>
              </w:rPr>
            </w:pPr>
            <w:r>
              <w:rPr>
                <w:rFonts w:hint="default" w:ascii="Times New Roman" w:hAnsi="Times New Roman" w:eastAsia="宋体" w:cs="Times New Roman"/>
                <w:sz w:val="24"/>
                <w:szCs w:val="20"/>
              </w:rPr>
              <w:t>本项目在</w:t>
            </w:r>
            <w:r>
              <w:rPr>
                <w:rFonts w:hint="default" w:ascii="Times New Roman" w:hAnsi="Times New Roman" w:eastAsia="宋体" w:cs="Times New Roman"/>
                <w:sz w:val="24"/>
                <w:szCs w:val="20"/>
                <w:lang w:eastAsia="zh-CN"/>
              </w:rPr>
              <w:t>蓬溪县上游工业园</w:t>
            </w:r>
            <w:r>
              <w:rPr>
                <w:rFonts w:hint="default" w:ascii="Times New Roman" w:hAnsi="Times New Roman" w:cs="Times New Roman"/>
                <w:sz w:val="24"/>
                <w:szCs w:val="20"/>
                <w:lang w:eastAsia="zh-CN"/>
              </w:rPr>
              <w:t>遂宁市齐科环保设备有限公司</w:t>
            </w:r>
            <w:r>
              <w:rPr>
                <w:rFonts w:hint="default" w:ascii="Times New Roman" w:hAnsi="Times New Roman" w:eastAsia="宋体" w:cs="Times New Roman"/>
                <w:sz w:val="24"/>
                <w:szCs w:val="20"/>
              </w:rPr>
              <w:t>现有厂房布设生产线，安装设备。不涉及新增占地和植被破坏，故本项目不会对生态环境造成影响。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97" w:hRule="atLeast"/>
          <w:jc w:val="center"/>
        </w:trPr>
        <w:tc>
          <w:tcPr>
            <w:tcW w:w="994" w:type="dxa"/>
            <w:noWrap w:val="0"/>
            <w:tcMar>
              <w:left w:w="28" w:type="dxa"/>
              <w:right w:w="28" w:type="dxa"/>
            </w:tcMar>
            <w:vAlign w:val="center"/>
          </w:tcPr>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运营</w:t>
            </w:r>
          </w:p>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期环</w:t>
            </w:r>
          </w:p>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境影</w:t>
            </w:r>
          </w:p>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响和</w:t>
            </w:r>
          </w:p>
          <w:p>
            <w:pPr>
              <w:adjustRightInd w:val="0"/>
              <w:snapToGrid w:val="0"/>
              <w:jc w:val="center"/>
              <w:rPr>
                <w:rFonts w:hint="default" w:ascii="Times New Roman" w:hAnsi="Times New Roman" w:cs="Times New Roman"/>
                <w:bCs/>
                <w:sz w:val="24"/>
                <w:szCs w:val="24"/>
              </w:rPr>
            </w:pPr>
            <w:r>
              <w:rPr>
                <w:rFonts w:hint="default" w:ascii="Times New Roman" w:hAnsi="Times New Roman" w:cs="Times New Roman"/>
                <w:bCs/>
                <w:sz w:val="24"/>
                <w:szCs w:val="24"/>
              </w:rPr>
              <w:t>保护</w:t>
            </w:r>
          </w:p>
          <w:p>
            <w:pPr>
              <w:adjustRightInd w:val="0"/>
              <w:snapToGrid w:val="0"/>
              <w:jc w:val="center"/>
              <w:rPr>
                <w:rFonts w:hint="default" w:ascii="Times New Roman" w:hAnsi="Times New Roman" w:cs="Times New Roman"/>
                <w:bCs/>
                <w:szCs w:val="21"/>
              </w:rPr>
            </w:pPr>
            <w:r>
              <w:rPr>
                <w:rFonts w:hint="default" w:ascii="Times New Roman" w:hAnsi="Times New Roman" w:cs="Times New Roman"/>
                <w:bCs/>
                <w:sz w:val="24"/>
                <w:szCs w:val="24"/>
              </w:rPr>
              <w:t>措施</w:t>
            </w:r>
          </w:p>
        </w:tc>
        <w:tc>
          <w:tcPr>
            <w:tcW w:w="7987" w:type="dxa"/>
            <w:noWrap w:val="0"/>
            <w:vAlign w:val="center"/>
          </w:tcPr>
          <w:p>
            <w:pPr>
              <w:adjustRightInd w:val="0"/>
              <w:snapToGrid w:val="0"/>
              <w:spacing w:line="360" w:lineRule="auto"/>
              <w:ind w:firstLine="472" w:firstLineChars="196"/>
              <w:outlineLvl w:val="0"/>
              <w:rPr>
                <w:rFonts w:hint="default" w:ascii="Times New Roman" w:hAnsi="Times New Roman" w:cs="Times New Roman"/>
                <w:b/>
                <w:bCs/>
                <w:i w:val="0"/>
                <w:iCs w:val="0"/>
                <w:sz w:val="24"/>
                <w:szCs w:val="24"/>
              </w:rPr>
            </w:pPr>
            <w:r>
              <w:rPr>
                <w:rFonts w:hint="default" w:ascii="Times New Roman" w:hAnsi="Times New Roman" w:cs="Times New Roman"/>
                <w:b/>
                <w:bCs/>
                <w:i w:val="0"/>
                <w:iCs w:val="0"/>
                <w:sz w:val="24"/>
                <w:szCs w:val="24"/>
              </w:rPr>
              <w:t>本项目营运期主要污染物产污环节分析如下：</w:t>
            </w:r>
          </w:p>
          <w:p>
            <w:pPr>
              <w:spacing w:line="360" w:lineRule="auto"/>
              <w:ind w:firstLine="482" w:firstLineChars="200"/>
              <w:outlineLvl w:val="2"/>
              <w:rPr>
                <w:rFonts w:hint="default" w:ascii="Times New Roman" w:hAnsi="Times New Roman" w:cs="Times New Roman"/>
                <w:b/>
                <w:sz w:val="24"/>
              </w:rPr>
            </w:pPr>
            <w:r>
              <w:rPr>
                <w:rFonts w:hint="default" w:ascii="Times New Roman" w:hAnsi="Times New Roman" w:cs="Times New Roman"/>
                <w:b/>
                <w:sz w:val="24"/>
                <w:szCs w:val="24"/>
                <w:u w:val="single"/>
              </w:rPr>
              <w:t>废气</w:t>
            </w:r>
            <w:r>
              <w:rPr>
                <w:rFonts w:hint="default" w:ascii="Times New Roman" w:hAnsi="Times New Roman" w:cs="Times New Roman"/>
                <w:sz w:val="24"/>
                <w:szCs w:val="24"/>
              </w:rPr>
              <w:t>：本项目生产属于物理加工过程，项目不设食堂，</w:t>
            </w:r>
            <w:r>
              <w:rPr>
                <w:rFonts w:hint="default" w:ascii="Times New Roman" w:hAnsi="Times New Roman" w:cs="Times New Roman"/>
                <w:color w:val="0000FF"/>
                <w:sz w:val="24"/>
              </w:rPr>
              <w:t>废气</w:t>
            </w:r>
            <w:r>
              <w:rPr>
                <w:rFonts w:hint="eastAsia" w:ascii="Times New Roman" w:hAnsi="Times New Roman" w:cs="Times New Roman"/>
                <w:color w:val="0000FF"/>
                <w:sz w:val="24"/>
                <w:lang w:val="en-US" w:eastAsia="zh-CN"/>
              </w:rPr>
              <w:t>为</w:t>
            </w:r>
            <w:r>
              <w:rPr>
                <w:rFonts w:hint="default" w:ascii="Times New Roman" w:hAnsi="Times New Roman" w:cs="Times New Roman"/>
                <w:color w:val="0000FF"/>
                <w:sz w:val="24"/>
              </w:rPr>
              <w:t>挤塑、注塑过程中产生的有机废气；</w:t>
            </w:r>
            <w:r>
              <w:rPr>
                <w:rFonts w:hint="eastAsia" w:cs="Times New Roman"/>
                <w:color w:val="0000FF"/>
                <w:sz w:val="24"/>
                <w:lang w:val="en-US" w:eastAsia="zh-CN"/>
              </w:rPr>
              <w:t>聚</w:t>
            </w:r>
            <w:r>
              <w:rPr>
                <w:rFonts w:hint="default" w:ascii="Times New Roman" w:hAnsi="Times New Roman" w:cs="Times New Roman"/>
                <w:color w:val="0000FF"/>
                <w:sz w:val="24"/>
              </w:rPr>
              <w:t>氯乙烯管材、管件生产产生的氯化氢</w:t>
            </w:r>
            <w:r>
              <w:rPr>
                <w:rFonts w:hint="eastAsia" w:cs="Times New Roman"/>
                <w:color w:val="0000FF"/>
                <w:sz w:val="24"/>
                <w:lang w:eastAsia="zh-CN"/>
              </w:rPr>
              <w:t>；</w:t>
            </w:r>
            <w:r>
              <w:rPr>
                <w:rFonts w:hint="eastAsia" w:cs="Times New Roman"/>
                <w:color w:val="0000FF"/>
                <w:sz w:val="24"/>
                <w:lang w:val="en-US" w:eastAsia="zh-CN"/>
              </w:rPr>
              <w:t>混料粉尘；</w:t>
            </w:r>
            <w:r>
              <w:rPr>
                <w:rFonts w:hint="default" w:ascii="Times New Roman" w:hAnsi="Times New Roman" w:cs="Times New Roman"/>
                <w:sz w:val="24"/>
              </w:rPr>
              <w:t>次品、边角料粉碎过程中产生的少量粉尘。</w:t>
            </w:r>
          </w:p>
          <w:p>
            <w:pPr>
              <w:snapToGrid w:val="0"/>
              <w:spacing w:line="360" w:lineRule="auto"/>
              <w:ind w:firstLine="482"/>
              <w:rPr>
                <w:sz w:val="24"/>
              </w:rPr>
            </w:pPr>
            <w:r>
              <w:rPr>
                <w:rFonts w:hint="default" w:ascii="Times New Roman" w:hAnsi="Times New Roman" w:cs="Times New Roman"/>
                <w:b/>
                <w:kern w:val="0"/>
                <w:sz w:val="24"/>
                <w:szCs w:val="24"/>
                <w:u w:val="single"/>
              </w:rPr>
              <w:t>废水</w:t>
            </w:r>
            <w:r>
              <w:rPr>
                <w:rFonts w:hint="default" w:ascii="Times New Roman" w:hAnsi="Times New Roman" w:cs="Times New Roman"/>
                <w:kern w:val="0"/>
                <w:sz w:val="24"/>
                <w:szCs w:val="24"/>
              </w:rPr>
              <w:t>：</w:t>
            </w:r>
            <w:r>
              <w:rPr>
                <w:rFonts w:hAnsi="宋体"/>
                <w:color w:val="0000FF"/>
                <w:sz w:val="24"/>
              </w:rPr>
              <w:t>本项目生产过程中的冷却水进行闭路循环使用，</w:t>
            </w:r>
            <w:r>
              <w:rPr>
                <w:rFonts w:hint="eastAsia" w:hAnsi="宋体"/>
                <w:color w:val="0000FF"/>
                <w:sz w:val="24"/>
              </w:rPr>
              <w:t>无生产废水产生</w:t>
            </w:r>
            <w:r>
              <w:rPr>
                <w:rFonts w:hAnsi="宋体"/>
                <w:color w:val="0000FF"/>
                <w:sz w:val="24"/>
              </w:rPr>
              <w:t>；因此，项目运营后产生的废水主要</w:t>
            </w:r>
            <w:r>
              <w:rPr>
                <w:rFonts w:hint="eastAsia" w:hAnsi="宋体"/>
                <w:color w:val="0000FF"/>
                <w:sz w:val="24"/>
              </w:rPr>
              <w:t>是</w:t>
            </w:r>
            <w:r>
              <w:rPr>
                <w:rFonts w:hAnsi="宋体"/>
                <w:color w:val="0000FF"/>
                <w:sz w:val="24"/>
              </w:rPr>
              <w:t>职工生活污水及</w:t>
            </w:r>
            <w:r>
              <w:rPr>
                <w:color w:val="0000FF"/>
                <w:kern w:val="0"/>
                <w:sz w:val="24"/>
              </w:rPr>
              <w:t>少量碱喷淋水洗废水</w:t>
            </w:r>
            <w:r>
              <w:rPr>
                <w:rFonts w:hint="eastAsia"/>
                <w:color w:val="0000FF"/>
                <w:kern w:val="0"/>
                <w:sz w:val="24"/>
              </w:rPr>
              <w:t>（喷淋水洗装置循环水）</w:t>
            </w:r>
            <w:r>
              <w:rPr>
                <w:rFonts w:hAnsi="宋体"/>
                <w:color w:val="0000FF"/>
                <w:sz w:val="24"/>
              </w:rPr>
              <w:t>。</w:t>
            </w:r>
          </w:p>
          <w:p>
            <w:pPr>
              <w:snapToGrid w:val="0"/>
              <w:spacing w:line="360" w:lineRule="auto"/>
              <w:ind w:firstLine="482"/>
              <w:rPr>
                <w:rFonts w:hint="default" w:ascii="Times New Roman" w:hAnsi="Times New Roman" w:cs="Times New Roman"/>
                <w:sz w:val="24"/>
                <w:szCs w:val="24"/>
              </w:rPr>
            </w:pPr>
            <w:r>
              <w:rPr>
                <w:rFonts w:hint="default" w:ascii="Times New Roman" w:hAnsi="Times New Roman" w:cs="Times New Roman"/>
                <w:b/>
                <w:kern w:val="0"/>
                <w:sz w:val="24"/>
                <w:szCs w:val="24"/>
                <w:u w:val="single"/>
              </w:rPr>
              <w:t>噪声</w:t>
            </w:r>
            <w:r>
              <w:rPr>
                <w:rFonts w:hint="default" w:ascii="Times New Roman" w:hAnsi="Times New Roman" w:cs="Times New Roman"/>
                <w:kern w:val="0"/>
                <w:sz w:val="24"/>
                <w:szCs w:val="24"/>
              </w:rPr>
              <w:t>：</w:t>
            </w:r>
            <w:r>
              <w:rPr>
                <w:rFonts w:hint="default" w:ascii="Times New Roman" w:hAnsi="Times New Roman" w:cs="Times New Roman"/>
                <w:sz w:val="24"/>
                <w:szCs w:val="24"/>
              </w:rPr>
              <w:t>本项目选用设备属国内先进设备，主要噪声源来自生产车间混料机、破碎机、挤</w:t>
            </w:r>
            <w:r>
              <w:rPr>
                <w:rFonts w:hint="default" w:ascii="Times New Roman" w:hAnsi="Times New Roman" w:cs="Times New Roman"/>
                <w:sz w:val="24"/>
                <w:szCs w:val="24"/>
                <w:lang w:val="en-US" w:eastAsia="zh-CN"/>
              </w:rPr>
              <w:t>塑</w:t>
            </w:r>
            <w:r>
              <w:rPr>
                <w:rFonts w:hint="default" w:ascii="Times New Roman" w:hAnsi="Times New Roman" w:cs="Times New Roman"/>
                <w:sz w:val="24"/>
                <w:szCs w:val="24"/>
              </w:rPr>
              <w:t>机、注塑机、水泵、空压机等设备产生的机械噪声。</w:t>
            </w:r>
          </w:p>
          <w:p>
            <w:pPr>
              <w:spacing w:line="360" w:lineRule="auto"/>
              <w:ind w:firstLine="482" w:firstLineChars="200"/>
              <w:rPr>
                <w:rFonts w:hint="default" w:ascii="Times New Roman" w:hAnsi="Times New Roman" w:cs="Times New Roman"/>
                <w:kern w:val="0"/>
                <w:sz w:val="24"/>
                <w:szCs w:val="24"/>
              </w:rPr>
            </w:pPr>
            <w:r>
              <w:rPr>
                <w:rFonts w:hint="default" w:ascii="Times New Roman" w:hAnsi="Times New Roman" w:cs="Times New Roman"/>
                <w:b/>
                <w:kern w:val="0"/>
                <w:sz w:val="24"/>
                <w:szCs w:val="24"/>
                <w:u w:val="single"/>
              </w:rPr>
              <w:t>固体</w:t>
            </w:r>
            <w:r>
              <w:rPr>
                <w:rFonts w:hint="default" w:ascii="Times New Roman" w:hAnsi="Times New Roman" w:cs="Times New Roman"/>
                <w:kern w:val="0"/>
                <w:sz w:val="24"/>
                <w:szCs w:val="24"/>
              </w:rPr>
              <w:t>：一般固废主要包括废边角料、废包装材料、次品、除尘器收集的粉尘、生活垃圾</w:t>
            </w:r>
            <w:r>
              <w:rPr>
                <w:rFonts w:hint="default" w:ascii="Times New Roman" w:hAnsi="Times New Roman" w:cs="Times New Roman"/>
                <w:kern w:val="0"/>
                <w:sz w:val="24"/>
                <w:szCs w:val="24"/>
                <w:lang w:eastAsia="zh-CN"/>
              </w:rPr>
              <w:t>；</w:t>
            </w:r>
            <w:r>
              <w:rPr>
                <w:rFonts w:hint="default" w:ascii="Times New Roman" w:hAnsi="Times New Roman" w:cs="Times New Roman"/>
                <w:kern w:val="0"/>
                <w:sz w:val="24"/>
                <w:szCs w:val="24"/>
              </w:rPr>
              <w:t>危险废物包括：废活性炭、少量的废机油、</w:t>
            </w:r>
            <w:r>
              <w:rPr>
                <w:rFonts w:hint="default" w:ascii="Times New Roman" w:hAnsi="Times New Roman" w:cs="Times New Roman"/>
                <w:sz w:val="24"/>
                <w:szCs w:val="24"/>
              </w:rPr>
              <w:t>含油棉纱、手套、抹布</w:t>
            </w:r>
            <w:r>
              <w:rPr>
                <w:rFonts w:hint="default" w:ascii="Times New Roman" w:hAnsi="Times New Roman" w:cs="Times New Roman"/>
                <w:kern w:val="0"/>
                <w:sz w:val="24"/>
                <w:szCs w:val="24"/>
              </w:rPr>
              <w:t>等。</w:t>
            </w:r>
          </w:p>
          <w:p>
            <w:pPr>
              <w:spacing w:line="360" w:lineRule="auto"/>
              <w:ind w:firstLine="482" w:firstLineChars="200"/>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1</w:t>
            </w:r>
            <w:r>
              <w:rPr>
                <w:rFonts w:hint="default" w:ascii="Times New Roman" w:hAnsi="Times New Roman" w:eastAsia="宋体" w:cs="Times New Roman"/>
                <w:b/>
                <w:bCs/>
                <w:sz w:val="24"/>
                <w:szCs w:val="20"/>
                <w:lang w:eastAsia="zh-CN"/>
              </w:rPr>
              <w:t>、</w:t>
            </w:r>
            <w:r>
              <w:rPr>
                <w:rFonts w:hint="default" w:ascii="Times New Roman" w:hAnsi="Times New Roman" w:eastAsia="宋体" w:cs="Times New Roman"/>
                <w:b/>
                <w:bCs/>
                <w:sz w:val="24"/>
                <w:szCs w:val="20"/>
              </w:rPr>
              <w:t>废气排放及治理措施</w:t>
            </w:r>
          </w:p>
          <w:p>
            <w:pPr>
              <w:spacing w:line="360" w:lineRule="auto"/>
              <w:ind w:firstLine="480" w:firstLineChars="200"/>
              <w:outlineLvl w:val="2"/>
              <w:rPr>
                <w:rFonts w:hint="default" w:ascii="Times New Roman" w:hAnsi="Times New Roman" w:cs="Times New Roman"/>
                <w:b/>
                <w:sz w:val="24"/>
              </w:rPr>
            </w:pPr>
            <w:r>
              <w:rPr>
                <w:rFonts w:hint="default" w:ascii="Times New Roman" w:hAnsi="Times New Roman" w:cs="Times New Roman"/>
                <w:sz w:val="24"/>
              </w:rPr>
              <w:t>本项目生产属于物理加工过程，项目不设食堂，</w:t>
            </w:r>
            <w:r>
              <w:rPr>
                <w:rFonts w:hint="default" w:ascii="Times New Roman" w:hAnsi="Times New Roman" w:cs="Times New Roman"/>
                <w:color w:val="0000FF"/>
                <w:sz w:val="24"/>
              </w:rPr>
              <w:t>废气</w:t>
            </w:r>
            <w:r>
              <w:rPr>
                <w:rFonts w:hint="eastAsia" w:ascii="Times New Roman" w:hAnsi="Times New Roman" w:cs="Times New Roman"/>
                <w:color w:val="0000FF"/>
                <w:sz w:val="24"/>
                <w:lang w:val="en-US" w:eastAsia="zh-CN"/>
              </w:rPr>
              <w:t>为</w:t>
            </w:r>
            <w:r>
              <w:rPr>
                <w:rFonts w:hint="default" w:ascii="Times New Roman" w:hAnsi="Times New Roman" w:cs="Times New Roman"/>
                <w:color w:val="0000FF"/>
                <w:sz w:val="24"/>
              </w:rPr>
              <w:t>挤塑、注塑过程中产生的有机废气；</w:t>
            </w:r>
            <w:r>
              <w:rPr>
                <w:rFonts w:hint="eastAsia" w:cs="Times New Roman"/>
                <w:color w:val="0000FF"/>
                <w:sz w:val="24"/>
                <w:lang w:val="en-US" w:eastAsia="zh-CN"/>
              </w:rPr>
              <w:t>聚</w:t>
            </w:r>
            <w:r>
              <w:rPr>
                <w:rFonts w:hint="default" w:ascii="Times New Roman" w:hAnsi="Times New Roman" w:cs="Times New Roman"/>
                <w:color w:val="0000FF"/>
                <w:sz w:val="24"/>
              </w:rPr>
              <w:t>氯乙烯管材、管件生产产生的氯化氢</w:t>
            </w:r>
            <w:r>
              <w:rPr>
                <w:rFonts w:hint="eastAsia" w:cs="Times New Roman"/>
                <w:color w:val="0000FF"/>
                <w:sz w:val="24"/>
                <w:lang w:eastAsia="zh-CN"/>
              </w:rPr>
              <w:t>；</w:t>
            </w:r>
            <w:r>
              <w:rPr>
                <w:rFonts w:hint="eastAsia" w:cs="Times New Roman"/>
                <w:color w:val="0000FF"/>
                <w:sz w:val="24"/>
                <w:lang w:val="en-US" w:eastAsia="zh-CN"/>
              </w:rPr>
              <w:t>混料粉尘；</w:t>
            </w:r>
            <w:r>
              <w:rPr>
                <w:rFonts w:hint="default" w:ascii="Times New Roman" w:hAnsi="Times New Roman" w:cs="Times New Roman"/>
                <w:sz w:val="24"/>
              </w:rPr>
              <w:t>次品、边角料粉碎过程中产生的少量粉尘。</w:t>
            </w:r>
          </w:p>
          <w:p>
            <w:pPr>
              <w:snapToGrid w:val="0"/>
              <w:spacing w:line="360" w:lineRule="auto"/>
              <w:ind w:left="480"/>
              <w:rPr>
                <w:rFonts w:hint="default" w:ascii="Times New Roman" w:hAnsi="Times New Roman" w:cs="Times New Roman"/>
                <w:b/>
                <w:sz w:val="24"/>
              </w:rPr>
            </w:pPr>
            <w:r>
              <w:rPr>
                <w:rFonts w:hint="default" w:ascii="Times New Roman" w:hAnsi="Times New Roman" w:cs="Times New Roman"/>
                <w:b/>
                <w:sz w:val="24"/>
              </w:rPr>
              <w:t>（1）有机废气</w:t>
            </w:r>
          </w:p>
          <w:p>
            <w:pPr>
              <w:snapToGrid w:val="0"/>
              <w:spacing w:line="360" w:lineRule="auto"/>
              <w:ind w:left="480"/>
              <w:rPr>
                <w:rFonts w:hint="default" w:ascii="Times New Roman" w:hAnsi="Times New Roman" w:cs="Times New Roman"/>
                <w:b/>
                <w:sz w:val="24"/>
              </w:rPr>
            </w:pPr>
            <w:r>
              <w:rPr>
                <w:rFonts w:hint="default" w:ascii="Times New Roman" w:hAnsi="Times New Roman" w:cs="Times New Roman"/>
                <w:b/>
                <w:sz w:val="24"/>
              </w:rPr>
              <w:t>①加热温度说明</w:t>
            </w:r>
          </w:p>
          <w:p>
            <w:pPr>
              <w:numPr>
                <w:ilvl w:val="0"/>
                <w:numId w:val="5"/>
              </w:numPr>
              <w:spacing w:line="360" w:lineRule="auto"/>
              <w:ind w:left="0" w:firstLine="480" w:firstLineChars="200"/>
              <w:rPr>
                <w:rFonts w:hint="default" w:ascii="Times New Roman" w:hAnsi="Times New Roman" w:cs="Times New Roman"/>
                <w:sz w:val="24"/>
              </w:rPr>
            </w:pPr>
            <w:r>
              <w:rPr>
                <w:rFonts w:hint="default" w:ascii="Times New Roman" w:hAnsi="Times New Roman" w:cs="Times New Roman"/>
                <w:sz w:val="24"/>
              </w:rPr>
              <w:t>用聚乙烯(PE)管材、管件生产主要原料为PE聚乙烯（熔化温度为140~220℃、分解温度为300℃），整个生产过程的加热温度为200℃；</w:t>
            </w:r>
          </w:p>
          <w:p>
            <w:pPr>
              <w:numPr>
                <w:ilvl w:val="0"/>
                <w:numId w:val="5"/>
              </w:numPr>
              <w:spacing w:line="360" w:lineRule="auto"/>
              <w:ind w:left="0" w:firstLine="480" w:firstLineChars="200"/>
              <w:rPr>
                <w:rFonts w:hint="default" w:ascii="Times New Roman" w:hAnsi="Times New Roman" w:cs="Times New Roman"/>
                <w:sz w:val="24"/>
              </w:rPr>
            </w:pPr>
            <w:r>
              <w:rPr>
                <w:rFonts w:hint="default" w:ascii="Times New Roman" w:hAnsi="Times New Roman" w:cs="Times New Roman"/>
                <w:sz w:val="24"/>
              </w:rPr>
              <w:t>用聚丙烯(PP-R)管材、管件生产主要原料为PP-R聚丙烯（熔化温度为164~170℃、分解温度为350℃），整个生产过程的加热温度为200℃；</w:t>
            </w:r>
          </w:p>
          <w:p>
            <w:pPr>
              <w:numPr>
                <w:ilvl w:val="0"/>
                <w:numId w:val="5"/>
              </w:numPr>
              <w:spacing w:line="360" w:lineRule="auto"/>
              <w:ind w:left="0" w:firstLine="480" w:firstLineChars="200"/>
              <w:rPr>
                <w:rFonts w:hint="default" w:ascii="Times New Roman" w:hAnsi="Times New Roman" w:cs="Times New Roman"/>
                <w:sz w:val="24"/>
              </w:rPr>
            </w:pPr>
            <w:r>
              <w:rPr>
                <w:rFonts w:hint="default" w:ascii="Times New Roman" w:hAnsi="Times New Roman" w:cs="Times New Roman"/>
                <w:sz w:val="24"/>
              </w:rPr>
              <w:t>聚氯乙烯管材、管件生产主要原料为PVC聚氯乙烯（PVC的熔化温度为80℃～140℃，150℃以上分解速度加快，170℃时其热解产物即可苯环化，生成苯和甲苯；210℃时即可热解产生苯乙烯），整个生产过程的加热温度为15</w:t>
            </w:r>
            <w:r>
              <w:rPr>
                <w:rFonts w:hint="eastAsia" w:cs="Times New Roman"/>
                <w:sz w:val="24"/>
                <w:lang w:val="en-US" w:eastAsia="zh-CN"/>
              </w:rPr>
              <w:t>0</w:t>
            </w:r>
            <w:r>
              <w:rPr>
                <w:rFonts w:hint="default" w:ascii="Times New Roman" w:hAnsi="Times New Roman" w:cs="Times New Roman"/>
                <w:sz w:val="24"/>
              </w:rPr>
              <w:t>℃~1</w:t>
            </w:r>
            <w:r>
              <w:rPr>
                <w:rFonts w:hint="eastAsia" w:cs="Times New Roman"/>
                <w:sz w:val="24"/>
                <w:lang w:val="en-US" w:eastAsia="zh-CN"/>
              </w:rPr>
              <w:t>6</w:t>
            </w:r>
            <w:r>
              <w:rPr>
                <w:rFonts w:hint="default" w:ascii="Times New Roman" w:hAnsi="Times New Roman" w:cs="Times New Roman"/>
                <w:sz w:val="24"/>
              </w:rPr>
              <w:t>5℃之间。</w:t>
            </w:r>
          </w:p>
          <w:p>
            <w:pPr>
              <w:snapToGrid w:val="0"/>
              <w:spacing w:line="360" w:lineRule="auto"/>
              <w:ind w:firstLine="472" w:firstLineChars="196"/>
              <w:rPr>
                <w:rFonts w:hint="default" w:ascii="Times New Roman" w:hAnsi="Times New Roman" w:cs="Times New Roman"/>
                <w:b/>
                <w:color w:val="000000"/>
                <w:sz w:val="24"/>
              </w:rPr>
            </w:pPr>
            <w:r>
              <w:rPr>
                <w:rFonts w:hint="default" w:ascii="Times New Roman" w:hAnsi="Times New Roman" w:cs="Times New Roman"/>
                <w:b/>
                <w:color w:val="000000"/>
                <w:sz w:val="24"/>
              </w:rPr>
              <w:t>②有机废气产生源强</w:t>
            </w:r>
          </w:p>
          <w:p>
            <w:pPr>
              <w:snapToGrid w:val="0"/>
              <w:spacing w:line="360" w:lineRule="auto"/>
              <w:ind w:firstLine="482"/>
              <w:rPr>
                <w:rFonts w:hint="default" w:ascii="Times New Roman" w:hAnsi="Times New Roman" w:cs="Times New Roman"/>
                <w:bCs/>
                <w:color w:val="000000"/>
                <w:sz w:val="24"/>
              </w:rPr>
            </w:pPr>
            <w:r>
              <w:rPr>
                <w:rFonts w:hint="default" w:ascii="Times New Roman" w:hAnsi="Times New Roman" w:cs="Times New Roman"/>
                <w:bCs/>
                <w:color w:val="000000"/>
                <w:sz w:val="24"/>
              </w:rPr>
              <w:t>1）注塑、挤塑有机废气产生量</w:t>
            </w:r>
          </w:p>
          <w:p>
            <w:pPr>
              <w:snapToGrid w:val="0"/>
              <w:spacing w:line="360" w:lineRule="auto"/>
              <w:ind w:right="105" w:rightChars="50" w:firstLine="480" w:firstLineChars="200"/>
              <w:rPr>
                <w:rFonts w:hint="default" w:ascii="Times New Roman" w:hAnsi="Times New Roman" w:cs="Times New Roman"/>
                <w:sz w:val="24"/>
              </w:rPr>
            </w:pPr>
            <w:r>
              <w:rPr>
                <w:rFonts w:hint="default" w:ascii="Times New Roman" w:hAnsi="Times New Roman" w:cs="Times New Roman"/>
                <w:sz w:val="24"/>
              </w:rPr>
              <w:t>本项目挤出机、注塑机对塑料的热融均是在密闭挤出螺杆及注塑设备内进行，故热融时处于密闭状态，无废气产生。废气产生的位置主要位于热融后的冷却阶段。冷却方式为水冷，在冷却装置中进行间接冷却。该过程使成型却尚有一定温度的塑料与空气接触，从而造成少量废气进入大气环境，并以无组织形式排放。</w:t>
            </w:r>
          </w:p>
          <w:p>
            <w:pPr>
              <w:snapToGrid w:val="0"/>
              <w:spacing w:line="360" w:lineRule="auto"/>
              <w:ind w:right="105" w:rightChars="50" w:firstLine="480" w:firstLineChars="200"/>
              <w:rPr>
                <w:rFonts w:hint="default" w:ascii="Times New Roman" w:hAnsi="Times New Roman" w:cs="Times New Roman"/>
                <w:sz w:val="24"/>
              </w:rPr>
            </w:pPr>
            <w:r>
              <w:rPr>
                <w:rFonts w:hint="default" w:ascii="Times New Roman" w:hAnsi="Times New Roman" w:cs="Times New Roman"/>
                <w:sz w:val="24"/>
              </w:rPr>
              <w:t>根据《不同分解方法对聚乙烯分解行为的影响》（《高分子材料科学与工程》，2003年7月第19卷第4期，张妍、孟令辉、黄玉东）可知，聚乙烯（PE）颗粒的热稳定性较好，其分解温度为300℃；聚丙烯(PP-R)分解温度为350℃；聚氯乙烯150℃以上分解速度加快；根据以上加热温度及各主要原料分解温度，本项目聚乙烯（PE）、聚丙烯(PP-R)生产过程中加热温度远远低于各主要原材料的分解温度，因此，在生产过程中不会发生分解反应，不会产生烷烃等有机气体。因此，在生产过程中不会发生分解反应，不会产生烷烃等有机气体。在不断加热过程中，由于分子结构在剪切挤压下发生断链和分解，会产生一定量的有机废气，本次以非甲烷总烃计算。</w:t>
            </w:r>
          </w:p>
          <w:p>
            <w:pPr>
              <w:snapToGrid w:val="0"/>
              <w:spacing w:line="360" w:lineRule="auto"/>
              <w:ind w:right="105" w:rightChars="50" w:firstLine="480" w:firstLineChars="200"/>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rPr>
              <w:t>参照《第二次全国污染源普查工业污染源普查——292塑料制品行业系数手册》</w:t>
            </w:r>
            <w:r>
              <w:rPr>
                <w:rFonts w:hint="eastAsia" w:ascii="Times New Roman" w:hAnsi="Times New Roman" w:cs="Times New Roman"/>
                <w:color w:val="0000FF"/>
                <w:sz w:val="24"/>
                <w:highlight w:val="none"/>
                <w:lang w:val="en-US" w:eastAsia="zh-CN"/>
              </w:rPr>
              <w:t>其挤出/注塑工序挥发性有机物</w:t>
            </w:r>
            <w:r>
              <w:rPr>
                <w:rFonts w:hint="default" w:ascii="Times New Roman" w:hAnsi="Times New Roman" w:cs="Times New Roman"/>
                <w:color w:val="0000FF"/>
                <w:sz w:val="24"/>
                <w:highlight w:val="none"/>
              </w:rPr>
              <w:t>的单位</w:t>
            </w:r>
            <w:r>
              <w:rPr>
                <w:rFonts w:hint="eastAsia" w:ascii="Times New Roman" w:hAnsi="Times New Roman" w:cs="Times New Roman"/>
                <w:color w:val="0000FF"/>
                <w:sz w:val="24"/>
                <w:highlight w:val="none"/>
                <w:lang w:val="en-US" w:eastAsia="zh-CN"/>
              </w:rPr>
              <w:t>产污</w:t>
            </w:r>
            <w:r>
              <w:rPr>
                <w:rFonts w:hint="default" w:ascii="Times New Roman" w:hAnsi="Times New Roman" w:cs="Times New Roman"/>
                <w:color w:val="0000FF"/>
                <w:sz w:val="24"/>
                <w:highlight w:val="none"/>
              </w:rPr>
              <w:t>系数为</w:t>
            </w:r>
            <w:r>
              <w:rPr>
                <w:rFonts w:hint="eastAsia" w:ascii="Times New Roman" w:hAnsi="Times New Roman" w:cs="Times New Roman"/>
                <w:color w:val="0000FF"/>
                <w:sz w:val="24"/>
                <w:highlight w:val="none"/>
                <w:lang w:val="en-US" w:eastAsia="zh-CN"/>
              </w:rPr>
              <w:t>2.7千克/吨-产品。</w:t>
            </w:r>
            <w:r>
              <w:rPr>
                <w:rFonts w:hint="default" w:ascii="Times New Roman" w:hAnsi="Times New Roman" w:cs="Times New Roman"/>
                <w:color w:val="0000FF"/>
                <w:sz w:val="24"/>
                <w:highlight w:val="none"/>
              </w:rPr>
              <w:t>本项目年产1万吨塑料管材及管件，</w:t>
            </w:r>
            <w:r>
              <w:rPr>
                <w:rFonts w:hint="eastAsia" w:ascii="Times New Roman" w:hAnsi="Times New Roman" w:cs="Times New Roman"/>
                <w:color w:val="0000FF"/>
                <w:sz w:val="24"/>
                <w:highlight w:val="none"/>
                <w:lang w:val="en-US" w:eastAsia="zh-CN"/>
              </w:rPr>
              <w:t>其</w:t>
            </w:r>
            <w:r>
              <w:rPr>
                <w:rFonts w:hint="default" w:ascii="Times New Roman" w:hAnsi="Times New Roman" w:cs="Times New Roman"/>
                <w:color w:val="0000FF"/>
                <w:sz w:val="24"/>
                <w:highlight w:val="none"/>
                <w:lang w:val="en-US" w:eastAsia="zh-CN"/>
              </w:rPr>
              <w:t>聚乙烯管材、管件</w:t>
            </w:r>
            <w:r>
              <w:rPr>
                <w:rFonts w:hint="eastAsia" w:ascii="Times New Roman" w:hAnsi="Times New Roman" w:cs="Times New Roman"/>
                <w:color w:val="0000FF"/>
                <w:sz w:val="24"/>
                <w:highlight w:val="none"/>
                <w:lang w:val="en-US" w:eastAsia="zh-CN"/>
              </w:rPr>
              <w:t>及聚丙烯管材、管件产品合计约为6000</w:t>
            </w:r>
            <w:r>
              <w:rPr>
                <w:rFonts w:hint="default" w:ascii="Times New Roman" w:hAnsi="Times New Roman" w:cs="Times New Roman"/>
                <w:color w:val="0000FF"/>
                <w:sz w:val="24"/>
                <w:highlight w:val="none"/>
              </w:rPr>
              <w:t>t/a</w:t>
            </w:r>
            <w:r>
              <w:rPr>
                <w:rFonts w:hint="eastAsia" w:ascii="Times New Roman" w:hAnsi="Times New Roman" w:cs="Times New Roman"/>
                <w:color w:val="0000FF"/>
                <w:sz w:val="24"/>
                <w:highlight w:val="none"/>
                <w:lang w:eastAsia="zh-CN"/>
              </w:rPr>
              <w:t>，聚氯乙烯管材、管件</w:t>
            </w:r>
            <w:r>
              <w:rPr>
                <w:rFonts w:hint="eastAsia" w:ascii="Times New Roman" w:hAnsi="Times New Roman" w:cs="Times New Roman"/>
                <w:color w:val="0000FF"/>
                <w:sz w:val="24"/>
                <w:highlight w:val="none"/>
                <w:lang w:val="en-US" w:eastAsia="zh-CN"/>
              </w:rPr>
              <w:t>产品约为4000t/a，</w:t>
            </w:r>
            <w:r>
              <w:rPr>
                <w:rFonts w:hint="default" w:ascii="Times New Roman" w:hAnsi="Times New Roman" w:cs="Times New Roman"/>
                <w:color w:val="0000FF"/>
                <w:sz w:val="24"/>
                <w:highlight w:val="none"/>
              </w:rPr>
              <w:t>则注塑、挤塑有机气体（非甲烷总烃）产生总量为</w:t>
            </w:r>
            <w:r>
              <w:rPr>
                <w:rFonts w:hint="eastAsia" w:ascii="Times New Roman" w:hAnsi="Times New Roman" w:cs="Times New Roman"/>
                <w:color w:val="0000FF"/>
                <w:sz w:val="24"/>
                <w:highlight w:val="none"/>
                <w:lang w:val="en-US" w:eastAsia="zh-CN"/>
              </w:rPr>
              <w:t>27</w:t>
            </w:r>
            <w:r>
              <w:rPr>
                <w:rFonts w:hint="default" w:ascii="Times New Roman" w:hAnsi="Times New Roman" w:cs="Times New Roman"/>
                <w:color w:val="0000FF"/>
                <w:sz w:val="24"/>
                <w:highlight w:val="none"/>
              </w:rPr>
              <w:t>t/a，项目年产</w:t>
            </w:r>
            <w:r>
              <w:rPr>
                <w:rFonts w:hint="default" w:ascii="Times New Roman" w:hAnsi="Times New Roman" w:cs="Times New Roman"/>
                <w:color w:val="0000FF"/>
                <w:sz w:val="24"/>
                <w:highlight w:val="none"/>
                <w:lang w:val="en-US" w:eastAsia="zh-CN"/>
              </w:rPr>
              <w:t>330</w:t>
            </w:r>
            <w:r>
              <w:rPr>
                <w:rFonts w:hint="default" w:ascii="Times New Roman" w:hAnsi="Times New Roman" w:cs="Times New Roman"/>
                <w:color w:val="0000FF"/>
                <w:sz w:val="24"/>
                <w:highlight w:val="none"/>
              </w:rPr>
              <w:t>天，每天工作24小时，则产生速率为</w:t>
            </w:r>
            <w:r>
              <w:rPr>
                <w:rFonts w:hint="eastAsia" w:ascii="Times New Roman" w:hAnsi="Times New Roman" w:cs="Times New Roman"/>
                <w:color w:val="0000FF"/>
                <w:sz w:val="24"/>
                <w:highlight w:val="none"/>
                <w:lang w:val="en-US" w:eastAsia="zh-CN"/>
              </w:rPr>
              <w:t>3.40</w:t>
            </w:r>
            <w:r>
              <w:rPr>
                <w:rFonts w:hint="default" w:ascii="Times New Roman" w:hAnsi="Times New Roman" w:cs="Times New Roman"/>
                <w:color w:val="0000FF"/>
                <w:sz w:val="24"/>
                <w:highlight w:val="none"/>
              </w:rPr>
              <w:t>kg/h。</w:t>
            </w:r>
          </w:p>
          <w:p>
            <w:pPr>
              <w:snapToGrid w:val="0"/>
              <w:spacing w:line="360" w:lineRule="auto"/>
              <w:ind w:firstLine="482"/>
              <w:jc w:val="center"/>
              <w:rPr>
                <w:rFonts w:hint="eastAsia"/>
                <w:bCs/>
                <w:color w:val="0000FF"/>
                <w:sz w:val="24"/>
              </w:rPr>
            </w:pPr>
            <w:r>
              <w:rPr>
                <w:b/>
                <w:color w:val="0000FF"/>
                <w:szCs w:val="21"/>
              </w:rPr>
              <w:t>表</w:t>
            </w:r>
            <w:r>
              <w:rPr>
                <w:rFonts w:hint="eastAsia"/>
                <w:b/>
                <w:color w:val="0000FF"/>
                <w:szCs w:val="21"/>
                <w:lang w:val="en-US" w:eastAsia="zh-CN"/>
              </w:rPr>
              <w:t>4</w:t>
            </w:r>
            <w:r>
              <w:rPr>
                <w:rFonts w:hint="eastAsia"/>
                <w:b/>
                <w:color w:val="0000FF"/>
                <w:szCs w:val="21"/>
              </w:rPr>
              <w:t xml:space="preserve">-1 </w:t>
            </w:r>
            <w:r>
              <w:rPr>
                <w:b/>
                <w:color w:val="0000FF"/>
                <w:szCs w:val="21"/>
              </w:rPr>
              <w:t>项目有机废气产生情况</w:t>
            </w:r>
            <w:r>
              <w:rPr>
                <w:rFonts w:hint="eastAsia"/>
                <w:b/>
                <w:color w:val="0000FF"/>
                <w:szCs w:val="21"/>
              </w:rPr>
              <w:t>（注塑、挤塑）</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1153"/>
              <w:gridCol w:w="1436"/>
              <w:gridCol w:w="1436"/>
              <w:gridCol w:w="1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4" w:type="pct"/>
                  <w:noWrap w:val="0"/>
                  <w:vAlign w:val="center"/>
                </w:tcPr>
                <w:p>
                  <w:pPr>
                    <w:widowControl/>
                    <w:jc w:val="center"/>
                    <w:rPr>
                      <w:color w:val="0000FF"/>
                      <w:szCs w:val="21"/>
                    </w:rPr>
                  </w:pPr>
                  <w:r>
                    <w:rPr>
                      <w:rFonts w:hint="eastAsia"/>
                      <w:color w:val="0000FF"/>
                      <w:szCs w:val="21"/>
                      <w:lang w:val="en-US" w:eastAsia="zh-CN"/>
                    </w:rPr>
                    <w:t>产品</w:t>
                  </w:r>
                </w:p>
              </w:tc>
              <w:tc>
                <w:tcPr>
                  <w:tcW w:w="742" w:type="pct"/>
                  <w:noWrap w:val="0"/>
                  <w:vAlign w:val="center"/>
                </w:tcPr>
                <w:p>
                  <w:pPr>
                    <w:widowControl/>
                    <w:jc w:val="center"/>
                    <w:rPr>
                      <w:color w:val="0000FF"/>
                      <w:szCs w:val="21"/>
                    </w:rPr>
                  </w:pPr>
                  <w:r>
                    <w:rPr>
                      <w:rFonts w:hint="eastAsia"/>
                      <w:color w:val="0000FF"/>
                      <w:szCs w:val="21"/>
                      <w:lang w:val="en-US" w:eastAsia="zh-CN"/>
                    </w:rPr>
                    <w:t>产品量</w:t>
                  </w:r>
                  <w:r>
                    <w:rPr>
                      <w:color w:val="0000FF"/>
                      <w:szCs w:val="21"/>
                    </w:rPr>
                    <w:t>t</w:t>
                  </w:r>
                </w:p>
              </w:tc>
              <w:tc>
                <w:tcPr>
                  <w:tcW w:w="925" w:type="pct"/>
                  <w:noWrap w:val="0"/>
                  <w:vAlign w:val="center"/>
                </w:tcPr>
                <w:p>
                  <w:pPr>
                    <w:widowControl/>
                    <w:jc w:val="center"/>
                    <w:rPr>
                      <w:rFonts w:hint="default" w:eastAsia="宋体"/>
                      <w:color w:val="0000FF"/>
                      <w:szCs w:val="21"/>
                      <w:lang w:val="en-US" w:eastAsia="zh-CN"/>
                    </w:rPr>
                  </w:pPr>
                  <w:r>
                    <w:rPr>
                      <w:color w:val="0000FF"/>
                      <w:szCs w:val="21"/>
                    </w:rPr>
                    <w:t>产污系数kg/t</w:t>
                  </w:r>
                  <w:r>
                    <w:rPr>
                      <w:rFonts w:hint="eastAsia"/>
                      <w:color w:val="0000FF"/>
                      <w:szCs w:val="21"/>
                      <w:lang w:val="en-US" w:eastAsia="zh-CN"/>
                    </w:rPr>
                    <w:t>-产品</w:t>
                  </w:r>
                </w:p>
              </w:tc>
              <w:tc>
                <w:tcPr>
                  <w:tcW w:w="925" w:type="pct"/>
                  <w:noWrap w:val="0"/>
                  <w:vAlign w:val="center"/>
                </w:tcPr>
                <w:p>
                  <w:pPr>
                    <w:widowControl/>
                    <w:jc w:val="center"/>
                    <w:rPr>
                      <w:color w:val="0000FF"/>
                      <w:szCs w:val="21"/>
                    </w:rPr>
                  </w:pPr>
                  <w:r>
                    <w:rPr>
                      <w:rFonts w:hint="default" w:ascii="Times New Roman" w:hAnsi="Times New Roman" w:cs="Times New Roman"/>
                      <w:color w:val="0000FF"/>
                      <w:sz w:val="24"/>
                    </w:rPr>
                    <w:t>非甲烷总烃</w:t>
                  </w:r>
                  <w:r>
                    <w:rPr>
                      <w:color w:val="0000FF"/>
                      <w:szCs w:val="21"/>
                    </w:rPr>
                    <w:t>VOCs产生量t/a</w:t>
                  </w:r>
                </w:p>
              </w:tc>
              <w:tc>
                <w:tcPr>
                  <w:tcW w:w="1112" w:type="pct"/>
                  <w:noWrap w:val="0"/>
                  <w:vAlign w:val="center"/>
                </w:tcPr>
                <w:p>
                  <w:pPr>
                    <w:widowControl/>
                    <w:jc w:val="center"/>
                    <w:rPr>
                      <w:color w:val="0000FF"/>
                      <w:szCs w:val="21"/>
                    </w:rPr>
                  </w:pPr>
                  <w:r>
                    <w:rPr>
                      <w:rFonts w:hint="default" w:ascii="Times New Roman" w:hAnsi="Times New Roman" w:cs="Times New Roman"/>
                      <w:color w:val="0000FF"/>
                      <w:sz w:val="24"/>
                    </w:rPr>
                    <w:t>非甲烷总烃</w:t>
                  </w:r>
                  <w:r>
                    <w:rPr>
                      <w:color w:val="0000FF"/>
                      <w:szCs w:val="21"/>
                    </w:rPr>
                    <w:t>产生速率kg/h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4" w:type="pct"/>
                  <w:noWrap w:val="0"/>
                  <w:vAlign w:val="center"/>
                </w:tcPr>
                <w:p>
                  <w:pPr>
                    <w:widowControl/>
                    <w:jc w:val="center"/>
                    <w:rPr>
                      <w:rFonts w:hint="eastAsia"/>
                      <w:color w:val="0000FF"/>
                      <w:szCs w:val="21"/>
                      <w:lang w:val="en-US" w:eastAsia="zh-CN"/>
                    </w:rPr>
                  </w:pPr>
                  <w:r>
                    <w:rPr>
                      <w:rFonts w:hint="default"/>
                      <w:color w:val="0000FF"/>
                      <w:szCs w:val="21"/>
                      <w:lang w:val="en-US" w:eastAsia="zh-CN"/>
                    </w:rPr>
                    <w:t>聚乙烯管材、管件</w:t>
                  </w:r>
                  <w:r>
                    <w:rPr>
                      <w:rFonts w:hint="eastAsia"/>
                      <w:color w:val="0000FF"/>
                      <w:szCs w:val="21"/>
                      <w:lang w:val="en-US" w:eastAsia="zh-CN"/>
                    </w:rPr>
                    <w:t>及聚丙烯管材、管件</w:t>
                  </w:r>
                </w:p>
              </w:tc>
              <w:tc>
                <w:tcPr>
                  <w:tcW w:w="742" w:type="pct"/>
                  <w:noWrap w:val="0"/>
                  <w:vAlign w:val="center"/>
                </w:tcPr>
                <w:p>
                  <w:pPr>
                    <w:widowControl/>
                    <w:jc w:val="center"/>
                    <w:rPr>
                      <w:rFonts w:hint="default"/>
                      <w:color w:val="0000FF"/>
                      <w:szCs w:val="21"/>
                      <w:lang w:val="en-US" w:eastAsia="zh-CN"/>
                    </w:rPr>
                  </w:pPr>
                  <w:r>
                    <w:rPr>
                      <w:rFonts w:hint="eastAsia"/>
                      <w:color w:val="0000FF"/>
                      <w:szCs w:val="21"/>
                      <w:lang w:val="en-US" w:eastAsia="zh-CN"/>
                    </w:rPr>
                    <w:t>6000</w:t>
                  </w:r>
                </w:p>
              </w:tc>
              <w:tc>
                <w:tcPr>
                  <w:tcW w:w="925" w:type="pct"/>
                  <w:noWrap w:val="0"/>
                  <w:vAlign w:val="center"/>
                </w:tcPr>
                <w:p>
                  <w:pPr>
                    <w:widowControl/>
                    <w:jc w:val="center"/>
                    <w:rPr>
                      <w:rFonts w:hint="default"/>
                      <w:color w:val="0000FF"/>
                      <w:szCs w:val="21"/>
                      <w:lang w:val="en-US" w:eastAsia="zh-CN"/>
                    </w:rPr>
                  </w:pPr>
                  <w:r>
                    <w:rPr>
                      <w:rFonts w:hint="eastAsia"/>
                      <w:color w:val="0000FF"/>
                      <w:szCs w:val="21"/>
                      <w:lang w:val="en-US" w:eastAsia="zh-CN"/>
                    </w:rPr>
                    <w:t>2.7</w:t>
                  </w:r>
                </w:p>
              </w:tc>
              <w:tc>
                <w:tcPr>
                  <w:tcW w:w="925" w:type="pct"/>
                  <w:noWrap w:val="0"/>
                  <w:vAlign w:val="center"/>
                </w:tcPr>
                <w:p>
                  <w:pPr>
                    <w:widowControl/>
                    <w:jc w:val="center"/>
                    <w:rPr>
                      <w:rFonts w:hint="default"/>
                      <w:color w:val="0000FF"/>
                      <w:szCs w:val="21"/>
                      <w:lang w:val="en-US" w:eastAsia="zh-CN"/>
                    </w:rPr>
                  </w:pPr>
                  <w:r>
                    <w:rPr>
                      <w:rFonts w:hint="eastAsia"/>
                      <w:color w:val="0000FF"/>
                      <w:szCs w:val="21"/>
                      <w:lang w:val="en-US" w:eastAsia="zh-CN"/>
                    </w:rPr>
                    <w:t>16.2</w:t>
                  </w:r>
                </w:p>
              </w:tc>
              <w:tc>
                <w:tcPr>
                  <w:tcW w:w="1112" w:type="pct"/>
                  <w:noWrap w:val="0"/>
                  <w:vAlign w:val="center"/>
                </w:tcPr>
                <w:p>
                  <w:pPr>
                    <w:widowControl/>
                    <w:jc w:val="center"/>
                    <w:rPr>
                      <w:rFonts w:hint="default"/>
                      <w:color w:val="0000FF"/>
                      <w:szCs w:val="21"/>
                      <w:lang w:val="en-US" w:eastAsia="zh-CN"/>
                    </w:rPr>
                  </w:pPr>
                  <w:r>
                    <w:rPr>
                      <w:rFonts w:hint="eastAsia"/>
                      <w:color w:val="0000FF"/>
                      <w:szCs w:val="21"/>
                      <w:lang w:val="en-US" w:eastAsia="zh-CN"/>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4" w:type="pct"/>
                  <w:noWrap w:val="0"/>
                  <w:vAlign w:val="center"/>
                </w:tcPr>
                <w:p>
                  <w:pPr>
                    <w:widowControl/>
                    <w:jc w:val="center"/>
                    <w:rPr>
                      <w:rFonts w:hint="eastAsia"/>
                      <w:color w:val="0000FF"/>
                      <w:szCs w:val="21"/>
                      <w:lang w:val="en-US" w:eastAsia="zh-CN"/>
                    </w:rPr>
                  </w:pPr>
                  <w:r>
                    <w:rPr>
                      <w:rFonts w:hint="eastAsia"/>
                      <w:color w:val="0000FF"/>
                      <w:szCs w:val="21"/>
                      <w:lang w:val="en-US" w:eastAsia="zh-CN"/>
                    </w:rPr>
                    <w:t>聚氯乙烯管材、管件</w:t>
                  </w:r>
                </w:p>
              </w:tc>
              <w:tc>
                <w:tcPr>
                  <w:tcW w:w="742" w:type="pct"/>
                  <w:noWrap w:val="0"/>
                  <w:vAlign w:val="center"/>
                </w:tcPr>
                <w:p>
                  <w:pPr>
                    <w:widowControl/>
                    <w:jc w:val="center"/>
                    <w:rPr>
                      <w:rFonts w:hint="default"/>
                      <w:color w:val="0000FF"/>
                      <w:szCs w:val="21"/>
                      <w:lang w:val="en-US" w:eastAsia="zh-CN"/>
                    </w:rPr>
                  </w:pPr>
                  <w:r>
                    <w:rPr>
                      <w:rFonts w:hint="eastAsia"/>
                      <w:color w:val="0000FF"/>
                      <w:szCs w:val="21"/>
                      <w:lang w:val="en-US" w:eastAsia="zh-CN"/>
                    </w:rPr>
                    <w:t>4000</w:t>
                  </w:r>
                </w:p>
              </w:tc>
              <w:tc>
                <w:tcPr>
                  <w:tcW w:w="925" w:type="pct"/>
                  <w:noWrap w:val="0"/>
                  <w:vAlign w:val="center"/>
                </w:tcPr>
                <w:p>
                  <w:pPr>
                    <w:widowControl/>
                    <w:jc w:val="center"/>
                    <w:rPr>
                      <w:rFonts w:hint="default"/>
                      <w:color w:val="0000FF"/>
                      <w:szCs w:val="21"/>
                      <w:lang w:val="en-US" w:eastAsia="zh-CN"/>
                    </w:rPr>
                  </w:pPr>
                  <w:r>
                    <w:rPr>
                      <w:rFonts w:hint="eastAsia"/>
                      <w:color w:val="0000FF"/>
                      <w:szCs w:val="21"/>
                      <w:lang w:val="en-US" w:eastAsia="zh-CN"/>
                    </w:rPr>
                    <w:t>2.7</w:t>
                  </w:r>
                </w:p>
              </w:tc>
              <w:tc>
                <w:tcPr>
                  <w:tcW w:w="925" w:type="pct"/>
                  <w:noWrap w:val="0"/>
                  <w:vAlign w:val="center"/>
                </w:tcPr>
                <w:p>
                  <w:pPr>
                    <w:widowControl/>
                    <w:jc w:val="center"/>
                    <w:rPr>
                      <w:rFonts w:hint="default"/>
                      <w:color w:val="0000FF"/>
                      <w:szCs w:val="21"/>
                      <w:lang w:val="en-US" w:eastAsia="zh-CN"/>
                    </w:rPr>
                  </w:pPr>
                  <w:r>
                    <w:rPr>
                      <w:rFonts w:hint="eastAsia"/>
                      <w:color w:val="0000FF"/>
                      <w:szCs w:val="21"/>
                      <w:lang w:val="en-US" w:eastAsia="zh-CN"/>
                    </w:rPr>
                    <w:t>10.8</w:t>
                  </w:r>
                </w:p>
              </w:tc>
              <w:tc>
                <w:tcPr>
                  <w:tcW w:w="1112" w:type="pct"/>
                  <w:noWrap w:val="0"/>
                  <w:vAlign w:val="center"/>
                </w:tcPr>
                <w:p>
                  <w:pPr>
                    <w:widowControl/>
                    <w:jc w:val="center"/>
                    <w:rPr>
                      <w:rFonts w:hint="default"/>
                      <w:color w:val="0000FF"/>
                      <w:szCs w:val="21"/>
                      <w:lang w:val="en-US" w:eastAsia="zh-CN"/>
                    </w:rPr>
                  </w:pPr>
                  <w:r>
                    <w:rPr>
                      <w:rFonts w:hint="eastAsia"/>
                      <w:color w:val="0000FF"/>
                      <w:szCs w:val="21"/>
                      <w:lang w:val="en-US" w:eastAsia="zh-CN"/>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4" w:type="pct"/>
                  <w:noWrap/>
                  <w:vAlign w:val="center"/>
                </w:tcPr>
                <w:p>
                  <w:pPr>
                    <w:widowControl/>
                    <w:jc w:val="center"/>
                    <w:rPr>
                      <w:color w:val="0000FF"/>
                      <w:szCs w:val="21"/>
                    </w:rPr>
                  </w:pPr>
                  <w:r>
                    <w:rPr>
                      <w:color w:val="0000FF"/>
                      <w:szCs w:val="21"/>
                    </w:rPr>
                    <w:t>合计</w:t>
                  </w:r>
                </w:p>
              </w:tc>
              <w:tc>
                <w:tcPr>
                  <w:tcW w:w="742" w:type="pct"/>
                  <w:noWrap/>
                  <w:vAlign w:val="center"/>
                </w:tcPr>
                <w:p>
                  <w:pPr>
                    <w:widowControl/>
                    <w:jc w:val="center"/>
                    <w:rPr>
                      <w:rFonts w:hint="default" w:eastAsia="宋体"/>
                      <w:color w:val="0000FF"/>
                      <w:szCs w:val="21"/>
                      <w:lang w:val="en-US" w:eastAsia="zh-CN"/>
                    </w:rPr>
                  </w:pPr>
                  <w:r>
                    <w:rPr>
                      <w:rFonts w:hint="eastAsia"/>
                      <w:color w:val="0000FF"/>
                      <w:szCs w:val="21"/>
                      <w:lang w:val="en-US" w:eastAsia="zh-CN"/>
                    </w:rPr>
                    <w:t>10000</w:t>
                  </w:r>
                </w:p>
              </w:tc>
              <w:tc>
                <w:tcPr>
                  <w:tcW w:w="925" w:type="pct"/>
                  <w:noWrap/>
                  <w:vAlign w:val="center"/>
                </w:tcPr>
                <w:p>
                  <w:pPr>
                    <w:widowControl/>
                    <w:jc w:val="center"/>
                    <w:rPr>
                      <w:color w:val="0000FF"/>
                      <w:szCs w:val="21"/>
                    </w:rPr>
                  </w:pPr>
                  <w:r>
                    <w:rPr>
                      <w:color w:val="0000FF"/>
                      <w:szCs w:val="21"/>
                    </w:rPr>
                    <w:t>/</w:t>
                  </w:r>
                </w:p>
              </w:tc>
              <w:tc>
                <w:tcPr>
                  <w:tcW w:w="925" w:type="pct"/>
                  <w:noWrap/>
                  <w:vAlign w:val="center"/>
                </w:tcPr>
                <w:p>
                  <w:pPr>
                    <w:widowControl/>
                    <w:jc w:val="center"/>
                    <w:rPr>
                      <w:rFonts w:hint="default" w:eastAsia="宋体"/>
                      <w:color w:val="0000FF"/>
                      <w:szCs w:val="21"/>
                      <w:lang w:val="en-US" w:eastAsia="zh-CN"/>
                    </w:rPr>
                  </w:pPr>
                  <w:r>
                    <w:rPr>
                      <w:rFonts w:hint="eastAsia"/>
                      <w:color w:val="0000FF"/>
                      <w:szCs w:val="21"/>
                      <w:lang w:val="en-US" w:eastAsia="zh-CN"/>
                    </w:rPr>
                    <w:t>27</w:t>
                  </w:r>
                </w:p>
              </w:tc>
              <w:tc>
                <w:tcPr>
                  <w:tcW w:w="1112" w:type="pct"/>
                  <w:noWrap w:val="0"/>
                  <w:vAlign w:val="center"/>
                </w:tcPr>
                <w:p>
                  <w:pPr>
                    <w:widowControl/>
                    <w:jc w:val="center"/>
                    <w:rPr>
                      <w:rFonts w:hint="default" w:eastAsia="宋体"/>
                      <w:color w:val="0000FF"/>
                      <w:szCs w:val="21"/>
                      <w:lang w:val="en-US" w:eastAsia="zh-CN"/>
                    </w:rPr>
                  </w:pPr>
                  <w:r>
                    <w:rPr>
                      <w:rFonts w:hint="eastAsia"/>
                      <w:color w:val="0000FF"/>
                      <w:szCs w:val="21"/>
                      <w:lang w:val="en-US" w:eastAsia="zh-CN"/>
                    </w:rPr>
                    <w:t>3.4</w:t>
                  </w:r>
                </w:p>
              </w:tc>
            </w:tr>
          </w:tbl>
          <w:p>
            <w:pPr>
              <w:snapToGrid w:val="0"/>
              <w:spacing w:line="360" w:lineRule="auto"/>
              <w:ind w:firstLine="482" w:firstLineChars="200"/>
              <w:rPr>
                <w:rFonts w:hint="default" w:ascii="Times New Roman" w:hAnsi="Times New Roman" w:eastAsia="宋体" w:cs="Times New Roman"/>
                <w:b/>
                <w:color w:val="000000"/>
                <w:sz w:val="24"/>
                <w:lang w:eastAsia="zh-CN"/>
              </w:rPr>
            </w:pPr>
            <w:r>
              <w:rPr>
                <w:rFonts w:hint="default" w:ascii="Times New Roman" w:hAnsi="Times New Roman" w:cs="Times New Roman"/>
                <w:b/>
                <w:color w:val="000000"/>
                <w:sz w:val="24"/>
              </w:rPr>
              <w:t>③有机废气</w:t>
            </w:r>
            <w:r>
              <w:rPr>
                <w:rFonts w:hint="default" w:ascii="Times New Roman" w:hAnsi="Times New Roman" w:cs="Times New Roman"/>
                <w:b/>
                <w:color w:val="000000"/>
                <w:sz w:val="24"/>
                <w:lang w:val="en-US" w:eastAsia="zh-CN"/>
              </w:rPr>
              <w:t>拟采取措施</w:t>
            </w:r>
          </w:p>
          <w:p>
            <w:pPr>
              <w:snapToGrid w:val="0"/>
              <w:spacing w:line="360" w:lineRule="auto"/>
              <w:ind w:firstLine="482"/>
              <w:rPr>
                <w:rFonts w:hint="default" w:ascii="Times New Roman" w:hAnsi="Times New Roman" w:cs="Times New Roman"/>
                <w:bCs/>
                <w:color w:val="000000"/>
                <w:sz w:val="24"/>
              </w:rPr>
            </w:pPr>
            <w:r>
              <w:rPr>
                <w:rFonts w:hint="default" w:ascii="Times New Roman" w:hAnsi="Times New Roman" w:cs="Times New Roman"/>
                <w:bCs/>
                <w:color w:val="000000"/>
                <w:sz w:val="24"/>
                <w:highlight w:val="none"/>
              </w:rPr>
              <w:t>本项目拟在</w:t>
            </w:r>
            <w:r>
              <w:rPr>
                <w:rFonts w:hint="default" w:ascii="Times New Roman" w:hAnsi="Times New Roman" w:cs="Times New Roman"/>
                <w:bCs/>
                <w:color w:val="000000"/>
                <w:sz w:val="24"/>
                <w:highlight w:val="none"/>
                <w:lang w:val="en-US" w:eastAsia="zh-CN"/>
              </w:rPr>
              <w:t>北</w:t>
            </w:r>
            <w:r>
              <w:rPr>
                <w:rFonts w:hint="default" w:ascii="Times New Roman" w:hAnsi="Times New Roman" w:cs="Times New Roman"/>
                <w:bCs/>
                <w:color w:val="000000"/>
                <w:sz w:val="24"/>
                <w:highlight w:val="none"/>
              </w:rPr>
              <w:t>车间设置</w:t>
            </w:r>
            <w:r>
              <w:rPr>
                <w:rFonts w:hint="default" w:ascii="Times New Roman" w:hAnsi="Times New Roman" w:cs="Times New Roman"/>
                <w:bCs/>
                <w:color w:val="000000"/>
                <w:sz w:val="24"/>
                <w:highlight w:val="none"/>
                <w:lang w:val="en-US" w:eastAsia="zh-CN"/>
              </w:rPr>
              <w:t>8</w:t>
            </w:r>
            <w:r>
              <w:rPr>
                <w:rFonts w:hint="default" w:ascii="Times New Roman" w:hAnsi="Times New Roman" w:cs="Times New Roman"/>
                <w:bCs/>
                <w:color w:val="000000"/>
                <w:sz w:val="24"/>
                <w:highlight w:val="none"/>
              </w:rPr>
              <w:t>套PVC挤塑机、</w:t>
            </w:r>
            <w:r>
              <w:rPr>
                <w:rFonts w:hint="default" w:ascii="Times New Roman" w:hAnsi="Times New Roman" w:cs="Times New Roman"/>
                <w:bCs/>
                <w:color w:val="000000"/>
                <w:sz w:val="24"/>
                <w:highlight w:val="none"/>
                <w:lang w:val="en-US" w:eastAsia="zh-CN"/>
              </w:rPr>
              <w:t>2</w:t>
            </w:r>
            <w:r>
              <w:rPr>
                <w:rFonts w:hint="default" w:ascii="Times New Roman" w:hAnsi="Times New Roman" w:cs="Times New Roman"/>
                <w:bCs/>
                <w:color w:val="000000"/>
                <w:sz w:val="24"/>
                <w:highlight w:val="none"/>
              </w:rPr>
              <w:t>套PPR挤塑机、</w:t>
            </w:r>
            <w:r>
              <w:rPr>
                <w:rFonts w:hint="default" w:ascii="Times New Roman" w:hAnsi="Times New Roman" w:cs="Times New Roman"/>
                <w:bCs/>
                <w:color w:val="000000"/>
                <w:sz w:val="24"/>
                <w:highlight w:val="none"/>
                <w:lang w:val="en-US" w:eastAsia="zh-CN"/>
              </w:rPr>
              <w:t>3</w:t>
            </w:r>
            <w:r>
              <w:rPr>
                <w:rFonts w:hint="default" w:ascii="Times New Roman" w:hAnsi="Times New Roman" w:cs="Times New Roman"/>
                <w:bCs/>
                <w:color w:val="000000"/>
                <w:sz w:val="24"/>
                <w:highlight w:val="none"/>
              </w:rPr>
              <w:t>套PE挤塑机；在</w:t>
            </w:r>
            <w:r>
              <w:rPr>
                <w:rFonts w:hint="default" w:ascii="Times New Roman" w:hAnsi="Times New Roman" w:cs="Times New Roman"/>
                <w:bCs/>
                <w:color w:val="000000"/>
                <w:sz w:val="24"/>
                <w:highlight w:val="none"/>
                <w:lang w:val="en-US" w:eastAsia="zh-CN"/>
              </w:rPr>
              <w:t>南</w:t>
            </w:r>
            <w:r>
              <w:rPr>
                <w:rFonts w:hint="default" w:ascii="Times New Roman" w:hAnsi="Times New Roman" w:cs="Times New Roman"/>
                <w:bCs/>
                <w:color w:val="000000"/>
                <w:sz w:val="24"/>
                <w:highlight w:val="none"/>
              </w:rPr>
              <w:t>车间设置</w:t>
            </w:r>
            <w:r>
              <w:rPr>
                <w:rFonts w:hint="default" w:ascii="Times New Roman" w:hAnsi="Times New Roman" w:cs="Times New Roman"/>
                <w:bCs/>
                <w:color w:val="000000"/>
                <w:sz w:val="24"/>
                <w:highlight w:val="none"/>
                <w:lang w:val="en-US" w:eastAsia="zh-CN"/>
              </w:rPr>
              <w:t>10</w:t>
            </w:r>
            <w:r>
              <w:rPr>
                <w:rFonts w:hint="default" w:ascii="Times New Roman" w:hAnsi="Times New Roman" w:cs="Times New Roman"/>
                <w:bCs/>
                <w:color w:val="000000"/>
                <w:sz w:val="24"/>
                <w:highlight w:val="none"/>
              </w:rPr>
              <w:t>台注塑机。环评要求：在</w:t>
            </w:r>
            <w:r>
              <w:rPr>
                <w:rFonts w:hint="default" w:ascii="Times New Roman" w:hAnsi="Times New Roman" w:cs="Times New Roman"/>
                <w:bCs/>
                <w:color w:val="000000"/>
                <w:sz w:val="24"/>
                <w:highlight w:val="none"/>
                <w:lang w:val="en-US" w:eastAsia="zh-CN"/>
              </w:rPr>
              <w:t>8</w:t>
            </w:r>
            <w:r>
              <w:rPr>
                <w:rFonts w:hint="default" w:ascii="Times New Roman" w:hAnsi="Times New Roman" w:cs="Times New Roman"/>
                <w:bCs/>
                <w:color w:val="000000"/>
                <w:sz w:val="24"/>
                <w:highlight w:val="none"/>
              </w:rPr>
              <w:t>套PVC挤塑机挤塑主机出口上方、</w:t>
            </w:r>
            <w:r>
              <w:rPr>
                <w:rFonts w:hint="default" w:ascii="Times New Roman" w:hAnsi="Times New Roman" w:cs="Times New Roman"/>
                <w:bCs/>
                <w:color w:val="000000"/>
                <w:sz w:val="24"/>
                <w:highlight w:val="none"/>
                <w:lang w:val="en-US" w:eastAsia="zh-CN"/>
              </w:rPr>
              <w:t>2套</w:t>
            </w:r>
            <w:r>
              <w:rPr>
                <w:rFonts w:hint="default" w:ascii="Times New Roman" w:hAnsi="Times New Roman" w:cs="Times New Roman"/>
                <w:bCs/>
                <w:color w:val="000000"/>
                <w:sz w:val="24"/>
                <w:highlight w:val="none"/>
              </w:rPr>
              <w:t>PPR挤塑机挤塑主机出口上方、</w:t>
            </w:r>
            <w:r>
              <w:rPr>
                <w:rFonts w:hint="default" w:ascii="Times New Roman" w:hAnsi="Times New Roman" w:cs="Times New Roman"/>
                <w:bCs/>
                <w:color w:val="000000"/>
                <w:sz w:val="24"/>
                <w:highlight w:val="none"/>
                <w:lang w:val="en-US" w:eastAsia="zh-CN"/>
              </w:rPr>
              <w:t>3</w:t>
            </w:r>
            <w:r>
              <w:rPr>
                <w:rFonts w:hint="default" w:ascii="Times New Roman" w:hAnsi="Times New Roman" w:cs="Times New Roman"/>
                <w:bCs/>
                <w:color w:val="000000"/>
                <w:sz w:val="24"/>
                <w:highlight w:val="none"/>
              </w:rPr>
              <w:t>套PE挤塑机挤塑主机出口上方、</w:t>
            </w:r>
            <w:r>
              <w:rPr>
                <w:rFonts w:hint="default" w:ascii="Times New Roman" w:hAnsi="Times New Roman" w:cs="Times New Roman"/>
                <w:bCs/>
                <w:color w:val="000000"/>
                <w:sz w:val="24"/>
                <w:highlight w:val="none"/>
                <w:lang w:val="en-US" w:eastAsia="zh-CN"/>
              </w:rPr>
              <w:t>10</w:t>
            </w:r>
            <w:r>
              <w:rPr>
                <w:rFonts w:hint="default" w:ascii="Times New Roman" w:hAnsi="Times New Roman" w:cs="Times New Roman"/>
                <w:bCs/>
                <w:color w:val="000000"/>
                <w:sz w:val="24"/>
                <w:highlight w:val="none"/>
              </w:rPr>
              <w:t>台注塑机注塑工序上方分别设置集气</w:t>
            </w:r>
            <w:r>
              <w:rPr>
                <w:rFonts w:hint="default" w:ascii="Times New Roman" w:hAnsi="Times New Roman" w:cs="Times New Roman"/>
                <w:bCs/>
                <w:color w:val="000000"/>
                <w:sz w:val="24"/>
              </w:rPr>
              <w:t>罩，</w:t>
            </w:r>
            <w:r>
              <w:rPr>
                <w:rFonts w:hint="default" w:ascii="Times New Roman" w:hAnsi="Times New Roman" w:cs="Times New Roman"/>
                <w:sz w:val="24"/>
              </w:rPr>
              <w:t>集气罩投影面积应大于挤出系统出口面积，</w:t>
            </w:r>
            <w:r>
              <w:rPr>
                <w:rFonts w:hint="default" w:ascii="Times New Roman" w:hAnsi="Times New Roman" w:cs="Times New Roman"/>
                <w:bCs/>
                <w:color w:val="000000"/>
                <w:sz w:val="24"/>
              </w:rPr>
              <w:t>对有机废气进行收集（收集率为90%），集气风量为</w:t>
            </w:r>
            <w:r>
              <w:rPr>
                <w:rFonts w:hint="default" w:ascii="Times New Roman" w:hAnsi="Times New Roman" w:cs="Times New Roman"/>
                <w:bCs/>
                <w:color w:val="000000"/>
                <w:sz w:val="24"/>
                <w:lang w:val="en-US" w:eastAsia="zh-CN"/>
              </w:rPr>
              <w:t>2</w:t>
            </w:r>
            <w:r>
              <w:rPr>
                <w:rFonts w:hint="default" w:ascii="Times New Roman" w:hAnsi="Times New Roman" w:cs="Times New Roman"/>
                <w:bCs/>
                <w:color w:val="000000"/>
                <w:sz w:val="24"/>
              </w:rPr>
              <w:t>0000</w:t>
            </w:r>
            <w:r>
              <w:rPr>
                <w:rFonts w:hint="default" w:ascii="Times New Roman" w:hAnsi="Times New Roman" w:cs="Times New Roman"/>
                <w:bCs/>
                <w:sz w:val="24"/>
                <w:lang w:val="de-DE"/>
              </w:rPr>
              <w:t>m</w:t>
            </w:r>
            <w:r>
              <w:rPr>
                <w:rFonts w:hint="default" w:ascii="Times New Roman" w:hAnsi="Times New Roman" w:cs="Times New Roman"/>
                <w:bCs/>
                <w:sz w:val="24"/>
                <w:vertAlign w:val="superscript"/>
                <w:lang w:val="de-DE"/>
              </w:rPr>
              <w:t>3</w:t>
            </w:r>
            <w:r>
              <w:rPr>
                <w:rFonts w:hint="default" w:ascii="Times New Roman" w:hAnsi="Times New Roman" w:cs="Times New Roman"/>
                <w:bCs/>
                <w:sz w:val="24"/>
                <w:lang w:val="de-DE"/>
              </w:rPr>
              <w:t>/h。</w:t>
            </w:r>
          </w:p>
          <w:p>
            <w:pPr>
              <w:snapToGrid w:val="0"/>
              <w:spacing w:line="360" w:lineRule="auto"/>
              <w:ind w:firstLine="480" w:firstLineChars="200"/>
              <w:textAlignment w:val="baseline"/>
              <w:rPr>
                <w:rFonts w:hint="default" w:ascii="Times New Roman" w:hAnsi="Times New Roman" w:cs="Times New Roman"/>
                <w:sz w:val="24"/>
                <w:lang w:eastAsia="zh-CN"/>
              </w:rPr>
            </w:pPr>
            <w:r>
              <w:rPr>
                <w:rFonts w:hint="default" w:ascii="Times New Roman" w:hAnsi="Times New Roman" w:cs="Times New Roman"/>
                <w:color w:val="000000"/>
                <w:sz w:val="24"/>
              </w:rPr>
              <w:t>根据《重点区域大气污染防治“十二五”规划》四川省实施方案中，“新、改、扩建项目排放挥发性有机物的车间有机废气的收集率应大于90%，产生含挥发性有机物废气需进行净化处理，净化效率应不低于90%”的要求，</w:t>
            </w:r>
            <w:r>
              <w:rPr>
                <w:rFonts w:hint="default" w:ascii="Times New Roman" w:hAnsi="Times New Roman" w:cs="Times New Roman"/>
                <w:sz w:val="24"/>
              </w:rPr>
              <w:t>结合国内外目前对有机废气的处理技术</w:t>
            </w:r>
            <w:r>
              <w:rPr>
                <w:rFonts w:hint="default" w:ascii="Times New Roman" w:hAnsi="Times New Roman" w:cs="Times New Roman"/>
                <w:sz w:val="24"/>
                <w:lang w:eastAsia="zh-CN"/>
              </w:rPr>
              <w:t>。</w:t>
            </w:r>
          </w:p>
          <w:p>
            <w:pPr>
              <w:snapToGrid w:val="0"/>
              <w:spacing w:line="360" w:lineRule="auto"/>
              <w:ind w:firstLine="480" w:firstLineChars="200"/>
              <w:textAlignment w:val="baseline"/>
              <w:rPr>
                <w:rFonts w:hint="default" w:ascii="Times New Roman" w:hAnsi="Times New Roman" w:eastAsia="宋体" w:cs="Times New Roman"/>
                <w:b w:val="0"/>
                <w:bCs w:val="0"/>
                <w:sz w:val="24"/>
                <w:lang w:val="en-GB" w:eastAsia="zh-CN"/>
              </w:rPr>
            </w:pPr>
            <w:r>
              <w:rPr>
                <w:rFonts w:hint="default" w:ascii="Times New Roman" w:hAnsi="Times New Roman" w:eastAsia="宋体" w:cs="Times New Roman"/>
                <w:b w:val="0"/>
                <w:bCs w:val="0"/>
                <w:sz w:val="24"/>
                <w:lang w:val="en-US" w:eastAsia="zh-CN"/>
              </w:rPr>
              <w:t>参考《《排污许可证申请与核发技术规范——橡胶和塑料制品工业》、《挥发性有机物无组织排放控制标准》（GB 37822—2019）</w:t>
            </w:r>
            <w:r>
              <w:rPr>
                <w:rFonts w:hint="eastAsia" w:ascii="Times New Roman" w:hAnsi="Times New Roman" w:eastAsia="宋体" w:cs="Times New Roman"/>
                <w:b w:val="0"/>
                <w:bCs w:val="0"/>
                <w:sz w:val="24"/>
                <w:lang w:val="en-US" w:eastAsia="zh-CN"/>
              </w:rPr>
              <w:t>、</w:t>
            </w:r>
            <w:r>
              <w:rPr>
                <w:rFonts w:hint="default" w:ascii="Times New Roman" w:hAnsi="Times New Roman" w:eastAsia="宋体" w:cs="Times New Roman"/>
                <w:b w:val="0"/>
                <w:bCs w:val="0"/>
                <w:sz w:val="24"/>
                <w:lang w:val="en-US" w:eastAsia="zh-CN"/>
              </w:rPr>
              <w:t>《第二次全国污染源普查工业污染源普查——292塑料制品行业系数手册》</w:t>
            </w:r>
            <w:r>
              <w:rPr>
                <w:rFonts w:hint="eastAsia" w:ascii="Times New Roman" w:hAnsi="Times New Roman" w:eastAsia="宋体" w:cs="Times New Roman"/>
                <w:b w:val="0"/>
                <w:bCs w:val="0"/>
                <w:sz w:val="24"/>
                <w:lang w:val="en-US" w:eastAsia="zh-CN"/>
              </w:rPr>
              <w:t>，</w:t>
            </w:r>
            <w:r>
              <w:rPr>
                <w:rFonts w:hint="default" w:ascii="Times New Roman" w:hAnsi="Times New Roman" w:eastAsia="宋体" w:cs="Times New Roman"/>
                <w:b w:val="0"/>
                <w:bCs w:val="0"/>
                <w:sz w:val="24"/>
              </w:rPr>
              <w:t>经与业主沟通，并从节省投资方面考虑，拟采取如下措施</w:t>
            </w:r>
            <w:r>
              <w:rPr>
                <w:rFonts w:hint="default" w:ascii="Times New Roman" w:hAnsi="Times New Roman" w:eastAsia="宋体" w:cs="Times New Roman"/>
                <w:b w:val="0"/>
                <w:bCs w:val="0"/>
                <w:sz w:val="24"/>
                <w:lang w:eastAsia="zh-CN"/>
              </w:rPr>
              <w:t>：</w:t>
            </w:r>
          </w:p>
          <w:p>
            <w:pPr>
              <w:tabs>
                <w:tab w:val="left" w:pos="4860"/>
              </w:tabs>
              <w:snapToGrid w:val="0"/>
              <w:spacing w:line="360" w:lineRule="auto"/>
              <w:ind w:firstLine="482" w:firstLineChars="200"/>
              <w:rPr>
                <w:rFonts w:hint="default" w:ascii="Times New Roman" w:hAnsi="Times New Roman" w:cs="Times New Roman"/>
              </w:rPr>
            </w:pPr>
            <w:r>
              <w:rPr>
                <w:rFonts w:hint="default" w:ascii="Times New Roman" w:hAnsi="Times New Roman" w:cs="Times New Roman"/>
                <w:b/>
                <w:bCs/>
                <w:sz w:val="24"/>
                <w:u w:val="single"/>
                <w:lang w:val="en-US" w:eastAsia="zh-CN"/>
              </w:rPr>
              <w:t>工艺说明：</w:t>
            </w:r>
            <w:r>
              <w:rPr>
                <w:rFonts w:hint="default" w:ascii="Times New Roman" w:hAnsi="Times New Roman" w:cs="Times New Roman"/>
                <w:sz w:val="24"/>
                <w:lang w:val="en-US" w:eastAsia="zh-CN"/>
              </w:rPr>
              <w:t>由于本工程PPR、PE、</w:t>
            </w:r>
            <w:r>
              <w:rPr>
                <w:rFonts w:hint="default" w:ascii="Times New Roman" w:hAnsi="Times New Roman" w:cs="Times New Roman"/>
                <w:sz w:val="24"/>
              </w:rPr>
              <w:t>PVC管材管件生产</w:t>
            </w:r>
            <w:r>
              <w:rPr>
                <w:rFonts w:hint="default" w:ascii="Times New Roman" w:hAnsi="Times New Roman" w:cs="Times New Roman"/>
                <w:sz w:val="24"/>
                <w:lang w:val="en-US" w:eastAsia="zh-CN"/>
              </w:rPr>
              <w:t>废气中存在大量的 VOCs，项目生产过程中挥发的有机废气经各挤塑机、注塑机上方设置的集气罩集中收集后，进入厂房设置的UV光解设备中，利用一定的波长光照下，利用催化剂的光催化活性，使吸附在其表面的有机废气发生氧化还原反应，最终将有机物氧化成CO2和H2O及无机小分子物质，在UV光解设备出风口设置二级活性炭吸附装置，当有机废气进入到活性炭吸附装置吸附床后，废气中的有机物质附着在活性炭的表面，进一步减少排入环境 的废气量，达到净化气体的目的，经过净化之后的气体会随着风机进入到空气中。</w:t>
            </w:r>
          </w:p>
          <w:p>
            <w:pPr>
              <w:snapToGrid w:val="0"/>
              <w:spacing w:line="360" w:lineRule="auto"/>
              <w:jc w:val="center"/>
              <w:rPr>
                <w:rFonts w:hint="default" w:ascii="Times New Roman" w:hAnsi="Times New Roman" w:cs="Times New Roman"/>
                <w:b/>
                <w:color w:val="000000"/>
                <w:sz w:val="24"/>
              </w:rPr>
            </w:pPr>
            <w:r>
              <w:rPr>
                <w:rFonts w:hint="default" w:ascii="Times New Roman" w:hAnsi="Times New Roman" w:cs="Times New Roman"/>
              </w:rPr>
              <w:drawing>
                <wp:inline distT="0" distB="0" distL="114300" distR="114300">
                  <wp:extent cx="4658360" cy="3088640"/>
                  <wp:effectExtent l="0" t="0" r="5080" b="50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23"/>
                          <a:stretch>
                            <a:fillRect/>
                          </a:stretch>
                        </pic:blipFill>
                        <pic:spPr>
                          <a:xfrm>
                            <a:off x="0" y="0"/>
                            <a:ext cx="4658360" cy="3088640"/>
                          </a:xfrm>
                          <a:prstGeom prst="rect">
                            <a:avLst/>
                          </a:prstGeom>
                          <a:noFill/>
                          <a:ln>
                            <a:noFill/>
                          </a:ln>
                        </pic:spPr>
                      </pic:pic>
                    </a:graphicData>
                  </a:graphic>
                </wp:inline>
              </w:drawing>
            </w:r>
          </w:p>
          <w:p>
            <w:pPr>
              <w:snapToGrid w:val="0"/>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④有机废气排放情况</w:t>
            </w:r>
          </w:p>
          <w:p>
            <w:pPr>
              <w:snapToGrid w:val="0"/>
              <w:spacing w:line="360" w:lineRule="auto"/>
              <w:ind w:firstLine="480"/>
              <w:rPr>
                <w:rFonts w:hint="default" w:ascii="Times New Roman" w:hAnsi="Times New Roman" w:eastAsia="黑体" w:cs="Times New Roman"/>
                <w:sz w:val="24"/>
              </w:rPr>
            </w:pPr>
            <w:r>
              <w:rPr>
                <w:rFonts w:hint="default" w:ascii="Times New Roman" w:hAnsi="Times New Roman" w:eastAsia="黑体" w:cs="Times New Roman"/>
                <w:sz w:val="24"/>
              </w:rPr>
              <w:t>1）有机废气有组织排放</w:t>
            </w:r>
          </w:p>
          <w:p>
            <w:pPr>
              <w:snapToGrid w:val="0"/>
              <w:spacing w:line="360" w:lineRule="auto"/>
              <w:ind w:firstLine="482"/>
              <w:jc w:val="center"/>
              <w:rPr>
                <w:rFonts w:hint="default" w:ascii="Times New Roman" w:hAnsi="Times New Roman" w:cs="Times New Roman"/>
                <w:b/>
                <w:sz w:val="22"/>
                <w:szCs w:val="22"/>
                <w:highlight w:val="none"/>
              </w:rPr>
            </w:pPr>
            <w:r>
              <w:rPr>
                <w:rFonts w:hint="default" w:ascii="Times New Roman" w:hAnsi="Times New Roman" w:cs="Times New Roman"/>
                <w:b/>
                <w:sz w:val="22"/>
                <w:szCs w:val="22"/>
                <w:highlight w:val="none"/>
              </w:rPr>
              <w:t>表</w:t>
            </w:r>
            <w:r>
              <w:rPr>
                <w:rFonts w:hint="eastAsia" w:ascii="Times New Roman" w:hAnsi="Times New Roman" w:cs="Times New Roman"/>
                <w:b/>
                <w:sz w:val="22"/>
                <w:szCs w:val="22"/>
                <w:highlight w:val="none"/>
                <w:lang w:val="en-US" w:eastAsia="zh-CN"/>
              </w:rPr>
              <w:t>4</w:t>
            </w:r>
            <w:r>
              <w:rPr>
                <w:rFonts w:hint="default" w:ascii="Times New Roman" w:hAnsi="Times New Roman" w:cs="Times New Roman"/>
                <w:b/>
                <w:sz w:val="22"/>
                <w:szCs w:val="22"/>
                <w:highlight w:val="none"/>
              </w:rPr>
              <w:t>-</w:t>
            </w:r>
            <w:r>
              <w:rPr>
                <w:rFonts w:hint="eastAsia" w:cs="Times New Roman"/>
                <w:b/>
                <w:sz w:val="22"/>
                <w:szCs w:val="22"/>
                <w:highlight w:val="none"/>
                <w:lang w:val="en-US" w:eastAsia="zh-CN"/>
              </w:rPr>
              <w:t>2</w:t>
            </w:r>
            <w:r>
              <w:rPr>
                <w:rFonts w:hint="default" w:ascii="Times New Roman" w:hAnsi="Times New Roman" w:cs="Times New Roman"/>
                <w:b/>
                <w:sz w:val="22"/>
                <w:szCs w:val="22"/>
                <w:highlight w:val="none"/>
              </w:rPr>
              <w:t xml:space="preserve"> 本项目有机废气经处理之后排放情况</w:t>
            </w:r>
          </w:p>
          <w:tbl>
            <w:tblPr>
              <w:tblStyle w:val="16"/>
              <w:tblW w:w="76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4"/>
              <w:gridCol w:w="379"/>
              <w:gridCol w:w="579"/>
              <w:gridCol w:w="743"/>
              <w:gridCol w:w="383"/>
              <w:gridCol w:w="551"/>
              <w:gridCol w:w="411"/>
              <w:gridCol w:w="595"/>
              <w:gridCol w:w="536"/>
              <w:gridCol w:w="676"/>
              <w:gridCol w:w="597"/>
              <w:gridCol w:w="330"/>
              <w:gridCol w:w="530"/>
              <w:gridCol w:w="597"/>
              <w:gridCol w:w="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8" w:type="pct"/>
                  <w:vMerge w:val="restart"/>
                  <w:noWrap w:val="0"/>
                  <w:vAlign w:val="center"/>
                </w:tcPr>
                <w:p>
                  <w:pPr>
                    <w:autoSpaceDE w:val="0"/>
                    <w:autoSpaceDN w:val="0"/>
                    <w:spacing w:line="240" w:lineRule="atLeast"/>
                    <w:jc w:val="center"/>
                    <w:rPr>
                      <w:rFonts w:hint="default" w:ascii="Times New Roman" w:hAnsi="Times New Roman" w:cs="Times New Roman"/>
                      <w:color w:val="0000FF"/>
                      <w:kern w:val="0"/>
                      <w:sz w:val="21"/>
                      <w:szCs w:val="21"/>
                      <w:highlight w:val="none"/>
                    </w:rPr>
                  </w:pPr>
                  <w:r>
                    <w:rPr>
                      <w:rFonts w:hint="default" w:ascii="Times New Roman" w:hAnsi="Times New Roman" w:cs="Times New Roman"/>
                      <w:color w:val="0000FF"/>
                      <w:kern w:val="0"/>
                      <w:sz w:val="21"/>
                      <w:szCs w:val="21"/>
                      <w:highlight w:val="none"/>
                    </w:rPr>
                    <w:t>产生</w:t>
                  </w:r>
                </w:p>
                <w:p>
                  <w:pPr>
                    <w:jc w:val="center"/>
                    <w:rPr>
                      <w:rFonts w:hint="default" w:ascii="Times New Roman" w:hAnsi="Times New Roman" w:cs="Times New Roman"/>
                      <w:b/>
                      <w:color w:val="0000FF"/>
                      <w:sz w:val="21"/>
                      <w:szCs w:val="21"/>
                      <w:highlight w:val="none"/>
                    </w:rPr>
                  </w:pPr>
                  <w:r>
                    <w:rPr>
                      <w:rFonts w:hint="default" w:ascii="Times New Roman" w:hAnsi="Times New Roman" w:cs="Times New Roman"/>
                      <w:color w:val="0000FF"/>
                      <w:kern w:val="0"/>
                      <w:sz w:val="21"/>
                      <w:szCs w:val="21"/>
                      <w:highlight w:val="none"/>
                    </w:rPr>
                    <w:t>位置及排气气筒编号</w:t>
                  </w:r>
                </w:p>
              </w:tc>
              <w:tc>
                <w:tcPr>
                  <w:tcW w:w="629" w:type="pct"/>
                  <w:gridSpan w:val="2"/>
                  <w:noWrap w:val="0"/>
                  <w:vAlign w:val="center"/>
                </w:tcPr>
                <w:p>
                  <w:pPr>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排放参数</w:t>
                  </w:r>
                </w:p>
              </w:tc>
              <w:tc>
                <w:tcPr>
                  <w:tcW w:w="488" w:type="pct"/>
                  <w:vMerge w:val="restart"/>
                  <w:noWrap w:val="0"/>
                  <w:vAlign w:val="center"/>
                </w:tcPr>
                <w:p>
                  <w:pPr>
                    <w:jc w:val="both"/>
                    <w:rPr>
                      <w:rFonts w:hint="default" w:ascii="Times New Roman" w:hAnsi="Times New Roman" w:eastAsia="宋体" w:cs="Times New Roman"/>
                      <w:b/>
                      <w:color w:val="0000FF"/>
                      <w:sz w:val="21"/>
                      <w:szCs w:val="21"/>
                      <w:highlight w:val="none"/>
                      <w:lang w:val="en-US" w:eastAsia="zh-CN"/>
                    </w:rPr>
                  </w:pPr>
                  <w:r>
                    <w:rPr>
                      <w:rFonts w:hint="default" w:ascii="Times New Roman" w:hAnsi="Times New Roman" w:cs="Times New Roman"/>
                      <w:color w:val="0000FF"/>
                      <w:sz w:val="21"/>
                      <w:szCs w:val="21"/>
                      <w:lang w:val="en-US" w:eastAsia="zh-CN"/>
                    </w:rPr>
                    <w:t>产品</w:t>
                  </w:r>
                </w:p>
              </w:tc>
              <w:tc>
                <w:tcPr>
                  <w:tcW w:w="251" w:type="pct"/>
                  <w:vMerge w:val="restart"/>
                  <w:noWrap w:val="0"/>
                  <w:vAlign w:val="center"/>
                </w:tcPr>
                <w:p>
                  <w:pPr>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污染物</w:t>
                  </w:r>
                </w:p>
                <w:p>
                  <w:pPr>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名称</w:t>
                  </w:r>
                </w:p>
              </w:tc>
              <w:tc>
                <w:tcPr>
                  <w:tcW w:w="1023" w:type="pct"/>
                  <w:gridSpan w:val="3"/>
                  <w:noWrap w:val="0"/>
                  <w:vAlign w:val="center"/>
                </w:tcPr>
                <w:p>
                  <w:pPr>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处理前</w:t>
                  </w:r>
                </w:p>
              </w:tc>
              <w:tc>
                <w:tcPr>
                  <w:tcW w:w="1188" w:type="pct"/>
                  <w:gridSpan w:val="3"/>
                  <w:noWrap w:val="0"/>
                  <w:vAlign w:val="center"/>
                </w:tcPr>
                <w:p>
                  <w:pPr>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处理后</w:t>
                  </w:r>
                </w:p>
              </w:tc>
              <w:tc>
                <w:tcPr>
                  <w:tcW w:w="216" w:type="pct"/>
                  <w:vMerge w:val="restart"/>
                  <w:noWrap w:val="0"/>
                  <w:vAlign w:val="center"/>
                </w:tcPr>
                <w:p>
                  <w:pPr>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处理效率</w:t>
                  </w:r>
                </w:p>
                <w:p>
                  <w:pPr>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w:t>
                  </w:r>
                </w:p>
              </w:tc>
              <w:tc>
                <w:tcPr>
                  <w:tcW w:w="740" w:type="pct"/>
                  <w:gridSpan w:val="2"/>
                  <w:noWrap w:val="0"/>
                  <w:vAlign w:val="center"/>
                </w:tcPr>
                <w:p>
                  <w:pPr>
                    <w:jc w:val="center"/>
                    <w:rPr>
                      <w:rFonts w:hint="default" w:ascii="Times New Roman" w:hAnsi="Times New Roman" w:eastAsia="宋体" w:cs="Times New Roman"/>
                      <w:b/>
                      <w:color w:val="0000FF"/>
                      <w:kern w:val="2"/>
                      <w:sz w:val="21"/>
                      <w:szCs w:val="21"/>
                      <w:highlight w:val="none"/>
                      <w:lang w:val="en-US" w:eastAsia="zh-CN" w:bidi="ar-SA"/>
                    </w:rPr>
                  </w:pPr>
                  <w:r>
                    <w:rPr>
                      <w:rFonts w:hint="default" w:ascii="Times New Roman" w:hAnsi="Times New Roman" w:cs="Times New Roman"/>
                      <w:b/>
                      <w:color w:val="0000FF"/>
                      <w:sz w:val="21"/>
                      <w:szCs w:val="21"/>
                      <w:highlight w:val="none"/>
                    </w:rPr>
                    <w:t>评价标准</w:t>
                  </w:r>
                </w:p>
              </w:tc>
              <w:tc>
                <w:tcPr>
                  <w:tcW w:w="162" w:type="pct"/>
                  <w:vMerge w:val="restart"/>
                  <w:noWrap w:val="0"/>
                  <w:vAlign w:val="center"/>
                </w:tcPr>
                <w:p>
                  <w:pPr>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达标</w:t>
                  </w:r>
                </w:p>
                <w:p>
                  <w:pPr>
                    <w:jc w:val="center"/>
                    <w:rPr>
                      <w:rFonts w:hint="default" w:ascii="Times New Roman" w:hAnsi="Times New Roman" w:cs="Times New Roman"/>
                      <w:b/>
                      <w:color w:val="0000FF"/>
                      <w:sz w:val="21"/>
                      <w:szCs w:val="21"/>
                      <w:highlight w:val="none"/>
                    </w:rPr>
                  </w:pPr>
                  <w:r>
                    <w:rPr>
                      <w:rFonts w:hint="default" w:ascii="Times New Roman" w:hAnsi="Times New Roman" w:cs="Times New Roman"/>
                      <w:b/>
                      <w:color w:val="0000FF"/>
                      <w:sz w:val="21"/>
                      <w:szCs w:val="21"/>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8" w:type="pct"/>
                  <w:vMerge w:val="continue"/>
                  <w:noWrap w:val="0"/>
                  <w:vAlign w:val="center"/>
                </w:tcPr>
                <w:p>
                  <w:pPr>
                    <w:jc w:val="center"/>
                    <w:rPr>
                      <w:rFonts w:hint="default" w:ascii="Times New Roman" w:hAnsi="Times New Roman" w:cs="Times New Roman"/>
                      <w:color w:val="0000FF"/>
                      <w:sz w:val="21"/>
                      <w:szCs w:val="21"/>
                      <w:highlight w:val="none"/>
                    </w:rPr>
                  </w:pPr>
                </w:p>
              </w:tc>
              <w:tc>
                <w:tcPr>
                  <w:tcW w:w="249" w:type="pct"/>
                  <w:noWrap w:val="0"/>
                  <w:vAlign w:val="center"/>
                </w:tcPr>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高度</w:t>
                  </w:r>
                </w:p>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（m）</w:t>
                  </w:r>
                </w:p>
              </w:tc>
              <w:tc>
                <w:tcPr>
                  <w:tcW w:w="380" w:type="pct"/>
                  <w:noWrap w:val="0"/>
                  <w:vAlign w:val="center"/>
                </w:tcPr>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风量</w:t>
                  </w:r>
                </w:p>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（m</w:t>
                  </w:r>
                  <w:r>
                    <w:rPr>
                      <w:rFonts w:hint="default" w:ascii="Times New Roman" w:hAnsi="Times New Roman" w:cs="Times New Roman"/>
                      <w:color w:val="0000FF"/>
                      <w:sz w:val="21"/>
                      <w:szCs w:val="21"/>
                      <w:highlight w:val="none"/>
                      <w:vertAlign w:val="superscript"/>
                    </w:rPr>
                    <w:t>3</w:t>
                  </w:r>
                  <w:r>
                    <w:rPr>
                      <w:rFonts w:hint="default" w:ascii="Times New Roman" w:hAnsi="Times New Roman" w:cs="Times New Roman"/>
                      <w:color w:val="0000FF"/>
                      <w:sz w:val="21"/>
                      <w:szCs w:val="21"/>
                      <w:highlight w:val="none"/>
                    </w:rPr>
                    <w:t>/h）</w:t>
                  </w:r>
                </w:p>
              </w:tc>
              <w:tc>
                <w:tcPr>
                  <w:tcW w:w="488" w:type="pct"/>
                  <w:vMerge w:val="continue"/>
                  <w:noWrap w:val="0"/>
                  <w:vAlign w:val="center"/>
                </w:tcPr>
                <w:p>
                  <w:pPr>
                    <w:jc w:val="center"/>
                    <w:rPr>
                      <w:rFonts w:hint="default" w:ascii="Times New Roman" w:hAnsi="Times New Roman" w:cs="Times New Roman"/>
                      <w:color w:val="0000FF"/>
                      <w:sz w:val="21"/>
                      <w:szCs w:val="21"/>
                      <w:highlight w:val="none"/>
                    </w:rPr>
                  </w:pPr>
                </w:p>
              </w:tc>
              <w:tc>
                <w:tcPr>
                  <w:tcW w:w="251" w:type="pct"/>
                  <w:vMerge w:val="continue"/>
                  <w:noWrap w:val="0"/>
                  <w:vAlign w:val="center"/>
                </w:tcPr>
                <w:p>
                  <w:pPr>
                    <w:jc w:val="center"/>
                    <w:rPr>
                      <w:rFonts w:hint="default" w:ascii="Times New Roman" w:hAnsi="Times New Roman" w:cs="Times New Roman"/>
                      <w:color w:val="0000FF"/>
                      <w:sz w:val="21"/>
                      <w:szCs w:val="21"/>
                      <w:highlight w:val="none"/>
                    </w:rPr>
                  </w:pPr>
                </w:p>
              </w:tc>
              <w:tc>
                <w:tcPr>
                  <w:tcW w:w="362" w:type="pct"/>
                  <w:noWrap w:val="0"/>
                  <w:vAlign w:val="center"/>
                </w:tcPr>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产生量</w:t>
                  </w:r>
                </w:p>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（t/a）</w:t>
                  </w:r>
                </w:p>
              </w:tc>
              <w:tc>
                <w:tcPr>
                  <w:tcW w:w="270" w:type="pct"/>
                  <w:noWrap w:val="0"/>
                  <w:vAlign w:val="center"/>
                </w:tcPr>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产生速率</w:t>
                  </w:r>
                </w:p>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（kg/h）</w:t>
                  </w:r>
                </w:p>
              </w:tc>
              <w:tc>
                <w:tcPr>
                  <w:tcW w:w="390" w:type="pct"/>
                  <w:noWrap w:val="0"/>
                  <w:vAlign w:val="center"/>
                </w:tcPr>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产生浓度(mg/m</w:t>
                  </w:r>
                  <w:r>
                    <w:rPr>
                      <w:rFonts w:hint="default" w:ascii="Times New Roman" w:hAnsi="Times New Roman" w:cs="Times New Roman"/>
                      <w:color w:val="0000FF"/>
                      <w:sz w:val="21"/>
                      <w:szCs w:val="21"/>
                      <w:highlight w:val="none"/>
                      <w:vertAlign w:val="superscript"/>
                    </w:rPr>
                    <w:t>3</w:t>
                  </w:r>
                  <w:r>
                    <w:rPr>
                      <w:rFonts w:hint="default" w:ascii="Times New Roman" w:hAnsi="Times New Roman" w:cs="Times New Roman"/>
                      <w:color w:val="0000FF"/>
                      <w:sz w:val="21"/>
                      <w:szCs w:val="21"/>
                      <w:highlight w:val="none"/>
                    </w:rPr>
                    <w:t>)</w:t>
                  </w:r>
                </w:p>
              </w:tc>
              <w:tc>
                <w:tcPr>
                  <w:tcW w:w="352" w:type="pct"/>
                  <w:noWrap w:val="0"/>
                  <w:vAlign w:val="center"/>
                </w:tcPr>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排放量</w:t>
                  </w:r>
                </w:p>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（t/a）</w:t>
                  </w:r>
                </w:p>
              </w:tc>
              <w:tc>
                <w:tcPr>
                  <w:tcW w:w="444" w:type="pct"/>
                  <w:noWrap w:val="0"/>
                  <w:vAlign w:val="center"/>
                </w:tcPr>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排放速率</w:t>
                  </w:r>
                </w:p>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（kg/h）</w:t>
                  </w:r>
                </w:p>
              </w:tc>
              <w:tc>
                <w:tcPr>
                  <w:tcW w:w="392" w:type="pct"/>
                  <w:noWrap w:val="0"/>
                  <w:vAlign w:val="center"/>
                </w:tcPr>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排放浓度</w:t>
                  </w:r>
                </w:p>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(mg/m</w:t>
                  </w:r>
                  <w:r>
                    <w:rPr>
                      <w:rFonts w:hint="default" w:ascii="Times New Roman" w:hAnsi="Times New Roman" w:cs="Times New Roman"/>
                      <w:color w:val="0000FF"/>
                      <w:sz w:val="21"/>
                      <w:szCs w:val="21"/>
                      <w:highlight w:val="none"/>
                      <w:vertAlign w:val="superscript"/>
                    </w:rPr>
                    <w:t>3</w:t>
                  </w:r>
                  <w:r>
                    <w:rPr>
                      <w:rFonts w:hint="default" w:ascii="Times New Roman" w:hAnsi="Times New Roman" w:cs="Times New Roman"/>
                      <w:color w:val="0000FF"/>
                      <w:sz w:val="21"/>
                      <w:szCs w:val="21"/>
                      <w:highlight w:val="none"/>
                    </w:rPr>
                    <w:t>)</w:t>
                  </w:r>
                </w:p>
              </w:tc>
              <w:tc>
                <w:tcPr>
                  <w:tcW w:w="216" w:type="pct"/>
                  <w:vMerge w:val="continue"/>
                  <w:noWrap w:val="0"/>
                  <w:vAlign w:val="center"/>
                </w:tcPr>
                <w:p>
                  <w:pPr>
                    <w:jc w:val="center"/>
                    <w:rPr>
                      <w:rFonts w:hint="default" w:ascii="Times New Roman" w:hAnsi="Times New Roman" w:cs="Times New Roman"/>
                      <w:color w:val="0000FF"/>
                      <w:sz w:val="21"/>
                      <w:szCs w:val="21"/>
                      <w:highlight w:val="none"/>
                    </w:rPr>
                  </w:pPr>
                </w:p>
              </w:tc>
              <w:tc>
                <w:tcPr>
                  <w:tcW w:w="348" w:type="pct"/>
                  <w:noWrap w:val="0"/>
                  <w:vAlign w:val="center"/>
                </w:tcPr>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排放速率</w:t>
                  </w:r>
                </w:p>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（kg/h）</w:t>
                  </w:r>
                </w:p>
              </w:tc>
              <w:tc>
                <w:tcPr>
                  <w:tcW w:w="392" w:type="pct"/>
                  <w:noWrap w:val="0"/>
                  <w:vAlign w:val="center"/>
                </w:tcPr>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排放浓度</w:t>
                  </w:r>
                </w:p>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(mg/m</w:t>
                  </w:r>
                  <w:r>
                    <w:rPr>
                      <w:rFonts w:hint="default" w:ascii="Times New Roman" w:hAnsi="Times New Roman" w:cs="Times New Roman"/>
                      <w:color w:val="0000FF"/>
                      <w:sz w:val="21"/>
                      <w:szCs w:val="21"/>
                      <w:highlight w:val="none"/>
                      <w:vertAlign w:val="superscript"/>
                    </w:rPr>
                    <w:t>3</w:t>
                  </w:r>
                  <w:r>
                    <w:rPr>
                      <w:rFonts w:hint="default" w:ascii="Times New Roman" w:hAnsi="Times New Roman" w:cs="Times New Roman"/>
                      <w:color w:val="0000FF"/>
                      <w:sz w:val="21"/>
                      <w:szCs w:val="21"/>
                      <w:highlight w:val="none"/>
                    </w:rPr>
                    <w:t>)</w:t>
                  </w:r>
                </w:p>
              </w:tc>
              <w:tc>
                <w:tcPr>
                  <w:tcW w:w="162" w:type="pct"/>
                  <w:vMerge w:val="continue"/>
                  <w:noWrap w:val="0"/>
                  <w:vAlign w:val="center"/>
                </w:tcPr>
                <w:p>
                  <w:pPr>
                    <w:jc w:val="center"/>
                    <w:rPr>
                      <w:rFonts w:hint="default" w:ascii="Times New Roman" w:hAnsi="Times New Roman" w:cs="Times New Roman"/>
                      <w:color w:val="0000FF"/>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8" w:hRule="atLeast"/>
                <w:jc w:val="center"/>
              </w:trPr>
              <w:tc>
                <w:tcPr>
                  <w:tcW w:w="298" w:type="pct"/>
                  <w:vMerge w:val="restart"/>
                  <w:noWrap w:val="0"/>
                  <w:vAlign w:val="center"/>
                </w:tcPr>
                <w:p>
                  <w:pPr>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cs="Times New Roman"/>
                      <w:color w:val="0000FF"/>
                      <w:sz w:val="21"/>
                      <w:szCs w:val="21"/>
                      <w:highlight w:val="none"/>
                      <w:lang w:val="en-US" w:eastAsia="zh-CN"/>
                    </w:rPr>
                    <w:t>DA001</w:t>
                  </w:r>
                </w:p>
              </w:tc>
              <w:tc>
                <w:tcPr>
                  <w:tcW w:w="249" w:type="pct"/>
                  <w:vMerge w:val="restart"/>
                  <w:noWrap w:val="0"/>
                  <w:vAlign w:val="center"/>
                </w:tcPr>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15</w:t>
                  </w:r>
                </w:p>
              </w:tc>
              <w:tc>
                <w:tcPr>
                  <w:tcW w:w="380" w:type="pct"/>
                  <w:noWrap w:val="0"/>
                  <w:vAlign w:val="center"/>
                </w:tcPr>
                <w:p>
                  <w:pPr>
                    <w:jc w:val="center"/>
                    <w:rPr>
                      <w:rFonts w:hint="default" w:ascii="Times New Roman" w:hAnsi="Times New Roman" w:cs="Times New Roman"/>
                      <w:color w:val="0000FF"/>
                      <w:sz w:val="21"/>
                      <w:szCs w:val="21"/>
                      <w:highlight w:val="none"/>
                    </w:rPr>
                  </w:pPr>
                  <w:r>
                    <w:rPr>
                      <w:rFonts w:hint="eastAsia" w:ascii="Times New Roman" w:hAnsi="Times New Roman" w:cs="Times New Roman"/>
                      <w:color w:val="0000FF"/>
                      <w:sz w:val="21"/>
                      <w:szCs w:val="21"/>
                      <w:highlight w:val="none"/>
                      <w:lang w:val="en-US" w:eastAsia="zh-CN"/>
                    </w:rPr>
                    <w:t>2</w:t>
                  </w:r>
                  <w:r>
                    <w:rPr>
                      <w:rFonts w:hint="default" w:ascii="Times New Roman" w:hAnsi="Times New Roman" w:cs="Times New Roman"/>
                      <w:color w:val="0000FF"/>
                      <w:sz w:val="21"/>
                      <w:szCs w:val="21"/>
                      <w:highlight w:val="none"/>
                    </w:rPr>
                    <w:t>0000</w:t>
                  </w:r>
                </w:p>
              </w:tc>
              <w:tc>
                <w:tcPr>
                  <w:tcW w:w="488" w:type="pct"/>
                  <w:noWrap w:val="0"/>
                  <w:vAlign w:val="center"/>
                </w:tcPr>
                <w:p>
                  <w:pPr>
                    <w:widowControl/>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lang w:val="en-US" w:eastAsia="zh-CN"/>
                    </w:rPr>
                    <w:t>聚乙烯管材、管件及聚丙烯管材、管件</w:t>
                  </w:r>
                </w:p>
              </w:tc>
              <w:tc>
                <w:tcPr>
                  <w:tcW w:w="251" w:type="pct"/>
                  <w:noWrap w:val="0"/>
                  <w:vAlign w:val="center"/>
                </w:tcPr>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rPr>
                    <w:t>非甲烷总烃</w:t>
                  </w:r>
                </w:p>
              </w:tc>
              <w:tc>
                <w:tcPr>
                  <w:tcW w:w="362" w:type="pct"/>
                  <w:noWrap w:val="0"/>
                  <w:vAlign w:val="center"/>
                </w:tcPr>
                <w:p>
                  <w:pPr>
                    <w:widowControl/>
                    <w:jc w:val="center"/>
                    <w:rPr>
                      <w:rFonts w:hint="default" w:ascii="Times New Roman" w:hAnsi="Times New Roman" w:cs="Times New Roman"/>
                      <w:iCs/>
                      <w:color w:val="0000FF"/>
                      <w:sz w:val="21"/>
                      <w:szCs w:val="21"/>
                      <w:highlight w:val="none"/>
                      <w:lang w:val="fr-FR"/>
                    </w:rPr>
                  </w:pPr>
                  <w:r>
                    <w:rPr>
                      <w:rFonts w:hint="default" w:ascii="Times New Roman" w:hAnsi="Times New Roman" w:cs="Times New Roman"/>
                      <w:color w:val="0000FF"/>
                      <w:sz w:val="21"/>
                      <w:szCs w:val="21"/>
                      <w:lang w:val="en-US" w:eastAsia="zh-CN"/>
                    </w:rPr>
                    <w:t>16.2</w:t>
                  </w:r>
                </w:p>
              </w:tc>
              <w:tc>
                <w:tcPr>
                  <w:tcW w:w="270" w:type="pct"/>
                  <w:noWrap w:val="0"/>
                  <w:vAlign w:val="center"/>
                </w:tcPr>
                <w:p>
                  <w:pPr>
                    <w:widowControl/>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lang w:val="en-US" w:eastAsia="zh-CN"/>
                    </w:rPr>
                    <w:t>2.04</w:t>
                  </w:r>
                </w:p>
              </w:tc>
              <w:tc>
                <w:tcPr>
                  <w:tcW w:w="390" w:type="pct"/>
                  <w:noWrap w:val="0"/>
                  <w:vAlign w:val="center"/>
                </w:tcPr>
                <w:p>
                  <w:pPr>
                    <w:jc w:val="center"/>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102</w:t>
                  </w:r>
                </w:p>
              </w:tc>
              <w:tc>
                <w:tcPr>
                  <w:tcW w:w="352" w:type="pct"/>
                  <w:noWrap w:val="0"/>
                  <w:vAlign w:val="center"/>
                </w:tcPr>
                <w:p>
                  <w:pPr>
                    <w:jc w:val="center"/>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1.458</w:t>
                  </w:r>
                </w:p>
              </w:tc>
              <w:tc>
                <w:tcPr>
                  <w:tcW w:w="444" w:type="pct"/>
                  <w:noWrap w:val="0"/>
                  <w:vAlign w:val="center"/>
                </w:tcPr>
                <w:p>
                  <w:pPr>
                    <w:jc w:val="center"/>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0.184</w:t>
                  </w:r>
                </w:p>
              </w:tc>
              <w:tc>
                <w:tcPr>
                  <w:tcW w:w="392" w:type="pct"/>
                  <w:noWrap w:val="0"/>
                  <w:vAlign w:val="center"/>
                </w:tcPr>
                <w:p>
                  <w:pPr>
                    <w:jc w:val="center"/>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9.2</w:t>
                  </w:r>
                </w:p>
              </w:tc>
              <w:tc>
                <w:tcPr>
                  <w:tcW w:w="216" w:type="pct"/>
                  <w:vMerge w:val="restart"/>
                  <w:noWrap w:val="0"/>
                  <w:vAlign w:val="center"/>
                </w:tcPr>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90</w:t>
                  </w:r>
                </w:p>
              </w:tc>
              <w:tc>
                <w:tcPr>
                  <w:tcW w:w="348" w:type="pct"/>
                  <w:noWrap w:val="0"/>
                  <w:vAlign w:val="center"/>
                </w:tcPr>
                <w:p>
                  <w:pPr>
                    <w:jc w:val="center"/>
                    <w:rPr>
                      <w:rFonts w:hint="default" w:ascii="Times New Roman" w:hAnsi="Times New Roman" w:eastAsia="宋体" w:cs="Times New Roman"/>
                      <w:color w:val="0000FF"/>
                      <w:sz w:val="21"/>
                      <w:szCs w:val="21"/>
                      <w:highlight w:val="none"/>
                      <w:lang w:eastAsia="zh-CN"/>
                    </w:rPr>
                  </w:pPr>
                  <w:r>
                    <w:rPr>
                      <w:rFonts w:hint="default" w:ascii="Times New Roman" w:hAnsi="Times New Roman" w:cs="Times New Roman"/>
                      <w:color w:val="0000FF"/>
                      <w:sz w:val="21"/>
                      <w:szCs w:val="21"/>
                      <w:highlight w:val="none"/>
                      <w:lang w:val="en-US" w:eastAsia="zh-CN"/>
                    </w:rPr>
                    <w:t>/</w:t>
                  </w:r>
                </w:p>
              </w:tc>
              <w:tc>
                <w:tcPr>
                  <w:tcW w:w="392" w:type="pct"/>
                  <w:noWrap w:val="0"/>
                  <w:vAlign w:val="center"/>
                </w:tcPr>
                <w:p>
                  <w:pPr>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cs="Times New Roman"/>
                      <w:color w:val="0000FF"/>
                      <w:sz w:val="21"/>
                      <w:szCs w:val="21"/>
                      <w:highlight w:val="none"/>
                      <w:lang w:val="en-US" w:eastAsia="zh-CN"/>
                    </w:rPr>
                    <w:t>100</w:t>
                  </w:r>
                </w:p>
              </w:tc>
              <w:tc>
                <w:tcPr>
                  <w:tcW w:w="162" w:type="pct"/>
                  <w:noWrap w:val="0"/>
                  <w:vAlign w:val="center"/>
                </w:tcPr>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8" w:type="pct"/>
                  <w:vMerge w:val="continue"/>
                  <w:noWrap w:val="0"/>
                  <w:vAlign w:val="center"/>
                </w:tcPr>
                <w:p>
                  <w:pPr>
                    <w:jc w:val="center"/>
                    <w:rPr>
                      <w:rFonts w:hint="default" w:ascii="Times New Roman" w:hAnsi="Times New Roman" w:cs="Times New Roman"/>
                      <w:color w:val="0000FF"/>
                      <w:sz w:val="21"/>
                      <w:szCs w:val="21"/>
                      <w:highlight w:val="none"/>
                      <w:lang w:val="en-US" w:eastAsia="zh-CN"/>
                    </w:rPr>
                  </w:pPr>
                </w:p>
              </w:tc>
              <w:tc>
                <w:tcPr>
                  <w:tcW w:w="249" w:type="pct"/>
                  <w:vMerge w:val="continue"/>
                  <w:noWrap w:val="0"/>
                  <w:vAlign w:val="center"/>
                </w:tcPr>
                <w:p>
                  <w:pPr>
                    <w:jc w:val="center"/>
                    <w:rPr>
                      <w:rFonts w:hint="default" w:ascii="Times New Roman" w:hAnsi="Times New Roman" w:cs="Times New Roman"/>
                      <w:color w:val="0000FF"/>
                      <w:sz w:val="21"/>
                      <w:szCs w:val="21"/>
                      <w:highlight w:val="none"/>
                    </w:rPr>
                  </w:pPr>
                </w:p>
              </w:tc>
              <w:tc>
                <w:tcPr>
                  <w:tcW w:w="380" w:type="pct"/>
                  <w:noWrap w:val="0"/>
                  <w:vAlign w:val="center"/>
                </w:tcPr>
                <w:p>
                  <w:pPr>
                    <w:jc w:val="center"/>
                    <w:rPr>
                      <w:rFonts w:hint="default" w:ascii="Times New Roman" w:hAnsi="Times New Roman"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20000</w:t>
                  </w:r>
                </w:p>
              </w:tc>
              <w:tc>
                <w:tcPr>
                  <w:tcW w:w="488" w:type="pct"/>
                  <w:noWrap w:val="0"/>
                  <w:vAlign w:val="center"/>
                </w:tcPr>
                <w:p>
                  <w:pPr>
                    <w:widowControl/>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lang w:val="en-US" w:eastAsia="zh-CN"/>
                    </w:rPr>
                    <w:t>聚氯乙烯管材、管件</w:t>
                  </w:r>
                </w:p>
              </w:tc>
              <w:tc>
                <w:tcPr>
                  <w:tcW w:w="251" w:type="pct"/>
                  <w:noWrap w:val="0"/>
                  <w:vAlign w:val="center"/>
                </w:tcPr>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rPr>
                    <w:t>非甲烷总烃</w:t>
                  </w:r>
                </w:p>
              </w:tc>
              <w:tc>
                <w:tcPr>
                  <w:tcW w:w="362" w:type="pct"/>
                  <w:noWrap w:val="0"/>
                  <w:vAlign w:val="center"/>
                </w:tcPr>
                <w:p>
                  <w:pPr>
                    <w:widowControl/>
                    <w:jc w:val="center"/>
                    <w:rPr>
                      <w:rFonts w:hint="default" w:ascii="Times New Roman" w:hAnsi="Times New Roman" w:cs="Times New Roman"/>
                      <w:iCs/>
                      <w:color w:val="0000FF"/>
                      <w:sz w:val="21"/>
                      <w:szCs w:val="21"/>
                      <w:highlight w:val="none"/>
                      <w:lang w:val="fr-FR"/>
                    </w:rPr>
                  </w:pPr>
                  <w:r>
                    <w:rPr>
                      <w:rFonts w:hint="default" w:ascii="Times New Roman" w:hAnsi="Times New Roman" w:cs="Times New Roman"/>
                      <w:color w:val="0000FF"/>
                      <w:sz w:val="21"/>
                      <w:szCs w:val="21"/>
                      <w:lang w:val="en-US" w:eastAsia="zh-CN"/>
                    </w:rPr>
                    <w:t>10.8</w:t>
                  </w:r>
                </w:p>
              </w:tc>
              <w:tc>
                <w:tcPr>
                  <w:tcW w:w="270" w:type="pct"/>
                  <w:noWrap w:val="0"/>
                  <w:vAlign w:val="center"/>
                </w:tcPr>
                <w:p>
                  <w:pPr>
                    <w:widowControl/>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lang w:val="en-US" w:eastAsia="zh-CN"/>
                    </w:rPr>
                    <w:t>1.36</w:t>
                  </w:r>
                </w:p>
              </w:tc>
              <w:tc>
                <w:tcPr>
                  <w:tcW w:w="390" w:type="pct"/>
                  <w:noWrap w:val="0"/>
                  <w:vAlign w:val="center"/>
                </w:tcPr>
                <w:p>
                  <w:pPr>
                    <w:jc w:val="center"/>
                    <w:rPr>
                      <w:rFonts w:hint="default" w:ascii="Times New Roman" w:hAnsi="Times New Roman"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68</w:t>
                  </w:r>
                </w:p>
              </w:tc>
              <w:tc>
                <w:tcPr>
                  <w:tcW w:w="352" w:type="pct"/>
                  <w:noWrap w:val="0"/>
                  <w:vAlign w:val="center"/>
                </w:tcPr>
                <w:p>
                  <w:pPr>
                    <w:jc w:val="center"/>
                    <w:rPr>
                      <w:rFonts w:hint="default" w:ascii="Times New Roman" w:hAnsi="Times New Roman" w:eastAsia="宋体"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0.972</w:t>
                  </w:r>
                </w:p>
              </w:tc>
              <w:tc>
                <w:tcPr>
                  <w:tcW w:w="444" w:type="pct"/>
                  <w:noWrap w:val="0"/>
                  <w:vAlign w:val="center"/>
                </w:tcPr>
                <w:p>
                  <w:pPr>
                    <w:jc w:val="center"/>
                    <w:rPr>
                      <w:rFonts w:hint="default" w:ascii="Times New Roman" w:hAnsi="Times New Roman"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0.123</w:t>
                  </w:r>
                </w:p>
              </w:tc>
              <w:tc>
                <w:tcPr>
                  <w:tcW w:w="392" w:type="pct"/>
                  <w:noWrap w:val="0"/>
                  <w:vAlign w:val="center"/>
                </w:tcPr>
                <w:p>
                  <w:pPr>
                    <w:jc w:val="center"/>
                    <w:rPr>
                      <w:rFonts w:hint="default" w:ascii="Times New Roman" w:hAnsi="Times New Roman" w:cs="Times New Roman"/>
                      <w:color w:val="0000FF"/>
                      <w:sz w:val="21"/>
                      <w:szCs w:val="21"/>
                      <w:highlight w:val="none"/>
                      <w:lang w:val="en-US" w:eastAsia="zh-CN"/>
                    </w:rPr>
                  </w:pPr>
                  <w:r>
                    <w:rPr>
                      <w:rFonts w:hint="eastAsia" w:ascii="Times New Roman" w:hAnsi="Times New Roman" w:cs="Times New Roman"/>
                      <w:color w:val="0000FF"/>
                      <w:sz w:val="21"/>
                      <w:szCs w:val="21"/>
                      <w:highlight w:val="none"/>
                      <w:lang w:val="en-US" w:eastAsia="zh-CN"/>
                    </w:rPr>
                    <w:t>6.14</w:t>
                  </w:r>
                </w:p>
              </w:tc>
              <w:tc>
                <w:tcPr>
                  <w:tcW w:w="216" w:type="pct"/>
                  <w:vMerge w:val="continue"/>
                  <w:noWrap w:val="0"/>
                  <w:vAlign w:val="center"/>
                </w:tcPr>
                <w:p>
                  <w:pPr>
                    <w:jc w:val="center"/>
                    <w:rPr>
                      <w:rFonts w:hint="default" w:ascii="Times New Roman" w:hAnsi="Times New Roman" w:cs="Times New Roman"/>
                      <w:color w:val="0000FF"/>
                      <w:sz w:val="21"/>
                      <w:szCs w:val="21"/>
                      <w:highlight w:val="none"/>
                    </w:rPr>
                  </w:pPr>
                </w:p>
              </w:tc>
              <w:tc>
                <w:tcPr>
                  <w:tcW w:w="348" w:type="pct"/>
                  <w:noWrap w:val="0"/>
                  <w:vAlign w:val="center"/>
                </w:tcPr>
                <w:p>
                  <w:pPr>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cs="Times New Roman"/>
                      <w:color w:val="0000FF"/>
                      <w:sz w:val="21"/>
                      <w:szCs w:val="21"/>
                      <w:highlight w:val="none"/>
                      <w:lang w:val="en-US" w:eastAsia="zh-CN"/>
                    </w:rPr>
                    <w:t>10</w:t>
                  </w:r>
                </w:p>
              </w:tc>
              <w:tc>
                <w:tcPr>
                  <w:tcW w:w="392" w:type="pct"/>
                  <w:noWrap w:val="0"/>
                  <w:vAlign w:val="center"/>
                </w:tcPr>
                <w:p>
                  <w:pPr>
                    <w:jc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cs="Times New Roman"/>
                      <w:color w:val="0000FF"/>
                      <w:sz w:val="21"/>
                      <w:szCs w:val="21"/>
                      <w:highlight w:val="none"/>
                      <w:lang w:val="en-US" w:eastAsia="zh-CN"/>
                    </w:rPr>
                    <w:t>120</w:t>
                  </w:r>
                </w:p>
              </w:tc>
              <w:tc>
                <w:tcPr>
                  <w:tcW w:w="162" w:type="pct"/>
                  <w:noWrap w:val="0"/>
                  <w:vAlign w:val="center"/>
                </w:tcPr>
                <w:p>
                  <w:pPr>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0000FF"/>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8" w:type="pct"/>
                  <w:noWrap w:val="0"/>
                  <w:vAlign w:val="center"/>
                </w:tcPr>
                <w:p>
                  <w:pPr>
                    <w:ind w:firstLine="210" w:firstLineChars="100"/>
                    <w:jc w:val="left"/>
                    <w:rPr>
                      <w:rFonts w:hint="default"/>
                      <w:color w:val="0000FF"/>
                      <w:sz w:val="21"/>
                      <w:szCs w:val="21"/>
                    </w:rPr>
                  </w:pPr>
                  <w:r>
                    <w:rPr>
                      <w:rFonts w:hint="default"/>
                      <w:color w:val="0000FF"/>
                      <w:sz w:val="21"/>
                      <w:szCs w:val="21"/>
                    </w:rPr>
                    <w:t>备注</w:t>
                  </w:r>
                </w:p>
              </w:tc>
              <w:tc>
                <w:tcPr>
                  <w:tcW w:w="4701" w:type="pct"/>
                  <w:gridSpan w:val="14"/>
                  <w:noWrap w:val="0"/>
                  <w:vAlign w:val="center"/>
                </w:tcPr>
                <w:p>
                  <w:pPr>
                    <w:ind w:firstLine="210" w:firstLineChars="100"/>
                    <w:jc w:val="left"/>
                    <w:rPr>
                      <w:rFonts w:hint="default"/>
                      <w:color w:val="0000FF"/>
                      <w:sz w:val="21"/>
                      <w:szCs w:val="21"/>
                    </w:rPr>
                  </w:pPr>
                  <w:r>
                    <w:rPr>
                      <w:rFonts w:hint="default"/>
                      <w:color w:val="0000FF"/>
                      <w:sz w:val="21"/>
                      <w:szCs w:val="21"/>
                    </w:rPr>
                    <w:t>①</w:t>
                  </w:r>
                  <w:r>
                    <w:rPr>
                      <w:rFonts w:hint="eastAsia"/>
                      <w:color w:val="0000FF"/>
                      <w:sz w:val="21"/>
                      <w:szCs w:val="21"/>
                      <w:lang w:val="en-US" w:eastAsia="zh-CN"/>
                    </w:rPr>
                    <w:t>产品为</w:t>
                  </w:r>
                  <w:r>
                    <w:rPr>
                      <w:rFonts w:hint="default"/>
                      <w:color w:val="0000FF"/>
                      <w:sz w:val="21"/>
                      <w:szCs w:val="21"/>
                      <w:lang w:val="en-US" w:eastAsia="zh-CN"/>
                    </w:rPr>
                    <w:t>聚乙烯管材、管件及聚丙烯管材、管件</w:t>
                  </w:r>
                  <w:r>
                    <w:rPr>
                      <w:rFonts w:hint="eastAsia"/>
                      <w:color w:val="0000FF"/>
                      <w:sz w:val="21"/>
                      <w:szCs w:val="21"/>
                      <w:lang w:val="en-US" w:eastAsia="zh-CN"/>
                    </w:rPr>
                    <w:t>生产时有组织废气</w:t>
                  </w:r>
                  <w:r>
                    <w:rPr>
                      <w:rFonts w:hint="default" w:ascii="Times New Roman" w:hAnsi="Times New Roman" w:cs="Times New Roman"/>
                      <w:color w:val="0000FF"/>
                      <w:sz w:val="21"/>
                      <w:szCs w:val="21"/>
                    </w:rPr>
                    <w:t>非甲烷总烃</w:t>
                  </w:r>
                  <w:r>
                    <w:rPr>
                      <w:rFonts w:hint="eastAsia"/>
                      <w:color w:val="0000FF"/>
                      <w:sz w:val="21"/>
                      <w:szCs w:val="21"/>
                      <w:lang w:val="en-US" w:eastAsia="zh-CN"/>
                    </w:rPr>
                    <w:t>执行</w:t>
                  </w:r>
                  <w:r>
                    <w:rPr>
                      <w:rFonts w:hint="default"/>
                      <w:color w:val="0000FF"/>
                      <w:sz w:val="21"/>
                      <w:szCs w:val="21"/>
                      <w:lang w:val="en-US" w:eastAsia="zh-CN"/>
                    </w:rPr>
                    <w:t>《合成树脂工业污染物排放标准》（GB 31572—2015）中表</w:t>
                  </w:r>
                  <w:r>
                    <w:rPr>
                      <w:rFonts w:hint="eastAsia"/>
                      <w:color w:val="0000FF"/>
                      <w:sz w:val="21"/>
                      <w:szCs w:val="21"/>
                      <w:lang w:val="en-US" w:eastAsia="zh-CN"/>
                    </w:rPr>
                    <w:t>4</w:t>
                  </w:r>
                  <w:r>
                    <w:rPr>
                      <w:rFonts w:hint="default"/>
                      <w:color w:val="0000FF"/>
                      <w:sz w:val="21"/>
                      <w:szCs w:val="21"/>
                      <w:lang w:val="en-US" w:eastAsia="zh-CN"/>
                    </w:rPr>
                    <w:t>标准限值</w:t>
                  </w:r>
                  <w:r>
                    <w:rPr>
                      <w:rFonts w:hint="default"/>
                      <w:color w:val="0000FF"/>
                      <w:sz w:val="21"/>
                      <w:szCs w:val="21"/>
                    </w:rPr>
                    <w:t>：非甲烷总烃排放浓度</w:t>
                  </w:r>
                  <w:r>
                    <w:rPr>
                      <w:rFonts w:hint="eastAsia"/>
                      <w:color w:val="0000FF"/>
                      <w:sz w:val="21"/>
                      <w:szCs w:val="21"/>
                      <w:lang w:val="en-US" w:eastAsia="zh-CN"/>
                    </w:rPr>
                    <w:t>限值</w:t>
                  </w:r>
                  <w:r>
                    <w:rPr>
                      <w:rFonts w:hint="default"/>
                      <w:color w:val="0000FF"/>
                      <w:sz w:val="21"/>
                      <w:szCs w:val="21"/>
                    </w:rPr>
                    <w:t>为</w:t>
                  </w:r>
                  <w:r>
                    <w:rPr>
                      <w:rFonts w:hint="eastAsia"/>
                      <w:color w:val="0000FF"/>
                      <w:sz w:val="21"/>
                      <w:szCs w:val="21"/>
                      <w:lang w:val="en-US" w:eastAsia="zh-CN"/>
                    </w:rPr>
                    <w:t>100</w:t>
                  </w:r>
                  <w:r>
                    <w:rPr>
                      <w:rFonts w:hint="default"/>
                      <w:color w:val="0000FF"/>
                      <w:sz w:val="21"/>
                      <w:szCs w:val="21"/>
                    </w:rPr>
                    <w:t xml:space="preserve">mg/m3 </w:t>
                  </w:r>
                </w:p>
                <w:p>
                  <w:pPr>
                    <w:ind w:firstLine="210" w:firstLineChars="100"/>
                    <w:jc w:val="left"/>
                    <w:rPr>
                      <w:rFonts w:hint="eastAsia" w:eastAsia="宋体"/>
                      <w:color w:val="0000FF"/>
                      <w:sz w:val="21"/>
                      <w:szCs w:val="21"/>
                      <w:lang w:eastAsia="zh-CN"/>
                    </w:rPr>
                  </w:pPr>
                  <w:r>
                    <w:rPr>
                      <w:rFonts w:hint="default"/>
                      <w:color w:val="0000FF"/>
                      <w:sz w:val="21"/>
                      <w:szCs w:val="21"/>
                    </w:rPr>
                    <w:t>②</w:t>
                  </w:r>
                  <w:r>
                    <w:rPr>
                      <w:rFonts w:hint="eastAsia"/>
                      <w:color w:val="0000FF"/>
                      <w:sz w:val="21"/>
                      <w:szCs w:val="21"/>
                      <w:lang w:val="en-US" w:eastAsia="zh-CN"/>
                    </w:rPr>
                    <w:t>产品为</w:t>
                  </w:r>
                  <w:r>
                    <w:rPr>
                      <w:rFonts w:hint="default" w:ascii="Times New Roman" w:hAnsi="Times New Roman" w:cs="Times New Roman"/>
                      <w:color w:val="0000FF"/>
                      <w:sz w:val="21"/>
                      <w:szCs w:val="21"/>
                    </w:rPr>
                    <w:t>非甲烷总烃</w:t>
                  </w:r>
                  <w:r>
                    <w:rPr>
                      <w:rFonts w:hint="default" w:ascii="Times New Roman" w:hAnsi="Times New Roman" w:cs="Times New Roman"/>
                      <w:color w:val="0000FF"/>
                      <w:sz w:val="21"/>
                      <w:szCs w:val="21"/>
                      <w:lang w:val="en-US" w:eastAsia="zh-CN"/>
                    </w:rPr>
                    <w:t>聚氯乙烯管材、管件</w:t>
                  </w:r>
                  <w:r>
                    <w:rPr>
                      <w:rFonts w:hint="eastAsia"/>
                      <w:color w:val="0000FF"/>
                      <w:sz w:val="21"/>
                      <w:szCs w:val="21"/>
                      <w:lang w:val="en-US" w:eastAsia="zh-CN"/>
                    </w:rPr>
                    <w:t>生产时有组织废气</w:t>
                  </w:r>
                  <w:r>
                    <w:rPr>
                      <w:rFonts w:hint="default" w:ascii="Times New Roman" w:hAnsi="Times New Roman" w:cs="Times New Roman"/>
                      <w:color w:val="0000FF"/>
                      <w:sz w:val="21"/>
                      <w:szCs w:val="21"/>
                    </w:rPr>
                    <w:t>非甲烷总烃</w:t>
                  </w:r>
                  <w:r>
                    <w:rPr>
                      <w:rFonts w:hint="eastAsia"/>
                      <w:color w:val="0000FF"/>
                      <w:sz w:val="21"/>
                      <w:szCs w:val="21"/>
                      <w:lang w:val="en-US" w:eastAsia="zh-CN"/>
                    </w:rPr>
                    <w:t>执行</w:t>
                  </w:r>
                  <w:r>
                    <w:rPr>
                      <w:rFonts w:hint="default" w:ascii="Times New Roman" w:hAnsi="Times New Roman" w:eastAsia="宋体" w:cs="Times New Roman"/>
                      <w:color w:val="0000FF"/>
                      <w:sz w:val="21"/>
                      <w:szCs w:val="21"/>
                    </w:rPr>
                    <w:t>《</w:t>
                  </w:r>
                  <w:r>
                    <w:rPr>
                      <w:rFonts w:hint="default" w:ascii="Times New Roman" w:hAnsi="Times New Roman" w:eastAsia="宋体" w:cs="Times New Roman"/>
                      <w:color w:val="0000FF"/>
                      <w:sz w:val="21"/>
                      <w:szCs w:val="21"/>
                      <w:lang w:val="en-US" w:eastAsia="zh-CN"/>
                    </w:rPr>
                    <w:t>大气污染物综合排放标准</w:t>
                  </w:r>
                  <w:r>
                    <w:rPr>
                      <w:rFonts w:hint="default" w:ascii="Times New Roman" w:hAnsi="Times New Roman" w:eastAsia="宋体" w:cs="Times New Roman"/>
                      <w:color w:val="0000FF"/>
                      <w:sz w:val="21"/>
                      <w:szCs w:val="21"/>
                    </w:rPr>
                    <w:t>》（GB1</w:t>
                  </w:r>
                  <w:r>
                    <w:rPr>
                      <w:rFonts w:hint="default" w:ascii="Times New Roman" w:hAnsi="Times New Roman" w:eastAsia="宋体" w:cs="Times New Roman"/>
                      <w:color w:val="0000FF"/>
                      <w:sz w:val="21"/>
                      <w:szCs w:val="21"/>
                      <w:lang w:val="en-US" w:eastAsia="zh-CN"/>
                    </w:rPr>
                    <w:t>6297</w:t>
                  </w:r>
                  <w:r>
                    <w:rPr>
                      <w:rFonts w:hint="default" w:ascii="Times New Roman" w:hAnsi="Times New Roman" w:eastAsia="宋体" w:cs="Times New Roman"/>
                      <w:color w:val="0000FF"/>
                      <w:sz w:val="21"/>
                      <w:szCs w:val="21"/>
                    </w:rPr>
                    <w:t>-</w:t>
                  </w:r>
                  <w:r>
                    <w:rPr>
                      <w:rFonts w:hint="default" w:ascii="Times New Roman" w:hAnsi="Times New Roman" w:eastAsia="宋体" w:cs="Times New Roman"/>
                      <w:color w:val="0000FF"/>
                      <w:sz w:val="21"/>
                      <w:szCs w:val="21"/>
                      <w:lang w:val="en-US" w:eastAsia="zh-CN"/>
                    </w:rPr>
                    <w:t>1996</w:t>
                  </w:r>
                  <w:r>
                    <w:rPr>
                      <w:rFonts w:hint="default" w:ascii="Times New Roman" w:hAnsi="Times New Roman" w:eastAsia="宋体" w:cs="Times New Roman"/>
                      <w:color w:val="0000FF"/>
                      <w:sz w:val="21"/>
                      <w:szCs w:val="21"/>
                    </w:rPr>
                    <w:t>）中二级标准</w:t>
                  </w:r>
                  <w:r>
                    <w:rPr>
                      <w:rFonts w:hint="default"/>
                      <w:color w:val="0000FF"/>
                      <w:sz w:val="21"/>
                      <w:szCs w:val="21"/>
                      <w:lang w:val="en-US" w:eastAsia="zh-CN"/>
                    </w:rPr>
                    <w:t>限值</w:t>
                  </w:r>
                  <w:r>
                    <w:rPr>
                      <w:rFonts w:hint="default"/>
                      <w:color w:val="0000FF"/>
                      <w:sz w:val="21"/>
                      <w:szCs w:val="21"/>
                    </w:rPr>
                    <w:t>：非甲烷总烃</w:t>
                  </w:r>
                  <w:r>
                    <w:rPr>
                      <w:rFonts w:hint="eastAsia"/>
                      <w:color w:val="0000FF"/>
                      <w:sz w:val="21"/>
                      <w:szCs w:val="21"/>
                    </w:rPr>
                    <w:t>最高允许排放速率为</w:t>
                  </w:r>
                  <w:r>
                    <w:rPr>
                      <w:rFonts w:hint="eastAsia"/>
                      <w:color w:val="0000FF"/>
                      <w:sz w:val="21"/>
                      <w:szCs w:val="21"/>
                      <w:lang w:val="en-US" w:eastAsia="zh-CN"/>
                    </w:rPr>
                    <w:t>10</w:t>
                  </w:r>
                  <w:r>
                    <w:rPr>
                      <w:rFonts w:hint="eastAsia"/>
                      <w:color w:val="0000FF"/>
                      <w:sz w:val="21"/>
                      <w:szCs w:val="21"/>
                    </w:rPr>
                    <w:t>kg/h、最高允许排放浓度为</w:t>
                  </w:r>
                  <w:r>
                    <w:rPr>
                      <w:rFonts w:hint="eastAsia"/>
                      <w:color w:val="0000FF"/>
                      <w:sz w:val="21"/>
                      <w:szCs w:val="21"/>
                      <w:lang w:val="en-US" w:eastAsia="zh-CN"/>
                    </w:rPr>
                    <w:t>120</w:t>
                  </w:r>
                  <w:r>
                    <w:rPr>
                      <w:rFonts w:hint="eastAsia"/>
                      <w:color w:val="0000FF"/>
                      <w:sz w:val="21"/>
                      <w:szCs w:val="21"/>
                    </w:rPr>
                    <w:t>mg/m</w:t>
                  </w:r>
                  <w:r>
                    <w:rPr>
                      <w:rFonts w:hint="eastAsia"/>
                      <w:color w:val="0000FF"/>
                      <w:sz w:val="21"/>
                      <w:szCs w:val="21"/>
                      <w:vertAlign w:val="superscript"/>
                    </w:rPr>
                    <w:t>3</w:t>
                  </w:r>
                  <w:r>
                    <w:rPr>
                      <w:rFonts w:hint="eastAsia"/>
                      <w:color w:val="0000FF"/>
                      <w:sz w:val="21"/>
                      <w:szCs w:val="21"/>
                    </w:rPr>
                    <w:t xml:space="preserve"> </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color w:val="0000FF"/>
                <w:sz w:val="24"/>
                <w:szCs w:val="32"/>
                <w:lang w:val="en-US" w:eastAsia="zh-CN"/>
              </w:rPr>
            </w:pPr>
            <w:r>
              <w:rPr>
                <w:rFonts w:hint="default" w:ascii="Times New Roman" w:hAnsi="Times New Roman" w:cs="Times New Roman"/>
                <w:color w:val="0000FF"/>
                <w:kern w:val="0"/>
                <w:sz w:val="24"/>
              </w:rPr>
              <w:t>综上所述，本项目运营过程中废气经有机废气处理系统处理后，</w:t>
            </w:r>
            <w:r>
              <w:rPr>
                <w:rFonts w:hint="default" w:ascii="Times New Roman" w:hAnsi="Times New Roman" w:cs="Times New Roman"/>
                <w:bCs/>
                <w:color w:val="0000FF"/>
                <w:kern w:val="0"/>
                <w:sz w:val="24"/>
              </w:rPr>
              <w:t>项目有机废气</w:t>
            </w:r>
            <w:r>
              <w:rPr>
                <w:rFonts w:hint="default" w:ascii="Times New Roman" w:hAnsi="Times New Roman" w:cs="Times New Roman"/>
                <w:color w:val="0000FF"/>
                <w:kern w:val="0"/>
                <w:sz w:val="24"/>
              </w:rPr>
              <w:t>的有组织排放量为</w:t>
            </w:r>
            <w:r>
              <w:rPr>
                <w:rFonts w:hint="eastAsia" w:cs="Times New Roman"/>
                <w:bCs/>
                <w:color w:val="0000FF"/>
                <w:kern w:val="0"/>
                <w:sz w:val="24"/>
                <w:lang w:val="en-US" w:eastAsia="zh-CN"/>
              </w:rPr>
              <w:t>2.43</w:t>
            </w:r>
            <w:r>
              <w:rPr>
                <w:rFonts w:hint="default" w:ascii="Times New Roman" w:hAnsi="Times New Roman" w:cs="Times New Roman"/>
                <w:color w:val="0000FF"/>
                <w:kern w:val="0"/>
                <w:sz w:val="24"/>
              </w:rPr>
              <w:t>t/a，排放速率为0.</w:t>
            </w:r>
            <w:r>
              <w:rPr>
                <w:rFonts w:hint="eastAsia" w:cs="Times New Roman"/>
                <w:color w:val="0000FF"/>
                <w:kern w:val="0"/>
                <w:sz w:val="24"/>
                <w:lang w:val="en-US" w:eastAsia="zh-CN"/>
              </w:rPr>
              <w:t>307</w:t>
            </w:r>
            <w:r>
              <w:rPr>
                <w:rFonts w:hint="default" w:ascii="Times New Roman" w:hAnsi="Times New Roman" w:cs="Times New Roman"/>
                <w:color w:val="0000FF"/>
                <w:kern w:val="0"/>
                <w:sz w:val="24"/>
              </w:rPr>
              <w:t>kg/h，排放浓度为</w:t>
            </w:r>
            <w:r>
              <w:rPr>
                <w:rFonts w:hint="eastAsia" w:cs="Times New Roman"/>
                <w:color w:val="0000FF"/>
                <w:kern w:val="0"/>
                <w:sz w:val="24"/>
                <w:lang w:val="en-US" w:eastAsia="zh-CN"/>
              </w:rPr>
              <w:t>15.34</w:t>
            </w:r>
            <w:r>
              <w:rPr>
                <w:rFonts w:hint="default" w:ascii="Times New Roman" w:hAnsi="Times New Roman" w:cs="Times New Roman"/>
                <w:color w:val="0000FF"/>
                <w:kern w:val="0"/>
                <w:sz w:val="24"/>
              </w:rPr>
              <w:t>mg/m</w:t>
            </w:r>
            <w:r>
              <w:rPr>
                <w:rFonts w:hint="default" w:ascii="Times New Roman" w:hAnsi="Times New Roman" w:cs="Times New Roman"/>
                <w:color w:val="0000FF"/>
                <w:kern w:val="0"/>
                <w:sz w:val="24"/>
                <w:vertAlign w:val="superscript"/>
              </w:rPr>
              <w:t>3</w:t>
            </w:r>
            <w:r>
              <w:rPr>
                <w:rFonts w:hint="default" w:ascii="Times New Roman" w:hAnsi="Times New Roman" w:cs="Times New Roman"/>
                <w:color w:val="0000FF"/>
                <w:kern w:val="0"/>
                <w:sz w:val="24"/>
              </w:rPr>
              <w:t>，</w:t>
            </w:r>
            <w:r>
              <w:rPr>
                <w:rFonts w:hint="eastAsia" w:cs="Times New Roman"/>
                <w:color w:val="0000FF"/>
                <w:kern w:val="0"/>
                <w:sz w:val="24"/>
                <w:lang w:val="en-US" w:eastAsia="zh-CN"/>
              </w:rPr>
              <w:t>项目</w:t>
            </w:r>
            <w:r>
              <w:rPr>
                <w:rFonts w:hint="default" w:ascii="Times New Roman" w:hAnsi="Times New Roman" w:eastAsia="宋体" w:cs="Times New Roman"/>
                <w:color w:val="0000FF"/>
                <w:sz w:val="24"/>
                <w:szCs w:val="32"/>
                <w:lang w:val="en-US" w:eastAsia="zh-CN"/>
              </w:rPr>
              <w:t>聚丙烯</w:t>
            </w:r>
            <w:r>
              <w:rPr>
                <w:rFonts w:hint="eastAsia" w:ascii="Times New Roman" w:hAnsi="Times New Roman" w:eastAsia="宋体" w:cs="Times New Roman"/>
                <w:color w:val="0000FF"/>
                <w:sz w:val="24"/>
                <w:szCs w:val="32"/>
                <w:lang w:val="en-US" w:eastAsia="zh-CN"/>
              </w:rPr>
              <w:t>和</w:t>
            </w:r>
            <w:r>
              <w:rPr>
                <w:rFonts w:hint="default" w:ascii="Times New Roman" w:hAnsi="Times New Roman" w:eastAsia="宋体" w:cs="Times New Roman"/>
                <w:color w:val="0000FF"/>
                <w:sz w:val="24"/>
                <w:szCs w:val="32"/>
                <w:lang w:val="en-US" w:eastAsia="zh-CN"/>
              </w:rPr>
              <w:t>聚乙烯管材、管件</w:t>
            </w:r>
            <w:r>
              <w:rPr>
                <w:rFonts w:hint="eastAsia" w:ascii="Times New Roman" w:hAnsi="Times New Roman" w:eastAsia="宋体" w:cs="Times New Roman"/>
                <w:color w:val="0000FF"/>
                <w:sz w:val="24"/>
                <w:szCs w:val="32"/>
                <w:lang w:val="en-US" w:eastAsia="zh-CN"/>
              </w:rPr>
              <w:t>生产</w:t>
            </w:r>
            <w:r>
              <w:rPr>
                <w:rFonts w:hint="eastAsia" w:cs="Times New Roman"/>
                <w:color w:val="0000FF"/>
                <w:sz w:val="24"/>
                <w:szCs w:val="32"/>
                <w:lang w:val="en-US" w:eastAsia="zh-CN"/>
              </w:rPr>
              <w:t>中</w:t>
            </w:r>
            <w:r>
              <w:rPr>
                <w:rFonts w:hint="eastAsia" w:ascii="Times New Roman" w:hAnsi="Times New Roman" w:eastAsia="宋体" w:cs="Times New Roman"/>
                <w:color w:val="0000FF"/>
                <w:sz w:val="24"/>
                <w:szCs w:val="32"/>
                <w:lang w:val="en-US" w:eastAsia="zh-CN"/>
              </w:rPr>
              <w:t>有组织废气非甲烷总烃</w:t>
            </w:r>
            <w:r>
              <w:rPr>
                <w:rFonts w:hint="eastAsia" w:cs="Times New Roman"/>
                <w:color w:val="0000FF"/>
                <w:sz w:val="24"/>
                <w:szCs w:val="32"/>
                <w:lang w:val="en-US" w:eastAsia="zh-CN"/>
              </w:rPr>
              <w:t>满足</w:t>
            </w:r>
            <w:r>
              <w:rPr>
                <w:rFonts w:hint="default" w:ascii="Times New Roman" w:hAnsi="Times New Roman" w:eastAsia="宋体" w:cs="Times New Roman"/>
                <w:color w:val="0000FF"/>
                <w:sz w:val="24"/>
                <w:szCs w:val="32"/>
                <w:lang w:val="en-US" w:eastAsia="zh-CN"/>
              </w:rPr>
              <w:t>《合成树脂工业污染物排放标准》（GB 31572—2015）中表</w:t>
            </w:r>
            <w:r>
              <w:rPr>
                <w:rFonts w:hint="eastAsia" w:ascii="Times New Roman" w:hAnsi="Times New Roman" w:eastAsia="宋体" w:cs="Times New Roman"/>
                <w:color w:val="0000FF"/>
                <w:sz w:val="24"/>
                <w:szCs w:val="32"/>
                <w:lang w:val="en-US" w:eastAsia="zh-CN"/>
              </w:rPr>
              <w:t>4</w:t>
            </w:r>
            <w:r>
              <w:rPr>
                <w:rFonts w:hint="default" w:ascii="Times New Roman" w:hAnsi="Times New Roman" w:eastAsia="宋体" w:cs="Times New Roman"/>
                <w:color w:val="0000FF"/>
                <w:sz w:val="24"/>
                <w:szCs w:val="32"/>
                <w:lang w:val="en-US" w:eastAsia="zh-CN"/>
              </w:rPr>
              <w:t>标准限值</w:t>
            </w:r>
            <w:r>
              <w:rPr>
                <w:rFonts w:hint="eastAsia" w:cs="Times New Roman"/>
                <w:color w:val="0000FF"/>
                <w:sz w:val="24"/>
                <w:szCs w:val="32"/>
                <w:lang w:val="en-US" w:eastAsia="zh-CN"/>
              </w:rPr>
              <w:t>；</w:t>
            </w:r>
            <w:r>
              <w:rPr>
                <w:rFonts w:hint="eastAsia" w:ascii="Times New Roman" w:hAnsi="Times New Roman" w:eastAsia="宋体" w:cs="Times New Roman"/>
                <w:color w:val="0000FF"/>
                <w:sz w:val="24"/>
                <w:szCs w:val="32"/>
                <w:lang w:val="en-US" w:eastAsia="zh-CN"/>
              </w:rPr>
              <w:t>聚氯乙烯</w:t>
            </w:r>
            <w:r>
              <w:rPr>
                <w:rFonts w:hint="default" w:ascii="Times New Roman" w:hAnsi="Times New Roman" w:eastAsia="宋体" w:cs="Times New Roman"/>
                <w:color w:val="0000FF"/>
                <w:sz w:val="24"/>
                <w:szCs w:val="32"/>
                <w:lang w:val="en-US" w:eastAsia="zh-CN"/>
              </w:rPr>
              <w:t>管材、管件</w:t>
            </w:r>
            <w:r>
              <w:rPr>
                <w:rFonts w:hint="eastAsia" w:ascii="Times New Roman" w:hAnsi="Times New Roman" w:eastAsia="宋体" w:cs="Times New Roman"/>
                <w:color w:val="0000FF"/>
                <w:sz w:val="24"/>
                <w:szCs w:val="32"/>
                <w:lang w:val="en-US" w:eastAsia="zh-CN"/>
              </w:rPr>
              <w:t>生产过程中产生的有组织废气非甲烷总烃</w:t>
            </w:r>
            <w:r>
              <w:rPr>
                <w:rFonts w:hint="eastAsia" w:cs="Times New Roman"/>
                <w:color w:val="0000FF"/>
                <w:sz w:val="24"/>
                <w:szCs w:val="32"/>
                <w:lang w:val="en-US" w:eastAsia="zh-CN"/>
              </w:rPr>
              <w:t>氯化氢</w:t>
            </w:r>
            <w:r>
              <w:rPr>
                <w:rFonts w:hint="eastAsia" w:ascii="Times New Roman" w:hAnsi="Times New Roman" w:eastAsia="宋体" w:cs="Times New Roman"/>
                <w:color w:val="0000FF"/>
                <w:sz w:val="24"/>
                <w:szCs w:val="32"/>
                <w:lang w:val="en-US" w:eastAsia="zh-CN"/>
              </w:rPr>
              <w:t>应执行《大气污染物综合排放标准》(GB16297-1996）表2二级标准。</w:t>
            </w:r>
          </w:p>
          <w:p>
            <w:pPr>
              <w:numPr>
                <w:ilvl w:val="0"/>
                <w:numId w:val="6"/>
              </w:numPr>
              <w:snapToGrid w:val="0"/>
              <w:spacing w:line="360" w:lineRule="auto"/>
              <w:ind w:firstLine="480"/>
              <w:rPr>
                <w:rFonts w:hint="default" w:ascii="Times New Roman" w:hAnsi="Times New Roman" w:eastAsia="黑体" w:cs="Times New Roman"/>
                <w:sz w:val="24"/>
              </w:rPr>
            </w:pPr>
            <w:r>
              <w:rPr>
                <w:rFonts w:hint="default" w:ascii="Times New Roman" w:hAnsi="Times New Roman" w:eastAsia="黑体" w:cs="Times New Roman"/>
                <w:sz w:val="24"/>
              </w:rPr>
              <w:t>有机废气无组织排放</w:t>
            </w:r>
          </w:p>
          <w:p>
            <w:pPr>
              <w:numPr>
                <w:ilvl w:val="0"/>
                <w:numId w:val="0"/>
              </w:num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本项目废气收集效率约90%，因此，将会有10%的有机废气以无组织形式排放。则有机废气无组织排放量为</w:t>
            </w:r>
            <w:r>
              <w:rPr>
                <w:rFonts w:hint="eastAsia" w:cs="Times New Roman"/>
                <w:sz w:val="24"/>
                <w:lang w:val="en-US" w:eastAsia="zh-CN"/>
              </w:rPr>
              <w:t>2.7</w:t>
            </w:r>
            <w:r>
              <w:rPr>
                <w:rFonts w:hint="default" w:ascii="Times New Roman" w:hAnsi="Times New Roman" w:cs="Times New Roman"/>
                <w:sz w:val="24"/>
              </w:rPr>
              <w:t>t/a，采用《环境影响评价技术导则——大气环境》（HJ2.2-2018）中推荐模式中的AERSCREEN对大气环境评价工作进行分析，本项目非甲烷总烃无组织排放浓度，可以满足</w:t>
            </w:r>
            <w:r>
              <w:rPr>
                <w:rFonts w:hint="eastAsia" w:ascii="Times New Roman" w:hAnsi="Times New Roman" w:eastAsia="宋体" w:cs="Times New Roman"/>
                <w:color w:val="0000FF"/>
                <w:sz w:val="24"/>
                <w:szCs w:val="32"/>
                <w:lang w:val="en-US" w:eastAsia="zh-CN"/>
              </w:rPr>
              <w:t>《挥发性有机物无组织排放控制标准》（GB37822—2019）附录A 企业厂区内挥发性有机物无组织排放监控点浓度限值</w:t>
            </w:r>
            <w:r>
              <w:rPr>
                <w:rFonts w:hint="default" w:ascii="Times New Roman" w:hAnsi="Times New Roman" w:cs="Times New Roman"/>
                <w:sz w:val="24"/>
              </w:rPr>
              <w:t>（监控点处1 h平均浓度值</w:t>
            </w:r>
            <w:r>
              <w:rPr>
                <w:rFonts w:hint="default" w:ascii="Times New Roman" w:hAnsi="Times New Roman" w:cs="Times New Roman"/>
                <w:sz w:val="24"/>
                <w:lang w:val="en-US" w:eastAsia="zh-CN"/>
              </w:rPr>
              <w:t xml:space="preserve"> </w:t>
            </w:r>
            <w:r>
              <w:rPr>
                <w:rFonts w:hint="eastAsia" w:cs="Times New Roman"/>
                <w:sz w:val="24"/>
                <w:lang w:val="en-US" w:eastAsia="zh-CN"/>
              </w:rPr>
              <w:t>10</w:t>
            </w:r>
            <w:r>
              <w:rPr>
                <w:rFonts w:hint="default" w:ascii="Times New Roman" w:hAnsi="Times New Roman" w:cs="Times New Roman"/>
                <w:sz w:val="24"/>
              </w:rPr>
              <w:t>mg/m</w:t>
            </w:r>
            <w:r>
              <w:rPr>
                <w:rFonts w:hint="default" w:ascii="Times New Roman" w:hAnsi="Times New Roman" w:cs="Times New Roman"/>
                <w:sz w:val="24"/>
                <w:vertAlign w:val="superscript"/>
              </w:rPr>
              <w:t>3</w:t>
            </w:r>
            <w:r>
              <w:rPr>
                <w:rFonts w:hint="default" w:ascii="Times New Roman" w:hAnsi="Times New Roman" w:cs="Times New Roman"/>
                <w:sz w:val="24"/>
              </w:rPr>
              <w:t>）要求，能够做到达标排放。</w:t>
            </w:r>
          </w:p>
          <w:p>
            <w:pPr>
              <w:snapToGrid w:val="0"/>
              <w:spacing w:line="360" w:lineRule="auto"/>
              <w:ind w:firstLine="482" w:firstLineChars="200"/>
              <w:rPr>
                <w:rFonts w:hint="default" w:ascii="Times New Roman" w:hAnsi="Times New Roman" w:cs="Times New Roman"/>
                <w:b/>
                <w:bCs/>
                <w:sz w:val="24"/>
                <w:u w:val="single"/>
              </w:rPr>
            </w:pPr>
            <w:r>
              <w:rPr>
                <w:rFonts w:hint="default" w:ascii="Times New Roman" w:hAnsi="Times New Roman" w:cs="Times New Roman"/>
                <w:b/>
                <w:bCs/>
                <w:sz w:val="24"/>
                <w:u w:val="single"/>
              </w:rPr>
              <w:t>因此，项目运行期废气治理措施可行。</w:t>
            </w:r>
          </w:p>
          <w:p>
            <w:pPr>
              <w:pStyle w:val="25"/>
              <w:bidi w:val="0"/>
              <w:ind w:firstLine="720" w:firstLineChars="300"/>
              <w:jc w:val="left"/>
              <w:rPr>
                <w:rFonts w:hint="default" w:ascii="Times New Roman" w:hAnsi="Times New Roman" w:eastAsia="宋体" w:cs="Times New Roman"/>
                <w:b w:val="0"/>
                <w:bCs w:val="0"/>
                <w:sz w:val="24"/>
              </w:rPr>
            </w:pPr>
            <w:r>
              <w:rPr>
                <w:rFonts w:hint="default" w:ascii="Times New Roman" w:hAnsi="Times New Roman" w:eastAsia="宋体" w:cs="Times New Roman"/>
                <w:b w:val="0"/>
                <w:bCs w:val="0"/>
                <w:sz w:val="24"/>
              </w:rPr>
              <w:t>根据《简明通风设计手册》活性炭有效Qe=0.25kg/kg活性炭。项目须处理有机废气量为</w:t>
            </w:r>
            <w:r>
              <w:rPr>
                <w:rFonts w:hint="eastAsia" w:ascii="Times New Roman" w:hAnsi="Times New Roman" w:cs="Times New Roman"/>
                <w:b w:val="0"/>
                <w:bCs w:val="0"/>
                <w:sz w:val="24"/>
                <w:lang w:val="en-US" w:eastAsia="zh-CN"/>
              </w:rPr>
              <w:t>21.87</w:t>
            </w:r>
            <w:r>
              <w:rPr>
                <w:rFonts w:hint="default" w:ascii="Times New Roman" w:hAnsi="Times New Roman" w:eastAsia="宋体" w:cs="Times New Roman"/>
                <w:b w:val="0"/>
                <w:bCs w:val="0"/>
                <w:sz w:val="24"/>
              </w:rPr>
              <w:t>t/a，项目有机废气处理采用“UV 光催化+二级活性炭吸附”处理工艺，有机废气主要经UV光解处理后再由活性炭吸附，根据同类项目类比可知，该处理系统中，UV光解部分处理效率约45%，因此，项目经活性炭吸附的有机废气量约为</w:t>
            </w:r>
            <w:r>
              <w:rPr>
                <w:rFonts w:hint="eastAsia" w:ascii="Times New Roman" w:hAnsi="Times New Roman" w:cs="Times New Roman"/>
                <w:b w:val="0"/>
                <w:bCs w:val="0"/>
                <w:sz w:val="24"/>
                <w:lang w:val="en-US" w:eastAsia="zh-CN"/>
              </w:rPr>
              <w:t>12.0285</w:t>
            </w:r>
            <w:r>
              <w:rPr>
                <w:rFonts w:hint="default" w:ascii="Times New Roman" w:hAnsi="Times New Roman" w:eastAsia="宋体" w:cs="Times New Roman"/>
                <w:b w:val="0"/>
                <w:bCs w:val="0"/>
                <w:sz w:val="24"/>
              </w:rPr>
              <w:t>t/a，则项目活性炭用量约为</w:t>
            </w:r>
            <w:r>
              <w:rPr>
                <w:rFonts w:hint="eastAsia" w:ascii="Times New Roman" w:hAnsi="Times New Roman" w:cs="Times New Roman"/>
                <w:b w:val="0"/>
                <w:bCs w:val="0"/>
                <w:sz w:val="24"/>
                <w:lang w:val="en-US" w:eastAsia="zh-CN"/>
              </w:rPr>
              <w:t>48.114</w:t>
            </w:r>
            <w:r>
              <w:rPr>
                <w:rFonts w:hint="default" w:ascii="Times New Roman" w:hAnsi="Times New Roman" w:eastAsia="宋体" w:cs="Times New Roman"/>
                <w:b w:val="0"/>
                <w:bCs w:val="0"/>
                <w:sz w:val="24"/>
              </w:rPr>
              <w:t>t/a，即废活性炭产生量约为</w:t>
            </w:r>
            <w:r>
              <w:rPr>
                <w:rFonts w:hint="eastAsia" w:ascii="Times New Roman" w:hAnsi="Times New Roman" w:cs="Times New Roman"/>
                <w:b w:val="0"/>
                <w:bCs w:val="0"/>
                <w:sz w:val="24"/>
                <w:lang w:val="en-US" w:eastAsia="zh-CN"/>
              </w:rPr>
              <w:t>60.1425</w:t>
            </w:r>
            <w:r>
              <w:rPr>
                <w:rFonts w:hint="default" w:ascii="Times New Roman" w:hAnsi="Times New Roman" w:eastAsia="宋体" w:cs="Times New Roman"/>
                <w:b w:val="0"/>
                <w:bCs w:val="0"/>
                <w:sz w:val="24"/>
              </w:rPr>
              <w:t>t/a（处理有机废气量+活性炭使用量）。运营过程中根据每次的填充量进行定期更换。</w:t>
            </w:r>
          </w:p>
          <w:p>
            <w:pPr>
              <w:pStyle w:val="25"/>
              <w:bidi w:val="0"/>
              <w:ind w:firstLine="723" w:firstLineChars="300"/>
              <w:jc w:val="left"/>
              <w:rPr>
                <w:rFonts w:hint="default" w:ascii="Times New Roman" w:hAnsi="Times New Roman" w:cs="Times New Roman"/>
                <w:b w:val="0"/>
                <w:bCs w:val="0"/>
                <w:sz w:val="24"/>
              </w:rPr>
            </w:pPr>
            <w:r>
              <w:rPr>
                <w:rFonts w:hint="default" w:ascii="Times New Roman" w:hAnsi="Times New Roman" w:cs="Times New Roman"/>
                <w:sz w:val="24"/>
              </w:rPr>
              <w:t>环评要求</w:t>
            </w:r>
            <w:r>
              <w:rPr>
                <w:rFonts w:hint="default" w:ascii="Times New Roman" w:hAnsi="Times New Roman" w:cs="Times New Roman"/>
                <w:sz w:val="24"/>
                <w:lang w:eastAsia="zh-CN"/>
              </w:rPr>
              <w:t>：</w:t>
            </w:r>
            <w:r>
              <w:rPr>
                <w:rFonts w:hint="default" w:ascii="Times New Roman" w:hAnsi="Times New Roman" w:cs="Times New Roman"/>
                <w:b w:val="0"/>
                <w:bCs w:val="0"/>
                <w:sz w:val="24"/>
              </w:rPr>
              <w:t>项目应建立废气处理设施活性炭更换记录档案，如实记录活性炭更换时间、更换量、废活性炭去向等信息；活性炭更换记录应由专人填写，妥善保管，随时备查；废活性炭应在危险废物暂存间妥善暂存，定期交由具有相应危废处理资质的单位处置，并严格落实危险废物转移五联单制度。</w:t>
            </w:r>
          </w:p>
          <w:p>
            <w:pPr>
              <w:snapToGrid w:val="0"/>
              <w:spacing w:line="360" w:lineRule="auto"/>
              <w:ind w:firstLine="480" w:firstLineChars="200"/>
              <w:rPr>
                <w:rFonts w:hint="eastAsia" w:ascii="黑体" w:hAnsi="黑体" w:eastAsia="黑体"/>
                <w:color w:val="0000FF"/>
                <w:sz w:val="24"/>
              </w:rPr>
            </w:pPr>
            <w:r>
              <w:rPr>
                <w:rFonts w:hint="eastAsia" w:ascii="黑体" w:hAnsi="黑体" w:eastAsia="黑体"/>
                <w:color w:val="0000FF"/>
                <w:sz w:val="24"/>
              </w:rPr>
              <w:t>（2）氯化氢废气</w:t>
            </w:r>
          </w:p>
          <w:p>
            <w:pPr>
              <w:snapToGrid w:val="0"/>
              <w:spacing w:line="360" w:lineRule="auto"/>
              <w:ind w:firstLine="472" w:firstLineChars="196"/>
              <w:rPr>
                <w:rFonts w:hint="eastAsia"/>
                <w:b/>
                <w:color w:val="0000FF"/>
                <w:sz w:val="24"/>
              </w:rPr>
            </w:pPr>
            <w:r>
              <w:rPr>
                <w:rFonts w:hint="eastAsia"/>
                <w:b/>
                <w:color w:val="0000FF"/>
                <w:sz w:val="24"/>
              </w:rPr>
              <w:t>①氯化氢产生源强</w:t>
            </w:r>
          </w:p>
          <w:p>
            <w:pPr>
              <w:snapToGrid w:val="0"/>
              <w:spacing w:line="360" w:lineRule="auto"/>
              <w:ind w:firstLine="480" w:firstLineChars="200"/>
              <w:rPr>
                <w:rFonts w:hint="eastAsia" w:hAnsi="宋体"/>
                <w:color w:val="0000FF"/>
                <w:sz w:val="24"/>
                <w:highlight w:val="none"/>
              </w:rPr>
            </w:pPr>
            <w:r>
              <w:rPr>
                <w:rFonts w:hAnsi="宋体"/>
                <w:color w:val="0000FF"/>
                <w:sz w:val="24"/>
              </w:rPr>
              <w:t>聚氯乙烯（</w:t>
            </w:r>
            <w:r>
              <w:rPr>
                <w:color w:val="0000FF"/>
                <w:sz w:val="24"/>
              </w:rPr>
              <w:t>PVC</w:t>
            </w:r>
            <w:r>
              <w:rPr>
                <w:rFonts w:hAnsi="宋体"/>
                <w:color w:val="0000FF"/>
                <w:sz w:val="24"/>
              </w:rPr>
              <w:t>）是由氯乙烯经聚合而成的高分子化合物，有热塑性，玻璃化温度</w:t>
            </w:r>
            <w:r>
              <w:rPr>
                <w:color w:val="0000FF"/>
                <w:sz w:val="24"/>
              </w:rPr>
              <w:t>80</w:t>
            </w:r>
            <w:r>
              <w:rPr>
                <w:rFonts w:hAnsi="宋体"/>
                <w:color w:val="0000FF"/>
                <w:sz w:val="24"/>
              </w:rPr>
              <w:t>℃～</w:t>
            </w:r>
            <w:r>
              <w:rPr>
                <w:color w:val="0000FF"/>
                <w:sz w:val="24"/>
              </w:rPr>
              <w:t>85</w:t>
            </w:r>
            <w:r>
              <w:rPr>
                <w:rFonts w:hAnsi="宋体"/>
                <w:color w:val="0000FF"/>
                <w:sz w:val="24"/>
              </w:rPr>
              <w:t>℃。工业品为白色或浅黄色粉末，相对密度</w:t>
            </w:r>
            <w:r>
              <w:rPr>
                <w:color w:val="0000FF"/>
                <w:sz w:val="24"/>
              </w:rPr>
              <w:t>1.4</w:t>
            </w:r>
            <w:r>
              <w:rPr>
                <w:rFonts w:hAnsi="宋体"/>
                <w:color w:val="0000FF"/>
                <w:sz w:val="24"/>
              </w:rPr>
              <w:t>，含氯量</w:t>
            </w:r>
            <w:r>
              <w:rPr>
                <w:color w:val="0000FF"/>
                <w:sz w:val="24"/>
              </w:rPr>
              <w:t>56</w:t>
            </w:r>
            <w:r>
              <w:rPr>
                <w:rFonts w:hAnsi="宋体"/>
                <w:color w:val="0000FF"/>
                <w:sz w:val="24"/>
              </w:rPr>
              <w:t>～</w:t>
            </w:r>
            <w:r>
              <w:rPr>
                <w:color w:val="0000FF"/>
                <w:sz w:val="24"/>
              </w:rPr>
              <w:t>58%</w:t>
            </w:r>
            <w:r>
              <w:rPr>
                <w:rFonts w:hAnsi="宋体"/>
                <w:color w:val="0000FF"/>
                <w:sz w:val="24"/>
              </w:rPr>
              <w:t>，有极好的耐化学腐蚀性，但热稳定性和耐光性较差。</w:t>
            </w:r>
            <w:r>
              <w:rPr>
                <w:rFonts w:hint="eastAsia"/>
                <w:color w:val="0000FF"/>
                <w:sz w:val="24"/>
              </w:rPr>
              <w:t>根据《气相色谱 -质谱法分析聚氯乙烯加热分解产物》（《中国卫生检验杂志》，2008年4月第18卷第4期，林华影、林瑶、张伟、张琼）的研究结果可知：</w:t>
            </w:r>
            <w:r>
              <w:rPr>
                <w:rFonts w:hAnsi="宋体"/>
                <w:color w:val="0000FF"/>
                <w:sz w:val="24"/>
              </w:rPr>
              <w:t>聚氯乙烯在</w:t>
            </w:r>
            <w:r>
              <w:rPr>
                <w:color w:val="0000FF"/>
                <w:sz w:val="24"/>
              </w:rPr>
              <w:t xml:space="preserve"> 90</w:t>
            </w:r>
            <w:r>
              <w:rPr>
                <w:rFonts w:hAnsi="宋体"/>
                <w:color w:val="0000FF"/>
                <w:sz w:val="24"/>
              </w:rPr>
              <w:t>℃的加热条件下即可产生分解</w:t>
            </w:r>
            <w:r>
              <w:rPr>
                <w:rFonts w:hint="eastAsia"/>
                <w:color w:val="0000FF"/>
                <w:sz w:val="24"/>
              </w:rPr>
              <w:t>，</w:t>
            </w:r>
            <w:r>
              <w:rPr>
                <w:rFonts w:hAnsi="宋体"/>
                <w:color w:val="0000FF"/>
                <w:sz w:val="24"/>
              </w:rPr>
              <w:t>生成氯化氢和氯乙烯等有害气体</w:t>
            </w:r>
            <w:r>
              <w:rPr>
                <w:rFonts w:hint="eastAsia"/>
                <w:color w:val="0000FF"/>
                <w:sz w:val="24"/>
              </w:rPr>
              <w:t>，</w:t>
            </w:r>
            <w:r>
              <w:rPr>
                <w:color w:val="0000FF"/>
                <w:sz w:val="24"/>
              </w:rPr>
              <w:t>110</w:t>
            </w:r>
            <w:r>
              <w:rPr>
                <w:rFonts w:hAnsi="宋体"/>
                <w:color w:val="0000FF"/>
                <w:sz w:val="24"/>
              </w:rPr>
              <w:t>℃时即产生</w:t>
            </w:r>
            <w:r>
              <w:rPr>
                <w:rFonts w:hint="eastAsia" w:hAnsi="宋体"/>
                <w:color w:val="0000FF"/>
                <w:sz w:val="24"/>
              </w:rPr>
              <w:t>熔融</w:t>
            </w:r>
            <w:r>
              <w:rPr>
                <w:rFonts w:hAnsi="宋体"/>
                <w:color w:val="0000FF"/>
                <w:sz w:val="24"/>
              </w:rPr>
              <w:t>现象</w:t>
            </w:r>
            <w:r>
              <w:rPr>
                <w:rFonts w:hint="eastAsia"/>
                <w:color w:val="0000FF"/>
                <w:sz w:val="24"/>
              </w:rPr>
              <w:t>，</w:t>
            </w:r>
            <w:r>
              <w:rPr>
                <w:color w:val="0000FF"/>
                <w:sz w:val="24"/>
              </w:rPr>
              <w:t>150</w:t>
            </w:r>
            <w:r>
              <w:rPr>
                <w:rFonts w:hAnsi="宋体"/>
                <w:color w:val="0000FF"/>
                <w:sz w:val="24"/>
              </w:rPr>
              <w:t>℃以上分解速度加快</w:t>
            </w:r>
            <w:r>
              <w:rPr>
                <w:rFonts w:hint="eastAsia" w:hAnsi="宋体"/>
                <w:color w:val="0000FF"/>
                <w:sz w:val="24"/>
              </w:rPr>
              <w:t>，</w:t>
            </w:r>
            <w:r>
              <w:rPr>
                <w:color w:val="0000FF"/>
                <w:sz w:val="24"/>
              </w:rPr>
              <w:t>170</w:t>
            </w:r>
            <w:r>
              <w:rPr>
                <w:rFonts w:hAnsi="宋体"/>
                <w:color w:val="0000FF"/>
                <w:sz w:val="24"/>
              </w:rPr>
              <w:t>℃时其热解产物即可苯环化</w:t>
            </w:r>
            <w:r>
              <w:rPr>
                <w:rFonts w:hint="eastAsia"/>
                <w:color w:val="0000FF"/>
                <w:sz w:val="24"/>
              </w:rPr>
              <w:t>；</w:t>
            </w:r>
            <w:r>
              <w:rPr>
                <w:color w:val="0000FF"/>
                <w:sz w:val="24"/>
              </w:rPr>
              <w:t>210</w:t>
            </w:r>
            <w:r>
              <w:rPr>
                <w:rFonts w:hAnsi="宋体"/>
                <w:color w:val="0000FF"/>
                <w:sz w:val="24"/>
              </w:rPr>
              <w:t>℃时即可热解产生苯乙烯。</w:t>
            </w:r>
            <w:r>
              <w:rPr>
                <w:rFonts w:hint="eastAsia" w:hAnsi="宋体"/>
                <w:color w:val="0000FF"/>
                <w:sz w:val="24"/>
              </w:rPr>
              <w:t>由于本项目PVC管材、管件聚氯乙烯颗粒加热温度为</w:t>
            </w:r>
            <w:r>
              <w:rPr>
                <w:bCs/>
                <w:color w:val="0000FF"/>
                <w:sz w:val="24"/>
              </w:rPr>
              <w:t>150</w:t>
            </w:r>
            <w:r>
              <w:rPr>
                <w:rFonts w:hAnsi="宋体"/>
                <w:bCs/>
                <w:color w:val="0000FF"/>
                <w:sz w:val="24"/>
              </w:rPr>
              <w:t>℃</w:t>
            </w:r>
            <w:r>
              <w:rPr>
                <w:bCs/>
                <w:color w:val="0000FF"/>
                <w:sz w:val="24"/>
              </w:rPr>
              <w:t>~1</w:t>
            </w:r>
            <w:r>
              <w:rPr>
                <w:rFonts w:hint="eastAsia"/>
                <w:bCs/>
                <w:color w:val="0000FF"/>
                <w:sz w:val="24"/>
              </w:rPr>
              <w:t>65</w:t>
            </w:r>
            <w:r>
              <w:rPr>
                <w:rFonts w:hAnsi="宋体"/>
                <w:bCs/>
                <w:color w:val="0000FF"/>
                <w:sz w:val="24"/>
              </w:rPr>
              <w:t>℃</w:t>
            </w:r>
            <w:r>
              <w:rPr>
                <w:bCs/>
                <w:color w:val="0000FF"/>
                <w:sz w:val="24"/>
              </w:rPr>
              <w:t>之间</w:t>
            </w:r>
            <w:r>
              <w:rPr>
                <w:rFonts w:hint="eastAsia"/>
                <w:bCs/>
                <w:color w:val="0000FF"/>
                <w:sz w:val="24"/>
              </w:rPr>
              <w:t>，</w:t>
            </w:r>
            <w:r>
              <w:rPr>
                <w:rFonts w:hint="eastAsia" w:hAnsi="宋体"/>
                <w:color w:val="0000FF"/>
                <w:sz w:val="24"/>
              </w:rPr>
              <w:t>且根据</w:t>
            </w:r>
            <w:r>
              <w:rPr>
                <w:rFonts w:hint="eastAsia"/>
                <w:color w:val="0000FF"/>
                <w:sz w:val="24"/>
              </w:rPr>
              <w:t>《气相色谱 -质谱法分析聚氯乙烯加热分解产物》中实验结果，该温度下HCL产生量为0.010%。</w:t>
            </w:r>
            <w:r>
              <w:rPr>
                <w:rFonts w:hint="eastAsia" w:hAnsi="宋体"/>
                <w:color w:val="0000FF"/>
                <w:sz w:val="24"/>
                <w:highlight w:val="none"/>
              </w:rPr>
              <w:t>本项目</w:t>
            </w:r>
            <w:r>
              <w:rPr>
                <w:rFonts w:hAnsi="宋体"/>
                <w:color w:val="0000FF"/>
                <w:sz w:val="24"/>
                <w:highlight w:val="none"/>
              </w:rPr>
              <w:t>聚氯乙烯（</w:t>
            </w:r>
            <w:r>
              <w:rPr>
                <w:color w:val="0000FF"/>
                <w:sz w:val="24"/>
                <w:highlight w:val="none"/>
              </w:rPr>
              <w:t>PVC</w:t>
            </w:r>
            <w:r>
              <w:rPr>
                <w:rFonts w:hAnsi="宋体"/>
                <w:color w:val="0000FF"/>
                <w:sz w:val="24"/>
                <w:highlight w:val="none"/>
              </w:rPr>
              <w:t>）</w:t>
            </w:r>
            <w:r>
              <w:rPr>
                <w:rFonts w:hint="eastAsia" w:hAnsi="宋体"/>
                <w:color w:val="0000FF"/>
                <w:sz w:val="24"/>
                <w:highlight w:val="none"/>
              </w:rPr>
              <w:t>颗粒用量为</w:t>
            </w:r>
            <w:r>
              <w:rPr>
                <w:rFonts w:hint="eastAsia" w:hAnsi="宋体"/>
                <w:color w:val="0000FF"/>
                <w:sz w:val="24"/>
                <w:highlight w:val="none"/>
                <w:lang w:val="en-US" w:eastAsia="zh-CN"/>
              </w:rPr>
              <w:t>4142</w:t>
            </w:r>
            <w:r>
              <w:rPr>
                <w:rFonts w:hint="eastAsia" w:hAnsi="宋体"/>
                <w:color w:val="0000FF"/>
                <w:sz w:val="24"/>
                <w:highlight w:val="none"/>
              </w:rPr>
              <w:t>t/a，则氯化氢产生量为0.4</w:t>
            </w:r>
            <w:r>
              <w:rPr>
                <w:rFonts w:hint="eastAsia" w:hAnsi="宋体"/>
                <w:color w:val="0000FF"/>
                <w:sz w:val="24"/>
                <w:highlight w:val="none"/>
                <w:lang w:val="en-US" w:eastAsia="zh-CN"/>
              </w:rPr>
              <w:t>142</w:t>
            </w:r>
            <w:r>
              <w:rPr>
                <w:rFonts w:hint="eastAsia" w:hAnsi="宋体"/>
                <w:color w:val="0000FF"/>
                <w:sz w:val="24"/>
                <w:highlight w:val="none"/>
              </w:rPr>
              <w:t>t/a，</w:t>
            </w:r>
            <w:r>
              <w:rPr>
                <w:color w:val="0000FF"/>
                <w:sz w:val="24"/>
                <w:highlight w:val="none"/>
              </w:rPr>
              <w:t>项目年产3</w:t>
            </w:r>
            <w:r>
              <w:rPr>
                <w:rFonts w:hint="eastAsia"/>
                <w:color w:val="0000FF"/>
                <w:sz w:val="24"/>
                <w:highlight w:val="none"/>
                <w:lang w:val="en-US" w:eastAsia="zh-CN"/>
              </w:rPr>
              <w:t>3</w:t>
            </w:r>
            <w:r>
              <w:rPr>
                <w:color w:val="0000FF"/>
                <w:sz w:val="24"/>
                <w:highlight w:val="none"/>
              </w:rPr>
              <w:t>0天，每天工作24小时，则产生速率</w:t>
            </w:r>
            <w:r>
              <w:rPr>
                <w:rFonts w:hint="eastAsia"/>
                <w:color w:val="0000FF"/>
                <w:sz w:val="24"/>
                <w:highlight w:val="none"/>
                <w:lang w:val="en-US" w:eastAsia="zh-CN"/>
              </w:rPr>
              <w:t>约</w:t>
            </w:r>
            <w:r>
              <w:rPr>
                <w:color w:val="0000FF"/>
                <w:sz w:val="24"/>
                <w:highlight w:val="none"/>
              </w:rPr>
              <w:t>为</w:t>
            </w:r>
            <w:r>
              <w:rPr>
                <w:rFonts w:hint="eastAsia"/>
                <w:color w:val="0000FF"/>
                <w:sz w:val="24"/>
                <w:highlight w:val="none"/>
              </w:rPr>
              <w:t>0.05</w:t>
            </w:r>
            <w:r>
              <w:rPr>
                <w:rFonts w:hint="eastAsia"/>
                <w:color w:val="0000FF"/>
                <w:sz w:val="24"/>
                <w:highlight w:val="none"/>
                <w:lang w:val="en-US" w:eastAsia="zh-CN"/>
              </w:rPr>
              <w:t>23</w:t>
            </w:r>
            <w:r>
              <w:rPr>
                <w:color w:val="0000FF"/>
                <w:sz w:val="24"/>
                <w:highlight w:val="none"/>
              </w:rPr>
              <w:t>kg/h。</w:t>
            </w:r>
          </w:p>
          <w:p>
            <w:pPr>
              <w:snapToGrid w:val="0"/>
              <w:spacing w:line="360" w:lineRule="auto"/>
              <w:ind w:firstLine="480"/>
              <w:rPr>
                <w:rFonts w:hint="eastAsia"/>
                <w:b/>
                <w:color w:val="0000FF"/>
                <w:sz w:val="24"/>
              </w:rPr>
            </w:pPr>
            <w:r>
              <w:rPr>
                <w:rFonts w:hint="eastAsia"/>
                <w:b/>
                <w:color w:val="0000FF"/>
                <w:sz w:val="24"/>
              </w:rPr>
              <w:t>②氯化氢收集及</w:t>
            </w:r>
            <w:r>
              <w:rPr>
                <w:b/>
                <w:color w:val="0000FF"/>
                <w:sz w:val="24"/>
              </w:rPr>
              <w:t>治理措施</w:t>
            </w:r>
          </w:p>
          <w:p>
            <w:pPr>
              <w:snapToGrid w:val="0"/>
              <w:spacing w:line="360" w:lineRule="auto"/>
              <w:ind w:firstLine="439" w:firstLineChars="183"/>
              <w:rPr>
                <w:rFonts w:hint="eastAsia"/>
                <w:bCs/>
                <w:color w:val="0000FF"/>
                <w:sz w:val="24"/>
              </w:rPr>
            </w:pPr>
            <w:r>
              <w:rPr>
                <w:rFonts w:hint="eastAsia"/>
                <w:bCs/>
                <w:color w:val="0000FF"/>
                <w:sz w:val="24"/>
              </w:rPr>
              <w:t>环评要求：在</w:t>
            </w:r>
            <w:r>
              <w:rPr>
                <w:rFonts w:hint="eastAsia"/>
                <w:bCs/>
                <w:color w:val="0000FF"/>
                <w:sz w:val="24"/>
                <w:lang w:val="en-US" w:eastAsia="zh-CN"/>
              </w:rPr>
              <w:t>8</w:t>
            </w:r>
            <w:r>
              <w:rPr>
                <w:rFonts w:hint="eastAsia"/>
                <w:bCs/>
                <w:color w:val="0000FF"/>
                <w:sz w:val="24"/>
              </w:rPr>
              <w:t>套PVC挤塑机挤塑主机出口上方、</w:t>
            </w:r>
            <w:r>
              <w:rPr>
                <w:rFonts w:hint="eastAsia"/>
                <w:bCs/>
                <w:color w:val="0000FF"/>
                <w:sz w:val="24"/>
                <w:lang w:val="en-US" w:eastAsia="zh-CN"/>
              </w:rPr>
              <w:t>7</w:t>
            </w:r>
            <w:r>
              <w:rPr>
                <w:rFonts w:hint="eastAsia"/>
                <w:bCs/>
                <w:color w:val="0000FF"/>
                <w:sz w:val="24"/>
              </w:rPr>
              <w:t>台PVC管件注塑机上方分别设置集气罩，</w:t>
            </w:r>
            <w:r>
              <w:rPr>
                <w:rFonts w:hint="eastAsia"/>
                <w:color w:val="0000FF"/>
                <w:sz w:val="24"/>
              </w:rPr>
              <w:t>集气罩投影面积应大于挤出系统出口面积</w:t>
            </w:r>
            <w:r>
              <w:rPr>
                <w:color w:val="0000FF"/>
                <w:sz w:val="24"/>
              </w:rPr>
              <w:t>，</w:t>
            </w:r>
            <w:r>
              <w:rPr>
                <w:rFonts w:hint="eastAsia"/>
                <w:bCs/>
                <w:color w:val="0000FF"/>
                <w:sz w:val="24"/>
              </w:rPr>
              <w:t>对废气收集率为90%，集气风量为</w:t>
            </w:r>
            <w:r>
              <w:rPr>
                <w:rFonts w:hint="eastAsia"/>
                <w:bCs/>
                <w:color w:val="0000FF"/>
                <w:sz w:val="24"/>
                <w:lang w:val="en-US" w:eastAsia="zh-CN"/>
              </w:rPr>
              <w:t>10</w:t>
            </w:r>
            <w:r>
              <w:rPr>
                <w:rFonts w:hint="eastAsia"/>
                <w:bCs/>
                <w:color w:val="0000FF"/>
                <w:sz w:val="24"/>
              </w:rPr>
              <w:t>000</w:t>
            </w:r>
            <w:r>
              <w:rPr>
                <w:bCs/>
                <w:color w:val="0000FF"/>
                <w:sz w:val="24"/>
                <w:lang w:val="de-DE"/>
              </w:rPr>
              <w:t xml:space="preserve"> m</w:t>
            </w:r>
            <w:r>
              <w:rPr>
                <w:bCs/>
                <w:color w:val="0000FF"/>
                <w:sz w:val="24"/>
                <w:vertAlign w:val="superscript"/>
                <w:lang w:val="de-DE"/>
              </w:rPr>
              <w:t>3</w:t>
            </w:r>
            <w:r>
              <w:rPr>
                <w:bCs/>
                <w:color w:val="0000FF"/>
                <w:sz w:val="24"/>
                <w:lang w:val="de-DE"/>
              </w:rPr>
              <w:t>/h</w:t>
            </w:r>
            <w:r>
              <w:rPr>
                <w:rFonts w:hint="eastAsia"/>
                <w:bCs/>
                <w:color w:val="0000FF"/>
                <w:sz w:val="24"/>
                <w:lang w:val="de-DE"/>
              </w:rPr>
              <w:t>。PVC管材及管件生产过程中产生的废气</w:t>
            </w:r>
            <w:r>
              <w:rPr>
                <w:rFonts w:hint="eastAsia"/>
                <w:bCs/>
                <w:color w:val="0000FF"/>
                <w:sz w:val="24"/>
              </w:rPr>
              <w:t>经收集后，先通过一套喷淋塔去除氯化氢气体（处理率为90%），再由过滤棉去除多余水分后，再进入有机废气处理系统由15高排气筒排放（编号：</w:t>
            </w:r>
            <w:r>
              <w:rPr>
                <w:rFonts w:hint="eastAsia"/>
                <w:bCs/>
                <w:color w:val="0000FF"/>
                <w:sz w:val="24"/>
                <w:lang w:val="en-US" w:eastAsia="zh-CN"/>
              </w:rPr>
              <w:t>DA00</w:t>
            </w:r>
            <w:r>
              <w:rPr>
                <w:rFonts w:hint="eastAsia"/>
                <w:bCs/>
                <w:color w:val="0000FF"/>
                <w:sz w:val="24"/>
              </w:rPr>
              <w:t>1）。</w:t>
            </w:r>
          </w:p>
          <w:p>
            <w:pPr>
              <w:snapToGrid w:val="0"/>
              <w:spacing w:line="360" w:lineRule="auto"/>
              <w:ind w:firstLine="439" w:firstLineChars="183"/>
              <w:rPr>
                <w:rFonts w:hint="eastAsia"/>
                <w:color w:val="0000FF"/>
                <w:kern w:val="0"/>
                <w:sz w:val="24"/>
              </w:rPr>
            </w:pPr>
            <w:r>
              <w:rPr>
                <w:rFonts w:hint="eastAsia"/>
                <w:color w:val="0000FF"/>
                <w:kern w:val="0"/>
                <w:sz w:val="24"/>
              </w:rPr>
              <w:t>喷淋除氯化氢系统原理：经集气罩捕集的气体进入喷淋塔（碱液采用氢氧化钠，碱液浓度1%），由塔底进入，在上升的过程中遇到逆流的洗涤水，并在填料的作用下，让洗涤水与气体充分接触，可以去除气体中含有的氯化氢。本项目设置一套喷淋塔除异味系统，配备循环水箱容积为0.5m</w:t>
            </w:r>
            <w:r>
              <w:rPr>
                <w:rFonts w:hint="eastAsia"/>
                <w:color w:val="0000FF"/>
                <w:kern w:val="0"/>
                <w:sz w:val="24"/>
                <w:vertAlign w:val="superscript"/>
              </w:rPr>
              <w:t>3</w:t>
            </w:r>
            <w:r>
              <w:rPr>
                <w:rFonts w:hint="eastAsia"/>
                <w:color w:val="0000FF"/>
                <w:kern w:val="0"/>
                <w:sz w:val="24"/>
              </w:rPr>
              <w:t>，水箱设置氢氧化钠碱水，碱水浓度为1%。</w:t>
            </w:r>
          </w:p>
          <w:p>
            <w:pPr>
              <w:snapToGrid w:val="0"/>
              <w:spacing w:line="360" w:lineRule="auto"/>
              <w:ind w:firstLine="472" w:firstLineChars="196"/>
              <w:rPr>
                <w:rFonts w:hint="eastAsia"/>
                <w:b/>
                <w:color w:val="0000FF"/>
                <w:sz w:val="24"/>
              </w:rPr>
            </w:pPr>
            <w:r>
              <w:rPr>
                <w:rFonts w:hint="eastAsia"/>
                <w:b/>
                <w:color w:val="0000FF"/>
                <w:sz w:val="24"/>
              </w:rPr>
              <w:t>③氯化氢排放情况</w:t>
            </w:r>
            <w:bookmarkStart w:id="5" w:name="_GoBack"/>
            <w:bookmarkEnd w:id="5"/>
          </w:p>
          <w:p>
            <w:pPr>
              <w:snapToGrid w:val="0"/>
              <w:spacing w:line="360" w:lineRule="auto"/>
              <w:ind w:firstLine="480"/>
              <w:rPr>
                <w:rFonts w:hint="eastAsia" w:ascii="黑体" w:hAnsi="黑体" w:eastAsia="黑体" w:cs="宋体"/>
                <w:color w:val="0000FF"/>
                <w:sz w:val="24"/>
              </w:rPr>
            </w:pPr>
            <w:r>
              <w:rPr>
                <w:rFonts w:hint="eastAsia" w:ascii="黑体" w:hAnsi="黑体" w:eastAsia="黑体" w:cs="宋体"/>
                <w:color w:val="0000FF"/>
                <w:sz w:val="24"/>
              </w:rPr>
              <w:t>1）氯化氢废气有组织排放</w:t>
            </w:r>
          </w:p>
          <w:p>
            <w:pPr>
              <w:snapToGrid w:val="0"/>
              <w:spacing w:line="360" w:lineRule="auto"/>
              <w:ind w:firstLine="482"/>
              <w:jc w:val="center"/>
              <w:rPr>
                <w:b/>
                <w:color w:val="0000FF"/>
                <w:szCs w:val="21"/>
              </w:rPr>
            </w:pPr>
            <w:r>
              <w:rPr>
                <w:b/>
                <w:color w:val="0000FF"/>
                <w:szCs w:val="21"/>
              </w:rPr>
              <w:t>表</w:t>
            </w:r>
            <w:r>
              <w:rPr>
                <w:rFonts w:hint="eastAsia"/>
                <w:b/>
                <w:color w:val="0000FF"/>
                <w:szCs w:val="21"/>
                <w:lang w:val="en-US" w:eastAsia="zh-CN"/>
              </w:rPr>
              <w:t>4-3</w:t>
            </w:r>
            <w:r>
              <w:rPr>
                <w:b/>
                <w:color w:val="0000FF"/>
                <w:szCs w:val="21"/>
              </w:rPr>
              <w:t xml:space="preserve"> 本项目</w:t>
            </w:r>
            <w:r>
              <w:rPr>
                <w:rFonts w:hint="eastAsia"/>
                <w:b/>
                <w:color w:val="0000FF"/>
                <w:szCs w:val="21"/>
              </w:rPr>
              <w:t>氯化氢</w:t>
            </w:r>
            <w:r>
              <w:rPr>
                <w:b/>
                <w:color w:val="0000FF"/>
                <w:szCs w:val="21"/>
              </w:rPr>
              <w:t>废气经处理之后排放情况</w:t>
            </w:r>
          </w:p>
          <w:tbl>
            <w:tblPr>
              <w:tblStyle w:val="16"/>
              <w:tblW w:w="77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9"/>
              <w:gridCol w:w="528"/>
              <w:gridCol w:w="628"/>
              <w:gridCol w:w="487"/>
              <w:gridCol w:w="568"/>
              <w:gridCol w:w="713"/>
              <w:gridCol w:w="635"/>
              <w:gridCol w:w="596"/>
              <w:gridCol w:w="687"/>
              <w:gridCol w:w="525"/>
              <w:gridCol w:w="305"/>
              <w:gridCol w:w="713"/>
              <w:gridCol w:w="635"/>
              <w:gridCol w:w="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8" w:type="pct"/>
                  <w:vMerge w:val="restart"/>
                  <w:noWrap w:val="0"/>
                  <w:vAlign w:val="center"/>
                </w:tcPr>
                <w:p>
                  <w:pPr>
                    <w:jc w:val="center"/>
                    <w:rPr>
                      <w:b/>
                      <w:color w:val="0000FF"/>
                      <w:szCs w:val="21"/>
                    </w:rPr>
                  </w:pPr>
                  <w:r>
                    <w:rPr>
                      <w:rFonts w:hint="eastAsia"/>
                      <w:color w:val="0000FF"/>
                      <w:kern w:val="0"/>
                      <w:sz w:val="18"/>
                      <w:szCs w:val="18"/>
                    </w:rPr>
                    <w:t>排气筒编号</w:t>
                  </w:r>
                </w:p>
              </w:tc>
              <w:tc>
                <w:tcPr>
                  <w:tcW w:w="741" w:type="pct"/>
                  <w:gridSpan w:val="2"/>
                  <w:noWrap w:val="0"/>
                  <w:vAlign w:val="center"/>
                </w:tcPr>
                <w:p>
                  <w:pPr>
                    <w:jc w:val="center"/>
                    <w:rPr>
                      <w:b/>
                      <w:color w:val="0000FF"/>
                      <w:szCs w:val="21"/>
                    </w:rPr>
                  </w:pPr>
                  <w:r>
                    <w:rPr>
                      <w:b/>
                      <w:color w:val="0000FF"/>
                      <w:szCs w:val="21"/>
                    </w:rPr>
                    <w:t>排放参数</w:t>
                  </w:r>
                </w:p>
              </w:tc>
              <w:tc>
                <w:tcPr>
                  <w:tcW w:w="312" w:type="pct"/>
                  <w:vMerge w:val="restart"/>
                  <w:noWrap w:val="0"/>
                  <w:vAlign w:val="center"/>
                </w:tcPr>
                <w:p>
                  <w:pPr>
                    <w:jc w:val="center"/>
                    <w:rPr>
                      <w:b/>
                      <w:color w:val="0000FF"/>
                      <w:szCs w:val="21"/>
                    </w:rPr>
                  </w:pPr>
                  <w:r>
                    <w:rPr>
                      <w:b/>
                      <w:color w:val="0000FF"/>
                      <w:szCs w:val="21"/>
                    </w:rPr>
                    <w:t>污染物</w:t>
                  </w:r>
                </w:p>
                <w:p>
                  <w:pPr>
                    <w:jc w:val="center"/>
                    <w:rPr>
                      <w:b/>
                      <w:color w:val="0000FF"/>
                      <w:szCs w:val="21"/>
                    </w:rPr>
                  </w:pPr>
                  <w:r>
                    <w:rPr>
                      <w:b/>
                      <w:color w:val="0000FF"/>
                      <w:szCs w:val="21"/>
                    </w:rPr>
                    <w:t>名称</w:t>
                  </w:r>
                </w:p>
              </w:tc>
              <w:tc>
                <w:tcPr>
                  <w:tcW w:w="1229" w:type="pct"/>
                  <w:gridSpan w:val="3"/>
                  <w:noWrap w:val="0"/>
                  <w:vAlign w:val="center"/>
                </w:tcPr>
                <w:p>
                  <w:pPr>
                    <w:jc w:val="center"/>
                    <w:rPr>
                      <w:b/>
                      <w:color w:val="0000FF"/>
                      <w:szCs w:val="21"/>
                    </w:rPr>
                  </w:pPr>
                  <w:r>
                    <w:rPr>
                      <w:b/>
                      <w:color w:val="0000FF"/>
                      <w:szCs w:val="21"/>
                    </w:rPr>
                    <w:t>处理前</w:t>
                  </w:r>
                </w:p>
              </w:tc>
              <w:tc>
                <w:tcPr>
                  <w:tcW w:w="1160" w:type="pct"/>
                  <w:gridSpan w:val="3"/>
                  <w:noWrap w:val="0"/>
                  <w:vAlign w:val="center"/>
                </w:tcPr>
                <w:p>
                  <w:pPr>
                    <w:jc w:val="center"/>
                    <w:rPr>
                      <w:b/>
                      <w:color w:val="0000FF"/>
                      <w:szCs w:val="21"/>
                    </w:rPr>
                  </w:pPr>
                  <w:r>
                    <w:rPr>
                      <w:b/>
                      <w:color w:val="0000FF"/>
                      <w:szCs w:val="21"/>
                    </w:rPr>
                    <w:t>处理后</w:t>
                  </w:r>
                </w:p>
              </w:tc>
              <w:tc>
                <w:tcPr>
                  <w:tcW w:w="195" w:type="pct"/>
                  <w:vMerge w:val="restart"/>
                  <w:noWrap w:val="0"/>
                  <w:vAlign w:val="center"/>
                </w:tcPr>
                <w:p>
                  <w:pPr>
                    <w:jc w:val="center"/>
                    <w:rPr>
                      <w:b/>
                      <w:color w:val="0000FF"/>
                      <w:szCs w:val="21"/>
                    </w:rPr>
                  </w:pPr>
                  <w:r>
                    <w:rPr>
                      <w:b/>
                      <w:color w:val="0000FF"/>
                      <w:szCs w:val="21"/>
                    </w:rPr>
                    <w:t>处理效率</w:t>
                  </w:r>
                </w:p>
                <w:p>
                  <w:pPr>
                    <w:jc w:val="center"/>
                    <w:rPr>
                      <w:rFonts w:hint="eastAsia"/>
                      <w:b/>
                      <w:color w:val="0000FF"/>
                      <w:szCs w:val="21"/>
                    </w:rPr>
                  </w:pPr>
                  <w:r>
                    <w:rPr>
                      <w:b/>
                      <w:color w:val="0000FF"/>
                      <w:szCs w:val="21"/>
                    </w:rPr>
                    <w:t>%</w:t>
                  </w:r>
                </w:p>
              </w:tc>
              <w:tc>
                <w:tcPr>
                  <w:tcW w:w="865" w:type="pct"/>
                  <w:gridSpan w:val="2"/>
                  <w:noWrap w:val="0"/>
                  <w:vAlign w:val="center"/>
                </w:tcPr>
                <w:p>
                  <w:pPr>
                    <w:jc w:val="center"/>
                    <w:rPr>
                      <w:b/>
                      <w:color w:val="0000FF"/>
                      <w:szCs w:val="21"/>
                    </w:rPr>
                  </w:pPr>
                  <w:r>
                    <w:rPr>
                      <w:b/>
                      <w:color w:val="0000FF"/>
                      <w:szCs w:val="21"/>
                    </w:rPr>
                    <w:t>评价标准</w:t>
                  </w:r>
                </w:p>
              </w:tc>
              <w:tc>
                <w:tcPr>
                  <w:tcW w:w="136" w:type="pct"/>
                  <w:vMerge w:val="restart"/>
                  <w:noWrap w:val="0"/>
                  <w:vAlign w:val="center"/>
                </w:tcPr>
                <w:p>
                  <w:pPr>
                    <w:jc w:val="center"/>
                    <w:rPr>
                      <w:b/>
                      <w:color w:val="0000FF"/>
                      <w:szCs w:val="21"/>
                    </w:rPr>
                  </w:pPr>
                  <w:r>
                    <w:rPr>
                      <w:b/>
                      <w:color w:val="0000FF"/>
                      <w:szCs w:val="21"/>
                    </w:rPr>
                    <w:t>达标</w:t>
                  </w:r>
                </w:p>
                <w:p>
                  <w:pPr>
                    <w:jc w:val="center"/>
                    <w:rPr>
                      <w:b/>
                      <w:color w:val="0000FF"/>
                      <w:szCs w:val="21"/>
                    </w:rPr>
                  </w:pPr>
                  <w:r>
                    <w:rPr>
                      <w:b/>
                      <w:color w:val="0000FF"/>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8" w:type="pct"/>
                  <w:vMerge w:val="continue"/>
                  <w:noWrap w:val="0"/>
                  <w:vAlign w:val="center"/>
                </w:tcPr>
                <w:p>
                  <w:pPr>
                    <w:jc w:val="center"/>
                    <w:rPr>
                      <w:color w:val="0000FF"/>
                      <w:szCs w:val="21"/>
                    </w:rPr>
                  </w:pPr>
                </w:p>
              </w:tc>
              <w:tc>
                <w:tcPr>
                  <w:tcW w:w="338" w:type="pct"/>
                  <w:noWrap w:val="0"/>
                  <w:vAlign w:val="center"/>
                </w:tcPr>
                <w:p>
                  <w:pPr>
                    <w:jc w:val="center"/>
                    <w:rPr>
                      <w:color w:val="0000FF"/>
                      <w:szCs w:val="21"/>
                    </w:rPr>
                  </w:pPr>
                  <w:r>
                    <w:rPr>
                      <w:color w:val="0000FF"/>
                      <w:szCs w:val="21"/>
                    </w:rPr>
                    <w:t>高度</w:t>
                  </w:r>
                </w:p>
                <w:p>
                  <w:pPr>
                    <w:jc w:val="center"/>
                    <w:rPr>
                      <w:color w:val="0000FF"/>
                      <w:szCs w:val="21"/>
                    </w:rPr>
                  </w:pPr>
                  <w:r>
                    <w:rPr>
                      <w:color w:val="0000FF"/>
                      <w:szCs w:val="21"/>
                    </w:rPr>
                    <w:t>（m）</w:t>
                  </w:r>
                </w:p>
              </w:tc>
              <w:tc>
                <w:tcPr>
                  <w:tcW w:w="403" w:type="pct"/>
                  <w:noWrap w:val="0"/>
                  <w:vAlign w:val="center"/>
                </w:tcPr>
                <w:p>
                  <w:pPr>
                    <w:jc w:val="center"/>
                    <w:rPr>
                      <w:color w:val="0000FF"/>
                      <w:szCs w:val="21"/>
                    </w:rPr>
                  </w:pPr>
                  <w:r>
                    <w:rPr>
                      <w:color w:val="0000FF"/>
                      <w:szCs w:val="21"/>
                    </w:rPr>
                    <w:t>风量</w:t>
                  </w:r>
                </w:p>
                <w:p>
                  <w:pPr>
                    <w:jc w:val="center"/>
                    <w:rPr>
                      <w:color w:val="0000FF"/>
                      <w:szCs w:val="21"/>
                    </w:rPr>
                  </w:pPr>
                  <w:r>
                    <w:rPr>
                      <w:color w:val="0000FF"/>
                      <w:szCs w:val="21"/>
                    </w:rPr>
                    <w:t>（m</w:t>
                  </w:r>
                  <w:r>
                    <w:rPr>
                      <w:color w:val="0000FF"/>
                      <w:szCs w:val="21"/>
                      <w:vertAlign w:val="superscript"/>
                    </w:rPr>
                    <w:t>3</w:t>
                  </w:r>
                  <w:r>
                    <w:rPr>
                      <w:color w:val="0000FF"/>
                      <w:szCs w:val="21"/>
                    </w:rPr>
                    <w:t>/h）</w:t>
                  </w:r>
                </w:p>
              </w:tc>
              <w:tc>
                <w:tcPr>
                  <w:tcW w:w="312" w:type="pct"/>
                  <w:vMerge w:val="continue"/>
                  <w:noWrap w:val="0"/>
                  <w:vAlign w:val="center"/>
                </w:tcPr>
                <w:p>
                  <w:pPr>
                    <w:jc w:val="center"/>
                    <w:rPr>
                      <w:color w:val="0000FF"/>
                      <w:szCs w:val="21"/>
                    </w:rPr>
                  </w:pPr>
                </w:p>
              </w:tc>
              <w:tc>
                <w:tcPr>
                  <w:tcW w:w="364" w:type="pct"/>
                  <w:noWrap w:val="0"/>
                  <w:vAlign w:val="center"/>
                </w:tcPr>
                <w:p>
                  <w:pPr>
                    <w:jc w:val="center"/>
                    <w:rPr>
                      <w:color w:val="0000FF"/>
                      <w:szCs w:val="21"/>
                    </w:rPr>
                  </w:pPr>
                  <w:r>
                    <w:rPr>
                      <w:rFonts w:hint="eastAsia"/>
                      <w:color w:val="0000FF"/>
                      <w:szCs w:val="21"/>
                    </w:rPr>
                    <w:t>产生量</w:t>
                  </w:r>
                </w:p>
                <w:p>
                  <w:pPr>
                    <w:jc w:val="center"/>
                    <w:rPr>
                      <w:rFonts w:hint="eastAsia"/>
                      <w:color w:val="0000FF"/>
                      <w:szCs w:val="21"/>
                    </w:rPr>
                  </w:pPr>
                  <w:r>
                    <w:rPr>
                      <w:color w:val="0000FF"/>
                      <w:szCs w:val="21"/>
                    </w:rPr>
                    <w:t>（t/a）</w:t>
                  </w:r>
                </w:p>
              </w:tc>
              <w:tc>
                <w:tcPr>
                  <w:tcW w:w="457" w:type="pct"/>
                  <w:noWrap w:val="0"/>
                  <w:vAlign w:val="center"/>
                </w:tcPr>
                <w:p>
                  <w:pPr>
                    <w:jc w:val="center"/>
                    <w:rPr>
                      <w:color w:val="0000FF"/>
                      <w:szCs w:val="21"/>
                    </w:rPr>
                  </w:pPr>
                  <w:r>
                    <w:rPr>
                      <w:color w:val="0000FF"/>
                      <w:szCs w:val="21"/>
                    </w:rPr>
                    <w:t>产生速率</w:t>
                  </w:r>
                </w:p>
                <w:p>
                  <w:pPr>
                    <w:jc w:val="center"/>
                    <w:rPr>
                      <w:color w:val="0000FF"/>
                      <w:szCs w:val="21"/>
                    </w:rPr>
                  </w:pPr>
                  <w:r>
                    <w:rPr>
                      <w:color w:val="0000FF"/>
                      <w:szCs w:val="21"/>
                    </w:rPr>
                    <w:t>（kg/h）</w:t>
                  </w:r>
                </w:p>
              </w:tc>
              <w:tc>
                <w:tcPr>
                  <w:tcW w:w="407" w:type="pct"/>
                  <w:noWrap w:val="0"/>
                  <w:vAlign w:val="center"/>
                </w:tcPr>
                <w:p>
                  <w:pPr>
                    <w:jc w:val="center"/>
                    <w:rPr>
                      <w:rFonts w:hint="eastAsia"/>
                      <w:color w:val="0000FF"/>
                      <w:szCs w:val="21"/>
                    </w:rPr>
                  </w:pPr>
                  <w:r>
                    <w:rPr>
                      <w:color w:val="0000FF"/>
                      <w:szCs w:val="21"/>
                    </w:rPr>
                    <w:t>产生浓度</w:t>
                  </w:r>
                  <w:r>
                    <w:rPr>
                      <w:rFonts w:hint="eastAsia"/>
                      <w:color w:val="0000FF"/>
                      <w:szCs w:val="21"/>
                    </w:rPr>
                    <w:t>(</w:t>
                  </w:r>
                  <w:r>
                    <w:rPr>
                      <w:color w:val="0000FF"/>
                      <w:szCs w:val="21"/>
                    </w:rPr>
                    <w:t>mg/m</w:t>
                  </w:r>
                  <w:r>
                    <w:rPr>
                      <w:color w:val="0000FF"/>
                      <w:szCs w:val="21"/>
                      <w:vertAlign w:val="superscript"/>
                    </w:rPr>
                    <w:t>3</w:t>
                  </w:r>
                  <w:r>
                    <w:rPr>
                      <w:rFonts w:hint="eastAsia"/>
                      <w:color w:val="0000FF"/>
                      <w:szCs w:val="21"/>
                    </w:rPr>
                    <w:t>)</w:t>
                  </w:r>
                </w:p>
              </w:tc>
              <w:tc>
                <w:tcPr>
                  <w:tcW w:w="382" w:type="pct"/>
                  <w:noWrap w:val="0"/>
                  <w:vAlign w:val="center"/>
                </w:tcPr>
                <w:p>
                  <w:pPr>
                    <w:jc w:val="center"/>
                    <w:rPr>
                      <w:color w:val="0000FF"/>
                      <w:szCs w:val="21"/>
                    </w:rPr>
                  </w:pPr>
                  <w:r>
                    <w:rPr>
                      <w:rFonts w:hint="eastAsia"/>
                      <w:color w:val="0000FF"/>
                      <w:szCs w:val="21"/>
                    </w:rPr>
                    <w:t>排放量</w:t>
                  </w:r>
                </w:p>
                <w:p>
                  <w:pPr>
                    <w:jc w:val="center"/>
                    <w:rPr>
                      <w:color w:val="0000FF"/>
                      <w:szCs w:val="21"/>
                    </w:rPr>
                  </w:pPr>
                  <w:r>
                    <w:rPr>
                      <w:color w:val="0000FF"/>
                      <w:szCs w:val="21"/>
                    </w:rPr>
                    <w:t>（t/a）</w:t>
                  </w:r>
                </w:p>
              </w:tc>
              <w:tc>
                <w:tcPr>
                  <w:tcW w:w="440" w:type="pct"/>
                  <w:noWrap w:val="0"/>
                  <w:vAlign w:val="center"/>
                </w:tcPr>
                <w:p>
                  <w:pPr>
                    <w:jc w:val="center"/>
                    <w:rPr>
                      <w:color w:val="0000FF"/>
                      <w:szCs w:val="21"/>
                    </w:rPr>
                  </w:pPr>
                  <w:r>
                    <w:rPr>
                      <w:color w:val="0000FF"/>
                      <w:szCs w:val="21"/>
                    </w:rPr>
                    <w:t>排放速率</w:t>
                  </w:r>
                </w:p>
                <w:p>
                  <w:pPr>
                    <w:jc w:val="center"/>
                    <w:rPr>
                      <w:color w:val="0000FF"/>
                      <w:szCs w:val="21"/>
                    </w:rPr>
                  </w:pPr>
                  <w:r>
                    <w:rPr>
                      <w:color w:val="0000FF"/>
                      <w:szCs w:val="21"/>
                    </w:rPr>
                    <w:t>（kg/h）</w:t>
                  </w:r>
                </w:p>
              </w:tc>
              <w:tc>
                <w:tcPr>
                  <w:tcW w:w="336" w:type="pct"/>
                  <w:noWrap w:val="0"/>
                  <w:vAlign w:val="center"/>
                </w:tcPr>
                <w:p>
                  <w:pPr>
                    <w:jc w:val="center"/>
                    <w:rPr>
                      <w:color w:val="0000FF"/>
                      <w:szCs w:val="21"/>
                    </w:rPr>
                  </w:pPr>
                  <w:r>
                    <w:rPr>
                      <w:color w:val="0000FF"/>
                      <w:szCs w:val="21"/>
                    </w:rPr>
                    <w:t>排放浓度</w:t>
                  </w:r>
                </w:p>
                <w:p>
                  <w:pPr>
                    <w:jc w:val="center"/>
                    <w:rPr>
                      <w:rFonts w:hint="eastAsia"/>
                      <w:color w:val="0000FF"/>
                      <w:szCs w:val="21"/>
                    </w:rPr>
                  </w:pPr>
                  <w:r>
                    <w:rPr>
                      <w:rFonts w:hint="eastAsia"/>
                      <w:color w:val="0000FF"/>
                      <w:szCs w:val="21"/>
                    </w:rPr>
                    <w:t>(</w:t>
                  </w:r>
                  <w:r>
                    <w:rPr>
                      <w:color w:val="0000FF"/>
                      <w:szCs w:val="21"/>
                    </w:rPr>
                    <w:t>mg/m</w:t>
                  </w:r>
                  <w:r>
                    <w:rPr>
                      <w:color w:val="0000FF"/>
                      <w:szCs w:val="21"/>
                      <w:vertAlign w:val="superscript"/>
                    </w:rPr>
                    <w:t>3</w:t>
                  </w:r>
                  <w:r>
                    <w:rPr>
                      <w:rFonts w:hint="eastAsia"/>
                      <w:color w:val="0000FF"/>
                      <w:szCs w:val="21"/>
                    </w:rPr>
                    <w:t>)</w:t>
                  </w:r>
                </w:p>
              </w:tc>
              <w:tc>
                <w:tcPr>
                  <w:tcW w:w="195" w:type="pct"/>
                  <w:vMerge w:val="continue"/>
                  <w:noWrap w:val="0"/>
                  <w:vAlign w:val="center"/>
                </w:tcPr>
                <w:p>
                  <w:pPr>
                    <w:jc w:val="center"/>
                    <w:rPr>
                      <w:color w:val="0000FF"/>
                      <w:szCs w:val="21"/>
                    </w:rPr>
                  </w:pPr>
                </w:p>
              </w:tc>
              <w:tc>
                <w:tcPr>
                  <w:tcW w:w="457" w:type="pct"/>
                  <w:noWrap w:val="0"/>
                  <w:vAlign w:val="center"/>
                </w:tcPr>
                <w:p>
                  <w:pPr>
                    <w:jc w:val="center"/>
                    <w:rPr>
                      <w:color w:val="0000FF"/>
                      <w:szCs w:val="21"/>
                    </w:rPr>
                  </w:pPr>
                  <w:r>
                    <w:rPr>
                      <w:color w:val="0000FF"/>
                      <w:szCs w:val="21"/>
                    </w:rPr>
                    <w:t>排放速率</w:t>
                  </w:r>
                </w:p>
                <w:p>
                  <w:pPr>
                    <w:jc w:val="center"/>
                    <w:rPr>
                      <w:color w:val="0000FF"/>
                      <w:szCs w:val="21"/>
                    </w:rPr>
                  </w:pPr>
                  <w:r>
                    <w:rPr>
                      <w:color w:val="0000FF"/>
                      <w:szCs w:val="21"/>
                    </w:rPr>
                    <w:t>（kg/h）</w:t>
                  </w:r>
                </w:p>
              </w:tc>
              <w:tc>
                <w:tcPr>
                  <w:tcW w:w="407" w:type="pct"/>
                  <w:noWrap w:val="0"/>
                  <w:vAlign w:val="center"/>
                </w:tcPr>
                <w:p>
                  <w:pPr>
                    <w:jc w:val="center"/>
                    <w:rPr>
                      <w:color w:val="0000FF"/>
                      <w:szCs w:val="21"/>
                    </w:rPr>
                  </w:pPr>
                  <w:r>
                    <w:rPr>
                      <w:color w:val="0000FF"/>
                      <w:szCs w:val="21"/>
                    </w:rPr>
                    <w:t>排放浓度</w:t>
                  </w:r>
                </w:p>
                <w:p>
                  <w:pPr>
                    <w:jc w:val="center"/>
                    <w:rPr>
                      <w:rFonts w:hint="eastAsia"/>
                      <w:color w:val="0000FF"/>
                      <w:szCs w:val="21"/>
                    </w:rPr>
                  </w:pPr>
                  <w:r>
                    <w:rPr>
                      <w:rFonts w:hint="eastAsia"/>
                      <w:color w:val="0000FF"/>
                      <w:szCs w:val="21"/>
                    </w:rPr>
                    <w:t>(</w:t>
                  </w:r>
                  <w:r>
                    <w:rPr>
                      <w:color w:val="0000FF"/>
                      <w:szCs w:val="21"/>
                    </w:rPr>
                    <w:t>mg/m</w:t>
                  </w:r>
                  <w:r>
                    <w:rPr>
                      <w:color w:val="0000FF"/>
                      <w:szCs w:val="21"/>
                      <w:vertAlign w:val="superscript"/>
                    </w:rPr>
                    <w:t>3</w:t>
                  </w:r>
                  <w:r>
                    <w:rPr>
                      <w:rFonts w:hint="eastAsia"/>
                      <w:color w:val="0000FF"/>
                      <w:szCs w:val="21"/>
                    </w:rPr>
                    <w:t>)</w:t>
                  </w:r>
                </w:p>
              </w:tc>
              <w:tc>
                <w:tcPr>
                  <w:tcW w:w="136" w:type="pct"/>
                  <w:vMerge w:val="continue"/>
                  <w:noWrap w:val="0"/>
                  <w:vAlign w:val="center"/>
                </w:tcPr>
                <w:p>
                  <w:pPr>
                    <w:jc w:val="center"/>
                    <w:rPr>
                      <w:color w:val="0000F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8" w:type="pct"/>
                  <w:noWrap w:val="0"/>
                  <w:vAlign w:val="center"/>
                </w:tcPr>
                <w:p>
                  <w:pPr>
                    <w:jc w:val="center"/>
                    <w:rPr>
                      <w:rFonts w:hint="eastAsia" w:eastAsia="宋体"/>
                      <w:color w:val="0000FF"/>
                      <w:szCs w:val="21"/>
                      <w:lang w:eastAsia="zh-CN"/>
                    </w:rPr>
                  </w:pPr>
                  <w:r>
                    <w:rPr>
                      <w:rFonts w:hint="eastAsia"/>
                      <w:color w:val="0000FF"/>
                      <w:szCs w:val="21"/>
                      <w:lang w:val="en-US" w:eastAsia="zh-CN"/>
                    </w:rPr>
                    <w:t>DA001</w:t>
                  </w:r>
                </w:p>
              </w:tc>
              <w:tc>
                <w:tcPr>
                  <w:tcW w:w="338" w:type="pct"/>
                  <w:noWrap w:val="0"/>
                  <w:vAlign w:val="center"/>
                </w:tcPr>
                <w:p>
                  <w:pPr>
                    <w:jc w:val="center"/>
                    <w:rPr>
                      <w:rFonts w:hint="eastAsia"/>
                      <w:color w:val="0000FF"/>
                      <w:szCs w:val="21"/>
                    </w:rPr>
                  </w:pPr>
                  <w:r>
                    <w:rPr>
                      <w:rFonts w:hint="eastAsia"/>
                      <w:color w:val="0000FF"/>
                      <w:szCs w:val="21"/>
                    </w:rPr>
                    <w:t>15</w:t>
                  </w:r>
                </w:p>
              </w:tc>
              <w:tc>
                <w:tcPr>
                  <w:tcW w:w="403" w:type="pct"/>
                  <w:noWrap w:val="0"/>
                  <w:vAlign w:val="center"/>
                </w:tcPr>
                <w:p>
                  <w:pPr>
                    <w:jc w:val="center"/>
                    <w:rPr>
                      <w:color w:val="0000FF"/>
                      <w:szCs w:val="21"/>
                    </w:rPr>
                  </w:pPr>
                  <w:r>
                    <w:rPr>
                      <w:rFonts w:hint="eastAsia"/>
                      <w:color w:val="0000FF"/>
                      <w:szCs w:val="21"/>
                      <w:lang w:val="en-US" w:eastAsia="zh-CN"/>
                    </w:rPr>
                    <w:t>1</w:t>
                  </w:r>
                  <w:r>
                    <w:rPr>
                      <w:rFonts w:hint="eastAsia"/>
                      <w:color w:val="0000FF"/>
                      <w:szCs w:val="21"/>
                    </w:rPr>
                    <w:t>00</w:t>
                  </w:r>
                  <w:r>
                    <w:rPr>
                      <w:rFonts w:hint="eastAsia"/>
                      <w:color w:val="0000FF"/>
                      <w:szCs w:val="21"/>
                      <w:lang w:val="en-US" w:eastAsia="zh-CN"/>
                    </w:rPr>
                    <w:t>0</w:t>
                  </w:r>
                  <w:r>
                    <w:rPr>
                      <w:rFonts w:hint="eastAsia"/>
                      <w:color w:val="0000FF"/>
                      <w:szCs w:val="21"/>
                    </w:rPr>
                    <w:t>0</w:t>
                  </w:r>
                </w:p>
              </w:tc>
              <w:tc>
                <w:tcPr>
                  <w:tcW w:w="312" w:type="pct"/>
                  <w:noWrap w:val="0"/>
                  <w:vAlign w:val="center"/>
                </w:tcPr>
                <w:p>
                  <w:pPr>
                    <w:jc w:val="center"/>
                    <w:rPr>
                      <w:color w:val="0000FF"/>
                      <w:szCs w:val="21"/>
                    </w:rPr>
                  </w:pPr>
                  <w:r>
                    <w:rPr>
                      <w:rFonts w:hint="eastAsia"/>
                      <w:color w:val="0000FF"/>
                      <w:szCs w:val="21"/>
                    </w:rPr>
                    <w:t>HCL</w:t>
                  </w:r>
                </w:p>
              </w:tc>
              <w:tc>
                <w:tcPr>
                  <w:tcW w:w="364" w:type="pct"/>
                  <w:noWrap w:val="0"/>
                  <w:vAlign w:val="center"/>
                </w:tcPr>
                <w:p>
                  <w:pPr>
                    <w:jc w:val="center"/>
                    <w:rPr>
                      <w:rFonts w:hint="eastAsia"/>
                      <w:iCs/>
                      <w:color w:val="0000FF"/>
                      <w:szCs w:val="21"/>
                      <w:lang w:val="fr-FR"/>
                    </w:rPr>
                  </w:pPr>
                  <w:r>
                    <w:rPr>
                      <w:rFonts w:hint="eastAsia"/>
                      <w:iCs/>
                      <w:color w:val="0000FF"/>
                      <w:szCs w:val="21"/>
                      <w:lang w:val="fr-FR"/>
                    </w:rPr>
                    <w:t>0.4142</w:t>
                  </w:r>
                </w:p>
              </w:tc>
              <w:tc>
                <w:tcPr>
                  <w:tcW w:w="457" w:type="pct"/>
                  <w:noWrap w:val="0"/>
                  <w:vAlign w:val="center"/>
                </w:tcPr>
                <w:p>
                  <w:pPr>
                    <w:tabs>
                      <w:tab w:val="left" w:pos="1275"/>
                    </w:tabs>
                    <w:jc w:val="center"/>
                    <w:rPr>
                      <w:rFonts w:hint="default" w:hAnsi="宋体" w:eastAsia="宋体"/>
                      <w:color w:val="0000FF"/>
                      <w:szCs w:val="21"/>
                      <w:lang w:val="en-US" w:eastAsia="zh-CN"/>
                    </w:rPr>
                  </w:pPr>
                  <w:r>
                    <w:rPr>
                      <w:rFonts w:hint="eastAsia" w:hAnsi="宋体"/>
                      <w:color w:val="0000FF"/>
                      <w:szCs w:val="21"/>
                    </w:rPr>
                    <w:t>0.05</w:t>
                  </w:r>
                  <w:r>
                    <w:rPr>
                      <w:rFonts w:hint="eastAsia" w:hAnsi="宋体"/>
                      <w:color w:val="0000FF"/>
                      <w:szCs w:val="21"/>
                      <w:lang w:val="en-US" w:eastAsia="zh-CN"/>
                    </w:rPr>
                    <w:t>23</w:t>
                  </w:r>
                </w:p>
              </w:tc>
              <w:tc>
                <w:tcPr>
                  <w:tcW w:w="407" w:type="pct"/>
                  <w:noWrap w:val="0"/>
                  <w:vAlign w:val="center"/>
                </w:tcPr>
                <w:p>
                  <w:pPr>
                    <w:jc w:val="center"/>
                    <w:rPr>
                      <w:rFonts w:hint="default" w:eastAsia="宋体"/>
                      <w:color w:val="0000FF"/>
                      <w:szCs w:val="21"/>
                      <w:lang w:val="en-US" w:eastAsia="zh-CN"/>
                    </w:rPr>
                  </w:pPr>
                  <w:r>
                    <w:rPr>
                      <w:rFonts w:hint="eastAsia"/>
                      <w:color w:val="0000FF"/>
                      <w:szCs w:val="21"/>
                      <w:lang w:val="en-US" w:eastAsia="zh-CN"/>
                    </w:rPr>
                    <w:t>5.23</w:t>
                  </w:r>
                </w:p>
              </w:tc>
              <w:tc>
                <w:tcPr>
                  <w:tcW w:w="382" w:type="pct"/>
                  <w:noWrap w:val="0"/>
                  <w:vAlign w:val="center"/>
                </w:tcPr>
                <w:p>
                  <w:pPr>
                    <w:jc w:val="center"/>
                    <w:rPr>
                      <w:rFonts w:hint="default" w:eastAsia="宋体"/>
                      <w:color w:val="0000FF"/>
                      <w:szCs w:val="21"/>
                      <w:highlight w:val="yellow"/>
                      <w:lang w:val="en-US" w:eastAsia="zh-CN"/>
                    </w:rPr>
                  </w:pPr>
                  <w:r>
                    <w:rPr>
                      <w:rFonts w:hint="eastAsia"/>
                      <w:color w:val="0000FF"/>
                      <w:szCs w:val="21"/>
                    </w:rPr>
                    <w:t>0.03</w:t>
                  </w:r>
                  <w:r>
                    <w:rPr>
                      <w:rFonts w:hint="eastAsia"/>
                      <w:color w:val="0000FF"/>
                      <w:szCs w:val="21"/>
                      <w:lang w:val="en-US" w:eastAsia="zh-CN"/>
                    </w:rPr>
                    <w:t>73</w:t>
                  </w:r>
                </w:p>
              </w:tc>
              <w:tc>
                <w:tcPr>
                  <w:tcW w:w="440" w:type="pct"/>
                  <w:noWrap w:val="0"/>
                  <w:vAlign w:val="center"/>
                </w:tcPr>
                <w:p>
                  <w:pPr>
                    <w:jc w:val="center"/>
                    <w:rPr>
                      <w:rFonts w:hint="default" w:eastAsia="宋体"/>
                      <w:color w:val="0000FF"/>
                      <w:szCs w:val="21"/>
                      <w:highlight w:val="yellow"/>
                      <w:lang w:val="en-US" w:eastAsia="zh-CN"/>
                    </w:rPr>
                  </w:pPr>
                  <w:r>
                    <w:rPr>
                      <w:rFonts w:hint="eastAsia"/>
                      <w:color w:val="0000FF"/>
                      <w:szCs w:val="21"/>
                    </w:rPr>
                    <w:t>0.0</w:t>
                  </w:r>
                  <w:r>
                    <w:rPr>
                      <w:rFonts w:hint="eastAsia"/>
                      <w:color w:val="0000FF"/>
                      <w:szCs w:val="21"/>
                      <w:lang w:val="en-US" w:eastAsia="zh-CN"/>
                    </w:rPr>
                    <w:t>0471</w:t>
                  </w:r>
                </w:p>
              </w:tc>
              <w:tc>
                <w:tcPr>
                  <w:tcW w:w="336" w:type="pct"/>
                  <w:noWrap w:val="0"/>
                  <w:vAlign w:val="center"/>
                </w:tcPr>
                <w:p>
                  <w:pPr>
                    <w:jc w:val="center"/>
                    <w:rPr>
                      <w:rFonts w:hint="default" w:eastAsia="宋体"/>
                      <w:color w:val="0000FF"/>
                      <w:szCs w:val="21"/>
                      <w:highlight w:val="yellow"/>
                      <w:lang w:val="en-US" w:eastAsia="zh-CN"/>
                    </w:rPr>
                  </w:pPr>
                  <w:r>
                    <w:rPr>
                      <w:rFonts w:hint="eastAsia"/>
                      <w:color w:val="0000FF"/>
                      <w:szCs w:val="21"/>
                      <w:lang w:val="en-US" w:eastAsia="zh-CN"/>
                    </w:rPr>
                    <w:t>0.471</w:t>
                  </w:r>
                </w:p>
              </w:tc>
              <w:tc>
                <w:tcPr>
                  <w:tcW w:w="195" w:type="pct"/>
                  <w:noWrap w:val="0"/>
                  <w:vAlign w:val="center"/>
                </w:tcPr>
                <w:p>
                  <w:pPr>
                    <w:jc w:val="center"/>
                    <w:rPr>
                      <w:color w:val="0000FF"/>
                      <w:szCs w:val="21"/>
                    </w:rPr>
                  </w:pPr>
                  <w:r>
                    <w:rPr>
                      <w:rFonts w:hint="eastAsia"/>
                      <w:color w:val="0000FF"/>
                      <w:szCs w:val="21"/>
                    </w:rPr>
                    <w:t>9</w:t>
                  </w:r>
                  <w:r>
                    <w:rPr>
                      <w:color w:val="0000FF"/>
                      <w:szCs w:val="21"/>
                    </w:rPr>
                    <w:t>0</w:t>
                  </w:r>
                </w:p>
              </w:tc>
              <w:tc>
                <w:tcPr>
                  <w:tcW w:w="457" w:type="pct"/>
                  <w:noWrap w:val="0"/>
                  <w:vAlign w:val="center"/>
                </w:tcPr>
                <w:p>
                  <w:pPr>
                    <w:jc w:val="center"/>
                    <w:rPr>
                      <w:rFonts w:hint="eastAsia"/>
                      <w:color w:val="0000FF"/>
                      <w:szCs w:val="21"/>
                    </w:rPr>
                  </w:pPr>
                  <w:r>
                    <w:rPr>
                      <w:rFonts w:hint="eastAsia"/>
                      <w:color w:val="0000FF"/>
                      <w:szCs w:val="21"/>
                    </w:rPr>
                    <w:t>0.26</w:t>
                  </w:r>
                </w:p>
              </w:tc>
              <w:tc>
                <w:tcPr>
                  <w:tcW w:w="407" w:type="pct"/>
                  <w:noWrap w:val="0"/>
                  <w:vAlign w:val="center"/>
                </w:tcPr>
                <w:p>
                  <w:pPr>
                    <w:jc w:val="center"/>
                    <w:rPr>
                      <w:rFonts w:hint="eastAsia"/>
                      <w:color w:val="0000FF"/>
                      <w:szCs w:val="21"/>
                    </w:rPr>
                  </w:pPr>
                  <w:r>
                    <w:rPr>
                      <w:rFonts w:hint="eastAsia"/>
                      <w:color w:val="0000FF"/>
                      <w:szCs w:val="21"/>
                    </w:rPr>
                    <w:t>100</w:t>
                  </w:r>
                </w:p>
              </w:tc>
              <w:tc>
                <w:tcPr>
                  <w:tcW w:w="136" w:type="pct"/>
                  <w:noWrap w:val="0"/>
                  <w:vAlign w:val="center"/>
                </w:tcPr>
                <w:p>
                  <w:pPr>
                    <w:jc w:val="center"/>
                    <w:rPr>
                      <w:color w:val="0000FF"/>
                      <w:szCs w:val="21"/>
                    </w:rPr>
                  </w:pPr>
                  <w:r>
                    <w:rPr>
                      <w:color w:val="0000FF"/>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58" w:type="pct"/>
                  <w:noWrap w:val="0"/>
                  <w:vAlign w:val="center"/>
                </w:tcPr>
                <w:p>
                  <w:pPr>
                    <w:jc w:val="center"/>
                    <w:rPr>
                      <w:color w:val="0000FF"/>
                      <w:szCs w:val="21"/>
                    </w:rPr>
                  </w:pPr>
                  <w:r>
                    <w:rPr>
                      <w:color w:val="0000FF"/>
                      <w:szCs w:val="21"/>
                    </w:rPr>
                    <w:t>备注</w:t>
                  </w:r>
                </w:p>
              </w:tc>
              <w:tc>
                <w:tcPr>
                  <w:tcW w:w="4641" w:type="pct"/>
                  <w:gridSpan w:val="13"/>
                  <w:noWrap w:val="0"/>
                  <w:vAlign w:val="center"/>
                </w:tcPr>
                <w:p>
                  <w:pPr>
                    <w:ind w:firstLine="210" w:firstLineChars="100"/>
                    <w:jc w:val="left"/>
                    <w:rPr>
                      <w:rFonts w:hint="eastAsia"/>
                      <w:color w:val="0000FF"/>
                      <w:szCs w:val="21"/>
                    </w:rPr>
                  </w:pPr>
                  <w:r>
                    <w:rPr>
                      <w:rFonts w:hint="eastAsia"/>
                      <w:color w:val="0000FF"/>
                      <w:szCs w:val="21"/>
                    </w:rPr>
                    <w:t>①《大气</w:t>
                  </w:r>
                  <w:r>
                    <w:rPr>
                      <w:color w:val="0000FF"/>
                      <w:szCs w:val="21"/>
                    </w:rPr>
                    <w:t>污染物综合排放标准（</w:t>
                  </w:r>
                  <w:r>
                    <w:rPr>
                      <w:color w:val="0000FF"/>
                    </w:rPr>
                    <w:t>GB16297-1996</w:t>
                  </w:r>
                  <w:r>
                    <w:rPr>
                      <w:color w:val="0000FF"/>
                      <w:szCs w:val="21"/>
                    </w:rPr>
                    <w:t>）》</w:t>
                  </w:r>
                  <w:r>
                    <w:rPr>
                      <w:rFonts w:hint="eastAsia"/>
                      <w:color w:val="0000FF"/>
                      <w:szCs w:val="21"/>
                    </w:rPr>
                    <w:t>中：HCL最高允许排放速率为0.26kg/h、最高允许排放浓度为100mg/m</w:t>
                  </w:r>
                  <w:r>
                    <w:rPr>
                      <w:rFonts w:hint="eastAsia"/>
                      <w:color w:val="0000FF"/>
                      <w:szCs w:val="21"/>
                      <w:vertAlign w:val="superscript"/>
                    </w:rPr>
                    <w:t>3</w:t>
                  </w:r>
                  <w:r>
                    <w:rPr>
                      <w:rFonts w:hint="eastAsia"/>
                      <w:color w:val="0000FF"/>
                      <w:szCs w:val="21"/>
                    </w:rPr>
                    <w:t xml:space="preserve"> </w:t>
                  </w:r>
                </w:p>
              </w:tc>
            </w:tr>
          </w:tbl>
          <w:p>
            <w:pPr>
              <w:spacing w:line="360" w:lineRule="auto"/>
              <w:ind w:firstLine="480" w:firstLineChars="200"/>
              <w:rPr>
                <w:rFonts w:hint="eastAsia"/>
                <w:color w:val="0000FF"/>
                <w:kern w:val="0"/>
                <w:sz w:val="24"/>
              </w:rPr>
            </w:pPr>
            <w:r>
              <w:rPr>
                <w:rFonts w:hAnsi="宋体"/>
                <w:color w:val="0000FF"/>
                <w:kern w:val="0"/>
                <w:sz w:val="24"/>
              </w:rPr>
              <w:t>综上所述，本项目运营过程中</w:t>
            </w:r>
            <w:r>
              <w:rPr>
                <w:rFonts w:hint="eastAsia" w:hAnsi="宋体"/>
                <w:color w:val="0000FF"/>
                <w:kern w:val="0"/>
                <w:sz w:val="24"/>
              </w:rPr>
              <w:t>PVC生产过程产生的HCL经碱喷淋</w:t>
            </w:r>
            <w:r>
              <w:rPr>
                <w:rFonts w:hAnsi="宋体"/>
                <w:color w:val="0000FF"/>
                <w:kern w:val="0"/>
                <w:sz w:val="24"/>
              </w:rPr>
              <w:t>处理系统处理后，</w:t>
            </w:r>
            <w:r>
              <w:rPr>
                <w:rFonts w:hint="eastAsia"/>
                <w:bCs/>
                <w:color w:val="0000FF"/>
                <w:kern w:val="0"/>
                <w:sz w:val="24"/>
              </w:rPr>
              <w:t>项目HCL</w:t>
            </w:r>
            <w:r>
              <w:rPr>
                <w:color w:val="0000FF"/>
                <w:kern w:val="0"/>
                <w:sz w:val="24"/>
              </w:rPr>
              <w:t>的排放量为</w:t>
            </w:r>
            <w:r>
              <w:rPr>
                <w:rFonts w:hint="eastAsia"/>
                <w:color w:val="0000FF"/>
                <w:szCs w:val="21"/>
              </w:rPr>
              <w:t>0.</w:t>
            </w:r>
            <w:r>
              <w:rPr>
                <w:rFonts w:hint="eastAsia"/>
                <w:color w:val="0000FF"/>
                <w:szCs w:val="21"/>
                <w:lang w:val="en-US" w:eastAsia="zh-CN"/>
              </w:rPr>
              <w:t>0</w:t>
            </w:r>
            <w:r>
              <w:rPr>
                <w:rFonts w:hint="eastAsia"/>
                <w:color w:val="0000FF"/>
                <w:szCs w:val="21"/>
              </w:rPr>
              <w:t>3</w:t>
            </w:r>
            <w:r>
              <w:rPr>
                <w:rFonts w:hint="eastAsia"/>
                <w:color w:val="0000FF"/>
                <w:szCs w:val="21"/>
                <w:lang w:val="en-US" w:eastAsia="zh-CN"/>
              </w:rPr>
              <w:t>73</w:t>
            </w:r>
            <w:r>
              <w:rPr>
                <w:color w:val="0000FF"/>
                <w:kern w:val="0"/>
                <w:sz w:val="24"/>
              </w:rPr>
              <w:t>t/a，排放速率为</w:t>
            </w:r>
            <w:r>
              <w:rPr>
                <w:rFonts w:hint="eastAsia"/>
                <w:color w:val="0000FF"/>
                <w:szCs w:val="21"/>
              </w:rPr>
              <w:t>0.0</w:t>
            </w:r>
            <w:r>
              <w:rPr>
                <w:rFonts w:hint="eastAsia"/>
                <w:color w:val="0000FF"/>
                <w:szCs w:val="21"/>
                <w:lang w:val="en-US" w:eastAsia="zh-CN"/>
              </w:rPr>
              <w:t>0471</w:t>
            </w:r>
            <w:r>
              <w:rPr>
                <w:color w:val="0000FF"/>
                <w:kern w:val="0"/>
                <w:sz w:val="24"/>
              </w:rPr>
              <w:t>kg/h，排放浓度为</w:t>
            </w:r>
            <w:r>
              <w:rPr>
                <w:rFonts w:hint="eastAsia"/>
                <w:color w:val="0000FF"/>
                <w:szCs w:val="21"/>
                <w:lang w:val="en-US" w:eastAsia="zh-CN"/>
              </w:rPr>
              <w:t>0.471</w:t>
            </w:r>
            <w:r>
              <w:rPr>
                <w:color w:val="0000FF"/>
                <w:kern w:val="0"/>
                <w:sz w:val="24"/>
              </w:rPr>
              <w:t>mg/m</w:t>
            </w:r>
            <w:r>
              <w:rPr>
                <w:color w:val="0000FF"/>
                <w:kern w:val="0"/>
                <w:sz w:val="24"/>
                <w:vertAlign w:val="superscript"/>
              </w:rPr>
              <w:t>3</w:t>
            </w:r>
            <w:r>
              <w:rPr>
                <w:color w:val="0000FF"/>
                <w:kern w:val="0"/>
                <w:sz w:val="24"/>
              </w:rPr>
              <w:t>，满足</w:t>
            </w:r>
            <w:r>
              <w:rPr>
                <w:rFonts w:hint="eastAsia"/>
                <w:color w:val="0000FF"/>
                <w:sz w:val="24"/>
              </w:rPr>
              <w:t>《大气</w:t>
            </w:r>
            <w:r>
              <w:rPr>
                <w:color w:val="0000FF"/>
                <w:sz w:val="24"/>
              </w:rPr>
              <w:t>污染物综合排放标准（GB16297-1996）》</w:t>
            </w:r>
            <w:r>
              <w:rPr>
                <w:rFonts w:hint="eastAsia"/>
                <w:color w:val="0000FF"/>
                <w:kern w:val="0"/>
                <w:sz w:val="24"/>
              </w:rPr>
              <w:t>排放限值要求</w:t>
            </w:r>
            <w:r>
              <w:rPr>
                <w:color w:val="0000FF"/>
                <w:kern w:val="0"/>
                <w:sz w:val="24"/>
              </w:rPr>
              <w:t>（15m高排气筒，最高允许排放速率</w:t>
            </w:r>
            <w:r>
              <w:rPr>
                <w:rFonts w:hint="eastAsia"/>
                <w:color w:val="0000FF"/>
                <w:kern w:val="0"/>
                <w:sz w:val="24"/>
              </w:rPr>
              <w:t>0.26</w:t>
            </w:r>
            <w:r>
              <w:rPr>
                <w:color w:val="0000FF"/>
                <w:kern w:val="0"/>
                <w:sz w:val="24"/>
              </w:rPr>
              <w:t>kg/h，最高允许排放浓度</w:t>
            </w:r>
            <w:r>
              <w:rPr>
                <w:rFonts w:hint="eastAsia"/>
                <w:color w:val="0000FF"/>
                <w:kern w:val="0"/>
                <w:sz w:val="24"/>
              </w:rPr>
              <w:t>100</w:t>
            </w:r>
            <w:r>
              <w:rPr>
                <w:color w:val="0000FF"/>
                <w:kern w:val="0"/>
                <w:sz w:val="24"/>
              </w:rPr>
              <w:t>mg/m</w:t>
            </w:r>
            <w:r>
              <w:rPr>
                <w:color w:val="0000FF"/>
                <w:kern w:val="0"/>
                <w:sz w:val="24"/>
                <w:vertAlign w:val="superscript"/>
              </w:rPr>
              <w:t>3</w:t>
            </w:r>
            <w:r>
              <w:rPr>
                <w:color w:val="0000FF"/>
                <w:kern w:val="0"/>
                <w:sz w:val="24"/>
              </w:rPr>
              <w:t>）。</w:t>
            </w:r>
          </w:p>
          <w:p>
            <w:pPr>
              <w:snapToGrid w:val="0"/>
              <w:spacing w:line="360" w:lineRule="auto"/>
              <w:ind w:firstLine="480"/>
              <w:rPr>
                <w:rFonts w:hint="eastAsia" w:ascii="黑体" w:hAnsi="黑体" w:eastAsia="黑体" w:cs="宋体"/>
                <w:color w:val="0000FF"/>
                <w:sz w:val="24"/>
              </w:rPr>
            </w:pPr>
            <w:r>
              <w:rPr>
                <w:rFonts w:hint="eastAsia" w:ascii="黑体" w:hAnsi="黑体" w:eastAsia="黑体" w:cs="宋体"/>
                <w:color w:val="0000FF"/>
                <w:sz w:val="24"/>
              </w:rPr>
              <w:t>2）氯化氢废气无组织排放</w:t>
            </w:r>
          </w:p>
          <w:p>
            <w:pPr>
              <w:snapToGrid w:val="0"/>
              <w:spacing w:line="360" w:lineRule="auto"/>
              <w:ind w:firstLine="480" w:firstLineChars="200"/>
              <w:rPr>
                <w:rFonts w:hint="default" w:ascii="Times New Roman" w:hAnsi="Times New Roman" w:cs="Times New Roman"/>
                <w:b w:val="0"/>
                <w:bCs w:val="0"/>
                <w:sz w:val="24"/>
                <w:lang w:val="en-US" w:eastAsia="zh-CN"/>
              </w:rPr>
            </w:pPr>
            <w:r>
              <w:rPr>
                <w:color w:val="0000FF"/>
                <w:sz w:val="24"/>
              </w:rPr>
              <w:t>本项目废气收集效率约</w:t>
            </w:r>
            <w:r>
              <w:rPr>
                <w:rFonts w:hint="eastAsia"/>
                <w:color w:val="0000FF"/>
                <w:sz w:val="24"/>
              </w:rPr>
              <w:t>90</w:t>
            </w:r>
            <w:r>
              <w:rPr>
                <w:color w:val="0000FF"/>
                <w:sz w:val="24"/>
              </w:rPr>
              <w:t>%，因此，将会有</w:t>
            </w:r>
            <w:r>
              <w:rPr>
                <w:rFonts w:hint="eastAsia"/>
                <w:color w:val="0000FF"/>
                <w:sz w:val="24"/>
              </w:rPr>
              <w:t>10</w:t>
            </w:r>
            <w:r>
              <w:rPr>
                <w:color w:val="0000FF"/>
                <w:sz w:val="24"/>
              </w:rPr>
              <w:t>%的</w:t>
            </w:r>
            <w:r>
              <w:rPr>
                <w:rFonts w:hint="eastAsia"/>
                <w:color w:val="0000FF"/>
                <w:sz w:val="24"/>
              </w:rPr>
              <w:t>HCL气体</w:t>
            </w:r>
            <w:r>
              <w:rPr>
                <w:color w:val="0000FF"/>
                <w:sz w:val="24"/>
              </w:rPr>
              <w:t>以无组织形式排放。则</w:t>
            </w:r>
            <w:r>
              <w:rPr>
                <w:rFonts w:hint="eastAsia"/>
                <w:color w:val="0000FF"/>
                <w:sz w:val="24"/>
              </w:rPr>
              <w:t>HCL</w:t>
            </w:r>
            <w:r>
              <w:rPr>
                <w:color w:val="0000FF"/>
                <w:sz w:val="24"/>
              </w:rPr>
              <w:t>无组织排放量为</w:t>
            </w:r>
            <w:r>
              <w:rPr>
                <w:rFonts w:hint="eastAsia"/>
                <w:color w:val="0000FF"/>
                <w:sz w:val="24"/>
              </w:rPr>
              <w:t>0.0</w:t>
            </w:r>
            <w:r>
              <w:rPr>
                <w:rFonts w:hint="eastAsia"/>
                <w:color w:val="0000FF"/>
                <w:sz w:val="24"/>
                <w:lang w:val="en-US" w:eastAsia="zh-CN"/>
              </w:rPr>
              <w:t>4142</w:t>
            </w:r>
            <w:r>
              <w:rPr>
                <w:color w:val="0000FF"/>
                <w:sz w:val="24"/>
              </w:rPr>
              <w:t>t/a</w:t>
            </w:r>
            <w:r>
              <w:rPr>
                <w:rFonts w:hint="eastAsia"/>
                <w:color w:val="0000FF"/>
                <w:sz w:val="24"/>
              </w:rPr>
              <w:t>，</w:t>
            </w:r>
            <w:r>
              <w:rPr>
                <w:color w:val="0000FF"/>
                <w:sz w:val="24"/>
              </w:rPr>
              <w:t>采用《环境影响评价技术导则——大气环境》（HJ2.2-2018）中推荐模式中的AERSCREEN对大气环境评价工作进行分析，本项目</w:t>
            </w:r>
            <w:r>
              <w:rPr>
                <w:rFonts w:hint="eastAsia"/>
                <w:color w:val="0000FF"/>
                <w:sz w:val="24"/>
              </w:rPr>
              <w:t>HCL</w:t>
            </w:r>
            <w:r>
              <w:rPr>
                <w:color w:val="0000FF"/>
                <w:sz w:val="24"/>
              </w:rPr>
              <w:t>无组织排放浓度，可以满足</w:t>
            </w:r>
            <w:r>
              <w:rPr>
                <w:rFonts w:hint="eastAsia"/>
                <w:color w:val="0000FF"/>
                <w:sz w:val="24"/>
              </w:rPr>
              <w:t>《大气</w:t>
            </w:r>
            <w:r>
              <w:rPr>
                <w:color w:val="0000FF"/>
                <w:sz w:val="24"/>
              </w:rPr>
              <w:t>污染物综合排放标准（GB16297-1996）》无组织排放监控浓度限值（</w:t>
            </w:r>
            <w:r>
              <w:rPr>
                <w:rFonts w:hint="eastAsia"/>
                <w:color w:val="0000FF"/>
                <w:sz w:val="24"/>
              </w:rPr>
              <w:t>HCL0.2</w:t>
            </w:r>
            <w:r>
              <w:rPr>
                <w:color w:val="0000FF"/>
                <w:sz w:val="24"/>
              </w:rPr>
              <w:t>mg/m</w:t>
            </w:r>
            <w:r>
              <w:rPr>
                <w:color w:val="0000FF"/>
                <w:sz w:val="24"/>
                <w:vertAlign w:val="superscript"/>
              </w:rPr>
              <w:t>3</w:t>
            </w:r>
            <w:r>
              <w:rPr>
                <w:rFonts w:hint="eastAsia"/>
                <w:color w:val="0000FF"/>
                <w:sz w:val="24"/>
              </w:rPr>
              <w:t>）</w:t>
            </w:r>
            <w:r>
              <w:rPr>
                <w:color w:val="0000FF"/>
                <w:sz w:val="24"/>
              </w:rPr>
              <w:t>要求，能够做到达标排放。</w:t>
            </w:r>
          </w:p>
          <w:p>
            <w:pPr>
              <w:snapToGrid w:val="0"/>
              <w:spacing w:line="360" w:lineRule="auto"/>
              <w:ind w:firstLine="480" w:firstLineChars="200"/>
              <w:rPr>
                <w:rFonts w:hint="default" w:ascii="Times New Roman" w:hAnsi="Times New Roman" w:eastAsia="黑体" w:cs="Times New Roman"/>
                <w:sz w:val="24"/>
              </w:rPr>
            </w:pPr>
            <w:r>
              <w:rPr>
                <w:rFonts w:hint="default" w:ascii="Times New Roman" w:hAnsi="Times New Roman" w:eastAsia="黑体" w:cs="Times New Roman"/>
                <w:sz w:val="24"/>
              </w:rPr>
              <w:t>（</w:t>
            </w:r>
            <w:r>
              <w:rPr>
                <w:rFonts w:hint="eastAsia" w:eastAsia="黑体" w:cs="Times New Roman"/>
                <w:sz w:val="24"/>
                <w:lang w:val="en-US" w:eastAsia="zh-CN"/>
              </w:rPr>
              <w:t>3</w:t>
            </w:r>
            <w:r>
              <w:rPr>
                <w:rFonts w:hint="default" w:ascii="Times New Roman" w:hAnsi="Times New Roman" w:eastAsia="黑体" w:cs="Times New Roman"/>
                <w:sz w:val="24"/>
              </w:rPr>
              <w:t>）粉尘</w:t>
            </w:r>
          </w:p>
          <w:p>
            <w:pPr>
              <w:snapToGrid w:val="0"/>
              <w:spacing w:line="360" w:lineRule="auto"/>
              <w:ind w:firstLine="472" w:firstLineChars="196"/>
              <w:rPr>
                <w:rFonts w:hint="default" w:ascii="Times New Roman" w:hAnsi="Times New Roman" w:cs="Times New Roman"/>
                <w:b/>
                <w:color w:val="000000"/>
                <w:sz w:val="24"/>
              </w:rPr>
            </w:pPr>
            <w:r>
              <w:rPr>
                <w:rFonts w:hint="default" w:ascii="Times New Roman" w:hAnsi="Times New Roman" w:cs="Times New Roman"/>
                <w:b/>
                <w:color w:val="000000"/>
                <w:sz w:val="24"/>
              </w:rPr>
              <w:t>①粉尘产生源强</w:t>
            </w:r>
          </w:p>
          <w:p>
            <w:pPr>
              <w:snapToGrid w:val="0"/>
              <w:spacing w:line="360" w:lineRule="auto"/>
              <w:ind w:firstLine="470" w:firstLineChars="196"/>
              <w:rPr>
                <w:rFonts w:hint="default" w:ascii="Times New Roman" w:hAnsi="Times New Roman" w:cs="Times New Roman"/>
                <w:color w:val="000000"/>
                <w:sz w:val="24"/>
              </w:rPr>
            </w:pPr>
            <w:r>
              <w:rPr>
                <w:rFonts w:hint="default" w:ascii="Times New Roman" w:hAnsi="Times New Roman" w:cs="Times New Roman"/>
                <w:color w:val="000000"/>
                <w:sz w:val="24"/>
              </w:rPr>
              <w:t>1）混料粉尘产生量</w:t>
            </w:r>
          </w:p>
          <w:p>
            <w:pPr>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本项目原料为颗粒状聚丙烯树脂和聚乙烯树脂</w:t>
            </w:r>
            <w:r>
              <w:rPr>
                <w:rFonts w:hint="eastAsia" w:cs="Times New Roman"/>
                <w:bCs/>
                <w:sz w:val="24"/>
                <w:lang w:eastAsia="zh-CN"/>
              </w:rPr>
              <w:t>、</w:t>
            </w:r>
            <w:r>
              <w:rPr>
                <w:rFonts w:hint="default" w:ascii="Times New Roman" w:hAnsi="Times New Roman" w:cs="Times New Roman"/>
                <w:bCs/>
                <w:sz w:val="24"/>
              </w:rPr>
              <w:t>PVC树脂，生产加工前塑料粒子与色母需要混合，混料过程中会有少量粉尘逸出，由于原料均为大颗粒状，粒径约为10~20mm，粉尘产生量极小，且在密闭的料筒内进行，进料采用密闭管道输送，仅在出料口产生极少量粉尘</w:t>
            </w:r>
            <w:r>
              <w:rPr>
                <w:rFonts w:hint="default" w:ascii="Times New Roman" w:hAnsi="Times New Roman" w:cs="Times New Roman"/>
                <w:bCs/>
                <w:sz w:val="24"/>
                <w:lang w:eastAsia="zh-CN"/>
              </w:rPr>
              <w:t>；</w:t>
            </w:r>
            <w:r>
              <w:rPr>
                <w:rFonts w:hint="default" w:ascii="Times New Roman" w:hAnsi="Times New Roman" w:cs="Times New Roman"/>
                <w:bCs/>
                <w:sz w:val="24"/>
              </w:rPr>
              <w:t>混料过程中钙粉、硬脂酸、钛白粉、增白剂等为粉状，项目原辅材料均采用袋装包装，在生产车间内设置密闭混料间，在密闭混料间内破袋后，</w:t>
            </w:r>
            <w:r>
              <w:rPr>
                <w:rFonts w:hint="default" w:ascii="Times New Roman" w:hAnsi="Times New Roman" w:cs="Times New Roman"/>
                <w:color w:val="000000"/>
                <w:sz w:val="24"/>
              </w:rPr>
              <w:t>项目投料进入混料机为人工投料，混料机为密闭设置。</w:t>
            </w:r>
            <w:r>
              <w:rPr>
                <w:rFonts w:hint="default" w:ascii="Times New Roman" w:hAnsi="Times New Roman" w:cs="Times New Roman"/>
                <w:bCs/>
                <w:sz w:val="24"/>
              </w:rPr>
              <w:t>本评价不定量分析，建议加强车间通风，减少对车间空气的影响</w:t>
            </w:r>
          </w:p>
          <w:p>
            <w:pPr>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lang w:val="en-US" w:eastAsia="zh-CN"/>
              </w:rPr>
              <w:t>2</w:t>
            </w:r>
            <w:r>
              <w:rPr>
                <w:rFonts w:hint="default" w:ascii="Times New Roman" w:hAnsi="Times New Roman" w:cs="Times New Roman"/>
                <w:color w:val="000000"/>
                <w:sz w:val="24"/>
              </w:rPr>
              <w:t>）破碎粉尘产生量</w:t>
            </w:r>
          </w:p>
          <w:p>
            <w:pPr>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本项目不合格产品和废边角余料经破碎机破碎至颗粒状回用于生产，不合格产品和废边角余料产生量约</w:t>
            </w:r>
            <w:r>
              <w:rPr>
                <w:rFonts w:hint="default" w:ascii="Times New Roman" w:hAnsi="Times New Roman" w:cs="Times New Roman"/>
                <w:bCs/>
                <w:sz w:val="24"/>
                <w:lang w:val="en-US" w:eastAsia="zh-CN"/>
              </w:rPr>
              <w:t>10</w:t>
            </w:r>
            <w:r>
              <w:rPr>
                <w:rFonts w:hint="default" w:ascii="Times New Roman" w:hAnsi="Times New Roman" w:cs="Times New Roman"/>
                <w:bCs/>
                <w:sz w:val="24"/>
              </w:rPr>
              <w:t>0t/a。破碎成2-3cm的小块，粉尘量产生较小，类比同类，破碎过程中破碎粉尘产生量约回收料的0.1%，则破碎粉尘产生量约为0.</w:t>
            </w:r>
            <w:r>
              <w:rPr>
                <w:rFonts w:hint="default" w:ascii="Times New Roman" w:hAnsi="Times New Roman" w:cs="Times New Roman"/>
                <w:bCs/>
                <w:sz w:val="24"/>
                <w:lang w:val="en-US" w:eastAsia="zh-CN"/>
              </w:rPr>
              <w:t>1</w:t>
            </w:r>
            <w:r>
              <w:rPr>
                <w:rFonts w:hint="default" w:ascii="Times New Roman" w:hAnsi="Times New Roman" w:cs="Times New Roman"/>
                <w:bCs/>
                <w:sz w:val="24"/>
              </w:rPr>
              <w:t>0t/a，项目产</w:t>
            </w:r>
            <w:r>
              <w:rPr>
                <w:rFonts w:hint="default" w:ascii="Times New Roman" w:hAnsi="Times New Roman" w:cs="Times New Roman"/>
                <w:bCs/>
                <w:sz w:val="24"/>
                <w:lang w:val="en-US" w:eastAsia="zh-CN"/>
              </w:rPr>
              <w:t>330</w:t>
            </w:r>
            <w:r>
              <w:rPr>
                <w:rFonts w:hint="default" w:ascii="Times New Roman" w:hAnsi="Times New Roman" w:cs="Times New Roman"/>
                <w:bCs/>
                <w:sz w:val="24"/>
              </w:rPr>
              <w:t>天，破碎机每天运作时间约2h，则产生速率约为0.0</w:t>
            </w:r>
            <w:r>
              <w:rPr>
                <w:rFonts w:hint="default" w:ascii="Times New Roman" w:hAnsi="Times New Roman" w:cs="Times New Roman"/>
                <w:bCs/>
                <w:sz w:val="24"/>
                <w:lang w:val="en-US" w:eastAsia="zh-CN"/>
              </w:rPr>
              <w:t>76</w:t>
            </w:r>
            <w:r>
              <w:rPr>
                <w:rFonts w:hint="default" w:ascii="Times New Roman" w:hAnsi="Times New Roman" w:cs="Times New Roman"/>
                <w:bCs/>
                <w:sz w:val="24"/>
              </w:rPr>
              <w:t>kg/h。</w:t>
            </w:r>
          </w:p>
          <w:p>
            <w:pPr>
              <w:snapToGrid w:val="0"/>
              <w:spacing w:line="360" w:lineRule="auto"/>
              <w:ind w:firstLine="482"/>
              <w:jc w:val="center"/>
              <w:rPr>
                <w:rFonts w:hint="default" w:ascii="Times New Roman" w:hAnsi="Times New Roman" w:cs="Times New Roman"/>
                <w:b/>
                <w:szCs w:val="21"/>
              </w:rPr>
            </w:pPr>
            <w:r>
              <w:rPr>
                <w:rFonts w:hint="default" w:ascii="Times New Roman" w:hAnsi="Times New Roman" w:cs="Times New Roman"/>
                <w:b/>
                <w:szCs w:val="21"/>
              </w:rPr>
              <w:t>表</w:t>
            </w:r>
            <w:r>
              <w:rPr>
                <w:rFonts w:hint="eastAsia" w:ascii="Times New Roman" w:hAnsi="Times New Roman" w:cs="Times New Roman"/>
                <w:b/>
                <w:szCs w:val="21"/>
                <w:lang w:val="en-US" w:eastAsia="zh-CN"/>
              </w:rPr>
              <w:t>4</w:t>
            </w:r>
            <w:r>
              <w:rPr>
                <w:rFonts w:hint="default" w:ascii="Times New Roman" w:hAnsi="Times New Roman" w:cs="Times New Roman"/>
                <w:b/>
                <w:szCs w:val="21"/>
              </w:rPr>
              <w:t>-</w:t>
            </w:r>
            <w:r>
              <w:rPr>
                <w:rFonts w:hint="eastAsia" w:cs="Times New Roman"/>
                <w:b/>
                <w:szCs w:val="21"/>
                <w:lang w:val="en-US" w:eastAsia="zh-CN"/>
              </w:rPr>
              <w:t>4</w:t>
            </w:r>
            <w:r>
              <w:rPr>
                <w:rFonts w:hint="default" w:ascii="Times New Roman" w:hAnsi="Times New Roman" w:cs="Times New Roman"/>
                <w:b/>
                <w:szCs w:val="21"/>
              </w:rPr>
              <w:t xml:space="preserve"> 本项目粉尘产生情况</w:t>
            </w:r>
          </w:p>
          <w:tbl>
            <w:tblPr>
              <w:tblStyle w:val="16"/>
              <w:tblW w:w="5000" w:type="pct"/>
              <w:jc w:val="center"/>
              <w:tblBorders>
                <w:top w:val="single" w:color="auto" w:sz="4" w:space="0"/>
                <w:left w:val="single" w:color="auto" w:sz="6" w:space="0"/>
                <w:bottom w:val="single" w:color="auto" w:sz="4"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21"/>
              <w:gridCol w:w="1056"/>
              <w:gridCol w:w="1413"/>
              <w:gridCol w:w="1882"/>
              <w:gridCol w:w="1883"/>
            </w:tblGrid>
            <w:tr>
              <w:tblPrEx>
                <w:tblBorders>
                  <w:top w:val="single" w:color="auto" w:sz="4" w:space="0"/>
                  <w:left w:val="single" w:color="auto" w:sz="6" w:space="0"/>
                  <w:bottom w:val="single" w:color="auto" w:sz="4"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0" w:type="pct"/>
                  <w:tcBorders>
                    <w:top w:val="single" w:color="auto" w:sz="4" w:space="0"/>
                    <w:left w:val="single" w:color="auto" w:sz="4" w:space="0"/>
                    <w:right w:val="single" w:color="auto" w:sz="4" w:space="0"/>
                  </w:tcBorders>
                  <w:noWrap w:val="0"/>
                  <w:tcMar>
                    <w:left w:w="28" w:type="dxa"/>
                    <w:right w:w="28" w:type="dxa"/>
                  </w:tcMar>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来源</w:t>
                  </w:r>
                </w:p>
              </w:tc>
              <w:tc>
                <w:tcPr>
                  <w:tcW w:w="681" w:type="pct"/>
                  <w:tcBorders>
                    <w:top w:val="single" w:color="auto" w:sz="4" w:space="0"/>
                    <w:left w:val="single" w:color="auto" w:sz="4" w:space="0"/>
                    <w:right w:val="single" w:color="auto" w:sz="4" w:space="0"/>
                  </w:tcBorders>
                  <w:noWrap w:val="0"/>
                  <w:tcMar>
                    <w:left w:w="28" w:type="dxa"/>
                    <w:right w:w="28" w:type="dxa"/>
                  </w:tcMar>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原料量</w:t>
                  </w:r>
                </w:p>
              </w:tc>
              <w:tc>
                <w:tcPr>
                  <w:tcW w:w="911" w:type="pc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jc w:val="center"/>
                    <w:rPr>
                      <w:rFonts w:hint="default" w:ascii="Times New Roman" w:hAnsi="Times New Roman" w:cs="Times New Roman"/>
                      <w:b/>
                      <w:szCs w:val="21"/>
                    </w:rPr>
                  </w:pPr>
                  <w:r>
                    <w:rPr>
                      <w:rFonts w:hint="default" w:ascii="Times New Roman" w:hAnsi="Times New Roman" w:cs="Times New Roman"/>
                      <w:b/>
                      <w:szCs w:val="21"/>
                    </w:rPr>
                    <w:t>产污系数</w:t>
                  </w:r>
                </w:p>
              </w:tc>
              <w:tc>
                <w:tcPr>
                  <w:tcW w:w="12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污染物产生量</w:t>
                  </w:r>
                </w:p>
              </w:tc>
              <w:tc>
                <w:tcPr>
                  <w:tcW w:w="121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污染物产生速率</w:t>
                  </w:r>
                </w:p>
              </w:tc>
            </w:tr>
            <w:tr>
              <w:tblPrEx>
                <w:tblBorders>
                  <w:top w:val="single" w:color="auto" w:sz="4" w:space="0"/>
                  <w:left w:val="single" w:color="auto" w:sz="6" w:space="0"/>
                  <w:bottom w:val="single" w:color="auto" w:sz="4" w:space="0"/>
                  <w:right w:val="single" w:color="auto" w:sz="6" w:space="0"/>
                  <w:insideH w:val="single" w:color="auto" w:sz="6" w:space="0"/>
                  <w:insideV w:val="single" w:color="auto" w:sz="6" w:space="0"/>
                </w:tblBorders>
              </w:tblPrEx>
              <w:trPr>
                <w:trHeight w:val="386" w:hRule="atLeast"/>
                <w:jc w:val="center"/>
              </w:trPr>
              <w:tc>
                <w:tcPr>
                  <w:tcW w:w="980" w:type="pc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snapToGrid w:val="0"/>
                    <w:jc w:val="center"/>
                    <w:rPr>
                      <w:rFonts w:hint="default" w:ascii="Times New Roman" w:hAnsi="Times New Roman" w:cs="Times New Roman"/>
                      <w:szCs w:val="21"/>
                    </w:rPr>
                  </w:pPr>
                  <w:r>
                    <w:rPr>
                      <w:rFonts w:hint="default" w:ascii="Times New Roman" w:hAnsi="Times New Roman" w:cs="Times New Roman"/>
                      <w:szCs w:val="21"/>
                    </w:rPr>
                    <w:t>破碎</w:t>
                  </w:r>
                </w:p>
              </w:tc>
              <w:tc>
                <w:tcPr>
                  <w:tcW w:w="681" w:type="pct"/>
                  <w:tcBorders>
                    <w:top w:val="single" w:color="auto" w:sz="4" w:space="0"/>
                    <w:left w:val="single" w:color="auto" w:sz="4" w:space="0"/>
                    <w:bottom w:val="single" w:color="auto" w:sz="4" w:space="0"/>
                    <w:right w:val="single" w:color="auto" w:sz="4" w:space="0"/>
                  </w:tcBorders>
                  <w:noWrap w:val="0"/>
                  <w:tcMar>
                    <w:left w:w="28" w:type="dxa"/>
                    <w:right w:w="28" w:type="dxa"/>
                  </w:tcMar>
                  <w:vAlign w:val="center"/>
                </w:tcPr>
                <w:p>
                  <w:pPr>
                    <w:tabs>
                      <w:tab w:val="left" w:pos="1275"/>
                    </w:tabs>
                    <w:adjustRightInd w:val="0"/>
                    <w:snapToGrid w:val="0"/>
                    <w:jc w:val="center"/>
                    <w:rPr>
                      <w:rFonts w:hint="default" w:ascii="Times New Roman" w:hAnsi="Times New Roman" w:cs="Times New Roman"/>
                      <w:szCs w:val="21"/>
                    </w:rPr>
                  </w:pPr>
                  <w:r>
                    <w:rPr>
                      <w:rFonts w:hint="default" w:ascii="Times New Roman" w:hAnsi="Times New Roman" w:cs="Times New Roman"/>
                      <w:szCs w:val="21"/>
                      <w:lang w:val="en-US" w:eastAsia="zh-CN"/>
                    </w:rPr>
                    <w:t>10</w:t>
                  </w:r>
                  <w:r>
                    <w:rPr>
                      <w:rFonts w:hint="default" w:ascii="Times New Roman" w:hAnsi="Times New Roman" w:cs="Times New Roman"/>
                      <w:szCs w:val="21"/>
                    </w:rPr>
                    <w:t>0t/a</w:t>
                  </w:r>
                </w:p>
              </w:tc>
              <w:tc>
                <w:tcPr>
                  <w:tcW w:w="911" w:type="pct"/>
                  <w:tcBorders>
                    <w:left w:val="single" w:color="auto" w:sz="4" w:space="0"/>
                    <w:right w:val="single" w:color="auto" w:sz="4" w:space="0"/>
                  </w:tcBorders>
                  <w:noWrap w:val="0"/>
                  <w:tcMar>
                    <w:left w:w="28" w:type="dxa"/>
                    <w:right w:w="28" w:type="dxa"/>
                  </w:tcMar>
                  <w:vAlign w:val="center"/>
                </w:tcPr>
                <w:p>
                  <w:pPr>
                    <w:tabs>
                      <w:tab w:val="left" w:pos="1275"/>
                    </w:tabs>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0.1%</w:t>
                  </w:r>
                </w:p>
              </w:tc>
              <w:tc>
                <w:tcPr>
                  <w:tcW w:w="1213" w:type="pct"/>
                  <w:tcBorders>
                    <w:left w:val="single" w:color="auto" w:sz="4" w:space="0"/>
                    <w:right w:val="single" w:color="auto" w:sz="4" w:space="0"/>
                  </w:tcBorders>
                  <w:noWrap w:val="0"/>
                  <w:vAlign w:val="center"/>
                </w:tcPr>
                <w:p>
                  <w:pPr>
                    <w:tabs>
                      <w:tab w:val="left" w:pos="1275"/>
                    </w:tabs>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w:t>
                  </w:r>
                  <w:r>
                    <w:rPr>
                      <w:rFonts w:hint="default" w:ascii="Times New Roman" w:hAnsi="Times New Roman" w:cs="Times New Roman"/>
                      <w:szCs w:val="21"/>
                      <w:lang w:val="en-US" w:eastAsia="zh-CN"/>
                    </w:rPr>
                    <w:t>1</w:t>
                  </w:r>
                  <w:r>
                    <w:rPr>
                      <w:rFonts w:hint="default" w:ascii="Times New Roman" w:hAnsi="Times New Roman" w:cs="Times New Roman"/>
                      <w:szCs w:val="21"/>
                    </w:rPr>
                    <w:t>0t/a</w:t>
                  </w:r>
                </w:p>
              </w:tc>
              <w:tc>
                <w:tcPr>
                  <w:tcW w:w="1213" w:type="pct"/>
                  <w:tcBorders>
                    <w:left w:val="single" w:color="auto" w:sz="4" w:space="0"/>
                    <w:right w:val="single" w:color="auto" w:sz="4" w:space="0"/>
                  </w:tcBorders>
                  <w:noWrap w:val="0"/>
                  <w:vAlign w:val="center"/>
                </w:tcPr>
                <w:p>
                  <w:pPr>
                    <w:tabs>
                      <w:tab w:val="left" w:pos="1275"/>
                    </w:tabs>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0.</w:t>
                  </w:r>
                  <w:r>
                    <w:rPr>
                      <w:rFonts w:hint="default" w:ascii="Times New Roman" w:hAnsi="Times New Roman" w:cs="Times New Roman"/>
                      <w:szCs w:val="21"/>
                      <w:lang w:val="en-US" w:eastAsia="zh-CN"/>
                    </w:rPr>
                    <w:t>15</w:t>
                  </w:r>
                  <w:r>
                    <w:rPr>
                      <w:rFonts w:hint="default" w:ascii="Times New Roman" w:hAnsi="Times New Roman" w:cs="Times New Roman"/>
                      <w:szCs w:val="21"/>
                    </w:rPr>
                    <w:t>kg/h</w:t>
                  </w:r>
                </w:p>
              </w:tc>
            </w:tr>
          </w:tbl>
          <w:p>
            <w:pPr>
              <w:snapToGrid w:val="0"/>
              <w:spacing w:line="360" w:lineRule="auto"/>
              <w:ind w:firstLine="480"/>
              <w:rPr>
                <w:rFonts w:hint="default" w:ascii="Times New Roman" w:hAnsi="Times New Roman" w:cs="Times New Roman"/>
                <w:b/>
                <w:color w:val="000000"/>
                <w:sz w:val="24"/>
              </w:rPr>
            </w:pPr>
            <w:r>
              <w:rPr>
                <w:rFonts w:hint="default" w:ascii="Times New Roman" w:hAnsi="Times New Roman" w:cs="Times New Roman"/>
                <w:b/>
                <w:color w:val="000000"/>
                <w:sz w:val="24"/>
              </w:rPr>
              <w:t>②粉尘收集及治理措施</w:t>
            </w:r>
          </w:p>
          <w:p>
            <w:pPr>
              <w:snapToGrid w:val="0"/>
              <w:spacing w:line="360" w:lineRule="auto"/>
              <w:ind w:firstLine="480" w:firstLineChars="200"/>
              <w:rPr>
                <w:rFonts w:hint="default" w:ascii="Times New Roman" w:hAnsi="Times New Roman" w:eastAsia="宋体" w:cs="Times New Roman"/>
                <w:color w:val="000000"/>
                <w:sz w:val="24"/>
                <w:lang w:val="en-US" w:eastAsia="zh-CN"/>
              </w:rPr>
            </w:pPr>
            <w:r>
              <w:rPr>
                <w:rFonts w:hint="default" w:ascii="Times New Roman" w:hAnsi="Times New Roman" w:cs="Times New Roman"/>
                <w:color w:val="000000"/>
                <w:sz w:val="24"/>
              </w:rPr>
              <w:t>项目在生产车间内设置一个密闭破碎房，面积为20m</w:t>
            </w:r>
            <w:r>
              <w:rPr>
                <w:rFonts w:hint="default" w:ascii="Times New Roman" w:hAnsi="Times New Roman" w:cs="Times New Roman"/>
                <w:color w:val="000000"/>
                <w:sz w:val="24"/>
                <w:vertAlign w:val="superscript"/>
              </w:rPr>
              <w:t>2</w:t>
            </w:r>
            <w:r>
              <w:rPr>
                <w:rFonts w:hint="default" w:ascii="Times New Roman" w:hAnsi="Times New Roman" w:cs="Times New Roman"/>
                <w:color w:val="000000"/>
                <w:sz w:val="24"/>
              </w:rPr>
              <w:t>，内设2台破碎机，</w:t>
            </w:r>
            <w:r>
              <w:rPr>
                <w:rFonts w:hint="default" w:ascii="Times New Roman" w:hAnsi="Times New Roman" w:cs="Times New Roman"/>
                <w:sz w:val="24"/>
              </w:rPr>
              <w:t>并在破碎机上方设置集气罩（收集率为90%，风量为2000</w:t>
            </w:r>
            <w:r>
              <w:rPr>
                <w:rFonts w:hint="default" w:ascii="Times New Roman" w:hAnsi="Times New Roman" w:cs="Times New Roman"/>
                <w:color w:val="000000"/>
                <w:sz w:val="24"/>
              </w:rPr>
              <w:t>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/h</w:t>
            </w:r>
            <w:r>
              <w:rPr>
                <w:rFonts w:hint="default" w:ascii="Times New Roman" w:hAnsi="Times New Roman" w:cs="Times New Roman"/>
                <w:sz w:val="24"/>
              </w:rPr>
              <w:t>），将破碎粉尘收集后送至布袋</w:t>
            </w:r>
            <w:r>
              <w:rPr>
                <w:rFonts w:hint="default" w:ascii="Times New Roman" w:hAnsi="Times New Roman" w:cs="Times New Roman"/>
                <w:sz w:val="24"/>
                <w:lang w:val="en-US" w:eastAsia="zh-CN"/>
              </w:rPr>
              <w:t>脉冲</w:t>
            </w:r>
            <w:r>
              <w:rPr>
                <w:rFonts w:hint="default" w:ascii="Times New Roman" w:hAnsi="Times New Roman" w:cs="Times New Roman"/>
                <w:sz w:val="24"/>
              </w:rPr>
              <w:t>除尘器进行处理（</w:t>
            </w:r>
            <w:r>
              <w:rPr>
                <w:rFonts w:hint="default" w:ascii="Times New Roman" w:hAnsi="Times New Roman" w:cs="Times New Roman"/>
                <w:color w:val="000000"/>
                <w:sz w:val="24"/>
              </w:rPr>
              <w:t>处理效率95%</w:t>
            </w:r>
            <w:r>
              <w:rPr>
                <w:rFonts w:hint="default" w:ascii="Times New Roman" w:hAnsi="Times New Roman" w:cs="Times New Roman"/>
                <w:sz w:val="24"/>
              </w:rPr>
              <w:t>）</w:t>
            </w:r>
            <w:r>
              <w:rPr>
                <w:rFonts w:hint="default" w:ascii="Times New Roman" w:hAnsi="Times New Roman" w:cs="Times New Roman"/>
                <w:kern w:val="0"/>
                <w:sz w:val="24"/>
              </w:rPr>
              <w:t>，</w:t>
            </w:r>
            <w:r>
              <w:rPr>
                <w:rFonts w:hint="default" w:ascii="Times New Roman" w:hAnsi="Times New Roman" w:cs="Times New Roman"/>
                <w:kern w:val="0"/>
                <w:sz w:val="24"/>
                <w:lang w:val="en-US" w:eastAsia="zh-CN"/>
              </w:rPr>
              <w:t>根据业主通过资料，项目粉碎</w:t>
            </w:r>
            <w:r>
              <w:rPr>
                <w:rFonts w:hint="default" w:ascii="Times New Roman" w:hAnsi="Times New Roman" w:cs="Times New Roman"/>
                <w:color w:val="000000"/>
                <w:sz w:val="24"/>
              </w:rPr>
              <w:t>尾气</w:t>
            </w:r>
            <w:r>
              <w:rPr>
                <w:rFonts w:hint="default" w:ascii="Times New Roman" w:hAnsi="Times New Roman" w:cs="Times New Roman"/>
                <w:color w:val="000000"/>
                <w:sz w:val="24"/>
                <w:lang w:val="en-US" w:eastAsia="zh-CN"/>
              </w:rPr>
              <w:t>设置回收装置，定期清理返回生产线。</w:t>
            </w:r>
          </w:p>
          <w:p>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color w:val="000000"/>
                <w:sz w:val="24"/>
              </w:rPr>
              <w:t>另外部分颗粒物未被收集，由其颗粒较大，大部分在混料间及破碎间内沉降。</w:t>
            </w:r>
            <w:r>
              <w:rPr>
                <w:rFonts w:hint="default" w:ascii="Times New Roman" w:hAnsi="Times New Roman" w:cs="Times New Roman"/>
                <w:sz w:val="24"/>
              </w:rPr>
              <w:t>经厂房阻隔和车间内自然沉降，阻隔和沉降效率约为90%，粉尘无组织排放总量为0.</w:t>
            </w:r>
            <w:r>
              <w:rPr>
                <w:rFonts w:hint="default" w:ascii="Times New Roman" w:hAnsi="Times New Roman" w:cs="Times New Roman"/>
                <w:sz w:val="24"/>
                <w:lang w:val="en-US" w:eastAsia="zh-CN"/>
              </w:rPr>
              <w:t>009</w:t>
            </w:r>
            <w:r>
              <w:rPr>
                <w:rFonts w:hint="default" w:ascii="Times New Roman" w:hAnsi="Times New Roman" w:cs="Times New Roman"/>
                <w:sz w:val="24"/>
              </w:rPr>
              <w:t>t/a，排放速率为0.0</w:t>
            </w:r>
            <w:r>
              <w:rPr>
                <w:rFonts w:hint="default" w:ascii="Times New Roman" w:hAnsi="Times New Roman" w:cs="Times New Roman"/>
                <w:sz w:val="24"/>
                <w:lang w:val="en-US" w:eastAsia="zh-CN"/>
              </w:rPr>
              <w:t>01</w:t>
            </w:r>
            <w:r>
              <w:rPr>
                <w:rFonts w:hint="default" w:ascii="Times New Roman" w:hAnsi="Times New Roman" w:cs="Times New Roman"/>
                <w:sz w:val="24"/>
              </w:rPr>
              <w:t>kg/h。采用《环境影响评价技术导则——大气环境》（HJ2.2-2018）中推荐模式中的AERSCREEN对大气环境评价工作进行分析，本项目粉尘无组织排放浓度，可以满足《大气污染物综合排放标准（GB16297-1996）》无组织排放监控浓度限值（1.0mg/m</w:t>
            </w:r>
            <w:r>
              <w:rPr>
                <w:rFonts w:hint="default" w:ascii="Times New Roman" w:hAnsi="Times New Roman" w:cs="Times New Roman"/>
                <w:sz w:val="24"/>
                <w:vertAlign w:val="superscript"/>
              </w:rPr>
              <w:t>3</w:t>
            </w:r>
            <w:r>
              <w:rPr>
                <w:rFonts w:hint="default" w:ascii="Times New Roman" w:hAnsi="Times New Roman" w:cs="Times New Roman"/>
                <w:sz w:val="24"/>
              </w:rPr>
              <w:t>）要求，能够做到达标排放。</w:t>
            </w:r>
          </w:p>
          <w:p>
            <w:pPr>
              <w:numPr>
                <w:ilvl w:val="0"/>
                <w:numId w:val="0"/>
              </w:numPr>
              <w:spacing w:line="360" w:lineRule="auto"/>
              <w:ind w:firstLine="482" w:firstLineChars="200"/>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lang w:val="en-US" w:eastAsia="zh-CN"/>
              </w:rPr>
              <w:t>2、</w:t>
            </w:r>
            <w:r>
              <w:rPr>
                <w:rFonts w:hint="default" w:ascii="Times New Roman" w:hAnsi="Times New Roman" w:eastAsia="宋体" w:cs="Times New Roman"/>
                <w:b/>
                <w:bCs/>
                <w:sz w:val="24"/>
                <w:szCs w:val="20"/>
              </w:rPr>
              <w:t>废水排放及处理措施</w:t>
            </w:r>
          </w:p>
          <w:p>
            <w:pPr>
              <w:snapToGrid w:val="0"/>
              <w:spacing w:line="360" w:lineRule="auto"/>
              <w:ind w:firstLine="480" w:firstLineChars="200"/>
              <w:rPr>
                <w:kern w:val="0"/>
                <w:sz w:val="24"/>
              </w:rPr>
            </w:pPr>
            <w:r>
              <w:rPr>
                <w:color w:val="0000FF"/>
                <w:sz w:val="24"/>
              </w:rPr>
              <w:t>本项目生产过程用水环节为</w:t>
            </w:r>
            <w:r>
              <w:rPr>
                <w:rFonts w:hint="eastAsia"/>
                <w:color w:val="0000FF"/>
                <w:sz w:val="24"/>
              </w:rPr>
              <w:t>挤塑、注塑</w:t>
            </w:r>
            <w:r>
              <w:rPr>
                <w:color w:val="0000FF"/>
                <w:sz w:val="24"/>
              </w:rPr>
              <w:t>工序冷却水，冷却水循环系统封闭运行，定期补充损耗，不外排</w:t>
            </w:r>
            <w:r>
              <w:rPr>
                <w:rFonts w:hint="eastAsia"/>
                <w:b/>
                <w:color w:val="0000FF"/>
                <w:kern w:val="0"/>
                <w:sz w:val="24"/>
              </w:rPr>
              <w:t>。</w:t>
            </w:r>
            <w:r>
              <w:rPr>
                <w:rFonts w:hAnsi="宋体"/>
                <w:color w:val="0000FF"/>
                <w:sz w:val="24"/>
              </w:rPr>
              <w:t>项目生产设备及地面不冲洗，只需定期清扫即可</w:t>
            </w:r>
            <w:r>
              <w:rPr>
                <w:rFonts w:hint="eastAsia" w:hAnsi="宋体"/>
                <w:color w:val="0000FF"/>
                <w:sz w:val="24"/>
              </w:rPr>
              <w:t>。</w:t>
            </w:r>
            <w:r>
              <w:rPr>
                <w:rFonts w:hint="eastAsia"/>
                <w:color w:val="0000FF"/>
                <w:kern w:val="0"/>
                <w:sz w:val="24"/>
              </w:rPr>
              <w:t>因此，本项目</w:t>
            </w:r>
            <w:r>
              <w:rPr>
                <w:color w:val="0000FF"/>
                <w:kern w:val="0"/>
                <w:sz w:val="24"/>
              </w:rPr>
              <w:t>运营期产生的废水主要为工作人员产生的生活污水及少量碱喷淋水洗废水</w:t>
            </w:r>
            <w:r>
              <w:rPr>
                <w:kern w:val="0"/>
                <w:sz w:val="24"/>
              </w:rPr>
              <w:t>。</w:t>
            </w:r>
          </w:p>
          <w:p>
            <w:pPr>
              <w:pStyle w:val="8"/>
              <w:snapToGrid w:val="0"/>
              <w:rPr>
                <w:rFonts w:hint="eastAsia"/>
                <w:szCs w:val="24"/>
              </w:rPr>
            </w:pPr>
            <w:r>
              <w:rPr>
                <w:rFonts w:hint="eastAsia"/>
                <w:szCs w:val="24"/>
              </w:rPr>
              <w:t>①生活污水</w:t>
            </w:r>
          </w:p>
          <w:p>
            <w:pPr>
              <w:snapToGrid w:val="0"/>
              <w:spacing w:line="360" w:lineRule="auto"/>
              <w:ind w:firstLine="480" w:firstLineChars="200"/>
              <w:rPr>
                <w:rFonts w:hint="eastAsia"/>
                <w:color w:val="0000FF"/>
                <w:sz w:val="24"/>
              </w:rPr>
            </w:pPr>
            <w:r>
              <w:rPr>
                <w:color w:val="0000FF"/>
                <w:sz w:val="24"/>
              </w:rPr>
              <w:t>本项目共有员工</w:t>
            </w:r>
            <w:r>
              <w:rPr>
                <w:rFonts w:hint="eastAsia"/>
                <w:color w:val="0000FF"/>
                <w:sz w:val="24"/>
              </w:rPr>
              <w:t>35</w:t>
            </w:r>
            <w:r>
              <w:rPr>
                <w:color w:val="0000FF"/>
                <w:sz w:val="24"/>
              </w:rPr>
              <w:t>人，员工人均办公、生活用水按50L/人·d用水量计算，项目办、生活总用水量约</w:t>
            </w:r>
            <w:r>
              <w:rPr>
                <w:rFonts w:hint="eastAsia"/>
                <w:color w:val="0000FF"/>
                <w:sz w:val="24"/>
              </w:rPr>
              <w:t>1.75</w:t>
            </w:r>
            <w:r>
              <w:rPr>
                <w:color w:val="0000FF"/>
                <w:sz w:val="24"/>
              </w:rPr>
              <w:t>m3/d，按</w:t>
            </w:r>
            <w:r>
              <w:rPr>
                <w:rFonts w:hint="eastAsia"/>
                <w:color w:val="0000FF"/>
                <w:sz w:val="24"/>
              </w:rPr>
              <w:t>85</w:t>
            </w:r>
            <w:r>
              <w:rPr>
                <w:color w:val="0000FF"/>
                <w:sz w:val="24"/>
              </w:rPr>
              <w:t>%污水产生量计，则生活污水排放量为</w:t>
            </w:r>
            <w:r>
              <w:rPr>
                <w:rFonts w:hint="eastAsia"/>
                <w:color w:val="0000FF"/>
                <w:sz w:val="24"/>
              </w:rPr>
              <w:t>1.4875</w:t>
            </w:r>
            <w:r>
              <w:rPr>
                <w:color w:val="0000FF"/>
                <w:sz w:val="24"/>
              </w:rPr>
              <w:t>m3/d（合计</w:t>
            </w:r>
            <w:r>
              <w:rPr>
                <w:rFonts w:hint="eastAsia"/>
                <w:color w:val="0000FF"/>
                <w:sz w:val="24"/>
                <w:lang w:val="en-US" w:eastAsia="zh-CN"/>
              </w:rPr>
              <w:t>490.875</w:t>
            </w:r>
            <w:r>
              <w:rPr>
                <w:color w:val="0000FF"/>
                <w:sz w:val="24"/>
              </w:rPr>
              <w:t>m3/a）。</w:t>
            </w:r>
          </w:p>
          <w:p>
            <w:pPr>
              <w:pStyle w:val="8"/>
              <w:snapToGrid w:val="0"/>
              <w:rPr>
                <w:rFonts w:hint="eastAsia"/>
                <w:szCs w:val="24"/>
              </w:rPr>
            </w:pPr>
            <w:r>
              <w:rPr>
                <w:rFonts w:hint="eastAsia"/>
                <w:szCs w:val="24"/>
              </w:rPr>
              <w:t>②喷淋水洗废水</w:t>
            </w:r>
          </w:p>
          <w:p>
            <w:pPr>
              <w:snapToGrid w:val="0"/>
              <w:spacing w:line="360" w:lineRule="auto"/>
              <w:ind w:firstLine="480" w:firstLineChars="200"/>
              <w:rPr>
                <w:rFonts w:hint="eastAsia"/>
                <w:color w:val="0000FF"/>
                <w:sz w:val="24"/>
              </w:rPr>
            </w:pPr>
            <w:r>
              <w:rPr>
                <w:rFonts w:hint="eastAsia"/>
                <w:color w:val="0000FF"/>
                <w:sz w:val="24"/>
              </w:rPr>
              <w:t>本项目设置碱喷淋塔除HCL系统1套，最大容量为3.5</w:t>
            </w:r>
            <w:r>
              <w:rPr>
                <w:color w:val="0000FF"/>
                <w:sz w:val="24"/>
              </w:rPr>
              <w:t>m</w:t>
            </w:r>
            <w:r>
              <w:rPr>
                <w:color w:val="0000FF"/>
                <w:sz w:val="24"/>
                <w:vertAlign w:val="superscript"/>
              </w:rPr>
              <w:t>3</w:t>
            </w:r>
            <w:r>
              <w:rPr>
                <w:rFonts w:hint="eastAsia"/>
                <w:color w:val="0000FF"/>
                <w:sz w:val="24"/>
              </w:rPr>
              <w:t>，循环使用，每天补水0.05m3/d,</w:t>
            </w:r>
            <w:r>
              <w:rPr>
                <w:color w:val="0000FF"/>
                <w:sz w:val="24"/>
              </w:rPr>
              <w:t>一个</w:t>
            </w:r>
            <w:r>
              <w:rPr>
                <w:rFonts w:hint="eastAsia"/>
                <w:color w:val="0000FF"/>
                <w:sz w:val="24"/>
              </w:rPr>
              <w:t>星期</w:t>
            </w:r>
            <w:r>
              <w:rPr>
                <w:color w:val="0000FF"/>
                <w:sz w:val="24"/>
              </w:rPr>
              <w:t>排放一次</w:t>
            </w:r>
            <w:r>
              <w:rPr>
                <w:rFonts w:hint="eastAsia"/>
                <w:color w:val="0000FF"/>
                <w:sz w:val="24"/>
              </w:rPr>
              <w:t>，</w:t>
            </w:r>
            <w:r>
              <w:rPr>
                <w:color w:val="0000FF"/>
                <w:sz w:val="24"/>
              </w:rPr>
              <w:t>排水量为用水量的</w:t>
            </w:r>
            <w:r>
              <w:rPr>
                <w:rFonts w:hint="eastAsia"/>
                <w:color w:val="0000FF"/>
                <w:sz w:val="24"/>
              </w:rPr>
              <w:t>85%，则碱喷淋废水排放量为0.0425</w:t>
            </w:r>
            <w:r>
              <w:rPr>
                <w:color w:val="0000FF"/>
                <w:sz w:val="24"/>
              </w:rPr>
              <w:t>m</w:t>
            </w:r>
            <w:r>
              <w:rPr>
                <w:color w:val="0000FF"/>
                <w:sz w:val="24"/>
                <w:vertAlign w:val="superscript"/>
              </w:rPr>
              <w:t>3</w:t>
            </w:r>
            <w:r>
              <w:rPr>
                <w:color w:val="0000FF"/>
                <w:sz w:val="24"/>
              </w:rPr>
              <w:t>/</w:t>
            </w:r>
            <w:r>
              <w:rPr>
                <w:rFonts w:hint="eastAsia"/>
                <w:color w:val="0000FF"/>
                <w:sz w:val="24"/>
              </w:rPr>
              <w:t>d。</w:t>
            </w:r>
          </w:p>
          <w:p>
            <w:pPr>
              <w:pStyle w:val="8"/>
              <w:ind w:firstLine="482"/>
              <w:rPr>
                <w:rFonts w:hint="eastAsia"/>
                <w:b/>
                <w:bCs w:val="0"/>
                <w:color w:val="000000"/>
              </w:rPr>
            </w:pPr>
            <w:r>
              <w:rPr>
                <w:rFonts w:hint="eastAsia"/>
                <w:b/>
                <w:bCs w:val="0"/>
                <w:color w:val="000000"/>
              </w:rPr>
              <w:t>（2）</w:t>
            </w:r>
            <w:r>
              <w:rPr>
                <w:b/>
                <w:bCs w:val="0"/>
                <w:color w:val="000000"/>
              </w:rPr>
              <w:t>项目污水处理方案</w:t>
            </w:r>
          </w:p>
          <w:p>
            <w:pPr>
              <w:snapToGrid w:val="0"/>
              <w:spacing w:line="360" w:lineRule="auto"/>
              <w:ind w:firstLine="480" w:firstLineChars="200"/>
              <w:rPr>
                <w:rFonts w:hint="eastAsia"/>
                <w:color w:val="0000FF"/>
                <w:sz w:val="24"/>
              </w:rPr>
            </w:pPr>
            <w:r>
              <w:rPr>
                <w:rFonts w:hint="eastAsia"/>
                <w:color w:val="0000FF"/>
                <w:sz w:val="24"/>
              </w:rPr>
              <w:t>本项目碱喷淋废水先经过酸碱中和处理后，再汇同生活污水一起经厂房外</w:t>
            </w:r>
            <w:r>
              <w:rPr>
                <w:rFonts w:hint="eastAsia"/>
                <w:color w:val="0000FF"/>
                <w:sz w:val="24"/>
                <w:lang w:val="en-US" w:eastAsia="zh-CN"/>
              </w:rPr>
              <w:t>南</w:t>
            </w:r>
            <w:r>
              <w:rPr>
                <w:rFonts w:hint="eastAsia"/>
                <w:color w:val="0000FF"/>
                <w:sz w:val="24"/>
              </w:rPr>
              <w:t>侧已有预处理池（容积为20m</w:t>
            </w:r>
            <w:r>
              <w:rPr>
                <w:rFonts w:hint="eastAsia"/>
                <w:color w:val="0000FF"/>
                <w:sz w:val="24"/>
                <w:vertAlign w:val="superscript"/>
              </w:rPr>
              <w:t>3</w:t>
            </w:r>
            <w:r>
              <w:rPr>
                <w:rFonts w:hint="eastAsia"/>
                <w:color w:val="0000FF"/>
                <w:sz w:val="24"/>
              </w:rPr>
              <w:t>）处理，达到《污水综合排放标准》（GB8978-1996）三级标准后，</w:t>
            </w:r>
            <w:r>
              <w:rPr>
                <w:rFonts w:hint="eastAsia"/>
                <w:color w:val="0000FF"/>
                <w:sz w:val="24"/>
                <w:lang w:val="en-US" w:eastAsia="zh-CN"/>
              </w:rPr>
              <w:t>汇入园区管网</w:t>
            </w:r>
            <w:r>
              <w:rPr>
                <w:rFonts w:hint="eastAsia"/>
                <w:color w:val="0000FF"/>
                <w:sz w:val="24"/>
              </w:rPr>
              <w:t>进入蓬溪县来龙山污水处理厂进行处理</w:t>
            </w:r>
            <w:r>
              <w:rPr>
                <w:rFonts w:hint="eastAsia"/>
                <w:color w:val="0000FF"/>
                <w:sz w:val="24"/>
                <w:lang w:val="zh-CN"/>
              </w:rPr>
              <w:t>达到《城镇污水处理厂污染物排放标准》（GB18918-2002）一级A标后排入芝溪河</w:t>
            </w:r>
            <w:r>
              <w:rPr>
                <w:rFonts w:hint="eastAsia"/>
                <w:color w:val="0000FF"/>
                <w:sz w:val="24"/>
              </w:rPr>
              <w:t>。</w:t>
            </w:r>
          </w:p>
          <w:p>
            <w:pPr>
              <w:pStyle w:val="8"/>
              <w:ind w:firstLine="482"/>
              <w:rPr>
                <w:b/>
              </w:rPr>
            </w:pPr>
            <w:r>
              <w:rPr>
                <w:rFonts w:hint="eastAsia"/>
                <w:b/>
                <w:bCs w:val="0"/>
              </w:rPr>
              <w:t>（3）</w:t>
            </w:r>
            <w:r>
              <w:rPr>
                <w:b/>
              </w:rPr>
              <w:t>项目污水污染物产生、处理和排放情况统计</w:t>
            </w:r>
          </w:p>
          <w:p>
            <w:pPr>
              <w:pStyle w:val="8"/>
            </w:pPr>
            <w:r>
              <w:t>项目污水污染物产生、处理和排放情况统计详细见表</w:t>
            </w:r>
            <w:r>
              <w:rPr>
                <w:rFonts w:hint="eastAsia"/>
                <w:lang w:val="en-US" w:eastAsia="zh-CN"/>
              </w:rPr>
              <w:t>4</w:t>
            </w:r>
            <w:r>
              <w:t>-</w:t>
            </w:r>
            <w:r>
              <w:rPr>
                <w:rFonts w:hint="eastAsia"/>
              </w:rPr>
              <w:t>5</w:t>
            </w:r>
            <w:r>
              <w:t>。</w:t>
            </w:r>
          </w:p>
          <w:p>
            <w:pPr>
              <w:ind w:firstLine="482"/>
              <w:jc w:val="center"/>
              <w:rPr>
                <w:b/>
                <w:sz w:val="24"/>
              </w:rPr>
            </w:pPr>
            <w:r>
              <w:rPr>
                <w:rFonts w:hAnsi="宋体"/>
                <w:b/>
                <w:sz w:val="24"/>
              </w:rPr>
              <w:t>表</w:t>
            </w:r>
            <w:r>
              <w:rPr>
                <w:rFonts w:hint="eastAsia"/>
                <w:b/>
                <w:sz w:val="24"/>
                <w:lang w:val="en-US" w:eastAsia="zh-CN"/>
              </w:rPr>
              <w:t>4-5</w:t>
            </w:r>
            <w:r>
              <w:rPr>
                <w:b/>
                <w:sz w:val="24"/>
              </w:rPr>
              <w:t xml:space="preserve">   </w:t>
            </w:r>
            <w:r>
              <w:rPr>
                <w:rFonts w:hAnsi="宋体"/>
                <w:b/>
                <w:sz w:val="24"/>
              </w:rPr>
              <w:t>项目污水主要污染物产生、处理和排放情况统计表</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834"/>
              <w:gridCol w:w="799"/>
              <w:gridCol w:w="591"/>
              <w:gridCol w:w="985"/>
              <w:gridCol w:w="978"/>
              <w:gridCol w:w="969"/>
              <w:gridCol w:w="897"/>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10" w:type="pct"/>
                  <w:vMerge w:val="restart"/>
                  <w:noWrap w:val="0"/>
                  <w:vAlign w:val="center"/>
                </w:tcPr>
                <w:p>
                  <w:pPr>
                    <w:snapToGrid w:val="0"/>
                    <w:rPr>
                      <w:b/>
                      <w:sz w:val="21"/>
                      <w:szCs w:val="21"/>
                    </w:rPr>
                  </w:pPr>
                  <w:r>
                    <w:rPr>
                      <w:b/>
                      <w:bCs/>
                      <w:kern w:val="0"/>
                      <w:sz w:val="21"/>
                      <w:szCs w:val="21"/>
                    </w:rPr>
                    <w:t>污染源</w:t>
                  </w:r>
                </w:p>
              </w:tc>
              <w:tc>
                <w:tcPr>
                  <w:tcW w:w="537" w:type="pct"/>
                  <w:vMerge w:val="restart"/>
                  <w:noWrap w:val="0"/>
                  <w:vAlign w:val="center"/>
                </w:tcPr>
                <w:p>
                  <w:pPr>
                    <w:snapToGrid w:val="0"/>
                    <w:rPr>
                      <w:b/>
                      <w:bCs/>
                      <w:kern w:val="0"/>
                      <w:sz w:val="21"/>
                      <w:szCs w:val="21"/>
                    </w:rPr>
                  </w:pPr>
                  <w:r>
                    <w:rPr>
                      <w:b/>
                      <w:bCs/>
                      <w:kern w:val="0"/>
                      <w:sz w:val="21"/>
                      <w:szCs w:val="21"/>
                    </w:rPr>
                    <w:t>排放量</w:t>
                  </w:r>
                </w:p>
                <w:p>
                  <w:pPr>
                    <w:snapToGrid w:val="0"/>
                    <w:ind w:firstLine="198" w:firstLineChars="94"/>
                    <w:rPr>
                      <w:b/>
                      <w:bCs/>
                      <w:kern w:val="0"/>
                      <w:sz w:val="21"/>
                      <w:szCs w:val="21"/>
                    </w:rPr>
                  </w:pPr>
                  <w:r>
                    <w:rPr>
                      <w:b/>
                      <w:bCs/>
                      <w:kern w:val="0"/>
                      <w:sz w:val="21"/>
                      <w:szCs w:val="21"/>
                    </w:rPr>
                    <w:t>m</w:t>
                  </w:r>
                  <w:r>
                    <w:rPr>
                      <w:b/>
                      <w:bCs/>
                      <w:kern w:val="0"/>
                      <w:sz w:val="21"/>
                      <w:szCs w:val="21"/>
                      <w:vertAlign w:val="superscript"/>
                    </w:rPr>
                    <w:t>3</w:t>
                  </w:r>
                  <w:r>
                    <w:rPr>
                      <w:b/>
                      <w:bCs/>
                      <w:kern w:val="0"/>
                      <w:sz w:val="21"/>
                      <w:szCs w:val="21"/>
                    </w:rPr>
                    <w:t>/a</w:t>
                  </w:r>
                </w:p>
              </w:tc>
              <w:tc>
                <w:tcPr>
                  <w:tcW w:w="515" w:type="pct"/>
                  <w:vMerge w:val="restart"/>
                  <w:noWrap w:val="0"/>
                  <w:vAlign w:val="center"/>
                </w:tcPr>
                <w:p>
                  <w:pPr>
                    <w:snapToGrid w:val="0"/>
                    <w:rPr>
                      <w:b/>
                      <w:sz w:val="21"/>
                      <w:szCs w:val="21"/>
                    </w:rPr>
                  </w:pPr>
                  <w:r>
                    <w:rPr>
                      <w:b/>
                      <w:bCs/>
                      <w:kern w:val="0"/>
                      <w:sz w:val="21"/>
                      <w:szCs w:val="21"/>
                    </w:rPr>
                    <w:t>处理措施</w:t>
                  </w:r>
                </w:p>
              </w:tc>
              <w:tc>
                <w:tcPr>
                  <w:tcW w:w="1015" w:type="pct"/>
                  <w:gridSpan w:val="2"/>
                  <w:vMerge w:val="restart"/>
                  <w:noWrap w:val="0"/>
                  <w:vAlign w:val="center"/>
                </w:tcPr>
                <w:p>
                  <w:pPr>
                    <w:snapToGrid w:val="0"/>
                    <w:rPr>
                      <w:b/>
                      <w:sz w:val="21"/>
                      <w:szCs w:val="21"/>
                    </w:rPr>
                  </w:pPr>
                  <w:r>
                    <w:rPr>
                      <w:b/>
                      <w:bCs/>
                      <w:kern w:val="0"/>
                      <w:sz w:val="21"/>
                      <w:szCs w:val="21"/>
                    </w:rPr>
                    <w:t>主要污染物处理情况</w:t>
                  </w:r>
                </w:p>
              </w:tc>
              <w:tc>
                <w:tcPr>
                  <w:tcW w:w="2421" w:type="pct"/>
                  <w:gridSpan w:val="4"/>
                  <w:noWrap w:val="0"/>
                  <w:vAlign w:val="center"/>
                </w:tcPr>
                <w:p>
                  <w:pPr>
                    <w:snapToGrid w:val="0"/>
                    <w:ind w:firstLine="422"/>
                    <w:jc w:val="center"/>
                    <w:rPr>
                      <w:b/>
                      <w:sz w:val="21"/>
                      <w:szCs w:val="21"/>
                    </w:rPr>
                  </w:pPr>
                  <w:r>
                    <w:rPr>
                      <w:b/>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510" w:type="pct"/>
                  <w:vMerge w:val="continue"/>
                  <w:noWrap w:val="0"/>
                  <w:vAlign w:val="center"/>
                </w:tcPr>
                <w:p>
                  <w:pPr>
                    <w:snapToGrid w:val="0"/>
                    <w:ind w:firstLine="420"/>
                    <w:jc w:val="center"/>
                    <w:rPr>
                      <w:sz w:val="21"/>
                      <w:szCs w:val="21"/>
                    </w:rPr>
                  </w:pPr>
                </w:p>
              </w:tc>
              <w:tc>
                <w:tcPr>
                  <w:tcW w:w="537" w:type="pct"/>
                  <w:vMerge w:val="continue"/>
                  <w:noWrap w:val="0"/>
                  <w:vAlign w:val="center"/>
                </w:tcPr>
                <w:p>
                  <w:pPr>
                    <w:snapToGrid w:val="0"/>
                    <w:ind w:firstLine="420"/>
                    <w:jc w:val="center"/>
                    <w:rPr>
                      <w:sz w:val="21"/>
                      <w:szCs w:val="21"/>
                    </w:rPr>
                  </w:pPr>
                </w:p>
              </w:tc>
              <w:tc>
                <w:tcPr>
                  <w:tcW w:w="515" w:type="pct"/>
                  <w:vMerge w:val="continue"/>
                  <w:noWrap w:val="0"/>
                  <w:vAlign w:val="center"/>
                </w:tcPr>
                <w:p>
                  <w:pPr>
                    <w:snapToGrid w:val="0"/>
                    <w:ind w:firstLine="420"/>
                    <w:jc w:val="center"/>
                    <w:rPr>
                      <w:sz w:val="21"/>
                      <w:szCs w:val="21"/>
                    </w:rPr>
                  </w:pPr>
                </w:p>
              </w:tc>
              <w:tc>
                <w:tcPr>
                  <w:tcW w:w="1015" w:type="pct"/>
                  <w:gridSpan w:val="2"/>
                  <w:vMerge w:val="continue"/>
                  <w:noWrap w:val="0"/>
                  <w:vAlign w:val="center"/>
                </w:tcPr>
                <w:p>
                  <w:pPr>
                    <w:widowControl/>
                    <w:snapToGrid w:val="0"/>
                    <w:ind w:firstLine="420"/>
                    <w:jc w:val="center"/>
                    <w:rPr>
                      <w:kern w:val="0"/>
                      <w:sz w:val="21"/>
                      <w:szCs w:val="21"/>
                    </w:rPr>
                  </w:pPr>
                </w:p>
              </w:tc>
              <w:tc>
                <w:tcPr>
                  <w:tcW w:w="630" w:type="pct"/>
                  <w:noWrap w:val="0"/>
                  <w:vAlign w:val="center"/>
                </w:tcPr>
                <w:p>
                  <w:pPr>
                    <w:widowControl/>
                    <w:snapToGrid w:val="0"/>
                    <w:rPr>
                      <w:bCs/>
                      <w:kern w:val="0"/>
                      <w:sz w:val="21"/>
                      <w:szCs w:val="21"/>
                    </w:rPr>
                  </w:pPr>
                  <w:r>
                    <w:rPr>
                      <w:bCs/>
                      <w:kern w:val="0"/>
                      <w:sz w:val="21"/>
                      <w:szCs w:val="21"/>
                    </w:rPr>
                    <w:t>COD</w:t>
                  </w:r>
                </w:p>
              </w:tc>
              <w:tc>
                <w:tcPr>
                  <w:tcW w:w="624" w:type="pct"/>
                  <w:noWrap w:val="0"/>
                  <w:vAlign w:val="center"/>
                </w:tcPr>
                <w:p>
                  <w:pPr>
                    <w:widowControl/>
                    <w:snapToGrid w:val="0"/>
                    <w:ind w:firstLine="199" w:firstLineChars="95"/>
                    <w:rPr>
                      <w:bCs/>
                      <w:kern w:val="0"/>
                      <w:sz w:val="21"/>
                      <w:szCs w:val="21"/>
                    </w:rPr>
                  </w:pPr>
                  <w:r>
                    <w:rPr>
                      <w:sz w:val="21"/>
                      <w:szCs w:val="21"/>
                    </w:rPr>
                    <w:t>BOD</w:t>
                  </w:r>
                  <w:r>
                    <w:rPr>
                      <w:sz w:val="21"/>
                      <w:szCs w:val="21"/>
                      <w:vertAlign w:val="subscript"/>
                    </w:rPr>
                    <w:t>5</w:t>
                  </w:r>
                </w:p>
              </w:tc>
              <w:tc>
                <w:tcPr>
                  <w:tcW w:w="578" w:type="pct"/>
                  <w:noWrap w:val="0"/>
                  <w:vAlign w:val="center"/>
                </w:tcPr>
                <w:p>
                  <w:pPr>
                    <w:widowControl/>
                    <w:snapToGrid w:val="0"/>
                    <w:ind w:firstLine="199" w:firstLineChars="95"/>
                    <w:rPr>
                      <w:bCs/>
                      <w:kern w:val="0"/>
                      <w:sz w:val="21"/>
                      <w:szCs w:val="21"/>
                    </w:rPr>
                  </w:pPr>
                  <w:r>
                    <w:rPr>
                      <w:bCs/>
                      <w:kern w:val="0"/>
                      <w:sz w:val="21"/>
                      <w:szCs w:val="21"/>
                    </w:rPr>
                    <w:t>SS</w:t>
                  </w:r>
                </w:p>
              </w:tc>
              <w:tc>
                <w:tcPr>
                  <w:tcW w:w="587" w:type="pct"/>
                  <w:noWrap w:val="0"/>
                  <w:vAlign w:val="center"/>
                </w:tcPr>
                <w:p>
                  <w:pPr>
                    <w:widowControl/>
                    <w:snapToGrid w:val="0"/>
                    <w:rPr>
                      <w:bCs/>
                      <w:kern w:val="0"/>
                      <w:sz w:val="21"/>
                      <w:szCs w:val="21"/>
                    </w:rPr>
                  </w:pPr>
                  <w:r>
                    <w:rPr>
                      <w:sz w:val="21"/>
                      <w:szCs w:val="21"/>
                    </w:rPr>
                    <w:t>NH</w:t>
                  </w:r>
                  <w:r>
                    <w:rPr>
                      <w:sz w:val="21"/>
                      <w:szCs w:val="21"/>
                      <w:vertAlign w:val="subscript"/>
                    </w:rPr>
                    <w:t>3</w:t>
                  </w:r>
                  <w:r>
                    <w:rPr>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jc w:val="center"/>
              </w:trPr>
              <w:tc>
                <w:tcPr>
                  <w:tcW w:w="510" w:type="pct"/>
                  <w:vMerge w:val="restart"/>
                  <w:noWrap w:val="0"/>
                  <w:vAlign w:val="center"/>
                </w:tcPr>
                <w:p>
                  <w:pPr>
                    <w:widowControl/>
                    <w:snapToGrid w:val="0"/>
                    <w:rPr>
                      <w:sz w:val="21"/>
                      <w:szCs w:val="21"/>
                    </w:rPr>
                  </w:pPr>
                  <w:r>
                    <w:rPr>
                      <w:sz w:val="21"/>
                      <w:szCs w:val="21"/>
                    </w:rPr>
                    <w:t>生活</w:t>
                  </w:r>
                </w:p>
                <w:p>
                  <w:pPr>
                    <w:snapToGrid w:val="0"/>
                    <w:rPr>
                      <w:sz w:val="21"/>
                      <w:szCs w:val="21"/>
                    </w:rPr>
                  </w:pPr>
                  <w:r>
                    <w:rPr>
                      <w:sz w:val="21"/>
                      <w:szCs w:val="21"/>
                    </w:rPr>
                    <w:t>污水</w:t>
                  </w:r>
                  <w:r>
                    <w:rPr>
                      <w:rFonts w:hint="eastAsia"/>
                      <w:sz w:val="21"/>
                      <w:szCs w:val="21"/>
                    </w:rPr>
                    <w:t>+</w:t>
                  </w:r>
                  <w:r>
                    <w:rPr>
                      <w:sz w:val="21"/>
                      <w:szCs w:val="21"/>
                    </w:rPr>
                    <w:t>碱喷淋塔定期排水</w:t>
                  </w:r>
                </w:p>
              </w:tc>
              <w:tc>
                <w:tcPr>
                  <w:tcW w:w="537" w:type="pct"/>
                  <w:vMerge w:val="restart"/>
                  <w:noWrap w:val="0"/>
                  <w:vAlign w:val="center"/>
                </w:tcPr>
                <w:p>
                  <w:pPr>
                    <w:snapToGrid w:val="0"/>
                    <w:ind w:firstLine="105" w:firstLineChars="50"/>
                    <w:rPr>
                      <w:rFonts w:hint="default" w:eastAsia="宋体"/>
                      <w:sz w:val="21"/>
                      <w:szCs w:val="21"/>
                      <w:lang w:val="en-US" w:eastAsia="zh-CN"/>
                    </w:rPr>
                  </w:pPr>
                  <w:r>
                    <w:rPr>
                      <w:rFonts w:hint="eastAsia"/>
                      <w:sz w:val="21"/>
                      <w:szCs w:val="21"/>
                      <w:lang w:val="en-US" w:eastAsia="zh-CN"/>
                    </w:rPr>
                    <w:t>504.9</w:t>
                  </w:r>
                </w:p>
              </w:tc>
              <w:tc>
                <w:tcPr>
                  <w:tcW w:w="515" w:type="pct"/>
                  <w:vMerge w:val="restart"/>
                  <w:noWrap w:val="0"/>
                  <w:vAlign w:val="center"/>
                </w:tcPr>
                <w:p>
                  <w:pPr>
                    <w:snapToGrid w:val="0"/>
                    <w:rPr>
                      <w:sz w:val="21"/>
                      <w:szCs w:val="21"/>
                    </w:rPr>
                  </w:pPr>
                  <w:r>
                    <w:rPr>
                      <w:rFonts w:hint="eastAsia"/>
                      <w:kern w:val="0"/>
                      <w:sz w:val="21"/>
                      <w:szCs w:val="21"/>
                    </w:rPr>
                    <w:t>碱喷淋</w:t>
                  </w:r>
                  <w:r>
                    <w:rPr>
                      <w:kern w:val="0"/>
                      <w:sz w:val="21"/>
                      <w:szCs w:val="21"/>
                    </w:rPr>
                    <w:t>排水中和</w:t>
                  </w:r>
                  <w:r>
                    <w:rPr>
                      <w:rFonts w:hint="eastAsia"/>
                      <w:kern w:val="0"/>
                      <w:sz w:val="21"/>
                      <w:szCs w:val="21"/>
                    </w:rPr>
                    <w:t>+</w:t>
                  </w:r>
                  <w:r>
                    <w:rPr>
                      <w:kern w:val="0"/>
                      <w:sz w:val="21"/>
                      <w:szCs w:val="21"/>
                    </w:rPr>
                    <w:t>污水预处理池</w:t>
                  </w:r>
                </w:p>
              </w:tc>
              <w:tc>
                <w:tcPr>
                  <w:tcW w:w="380" w:type="pct"/>
                  <w:vMerge w:val="restart"/>
                  <w:noWrap w:val="0"/>
                  <w:vAlign w:val="center"/>
                </w:tcPr>
                <w:p>
                  <w:pPr>
                    <w:snapToGrid w:val="0"/>
                    <w:rPr>
                      <w:sz w:val="21"/>
                      <w:szCs w:val="21"/>
                    </w:rPr>
                  </w:pPr>
                  <w:r>
                    <w:rPr>
                      <w:kern w:val="0"/>
                      <w:sz w:val="21"/>
                      <w:szCs w:val="21"/>
                    </w:rPr>
                    <w:t>处理前</w:t>
                  </w:r>
                </w:p>
              </w:tc>
              <w:tc>
                <w:tcPr>
                  <w:tcW w:w="634" w:type="pct"/>
                  <w:noWrap w:val="0"/>
                  <w:vAlign w:val="center"/>
                </w:tcPr>
                <w:p>
                  <w:pPr>
                    <w:widowControl/>
                    <w:snapToGrid w:val="0"/>
                    <w:rPr>
                      <w:kern w:val="0"/>
                      <w:sz w:val="21"/>
                      <w:szCs w:val="21"/>
                    </w:rPr>
                  </w:pPr>
                  <w:r>
                    <w:rPr>
                      <w:kern w:val="0"/>
                      <w:sz w:val="21"/>
                      <w:szCs w:val="21"/>
                    </w:rPr>
                    <w:t>产生浓度mg/L</w:t>
                  </w:r>
                </w:p>
              </w:tc>
              <w:tc>
                <w:tcPr>
                  <w:tcW w:w="630" w:type="pct"/>
                  <w:noWrap w:val="0"/>
                  <w:vAlign w:val="center"/>
                </w:tcPr>
                <w:p>
                  <w:pPr>
                    <w:snapToGrid w:val="0"/>
                    <w:ind w:firstLine="105" w:firstLineChars="50"/>
                    <w:rPr>
                      <w:sz w:val="21"/>
                      <w:szCs w:val="21"/>
                    </w:rPr>
                  </w:pPr>
                  <w:r>
                    <w:rPr>
                      <w:bCs/>
                      <w:kern w:val="0"/>
                      <w:sz w:val="21"/>
                      <w:szCs w:val="21"/>
                    </w:rPr>
                    <w:t>400</w:t>
                  </w:r>
                </w:p>
              </w:tc>
              <w:tc>
                <w:tcPr>
                  <w:tcW w:w="624" w:type="pct"/>
                  <w:noWrap w:val="0"/>
                  <w:vAlign w:val="center"/>
                </w:tcPr>
                <w:p>
                  <w:pPr>
                    <w:snapToGrid w:val="0"/>
                    <w:ind w:firstLine="199" w:firstLineChars="95"/>
                    <w:rPr>
                      <w:sz w:val="21"/>
                      <w:szCs w:val="21"/>
                    </w:rPr>
                  </w:pPr>
                  <w:r>
                    <w:rPr>
                      <w:bCs/>
                      <w:kern w:val="0"/>
                      <w:sz w:val="21"/>
                      <w:szCs w:val="21"/>
                    </w:rPr>
                    <w:t>250</w:t>
                  </w:r>
                </w:p>
              </w:tc>
              <w:tc>
                <w:tcPr>
                  <w:tcW w:w="578" w:type="pct"/>
                  <w:noWrap w:val="0"/>
                  <w:vAlign w:val="center"/>
                </w:tcPr>
                <w:p>
                  <w:pPr>
                    <w:snapToGrid w:val="0"/>
                    <w:ind w:firstLine="199" w:firstLineChars="95"/>
                    <w:rPr>
                      <w:sz w:val="21"/>
                      <w:szCs w:val="21"/>
                    </w:rPr>
                  </w:pPr>
                  <w:r>
                    <w:rPr>
                      <w:bCs/>
                      <w:kern w:val="0"/>
                      <w:sz w:val="21"/>
                      <w:szCs w:val="21"/>
                    </w:rPr>
                    <w:t>250</w:t>
                  </w:r>
                </w:p>
              </w:tc>
              <w:tc>
                <w:tcPr>
                  <w:tcW w:w="587" w:type="pct"/>
                  <w:noWrap w:val="0"/>
                  <w:vAlign w:val="center"/>
                </w:tcPr>
                <w:p>
                  <w:pPr>
                    <w:widowControl/>
                    <w:snapToGrid w:val="0"/>
                    <w:ind w:firstLine="199" w:firstLineChars="95"/>
                    <w:rPr>
                      <w:sz w:val="21"/>
                      <w:szCs w:val="21"/>
                    </w:rPr>
                  </w:pPr>
                  <w:r>
                    <w:rPr>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510" w:type="pct"/>
                  <w:vMerge w:val="continue"/>
                  <w:noWrap w:val="0"/>
                  <w:vAlign w:val="center"/>
                </w:tcPr>
                <w:p>
                  <w:pPr>
                    <w:snapToGrid w:val="0"/>
                    <w:ind w:firstLine="420"/>
                    <w:jc w:val="center"/>
                    <w:rPr>
                      <w:sz w:val="21"/>
                      <w:szCs w:val="21"/>
                    </w:rPr>
                  </w:pPr>
                </w:p>
              </w:tc>
              <w:tc>
                <w:tcPr>
                  <w:tcW w:w="537" w:type="pct"/>
                  <w:vMerge w:val="continue"/>
                  <w:noWrap w:val="0"/>
                  <w:vAlign w:val="center"/>
                </w:tcPr>
                <w:p>
                  <w:pPr>
                    <w:snapToGrid w:val="0"/>
                    <w:ind w:firstLine="420"/>
                    <w:jc w:val="center"/>
                    <w:rPr>
                      <w:sz w:val="21"/>
                      <w:szCs w:val="21"/>
                    </w:rPr>
                  </w:pPr>
                </w:p>
              </w:tc>
              <w:tc>
                <w:tcPr>
                  <w:tcW w:w="515" w:type="pct"/>
                  <w:vMerge w:val="continue"/>
                  <w:noWrap w:val="0"/>
                  <w:vAlign w:val="center"/>
                </w:tcPr>
                <w:p>
                  <w:pPr>
                    <w:snapToGrid w:val="0"/>
                    <w:ind w:firstLine="420"/>
                    <w:jc w:val="center"/>
                    <w:rPr>
                      <w:sz w:val="21"/>
                      <w:szCs w:val="21"/>
                    </w:rPr>
                  </w:pPr>
                </w:p>
              </w:tc>
              <w:tc>
                <w:tcPr>
                  <w:tcW w:w="380" w:type="pct"/>
                  <w:vMerge w:val="continue"/>
                  <w:noWrap w:val="0"/>
                  <w:vAlign w:val="center"/>
                </w:tcPr>
                <w:p>
                  <w:pPr>
                    <w:snapToGrid w:val="0"/>
                    <w:ind w:firstLine="420"/>
                    <w:jc w:val="center"/>
                    <w:rPr>
                      <w:kern w:val="0"/>
                      <w:sz w:val="21"/>
                      <w:szCs w:val="21"/>
                    </w:rPr>
                  </w:pPr>
                </w:p>
              </w:tc>
              <w:tc>
                <w:tcPr>
                  <w:tcW w:w="634" w:type="pct"/>
                  <w:noWrap w:val="0"/>
                  <w:vAlign w:val="center"/>
                </w:tcPr>
                <w:p>
                  <w:pPr>
                    <w:widowControl/>
                    <w:snapToGrid w:val="0"/>
                    <w:rPr>
                      <w:kern w:val="0"/>
                      <w:sz w:val="21"/>
                      <w:szCs w:val="21"/>
                    </w:rPr>
                  </w:pPr>
                  <w:r>
                    <w:rPr>
                      <w:kern w:val="0"/>
                      <w:sz w:val="21"/>
                      <w:szCs w:val="21"/>
                    </w:rPr>
                    <w:t>产生量t/a</w:t>
                  </w:r>
                </w:p>
              </w:tc>
              <w:tc>
                <w:tcPr>
                  <w:tcW w:w="630" w:type="pct"/>
                  <w:noWrap w:val="0"/>
                  <w:vAlign w:val="center"/>
                </w:tcPr>
                <w:p>
                  <w:pPr>
                    <w:snapToGrid w:val="0"/>
                    <w:rPr>
                      <w:rFonts w:hint="default" w:eastAsia="宋体"/>
                      <w:sz w:val="21"/>
                      <w:szCs w:val="21"/>
                      <w:lang w:val="en-US" w:eastAsia="zh-CN"/>
                    </w:rPr>
                  </w:pPr>
                  <w:r>
                    <w:rPr>
                      <w:rFonts w:hint="eastAsia"/>
                      <w:sz w:val="21"/>
                      <w:szCs w:val="21"/>
                      <w:lang w:val="en-US" w:eastAsia="zh-CN"/>
                    </w:rPr>
                    <w:t>0.202</w:t>
                  </w:r>
                </w:p>
              </w:tc>
              <w:tc>
                <w:tcPr>
                  <w:tcW w:w="624" w:type="pct"/>
                  <w:noWrap w:val="0"/>
                  <w:vAlign w:val="center"/>
                </w:tcPr>
                <w:p>
                  <w:pPr>
                    <w:snapToGrid w:val="0"/>
                    <w:jc w:val="center"/>
                    <w:rPr>
                      <w:rFonts w:hint="default" w:eastAsia="宋体"/>
                      <w:sz w:val="21"/>
                      <w:szCs w:val="21"/>
                      <w:lang w:val="en-US" w:eastAsia="zh-CN"/>
                    </w:rPr>
                  </w:pPr>
                  <w:r>
                    <w:rPr>
                      <w:rFonts w:hint="eastAsia"/>
                      <w:sz w:val="21"/>
                      <w:szCs w:val="21"/>
                      <w:lang w:val="en-US" w:eastAsia="zh-CN"/>
                    </w:rPr>
                    <w:t>0.126</w:t>
                  </w:r>
                </w:p>
              </w:tc>
              <w:tc>
                <w:tcPr>
                  <w:tcW w:w="578" w:type="pct"/>
                  <w:noWrap w:val="0"/>
                  <w:vAlign w:val="center"/>
                </w:tcPr>
                <w:p>
                  <w:pPr>
                    <w:snapToGrid w:val="0"/>
                    <w:rPr>
                      <w:rFonts w:hint="default" w:eastAsia="宋体"/>
                      <w:sz w:val="21"/>
                      <w:szCs w:val="21"/>
                      <w:lang w:val="en-US" w:eastAsia="zh-CN"/>
                    </w:rPr>
                  </w:pPr>
                  <w:r>
                    <w:rPr>
                      <w:rFonts w:hint="eastAsia"/>
                      <w:sz w:val="21"/>
                      <w:szCs w:val="21"/>
                      <w:lang w:val="en-US" w:eastAsia="zh-CN"/>
                    </w:rPr>
                    <w:t>0.126</w:t>
                  </w:r>
                </w:p>
              </w:tc>
              <w:tc>
                <w:tcPr>
                  <w:tcW w:w="587" w:type="pct"/>
                  <w:noWrap w:val="0"/>
                  <w:vAlign w:val="center"/>
                </w:tcPr>
                <w:p>
                  <w:pPr>
                    <w:widowControl/>
                    <w:snapToGrid w:val="0"/>
                    <w:rPr>
                      <w:rFonts w:hint="default" w:eastAsia="宋体"/>
                      <w:sz w:val="21"/>
                      <w:szCs w:val="21"/>
                      <w:lang w:val="en-US" w:eastAsia="zh-CN"/>
                    </w:rPr>
                  </w:pPr>
                  <w:r>
                    <w:rPr>
                      <w:rFonts w:hint="eastAsia"/>
                      <w:sz w:val="21"/>
                      <w:szCs w:val="21"/>
                      <w:lang w:val="en-US" w:eastAsia="zh-CN"/>
                    </w:rPr>
                    <w:t>0.0126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510" w:type="pct"/>
                  <w:vMerge w:val="continue"/>
                  <w:noWrap w:val="0"/>
                  <w:vAlign w:val="center"/>
                </w:tcPr>
                <w:p>
                  <w:pPr>
                    <w:snapToGrid w:val="0"/>
                    <w:ind w:firstLine="420"/>
                    <w:jc w:val="center"/>
                    <w:rPr>
                      <w:sz w:val="21"/>
                      <w:szCs w:val="21"/>
                    </w:rPr>
                  </w:pPr>
                </w:p>
              </w:tc>
              <w:tc>
                <w:tcPr>
                  <w:tcW w:w="537" w:type="pct"/>
                  <w:vMerge w:val="continue"/>
                  <w:noWrap w:val="0"/>
                  <w:vAlign w:val="center"/>
                </w:tcPr>
                <w:p>
                  <w:pPr>
                    <w:snapToGrid w:val="0"/>
                    <w:ind w:firstLine="420"/>
                    <w:jc w:val="center"/>
                    <w:rPr>
                      <w:sz w:val="21"/>
                      <w:szCs w:val="21"/>
                    </w:rPr>
                  </w:pPr>
                </w:p>
              </w:tc>
              <w:tc>
                <w:tcPr>
                  <w:tcW w:w="515" w:type="pct"/>
                  <w:vMerge w:val="continue"/>
                  <w:noWrap w:val="0"/>
                  <w:vAlign w:val="center"/>
                </w:tcPr>
                <w:p>
                  <w:pPr>
                    <w:snapToGrid w:val="0"/>
                    <w:ind w:firstLine="420"/>
                    <w:jc w:val="center"/>
                    <w:rPr>
                      <w:sz w:val="21"/>
                      <w:szCs w:val="21"/>
                    </w:rPr>
                  </w:pPr>
                </w:p>
              </w:tc>
              <w:tc>
                <w:tcPr>
                  <w:tcW w:w="380" w:type="pct"/>
                  <w:vMerge w:val="restart"/>
                  <w:noWrap w:val="0"/>
                  <w:vAlign w:val="center"/>
                </w:tcPr>
                <w:p>
                  <w:pPr>
                    <w:snapToGrid w:val="0"/>
                    <w:rPr>
                      <w:kern w:val="0"/>
                      <w:sz w:val="21"/>
                      <w:szCs w:val="21"/>
                    </w:rPr>
                  </w:pPr>
                  <w:r>
                    <w:rPr>
                      <w:kern w:val="0"/>
                      <w:sz w:val="21"/>
                      <w:szCs w:val="21"/>
                    </w:rPr>
                    <w:t>处理后</w:t>
                  </w:r>
                </w:p>
              </w:tc>
              <w:tc>
                <w:tcPr>
                  <w:tcW w:w="634" w:type="pct"/>
                  <w:noWrap w:val="0"/>
                  <w:vAlign w:val="center"/>
                </w:tcPr>
                <w:p>
                  <w:pPr>
                    <w:widowControl/>
                    <w:snapToGrid w:val="0"/>
                    <w:rPr>
                      <w:kern w:val="0"/>
                      <w:sz w:val="21"/>
                      <w:szCs w:val="21"/>
                    </w:rPr>
                  </w:pPr>
                  <w:r>
                    <w:rPr>
                      <w:kern w:val="0"/>
                      <w:sz w:val="21"/>
                      <w:szCs w:val="21"/>
                    </w:rPr>
                    <w:t>排放浓度mg/L</w:t>
                  </w:r>
                </w:p>
              </w:tc>
              <w:tc>
                <w:tcPr>
                  <w:tcW w:w="630" w:type="pct"/>
                  <w:noWrap w:val="0"/>
                  <w:vAlign w:val="center"/>
                </w:tcPr>
                <w:p>
                  <w:pPr>
                    <w:adjustRightInd w:val="0"/>
                    <w:snapToGrid w:val="0"/>
                    <w:ind w:firstLine="199" w:firstLineChars="95"/>
                    <w:rPr>
                      <w:sz w:val="21"/>
                      <w:szCs w:val="21"/>
                    </w:rPr>
                  </w:pPr>
                  <w:r>
                    <w:rPr>
                      <w:sz w:val="21"/>
                      <w:szCs w:val="21"/>
                    </w:rPr>
                    <w:t>320</w:t>
                  </w:r>
                </w:p>
              </w:tc>
              <w:tc>
                <w:tcPr>
                  <w:tcW w:w="624" w:type="pct"/>
                  <w:noWrap w:val="0"/>
                  <w:vAlign w:val="center"/>
                </w:tcPr>
                <w:p>
                  <w:pPr>
                    <w:adjustRightInd w:val="0"/>
                    <w:snapToGrid w:val="0"/>
                    <w:ind w:firstLine="199" w:firstLineChars="95"/>
                    <w:rPr>
                      <w:rFonts w:hint="eastAsia"/>
                      <w:sz w:val="21"/>
                      <w:szCs w:val="21"/>
                    </w:rPr>
                  </w:pPr>
                  <w:r>
                    <w:rPr>
                      <w:rFonts w:hint="eastAsia"/>
                      <w:sz w:val="21"/>
                      <w:szCs w:val="21"/>
                    </w:rPr>
                    <w:t>150</w:t>
                  </w:r>
                </w:p>
              </w:tc>
              <w:tc>
                <w:tcPr>
                  <w:tcW w:w="578" w:type="pct"/>
                  <w:noWrap w:val="0"/>
                  <w:vAlign w:val="center"/>
                </w:tcPr>
                <w:p>
                  <w:pPr>
                    <w:adjustRightInd w:val="0"/>
                    <w:snapToGrid w:val="0"/>
                    <w:ind w:firstLine="199" w:firstLineChars="95"/>
                    <w:rPr>
                      <w:sz w:val="21"/>
                      <w:szCs w:val="21"/>
                    </w:rPr>
                  </w:pPr>
                  <w:r>
                    <w:rPr>
                      <w:sz w:val="21"/>
                      <w:szCs w:val="21"/>
                    </w:rPr>
                    <w:t>175</w:t>
                  </w:r>
                </w:p>
              </w:tc>
              <w:tc>
                <w:tcPr>
                  <w:tcW w:w="587" w:type="pct"/>
                  <w:noWrap w:val="0"/>
                  <w:vAlign w:val="center"/>
                </w:tcPr>
                <w:p>
                  <w:pPr>
                    <w:adjustRightInd w:val="0"/>
                    <w:snapToGrid w:val="0"/>
                    <w:ind w:firstLine="199" w:firstLineChars="95"/>
                    <w:rPr>
                      <w:sz w:val="21"/>
                      <w:szCs w:val="21"/>
                    </w:rPr>
                  </w:pPr>
                  <w:r>
                    <w:rPr>
                      <w:sz w:val="21"/>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510" w:type="pct"/>
                  <w:vMerge w:val="continue"/>
                  <w:noWrap w:val="0"/>
                  <w:vAlign w:val="center"/>
                </w:tcPr>
                <w:p>
                  <w:pPr>
                    <w:snapToGrid w:val="0"/>
                    <w:ind w:firstLine="420"/>
                    <w:jc w:val="center"/>
                    <w:rPr>
                      <w:sz w:val="21"/>
                      <w:szCs w:val="21"/>
                    </w:rPr>
                  </w:pPr>
                </w:p>
              </w:tc>
              <w:tc>
                <w:tcPr>
                  <w:tcW w:w="537" w:type="pct"/>
                  <w:vMerge w:val="continue"/>
                  <w:noWrap w:val="0"/>
                  <w:vAlign w:val="center"/>
                </w:tcPr>
                <w:p>
                  <w:pPr>
                    <w:snapToGrid w:val="0"/>
                    <w:ind w:firstLine="420"/>
                    <w:jc w:val="center"/>
                    <w:rPr>
                      <w:sz w:val="21"/>
                      <w:szCs w:val="21"/>
                    </w:rPr>
                  </w:pPr>
                </w:p>
              </w:tc>
              <w:tc>
                <w:tcPr>
                  <w:tcW w:w="515" w:type="pct"/>
                  <w:vMerge w:val="continue"/>
                  <w:noWrap w:val="0"/>
                  <w:vAlign w:val="center"/>
                </w:tcPr>
                <w:p>
                  <w:pPr>
                    <w:snapToGrid w:val="0"/>
                    <w:ind w:firstLine="420"/>
                    <w:jc w:val="center"/>
                    <w:rPr>
                      <w:sz w:val="21"/>
                      <w:szCs w:val="21"/>
                    </w:rPr>
                  </w:pPr>
                </w:p>
              </w:tc>
              <w:tc>
                <w:tcPr>
                  <w:tcW w:w="380" w:type="pct"/>
                  <w:vMerge w:val="continue"/>
                  <w:noWrap w:val="0"/>
                  <w:vAlign w:val="center"/>
                </w:tcPr>
                <w:p>
                  <w:pPr>
                    <w:snapToGrid w:val="0"/>
                    <w:ind w:firstLine="420"/>
                    <w:jc w:val="center"/>
                    <w:rPr>
                      <w:sz w:val="21"/>
                      <w:szCs w:val="21"/>
                    </w:rPr>
                  </w:pPr>
                </w:p>
              </w:tc>
              <w:tc>
                <w:tcPr>
                  <w:tcW w:w="634" w:type="pct"/>
                  <w:noWrap w:val="0"/>
                  <w:vAlign w:val="center"/>
                </w:tcPr>
                <w:p>
                  <w:pPr>
                    <w:widowControl/>
                    <w:snapToGrid w:val="0"/>
                    <w:rPr>
                      <w:kern w:val="0"/>
                      <w:sz w:val="21"/>
                      <w:szCs w:val="21"/>
                    </w:rPr>
                  </w:pPr>
                  <w:r>
                    <w:rPr>
                      <w:kern w:val="0"/>
                      <w:sz w:val="21"/>
                      <w:szCs w:val="21"/>
                    </w:rPr>
                    <w:t>排放量t/a</w:t>
                  </w:r>
                </w:p>
              </w:tc>
              <w:tc>
                <w:tcPr>
                  <w:tcW w:w="630" w:type="pct"/>
                  <w:noWrap w:val="0"/>
                  <w:vAlign w:val="center"/>
                </w:tcPr>
                <w:p>
                  <w:pPr>
                    <w:snapToGrid w:val="0"/>
                    <w:ind w:firstLine="210" w:firstLineChars="100"/>
                    <w:rPr>
                      <w:rFonts w:hint="default" w:eastAsia="宋体"/>
                      <w:sz w:val="21"/>
                      <w:szCs w:val="21"/>
                      <w:lang w:val="en-US" w:eastAsia="zh-CN"/>
                    </w:rPr>
                  </w:pPr>
                  <w:r>
                    <w:rPr>
                      <w:rFonts w:hint="eastAsia"/>
                      <w:sz w:val="21"/>
                      <w:szCs w:val="21"/>
                      <w:lang w:val="en-US" w:eastAsia="zh-CN"/>
                    </w:rPr>
                    <w:t>0.162</w:t>
                  </w:r>
                </w:p>
              </w:tc>
              <w:tc>
                <w:tcPr>
                  <w:tcW w:w="624" w:type="pct"/>
                  <w:noWrap w:val="0"/>
                  <w:vAlign w:val="center"/>
                </w:tcPr>
                <w:p>
                  <w:pPr>
                    <w:snapToGrid w:val="0"/>
                    <w:ind w:firstLine="199" w:firstLineChars="95"/>
                    <w:rPr>
                      <w:rFonts w:hint="default" w:eastAsia="宋体"/>
                      <w:sz w:val="21"/>
                      <w:szCs w:val="21"/>
                      <w:lang w:val="en-US" w:eastAsia="zh-CN"/>
                    </w:rPr>
                  </w:pPr>
                  <w:r>
                    <w:rPr>
                      <w:rFonts w:hint="eastAsia"/>
                      <w:sz w:val="21"/>
                      <w:szCs w:val="21"/>
                      <w:lang w:val="en-US" w:eastAsia="zh-CN"/>
                    </w:rPr>
                    <w:t>0.076</w:t>
                  </w:r>
                </w:p>
              </w:tc>
              <w:tc>
                <w:tcPr>
                  <w:tcW w:w="578" w:type="pct"/>
                  <w:noWrap w:val="0"/>
                  <w:vAlign w:val="center"/>
                </w:tcPr>
                <w:p>
                  <w:pPr>
                    <w:snapToGrid w:val="0"/>
                    <w:ind w:firstLine="199" w:firstLineChars="95"/>
                    <w:rPr>
                      <w:rFonts w:hint="default" w:eastAsia="宋体"/>
                      <w:sz w:val="21"/>
                      <w:szCs w:val="21"/>
                      <w:lang w:val="en-US" w:eastAsia="zh-CN"/>
                    </w:rPr>
                  </w:pPr>
                  <w:r>
                    <w:rPr>
                      <w:rFonts w:hint="eastAsia"/>
                      <w:sz w:val="21"/>
                      <w:szCs w:val="21"/>
                      <w:lang w:val="en-US" w:eastAsia="zh-CN"/>
                    </w:rPr>
                    <w:t>0.088</w:t>
                  </w:r>
                </w:p>
              </w:tc>
              <w:tc>
                <w:tcPr>
                  <w:tcW w:w="587" w:type="pct"/>
                  <w:noWrap w:val="0"/>
                  <w:vAlign w:val="center"/>
                </w:tcPr>
                <w:p>
                  <w:pPr>
                    <w:widowControl/>
                    <w:snapToGrid w:val="0"/>
                    <w:rPr>
                      <w:rFonts w:hint="default" w:eastAsia="宋体"/>
                      <w:sz w:val="21"/>
                      <w:szCs w:val="21"/>
                      <w:lang w:val="en-US" w:eastAsia="zh-CN"/>
                    </w:rPr>
                  </w:pPr>
                  <w:r>
                    <w:rPr>
                      <w:rFonts w:hint="eastAsia"/>
                      <w:sz w:val="21"/>
                      <w:szCs w:val="21"/>
                      <w:lang w:val="en-US" w:eastAsia="zh-CN"/>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510" w:type="pct"/>
                  <w:vMerge w:val="restart"/>
                  <w:noWrap w:val="0"/>
                  <w:vAlign w:val="center"/>
                </w:tcPr>
                <w:p>
                  <w:pPr>
                    <w:snapToGrid w:val="0"/>
                    <w:rPr>
                      <w:rFonts w:hint="eastAsia" w:eastAsia="宋体"/>
                      <w:sz w:val="21"/>
                      <w:szCs w:val="21"/>
                      <w:lang w:eastAsia="zh-CN"/>
                    </w:rPr>
                  </w:pPr>
                  <w:r>
                    <w:rPr>
                      <w:rFonts w:hint="eastAsia"/>
                      <w:sz w:val="21"/>
                      <w:szCs w:val="21"/>
                      <w:lang w:eastAsia="zh-CN"/>
                    </w:rPr>
                    <w:t>蓬溪县来龙山污水处理厂</w:t>
                  </w:r>
                </w:p>
              </w:tc>
              <w:tc>
                <w:tcPr>
                  <w:tcW w:w="537" w:type="pct"/>
                  <w:vMerge w:val="restart"/>
                  <w:noWrap w:val="0"/>
                  <w:vAlign w:val="center"/>
                </w:tcPr>
                <w:p>
                  <w:pPr>
                    <w:snapToGrid w:val="0"/>
                    <w:ind w:firstLine="105" w:firstLineChars="50"/>
                    <w:rPr>
                      <w:rFonts w:hint="default" w:eastAsia="宋体"/>
                      <w:sz w:val="21"/>
                      <w:szCs w:val="21"/>
                      <w:lang w:val="en-US" w:eastAsia="zh-CN"/>
                    </w:rPr>
                  </w:pPr>
                  <w:r>
                    <w:rPr>
                      <w:rFonts w:hint="eastAsia"/>
                      <w:sz w:val="21"/>
                      <w:szCs w:val="21"/>
                      <w:lang w:val="en-US" w:eastAsia="zh-CN"/>
                    </w:rPr>
                    <w:t>504.9</w:t>
                  </w:r>
                </w:p>
              </w:tc>
              <w:tc>
                <w:tcPr>
                  <w:tcW w:w="895" w:type="pct"/>
                  <w:gridSpan w:val="2"/>
                  <w:vMerge w:val="restart"/>
                  <w:noWrap w:val="0"/>
                  <w:vAlign w:val="center"/>
                </w:tcPr>
                <w:p>
                  <w:pPr>
                    <w:widowControl/>
                    <w:snapToGrid w:val="0"/>
                    <w:ind w:firstLine="199" w:firstLineChars="95"/>
                    <w:rPr>
                      <w:kern w:val="0"/>
                      <w:sz w:val="21"/>
                      <w:szCs w:val="21"/>
                    </w:rPr>
                  </w:pPr>
                  <w:r>
                    <w:rPr>
                      <w:rFonts w:hint="eastAsia"/>
                      <w:sz w:val="21"/>
                      <w:szCs w:val="21"/>
                    </w:rPr>
                    <w:t>二级生化</w:t>
                  </w:r>
                </w:p>
              </w:tc>
              <w:tc>
                <w:tcPr>
                  <w:tcW w:w="634" w:type="pct"/>
                  <w:noWrap w:val="0"/>
                  <w:vAlign w:val="center"/>
                </w:tcPr>
                <w:p>
                  <w:pPr>
                    <w:widowControl/>
                    <w:snapToGrid w:val="0"/>
                    <w:rPr>
                      <w:kern w:val="0"/>
                      <w:sz w:val="21"/>
                      <w:szCs w:val="21"/>
                    </w:rPr>
                  </w:pPr>
                  <w:r>
                    <w:rPr>
                      <w:kern w:val="0"/>
                      <w:sz w:val="21"/>
                      <w:szCs w:val="21"/>
                    </w:rPr>
                    <w:t>排放浓度</w:t>
                  </w:r>
                  <w:r>
                    <w:rPr>
                      <w:rFonts w:hint="eastAsia"/>
                      <w:kern w:val="0"/>
                      <w:sz w:val="21"/>
                      <w:szCs w:val="21"/>
                    </w:rPr>
                    <w:t>*</w:t>
                  </w:r>
                  <w:r>
                    <w:rPr>
                      <w:kern w:val="0"/>
                      <w:sz w:val="21"/>
                      <w:szCs w:val="21"/>
                    </w:rPr>
                    <w:t>mg/L</w:t>
                  </w:r>
                </w:p>
              </w:tc>
              <w:tc>
                <w:tcPr>
                  <w:tcW w:w="630" w:type="pct"/>
                  <w:noWrap w:val="0"/>
                  <w:vAlign w:val="center"/>
                </w:tcPr>
                <w:p>
                  <w:pPr>
                    <w:snapToGrid w:val="0"/>
                    <w:ind w:firstLine="199" w:firstLineChars="95"/>
                    <w:rPr>
                      <w:sz w:val="21"/>
                      <w:szCs w:val="21"/>
                    </w:rPr>
                  </w:pPr>
                  <w:r>
                    <w:rPr>
                      <w:sz w:val="21"/>
                      <w:szCs w:val="21"/>
                    </w:rPr>
                    <w:t>50</w:t>
                  </w:r>
                </w:p>
              </w:tc>
              <w:tc>
                <w:tcPr>
                  <w:tcW w:w="624" w:type="pct"/>
                  <w:noWrap w:val="0"/>
                  <w:vAlign w:val="center"/>
                </w:tcPr>
                <w:p>
                  <w:pPr>
                    <w:snapToGrid w:val="0"/>
                    <w:ind w:firstLine="199" w:firstLineChars="95"/>
                    <w:rPr>
                      <w:sz w:val="21"/>
                      <w:szCs w:val="21"/>
                    </w:rPr>
                  </w:pPr>
                  <w:r>
                    <w:rPr>
                      <w:sz w:val="21"/>
                      <w:szCs w:val="21"/>
                    </w:rPr>
                    <w:t>10</w:t>
                  </w:r>
                </w:p>
              </w:tc>
              <w:tc>
                <w:tcPr>
                  <w:tcW w:w="578" w:type="pct"/>
                  <w:noWrap w:val="0"/>
                  <w:vAlign w:val="center"/>
                </w:tcPr>
                <w:p>
                  <w:pPr>
                    <w:snapToGrid w:val="0"/>
                    <w:ind w:firstLine="199" w:firstLineChars="95"/>
                    <w:rPr>
                      <w:sz w:val="21"/>
                      <w:szCs w:val="21"/>
                    </w:rPr>
                  </w:pPr>
                  <w:r>
                    <w:rPr>
                      <w:sz w:val="21"/>
                      <w:szCs w:val="21"/>
                    </w:rPr>
                    <w:t>10</w:t>
                  </w:r>
                </w:p>
              </w:tc>
              <w:tc>
                <w:tcPr>
                  <w:tcW w:w="587" w:type="pct"/>
                  <w:noWrap w:val="0"/>
                  <w:vAlign w:val="center"/>
                </w:tcPr>
                <w:p>
                  <w:pPr>
                    <w:snapToGrid w:val="0"/>
                    <w:ind w:firstLine="199" w:firstLineChars="95"/>
                    <w:rPr>
                      <w:sz w:val="21"/>
                      <w:szCs w:val="21"/>
                    </w:rPr>
                  </w:pPr>
                  <w:r>
                    <w:rPr>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510" w:type="pct"/>
                  <w:vMerge w:val="continue"/>
                  <w:noWrap w:val="0"/>
                  <w:vAlign w:val="center"/>
                </w:tcPr>
                <w:p>
                  <w:pPr>
                    <w:snapToGrid w:val="0"/>
                    <w:ind w:firstLine="420"/>
                    <w:jc w:val="center"/>
                    <w:rPr>
                      <w:sz w:val="21"/>
                      <w:szCs w:val="21"/>
                    </w:rPr>
                  </w:pPr>
                </w:p>
              </w:tc>
              <w:tc>
                <w:tcPr>
                  <w:tcW w:w="537" w:type="pct"/>
                  <w:vMerge w:val="continue"/>
                  <w:noWrap w:val="0"/>
                  <w:vAlign w:val="center"/>
                </w:tcPr>
                <w:p>
                  <w:pPr>
                    <w:snapToGrid w:val="0"/>
                    <w:ind w:firstLine="420"/>
                    <w:jc w:val="center"/>
                    <w:rPr>
                      <w:sz w:val="21"/>
                      <w:szCs w:val="21"/>
                    </w:rPr>
                  </w:pPr>
                </w:p>
              </w:tc>
              <w:tc>
                <w:tcPr>
                  <w:tcW w:w="895" w:type="pct"/>
                  <w:gridSpan w:val="2"/>
                  <w:vMerge w:val="continue"/>
                  <w:noWrap w:val="0"/>
                  <w:vAlign w:val="center"/>
                </w:tcPr>
                <w:p>
                  <w:pPr>
                    <w:snapToGrid w:val="0"/>
                    <w:ind w:firstLine="420"/>
                    <w:jc w:val="center"/>
                    <w:rPr>
                      <w:sz w:val="21"/>
                      <w:szCs w:val="21"/>
                    </w:rPr>
                  </w:pPr>
                </w:p>
              </w:tc>
              <w:tc>
                <w:tcPr>
                  <w:tcW w:w="634" w:type="pct"/>
                  <w:noWrap w:val="0"/>
                  <w:vAlign w:val="center"/>
                </w:tcPr>
                <w:p>
                  <w:pPr>
                    <w:widowControl/>
                    <w:snapToGrid w:val="0"/>
                    <w:rPr>
                      <w:kern w:val="0"/>
                      <w:sz w:val="21"/>
                      <w:szCs w:val="21"/>
                    </w:rPr>
                  </w:pPr>
                  <w:r>
                    <w:rPr>
                      <w:kern w:val="0"/>
                      <w:sz w:val="21"/>
                      <w:szCs w:val="21"/>
                    </w:rPr>
                    <w:t>排放量t/a</w:t>
                  </w:r>
                </w:p>
              </w:tc>
              <w:tc>
                <w:tcPr>
                  <w:tcW w:w="630" w:type="pct"/>
                  <w:noWrap w:val="0"/>
                  <w:vAlign w:val="center"/>
                </w:tcPr>
                <w:p>
                  <w:pPr>
                    <w:snapToGrid w:val="0"/>
                    <w:ind w:firstLine="199" w:firstLineChars="95"/>
                    <w:rPr>
                      <w:rFonts w:hint="eastAsia" w:eastAsia="宋体"/>
                      <w:sz w:val="21"/>
                      <w:szCs w:val="21"/>
                      <w:lang w:val="en-US" w:eastAsia="zh-CN"/>
                    </w:rPr>
                  </w:pPr>
                  <w:r>
                    <w:rPr>
                      <w:rFonts w:hint="eastAsia"/>
                      <w:sz w:val="21"/>
                      <w:szCs w:val="21"/>
                    </w:rPr>
                    <w:t>0.02</w:t>
                  </w:r>
                  <w:r>
                    <w:rPr>
                      <w:rFonts w:hint="eastAsia"/>
                      <w:sz w:val="21"/>
                      <w:szCs w:val="21"/>
                      <w:lang w:val="en-US" w:eastAsia="zh-CN"/>
                    </w:rPr>
                    <w:t>5</w:t>
                  </w:r>
                </w:p>
              </w:tc>
              <w:tc>
                <w:tcPr>
                  <w:tcW w:w="624" w:type="pct"/>
                  <w:noWrap w:val="0"/>
                  <w:vAlign w:val="center"/>
                </w:tcPr>
                <w:p>
                  <w:pPr>
                    <w:snapToGrid w:val="0"/>
                    <w:rPr>
                      <w:rFonts w:hint="default" w:eastAsia="宋体"/>
                      <w:sz w:val="21"/>
                      <w:szCs w:val="21"/>
                      <w:lang w:val="en-US" w:eastAsia="zh-CN"/>
                    </w:rPr>
                  </w:pPr>
                  <w:r>
                    <w:rPr>
                      <w:rFonts w:hint="eastAsia"/>
                      <w:sz w:val="21"/>
                      <w:szCs w:val="21"/>
                    </w:rPr>
                    <w:t>0.00</w:t>
                  </w:r>
                  <w:r>
                    <w:rPr>
                      <w:rFonts w:hint="eastAsia"/>
                      <w:sz w:val="21"/>
                      <w:szCs w:val="21"/>
                      <w:lang w:val="en-US" w:eastAsia="zh-CN"/>
                    </w:rPr>
                    <w:t>505</w:t>
                  </w:r>
                </w:p>
              </w:tc>
              <w:tc>
                <w:tcPr>
                  <w:tcW w:w="578" w:type="pct"/>
                  <w:noWrap w:val="0"/>
                  <w:vAlign w:val="center"/>
                </w:tcPr>
                <w:p>
                  <w:pPr>
                    <w:snapToGrid w:val="0"/>
                    <w:rPr>
                      <w:rFonts w:hint="default" w:eastAsia="宋体"/>
                      <w:sz w:val="21"/>
                      <w:szCs w:val="21"/>
                      <w:lang w:val="en-US" w:eastAsia="zh-CN"/>
                    </w:rPr>
                  </w:pPr>
                  <w:r>
                    <w:rPr>
                      <w:rFonts w:hint="eastAsia"/>
                      <w:sz w:val="21"/>
                      <w:szCs w:val="21"/>
                    </w:rPr>
                    <w:t>0.00</w:t>
                  </w:r>
                  <w:r>
                    <w:rPr>
                      <w:rFonts w:hint="eastAsia"/>
                      <w:sz w:val="21"/>
                      <w:szCs w:val="21"/>
                      <w:lang w:val="en-US" w:eastAsia="zh-CN"/>
                    </w:rPr>
                    <w:t>505</w:t>
                  </w:r>
                </w:p>
              </w:tc>
              <w:tc>
                <w:tcPr>
                  <w:tcW w:w="587" w:type="pct"/>
                  <w:noWrap w:val="0"/>
                  <w:vAlign w:val="center"/>
                </w:tcPr>
                <w:p>
                  <w:pPr>
                    <w:snapToGrid w:val="0"/>
                    <w:rPr>
                      <w:rFonts w:hint="default" w:eastAsia="宋体"/>
                      <w:sz w:val="21"/>
                      <w:szCs w:val="21"/>
                      <w:lang w:val="en-US" w:eastAsia="zh-CN"/>
                    </w:rPr>
                  </w:pPr>
                  <w:r>
                    <w:rPr>
                      <w:rFonts w:hint="eastAsia"/>
                      <w:sz w:val="21"/>
                      <w:szCs w:val="21"/>
                    </w:rPr>
                    <w:t>0.00</w:t>
                  </w:r>
                  <w:r>
                    <w:rPr>
                      <w:rFonts w:hint="eastAsia"/>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10" w:type="pct"/>
                  <w:noWrap w:val="0"/>
                  <w:vAlign w:val="center"/>
                </w:tcPr>
                <w:p>
                  <w:pPr>
                    <w:widowControl/>
                    <w:snapToGrid w:val="0"/>
                    <w:rPr>
                      <w:bCs/>
                      <w:kern w:val="0"/>
                      <w:sz w:val="21"/>
                      <w:szCs w:val="21"/>
                    </w:rPr>
                  </w:pPr>
                  <w:r>
                    <w:rPr>
                      <w:kern w:val="0"/>
                      <w:sz w:val="21"/>
                      <w:szCs w:val="21"/>
                    </w:rPr>
                    <w:t>备注</w:t>
                  </w:r>
                </w:p>
              </w:tc>
              <w:tc>
                <w:tcPr>
                  <w:tcW w:w="4489" w:type="pct"/>
                  <w:gridSpan w:val="8"/>
                  <w:noWrap w:val="0"/>
                  <w:vAlign w:val="center"/>
                </w:tcPr>
                <w:p>
                  <w:pPr>
                    <w:autoSpaceDE w:val="0"/>
                    <w:autoSpaceDN w:val="0"/>
                    <w:adjustRightInd w:val="0"/>
                    <w:snapToGrid w:val="0"/>
                    <w:ind w:left="315" w:hanging="315" w:hangingChars="150"/>
                    <w:rPr>
                      <w:sz w:val="21"/>
                      <w:szCs w:val="21"/>
                    </w:rPr>
                  </w:pPr>
                  <w:r>
                    <w:rPr>
                      <w:sz w:val="21"/>
                      <w:szCs w:val="21"/>
                    </w:rPr>
                    <w:t>1、项目污水BOD</w:t>
                  </w:r>
                  <w:r>
                    <w:rPr>
                      <w:sz w:val="21"/>
                      <w:szCs w:val="21"/>
                      <w:vertAlign w:val="subscript"/>
                    </w:rPr>
                    <w:t>5</w:t>
                  </w:r>
                  <w:r>
                    <w:rPr>
                      <w:sz w:val="21"/>
                      <w:szCs w:val="21"/>
                    </w:rPr>
                    <w:t>、COD、SS、</w:t>
                  </w:r>
                  <w:r>
                    <w:rPr>
                      <w:kern w:val="0"/>
                      <w:sz w:val="21"/>
                      <w:szCs w:val="21"/>
                    </w:rPr>
                    <w:t>NH</w:t>
                  </w:r>
                  <w:r>
                    <w:rPr>
                      <w:kern w:val="0"/>
                      <w:sz w:val="21"/>
                      <w:szCs w:val="21"/>
                      <w:vertAlign w:val="subscript"/>
                    </w:rPr>
                    <w:t>3</w:t>
                  </w:r>
                  <w:r>
                    <w:rPr>
                      <w:kern w:val="0"/>
                      <w:sz w:val="21"/>
                      <w:szCs w:val="21"/>
                    </w:rPr>
                    <w:t>-N</w:t>
                  </w:r>
                  <w:r>
                    <w:rPr>
                      <w:sz w:val="21"/>
                      <w:szCs w:val="21"/>
                    </w:rPr>
                    <w:t>产生浓度以监测统计平均值计，依次为250mg/L、400mg/L、250mg/L、25mg/L；</w:t>
                  </w:r>
                </w:p>
                <w:p>
                  <w:pPr>
                    <w:autoSpaceDE w:val="0"/>
                    <w:autoSpaceDN w:val="0"/>
                    <w:adjustRightInd w:val="0"/>
                    <w:snapToGrid w:val="0"/>
                    <w:ind w:left="315" w:hanging="315" w:hangingChars="150"/>
                    <w:rPr>
                      <w:sz w:val="21"/>
                      <w:szCs w:val="21"/>
                    </w:rPr>
                  </w:pPr>
                  <w:r>
                    <w:rPr>
                      <w:sz w:val="21"/>
                      <w:szCs w:val="21"/>
                    </w:rPr>
                    <w:t>2、预处理池处理后COD、BOD</w:t>
                  </w:r>
                  <w:r>
                    <w:rPr>
                      <w:sz w:val="21"/>
                      <w:szCs w:val="21"/>
                      <w:vertAlign w:val="subscript"/>
                    </w:rPr>
                    <w:t>5</w:t>
                  </w:r>
                  <w:r>
                    <w:rPr>
                      <w:sz w:val="21"/>
                      <w:szCs w:val="21"/>
                    </w:rPr>
                    <w:t>、SS、</w:t>
                  </w:r>
                  <w:r>
                    <w:rPr>
                      <w:kern w:val="0"/>
                      <w:sz w:val="21"/>
                      <w:szCs w:val="21"/>
                    </w:rPr>
                    <w:t>NH</w:t>
                  </w:r>
                  <w:r>
                    <w:rPr>
                      <w:kern w:val="0"/>
                      <w:sz w:val="21"/>
                      <w:szCs w:val="21"/>
                      <w:vertAlign w:val="subscript"/>
                    </w:rPr>
                    <w:t>3</w:t>
                  </w:r>
                  <w:r>
                    <w:rPr>
                      <w:kern w:val="0"/>
                      <w:sz w:val="21"/>
                      <w:szCs w:val="21"/>
                    </w:rPr>
                    <w:t>-N</w:t>
                  </w:r>
                  <w:r>
                    <w:rPr>
                      <w:sz w:val="21"/>
                      <w:szCs w:val="21"/>
                    </w:rPr>
                    <w:t>的去除率依次为15%、9%、30%、45%、3%；</w:t>
                  </w:r>
                </w:p>
                <w:p>
                  <w:pPr>
                    <w:autoSpaceDE w:val="0"/>
                    <w:autoSpaceDN w:val="0"/>
                    <w:adjustRightInd w:val="0"/>
                    <w:snapToGrid w:val="0"/>
                    <w:ind w:left="315" w:hanging="315" w:hangingChars="150"/>
                    <w:rPr>
                      <w:sz w:val="21"/>
                      <w:szCs w:val="21"/>
                    </w:rPr>
                  </w:pPr>
                  <w:r>
                    <w:rPr>
                      <w:sz w:val="21"/>
                      <w:szCs w:val="21"/>
                    </w:rPr>
                    <w:t>3、《污水综合排放标准》三级标准：COD为500mg/L，BOD</w:t>
                  </w:r>
                  <w:r>
                    <w:rPr>
                      <w:sz w:val="21"/>
                      <w:szCs w:val="21"/>
                      <w:vertAlign w:val="subscript"/>
                    </w:rPr>
                    <w:t>5</w:t>
                  </w:r>
                  <w:r>
                    <w:rPr>
                      <w:sz w:val="21"/>
                      <w:szCs w:val="21"/>
                    </w:rPr>
                    <w:t>为300mg/L，SS为400mg/L</w:t>
                  </w:r>
                  <w:r>
                    <w:rPr>
                      <w:rFonts w:hint="eastAsia"/>
                      <w:sz w:val="21"/>
                      <w:szCs w:val="21"/>
                    </w:rPr>
                    <w:t>，</w:t>
                  </w:r>
                  <w:r>
                    <w:rPr>
                      <w:sz w:val="21"/>
                      <w:szCs w:val="21"/>
                    </w:rPr>
                    <w:t>氨氮参照执行《污水排入城镇下水道水质标准》中的相关标准：45mg/L</w:t>
                  </w:r>
                  <w:r>
                    <w:rPr>
                      <w:rFonts w:hint="eastAsia"/>
                      <w:sz w:val="21"/>
                      <w:szCs w:val="21"/>
                    </w:rPr>
                    <w:t>。</w:t>
                  </w:r>
                </w:p>
                <w:p>
                  <w:pPr>
                    <w:autoSpaceDE w:val="0"/>
                    <w:autoSpaceDN w:val="0"/>
                    <w:adjustRightInd w:val="0"/>
                    <w:snapToGrid w:val="0"/>
                    <w:ind w:left="315" w:hanging="315" w:hangingChars="150"/>
                    <w:rPr>
                      <w:rFonts w:hint="eastAsia"/>
                      <w:sz w:val="21"/>
                      <w:szCs w:val="21"/>
                    </w:rPr>
                  </w:pPr>
                  <w:r>
                    <w:rPr>
                      <w:rFonts w:hint="eastAsia"/>
                      <w:sz w:val="21"/>
                      <w:szCs w:val="21"/>
                    </w:rPr>
                    <w:t>4</w:t>
                  </w:r>
                  <w:r>
                    <w:rPr>
                      <w:sz w:val="21"/>
                      <w:szCs w:val="21"/>
                    </w:rPr>
                    <w:t>、废水</w:t>
                  </w:r>
                  <w:r>
                    <w:rPr>
                      <w:rFonts w:hint="eastAsia"/>
                      <w:sz w:val="21"/>
                      <w:szCs w:val="21"/>
                    </w:rPr>
                    <w:t>排入溪县来龙山污水处理厂，出水</w:t>
                  </w:r>
                  <w:r>
                    <w:rPr>
                      <w:sz w:val="21"/>
                      <w:szCs w:val="21"/>
                    </w:rPr>
                    <w:t>排放标准(一级A标)：COD为50mg/l，BOD</w:t>
                  </w:r>
                  <w:r>
                    <w:rPr>
                      <w:sz w:val="21"/>
                      <w:szCs w:val="21"/>
                      <w:vertAlign w:val="subscript"/>
                    </w:rPr>
                    <w:t>5</w:t>
                  </w:r>
                  <w:r>
                    <w:rPr>
                      <w:sz w:val="21"/>
                      <w:szCs w:val="21"/>
                    </w:rPr>
                    <w:t>为10mg/l，SS为10mg/l，氨氮为5mg/L</w:t>
                  </w:r>
                </w:p>
              </w:tc>
            </w:tr>
          </w:tbl>
          <w:p>
            <w:pPr>
              <w:spacing w:line="360" w:lineRule="auto"/>
              <w:ind w:firstLine="482" w:firstLineChars="200"/>
              <w:rPr>
                <w:rFonts w:hint="eastAsia" w:eastAsia="宋体"/>
                <w:b/>
                <w:sz w:val="24"/>
                <w:highlight w:val="yellow"/>
                <w:lang w:eastAsia="zh-CN"/>
              </w:rPr>
            </w:pPr>
            <w:r>
              <w:rPr>
                <w:rFonts w:hint="eastAsia"/>
                <w:b/>
                <w:sz w:val="24"/>
              </w:rPr>
              <w:t xml:space="preserve">（4） </w:t>
            </w:r>
            <w:r>
              <w:rPr>
                <w:b/>
                <w:sz w:val="24"/>
              </w:rPr>
              <w:t>水平衡图</w:t>
            </w:r>
          </w:p>
          <w:p>
            <w:pPr>
              <w:adjustRightInd w:val="0"/>
              <w:spacing w:line="360" w:lineRule="auto"/>
              <w:ind w:firstLine="482" w:firstLineChars="200"/>
              <w:outlineLvl w:val="2"/>
              <w:rPr>
                <w:rFonts w:hint="eastAsia"/>
                <w:b/>
                <w:sz w:val="24"/>
              </w:rPr>
            </w:pPr>
            <w:r>
              <w:rPr>
                <w:rFonts w:hint="eastAsia"/>
                <w:b/>
                <w:sz w:val="24"/>
              </w:rPr>
              <mc:AlternateContent>
                <mc:Choice Requires="wpc">
                  <w:drawing>
                    <wp:anchor distT="0" distB="0" distL="114300" distR="114300" simplePos="0" relativeHeight="251661312" behindDoc="0" locked="0" layoutInCell="1" allowOverlap="1">
                      <wp:simplePos x="0" y="0"/>
                      <wp:positionH relativeFrom="character">
                        <wp:posOffset>-138430</wp:posOffset>
                      </wp:positionH>
                      <wp:positionV relativeFrom="line">
                        <wp:posOffset>94615</wp:posOffset>
                      </wp:positionV>
                      <wp:extent cx="4777740" cy="2401570"/>
                      <wp:effectExtent l="0" t="0" r="7620" b="21590"/>
                      <wp:wrapNone/>
                      <wp:docPr id="123" name="画布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4" name="文本框 89"/>
                              <wps:cNvSpPr txBox="1"/>
                              <wps:spPr>
                                <a:xfrm>
                                  <a:off x="176530" y="1185545"/>
                                  <a:ext cx="228600" cy="7924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napToGrid w:val="0"/>
                                      <w:jc w:val="center"/>
                                      <w:rPr>
                                        <w:rFonts w:hint="eastAsia"/>
                                      </w:rPr>
                                    </w:pPr>
                                    <w:r>
                                      <w:rPr>
                                        <w:rFonts w:hint="eastAsia"/>
                                      </w:rPr>
                                      <w:t>供水管网</w:t>
                                    </w:r>
                                  </w:p>
                                </w:txbxContent>
                              </wps:txbx>
                              <wps:bodyPr lIns="0" tIns="0" rIns="0" bIns="0" upright="1"/>
                            </wps:wsp>
                            <wps:wsp>
                              <wps:cNvPr id="125" name="直接连接符 90"/>
                              <wps:cNvCnPr/>
                              <wps:spPr>
                                <a:xfrm>
                                  <a:off x="400685" y="1704975"/>
                                  <a:ext cx="485775" cy="635"/>
                                </a:xfrm>
                                <a:prstGeom prst="line">
                                  <a:avLst/>
                                </a:prstGeom>
                                <a:ln w="12700" cap="flat" cmpd="sng">
                                  <a:solidFill>
                                    <a:srgbClr val="000000"/>
                                  </a:solidFill>
                                  <a:prstDash val="solid"/>
                                  <a:headEnd type="none" w="med" len="med"/>
                                  <a:tailEnd type="triangle" w="med" len="med"/>
                                </a:ln>
                              </wps:spPr>
                              <wps:bodyPr upright="1"/>
                            </wps:wsp>
                            <wps:wsp>
                              <wps:cNvPr id="126" name="文本框 91"/>
                              <wps:cNvSpPr txBox="1"/>
                              <wps:spPr>
                                <a:xfrm>
                                  <a:off x="397510" y="1506855"/>
                                  <a:ext cx="465455" cy="215265"/>
                                </a:xfrm>
                                <a:prstGeom prst="rect">
                                  <a:avLst/>
                                </a:prstGeom>
                                <a:noFill/>
                                <a:ln>
                                  <a:noFill/>
                                </a:ln>
                              </wps:spPr>
                              <wps:txbx>
                                <w:txbxContent>
                                  <w:p>
                                    <w:pPr>
                                      <w:snapToGrid w:val="0"/>
                                      <w:jc w:val="center"/>
                                      <w:rPr>
                                        <w:rFonts w:hint="default" w:eastAsia="宋体"/>
                                        <w:lang w:val="en-US" w:eastAsia="zh-CN"/>
                                      </w:rPr>
                                    </w:pPr>
                                    <w:r>
                                      <w:rPr>
                                        <w:rFonts w:hint="eastAsia"/>
                                        <w:lang w:val="en-US" w:eastAsia="zh-CN"/>
                                      </w:rPr>
                                      <w:t>3.8</w:t>
                                    </w:r>
                                  </w:p>
                                </w:txbxContent>
                              </wps:txbx>
                              <wps:bodyPr lIns="0" tIns="0" rIns="0" bIns="0" upright="1"/>
                            </wps:wsp>
                            <wps:wsp>
                              <wps:cNvPr id="127" name="直接连接符 92"/>
                              <wps:cNvCnPr/>
                              <wps:spPr>
                                <a:xfrm flipH="1">
                                  <a:off x="862965" y="501650"/>
                                  <a:ext cx="12065" cy="1797050"/>
                                </a:xfrm>
                                <a:prstGeom prst="line">
                                  <a:avLst/>
                                </a:prstGeom>
                                <a:ln w="12700" cap="flat" cmpd="sng">
                                  <a:solidFill>
                                    <a:srgbClr val="000000"/>
                                  </a:solidFill>
                                  <a:prstDash val="solid"/>
                                  <a:headEnd type="none" w="med" len="med"/>
                                  <a:tailEnd type="none" w="med" len="med"/>
                                </a:ln>
                              </wps:spPr>
                              <wps:bodyPr upright="1"/>
                            </wps:wsp>
                            <wps:wsp>
                              <wps:cNvPr id="128" name="文本框 93"/>
                              <wps:cNvSpPr txBox="1"/>
                              <wps:spPr>
                                <a:xfrm>
                                  <a:off x="3326130" y="97155"/>
                                  <a:ext cx="791845" cy="48704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napToGrid w:val="0"/>
                                      <w:jc w:val="center"/>
                                      <w:rPr>
                                        <w:rFonts w:hint="eastAsia"/>
                                      </w:rPr>
                                    </w:pPr>
                                    <w:r>
                                      <w:rPr>
                                        <w:rFonts w:hint="eastAsia"/>
                                      </w:rPr>
                                      <w:t>依托</w:t>
                                    </w:r>
                                    <w:r>
                                      <w:rPr>
                                        <w:rFonts w:hint="eastAsia"/>
                                        <w:lang w:val="en-US" w:eastAsia="zh-CN"/>
                                      </w:rPr>
                                      <w:t>已建</w:t>
                                    </w:r>
                                    <w:r>
                                      <w:rPr>
                                        <w:rFonts w:hint="eastAsia"/>
                                      </w:rPr>
                                      <w:t>污水预处理池</w:t>
                                    </w:r>
                                  </w:p>
                                </w:txbxContent>
                              </wps:txbx>
                              <wps:bodyPr lIns="0" tIns="0" rIns="0" bIns="0" upright="1"/>
                            </wps:wsp>
                            <wps:wsp>
                              <wps:cNvPr id="129" name="文本框 94"/>
                              <wps:cNvSpPr txBox="1"/>
                              <wps:spPr>
                                <a:xfrm>
                                  <a:off x="4161155" y="311150"/>
                                  <a:ext cx="457200" cy="161925"/>
                                </a:xfrm>
                                <a:prstGeom prst="rect">
                                  <a:avLst/>
                                </a:prstGeom>
                                <a:noFill/>
                                <a:ln>
                                  <a:noFill/>
                                </a:ln>
                              </wps:spPr>
                              <wps:txbx>
                                <w:txbxContent>
                                  <w:p>
                                    <w:pPr>
                                      <w:snapToGrid w:val="0"/>
                                      <w:jc w:val="center"/>
                                      <w:rPr>
                                        <w:rFonts w:hint="default" w:eastAsia="宋体"/>
                                        <w:lang w:val="en-US" w:eastAsia="zh-CN"/>
                                      </w:rPr>
                                    </w:pPr>
                                    <w:r>
                                      <w:rPr>
                                        <w:rFonts w:hint="eastAsia"/>
                                        <w:lang w:val="en-US" w:eastAsia="zh-CN"/>
                                      </w:rPr>
                                      <w:t>1.53</w:t>
                                    </w:r>
                                  </w:p>
                                </w:txbxContent>
                              </wps:txbx>
                              <wps:bodyPr lIns="0" tIns="0" rIns="0" bIns="0" upright="1"/>
                            </wps:wsp>
                            <wps:wsp>
                              <wps:cNvPr id="130" name="文本框 95"/>
                              <wps:cNvSpPr txBox="1"/>
                              <wps:spPr>
                                <a:xfrm>
                                  <a:off x="2640330" y="294640"/>
                                  <a:ext cx="685800" cy="161925"/>
                                </a:xfrm>
                                <a:prstGeom prst="rect">
                                  <a:avLst/>
                                </a:prstGeom>
                                <a:noFill/>
                                <a:ln>
                                  <a:noFill/>
                                </a:ln>
                              </wps:spPr>
                              <wps:txbx>
                                <w:txbxContent>
                                  <w:p>
                                    <w:pPr>
                                      <w:snapToGrid w:val="0"/>
                                      <w:jc w:val="center"/>
                                      <w:rPr>
                                        <w:rFonts w:hint="eastAsia"/>
                                      </w:rPr>
                                    </w:pPr>
                                    <w:r>
                                      <w:rPr>
                                        <w:rFonts w:hint="eastAsia"/>
                                      </w:rPr>
                                      <w:t>1.4875</w:t>
                                    </w:r>
                                  </w:p>
                                </w:txbxContent>
                              </wps:txbx>
                              <wps:bodyPr lIns="0" tIns="0" rIns="0" bIns="0" upright="1"/>
                            </wps:wsp>
                            <wps:wsp>
                              <wps:cNvPr id="131" name="文本框 96"/>
                              <wps:cNvSpPr txBox="1"/>
                              <wps:spPr>
                                <a:xfrm>
                                  <a:off x="3869055" y="935990"/>
                                  <a:ext cx="900430" cy="462280"/>
                                </a:xfrm>
                                <a:prstGeom prst="rect">
                                  <a:avLst/>
                                </a:prstGeom>
                                <a:solidFill>
                                  <a:srgbClr val="FFFFFF"/>
                                </a:solidFill>
                                <a:ln w="12700" cap="flat" cmpd="sng">
                                  <a:noFill/>
                                  <a:prstDash val="solid"/>
                                  <a:miter/>
                                  <a:headEnd type="none" w="med" len="med"/>
                                  <a:tailEnd type="none" w="med" len="med"/>
                                </a:ln>
                              </wps:spPr>
                              <wps:txbx>
                                <w:txbxContent>
                                  <w:p>
                                    <w:pPr>
                                      <w:jc w:val="center"/>
                                      <w:rPr>
                                        <w:rFonts w:hint="eastAsia"/>
                                        <w:sz w:val="21"/>
                                        <w:szCs w:val="21"/>
                                      </w:rPr>
                                    </w:pPr>
                                    <w:r>
                                      <w:rPr>
                                        <w:rFonts w:hint="default" w:ascii="Times New Roman" w:hAnsi="Times New Roman" w:cs="Times New Roman"/>
                                        <w:color w:val="auto"/>
                                        <w:sz w:val="21"/>
                                        <w:szCs w:val="21"/>
                                        <w:lang w:eastAsia="zh-CN"/>
                                      </w:rPr>
                                      <w:t>蓬溪县来龙山污水处理厂</w:t>
                                    </w:r>
                                  </w:p>
                                </w:txbxContent>
                              </wps:txbx>
                              <wps:bodyPr lIns="0" tIns="0" rIns="0" bIns="0" upright="1"/>
                            </wps:wsp>
                            <wps:wsp>
                              <wps:cNvPr id="132" name="直接连接符 97"/>
                              <wps:cNvCnPr/>
                              <wps:spPr>
                                <a:xfrm>
                                  <a:off x="2640330" y="492125"/>
                                  <a:ext cx="683895" cy="635"/>
                                </a:xfrm>
                                <a:prstGeom prst="line">
                                  <a:avLst/>
                                </a:prstGeom>
                                <a:ln w="12700" cap="flat" cmpd="sng">
                                  <a:solidFill>
                                    <a:srgbClr val="000000"/>
                                  </a:solidFill>
                                  <a:prstDash val="solid"/>
                                  <a:headEnd type="none" w="med" len="med"/>
                                  <a:tailEnd type="triangle" w="med" len="med"/>
                                </a:ln>
                              </wps:spPr>
                              <wps:bodyPr upright="1"/>
                            </wps:wsp>
                            <wps:wsp>
                              <wps:cNvPr id="133" name="直接连接符 98"/>
                              <wps:cNvCnPr/>
                              <wps:spPr>
                                <a:xfrm>
                                  <a:off x="4151630" y="492125"/>
                                  <a:ext cx="237490" cy="635"/>
                                </a:xfrm>
                                <a:prstGeom prst="line">
                                  <a:avLst/>
                                </a:prstGeom>
                                <a:ln w="12700" cap="flat" cmpd="sng">
                                  <a:solidFill>
                                    <a:srgbClr val="000000"/>
                                  </a:solidFill>
                                  <a:prstDash val="solid"/>
                                  <a:headEnd type="none" w="med" len="med"/>
                                  <a:tailEnd type="none" w="med" len="med"/>
                                </a:ln>
                              </wps:spPr>
                              <wps:bodyPr upright="1"/>
                            </wps:wsp>
                            <wps:wsp>
                              <wps:cNvPr id="134" name="直接连接符 99"/>
                              <wps:cNvCnPr/>
                              <wps:spPr>
                                <a:xfrm>
                                  <a:off x="4381500" y="488950"/>
                                  <a:ext cx="635" cy="467995"/>
                                </a:xfrm>
                                <a:prstGeom prst="line">
                                  <a:avLst/>
                                </a:prstGeom>
                                <a:ln w="12700" cap="flat" cmpd="sng">
                                  <a:solidFill>
                                    <a:srgbClr val="000000"/>
                                  </a:solidFill>
                                  <a:prstDash val="solid"/>
                                  <a:headEnd type="none" w="med" len="med"/>
                                  <a:tailEnd type="triangle" w="med" len="med"/>
                                </a:ln>
                              </wps:spPr>
                              <wps:bodyPr upright="1"/>
                            </wps:wsp>
                            <wps:wsp>
                              <wps:cNvPr id="135" name="直接连接符 100"/>
                              <wps:cNvCnPr/>
                              <wps:spPr>
                                <a:xfrm>
                                  <a:off x="4354195" y="1404620"/>
                                  <a:ext cx="635" cy="215900"/>
                                </a:xfrm>
                                <a:prstGeom prst="line">
                                  <a:avLst/>
                                </a:prstGeom>
                                <a:ln w="12700" cap="flat" cmpd="sng">
                                  <a:solidFill>
                                    <a:srgbClr val="000000"/>
                                  </a:solidFill>
                                  <a:prstDash val="solid"/>
                                  <a:headEnd type="none" w="med" len="med"/>
                                  <a:tailEnd type="triangle" w="med" len="med"/>
                                </a:ln>
                              </wps:spPr>
                              <wps:bodyPr upright="1"/>
                            </wps:wsp>
                            <wps:wsp>
                              <wps:cNvPr id="136" name="文本框 101"/>
                              <wps:cNvSpPr txBox="1"/>
                              <wps:spPr>
                                <a:xfrm>
                                  <a:off x="4098925" y="1658620"/>
                                  <a:ext cx="563880" cy="273050"/>
                                </a:xfrm>
                                <a:prstGeom prst="rect">
                                  <a:avLst/>
                                </a:prstGeom>
                                <a:solidFill>
                                  <a:srgbClr val="FFFFFF"/>
                                </a:solidFill>
                                <a:ln w="12700" cap="flat" cmpd="sng">
                                  <a:noFill/>
                                  <a:prstDash val="solid"/>
                                  <a:miter/>
                                  <a:headEnd type="none" w="med" len="med"/>
                                  <a:tailEnd type="none" w="med" len="med"/>
                                </a:ln>
                              </wps:spPr>
                              <wps:txbx>
                                <w:txbxContent>
                                  <w:p>
                                    <w:pPr>
                                      <w:rPr>
                                        <w:rFonts w:hint="eastAsia"/>
                                        <w:sz w:val="21"/>
                                        <w:szCs w:val="21"/>
                                      </w:rPr>
                                    </w:pPr>
                                    <w:r>
                                      <w:rPr>
                                        <w:rFonts w:hint="default" w:ascii="Times New Roman" w:hAnsi="Times New Roman" w:cs="Times New Roman"/>
                                        <w:color w:val="auto"/>
                                        <w:sz w:val="21"/>
                                        <w:szCs w:val="21"/>
                                        <w:lang w:eastAsia="zh-CN"/>
                                      </w:rPr>
                                      <w:t>芝溪河</w:t>
                                    </w:r>
                                  </w:p>
                                </w:txbxContent>
                              </wps:txbx>
                              <wps:bodyPr lIns="0" tIns="0" rIns="0" bIns="0" upright="1"/>
                            </wps:wsp>
                            <wpg:wgp>
                              <wpg:cNvPr id="137" name="组合 107"/>
                              <wpg:cNvGrpSpPr/>
                              <wpg:grpSpPr>
                                <a:xfrm>
                                  <a:off x="871855" y="204470"/>
                                  <a:ext cx="1882775" cy="388620"/>
                                  <a:chOff x="3444" y="6357"/>
                                  <a:chExt cx="2965" cy="612"/>
                                </a:xfrm>
                              </wpg:grpSpPr>
                              <wps:wsp>
                                <wps:cNvPr id="138" name="文本框 102"/>
                                <wps:cNvSpPr txBox="1"/>
                                <wps:spPr>
                                  <a:xfrm>
                                    <a:off x="4368" y="6657"/>
                                    <a:ext cx="1861" cy="312"/>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napToGrid w:val="0"/>
                                        <w:jc w:val="center"/>
                                        <w:rPr>
                                          <w:rFonts w:hint="eastAsia"/>
                                        </w:rPr>
                                      </w:pPr>
                                      <w:r>
                                        <w:rPr>
                                          <w:rFonts w:hint="eastAsia"/>
                                        </w:rPr>
                                        <w:t>办公、生活用水</w:t>
                                      </w:r>
                                    </w:p>
                                  </w:txbxContent>
                                </wps:txbx>
                                <wps:bodyPr lIns="0" tIns="0" rIns="0" bIns="0" upright="1"/>
                              </wps:wsp>
                              <wps:wsp>
                                <wps:cNvPr id="139" name="文本框 103"/>
                                <wps:cNvSpPr txBox="1"/>
                                <wps:spPr>
                                  <a:xfrm>
                                    <a:off x="3511" y="6525"/>
                                    <a:ext cx="799" cy="255"/>
                                  </a:xfrm>
                                  <a:prstGeom prst="rect">
                                    <a:avLst/>
                                  </a:prstGeom>
                                  <a:noFill/>
                                  <a:ln>
                                    <a:noFill/>
                                  </a:ln>
                                </wps:spPr>
                                <wps:txbx>
                                  <w:txbxContent>
                                    <w:p>
                                      <w:pPr>
                                        <w:snapToGrid w:val="0"/>
                                        <w:jc w:val="center"/>
                                        <w:rPr>
                                          <w:rFonts w:hint="eastAsia"/>
                                        </w:rPr>
                                      </w:pPr>
                                      <w:r>
                                        <w:rPr>
                                          <w:rFonts w:hint="eastAsia"/>
                                        </w:rPr>
                                        <w:t>1.75</w:t>
                                      </w:r>
                                    </w:p>
                                  </w:txbxContent>
                                </wps:txbx>
                                <wps:bodyPr lIns="0" tIns="0" rIns="0" bIns="0" upright="1"/>
                              </wps:wsp>
                              <wps:wsp>
                                <wps:cNvPr id="140" name="直接连接符 104"/>
                                <wps:cNvCnPr/>
                                <wps:spPr>
                                  <a:xfrm>
                                    <a:off x="3444" y="6820"/>
                                    <a:ext cx="907" cy="1"/>
                                  </a:xfrm>
                                  <a:prstGeom prst="line">
                                    <a:avLst/>
                                  </a:prstGeom>
                                  <a:ln w="12700" cap="flat" cmpd="sng">
                                    <a:solidFill>
                                      <a:srgbClr val="000000"/>
                                    </a:solidFill>
                                    <a:prstDash val="solid"/>
                                    <a:headEnd type="none" w="med" len="med"/>
                                    <a:tailEnd type="triangle" w="med" len="med"/>
                                  </a:ln>
                                </wps:spPr>
                                <wps:bodyPr upright="1"/>
                              </wps:wsp>
                              <wps:wsp>
                                <wps:cNvPr id="141" name="文本框 105"/>
                                <wps:cNvSpPr txBox="1"/>
                                <wps:spPr>
                                  <a:xfrm>
                                    <a:off x="4861" y="6357"/>
                                    <a:ext cx="1548" cy="255"/>
                                  </a:xfrm>
                                  <a:prstGeom prst="rect">
                                    <a:avLst/>
                                  </a:prstGeom>
                                  <a:noFill/>
                                  <a:ln>
                                    <a:noFill/>
                                  </a:ln>
                                </wps:spPr>
                                <wps:txbx>
                                  <w:txbxContent>
                                    <w:p>
                                      <w:pPr>
                                        <w:snapToGrid w:val="0"/>
                                        <w:jc w:val="center"/>
                                        <w:rPr>
                                          <w:rFonts w:hint="eastAsia"/>
                                        </w:rPr>
                                      </w:pPr>
                                      <w:r>
                                        <w:rPr>
                                          <w:rFonts w:hint="eastAsia"/>
                                        </w:rPr>
                                        <w:t>损失0.2625</w:t>
                                      </w:r>
                                    </w:p>
                                  </w:txbxContent>
                                </wps:txbx>
                                <wps:bodyPr lIns="0" tIns="0" rIns="0" bIns="0" upright="1"/>
                              </wps:wsp>
                              <wps:wsp>
                                <wps:cNvPr id="142" name="直接连接符 106"/>
                                <wps:cNvCnPr/>
                                <wps:spPr>
                                  <a:xfrm flipV="1">
                                    <a:off x="4969" y="6513"/>
                                    <a:ext cx="180" cy="156"/>
                                  </a:xfrm>
                                  <a:prstGeom prst="line">
                                    <a:avLst/>
                                  </a:prstGeom>
                                  <a:ln w="12700" cap="rnd" cmpd="sng">
                                    <a:solidFill>
                                      <a:srgbClr val="000000"/>
                                    </a:solidFill>
                                    <a:prstDash val="sysDot"/>
                                    <a:headEnd type="none" w="med" len="med"/>
                                    <a:tailEnd type="triangle" w="sm" len="sm"/>
                                  </a:ln>
                                </wps:spPr>
                                <wps:bodyPr upright="1"/>
                              </wps:wsp>
                            </wpg:wgp>
                            <wps:wsp>
                              <wps:cNvPr id="143" name="直接连接符 108"/>
                              <wps:cNvCnPr/>
                              <wps:spPr>
                                <a:xfrm>
                                  <a:off x="856615" y="2308860"/>
                                  <a:ext cx="575945" cy="635"/>
                                </a:xfrm>
                                <a:prstGeom prst="line">
                                  <a:avLst/>
                                </a:prstGeom>
                                <a:ln w="12700" cap="flat" cmpd="sng">
                                  <a:solidFill>
                                    <a:srgbClr val="000000"/>
                                  </a:solidFill>
                                  <a:prstDash val="solid"/>
                                  <a:headEnd type="none" w="med" len="med"/>
                                  <a:tailEnd type="triangle" w="med" len="med"/>
                                </a:ln>
                              </wps:spPr>
                              <wps:bodyPr upright="1"/>
                            </wps:wsp>
                            <wps:wsp>
                              <wps:cNvPr id="144" name="文本框 109"/>
                              <wps:cNvSpPr txBox="1"/>
                              <wps:spPr>
                                <a:xfrm>
                                  <a:off x="886460" y="2136775"/>
                                  <a:ext cx="507365" cy="161925"/>
                                </a:xfrm>
                                <a:prstGeom prst="rect">
                                  <a:avLst/>
                                </a:prstGeom>
                                <a:noFill/>
                                <a:ln>
                                  <a:noFill/>
                                </a:ln>
                              </wps:spPr>
                              <wps:txbx>
                                <w:txbxContent>
                                  <w:p>
                                    <w:pPr>
                                      <w:snapToGrid w:val="0"/>
                                      <w:jc w:val="center"/>
                                      <w:rPr>
                                        <w:rFonts w:hint="eastAsia"/>
                                      </w:rPr>
                                    </w:pPr>
                                    <w:r>
                                      <w:rPr>
                                        <w:rFonts w:hint="eastAsia"/>
                                      </w:rPr>
                                      <w:t>2</w:t>
                                    </w:r>
                                  </w:p>
                                </w:txbxContent>
                              </wps:txbx>
                              <wps:bodyPr lIns="0" tIns="0" rIns="0" bIns="0" upright="1"/>
                            </wps:wsp>
                            <wps:wsp>
                              <wps:cNvPr id="145" name="文本框 110"/>
                              <wps:cNvSpPr txBox="1"/>
                              <wps:spPr>
                                <a:xfrm>
                                  <a:off x="1433195" y="2218055"/>
                                  <a:ext cx="1181735" cy="1981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snapToGrid w:val="0"/>
                                      <w:jc w:val="center"/>
                                      <w:rPr>
                                        <w:rFonts w:hint="eastAsia"/>
                                      </w:rPr>
                                    </w:pPr>
                                    <w:r>
                                      <w:rPr>
                                        <w:rFonts w:hint="eastAsia"/>
                                      </w:rPr>
                                      <w:t>循环冷却水</w:t>
                                    </w:r>
                                  </w:p>
                                </w:txbxContent>
                              </wps:txbx>
                              <wps:bodyPr lIns="0" tIns="0" rIns="0" bIns="0" upright="1"/>
                            </wps:wsp>
                            <wps:wsp>
                              <wps:cNvPr id="146" name="文本框 111"/>
                              <wps:cNvSpPr txBox="1"/>
                              <wps:spPr>
                                <a:xfrm>
                                  <a:off x="2049780" y="1979295"/>
                                  <a:ext cx="507365" cy="161925"/>
                                </a:xfrm>
                                <a:prstGeom prst="rect">
                                  <a:avLst/>
                                </a:prstGeom>
                                <a:noFill/>
                                <a:ln>
                                  <a:noFill/>
                                </a:ln>
                              </wps:spPr>
                              <wps:txbx>
                                <w:txbxContent>
                                  <w:p>
                                    <w:pPr>
                                      <w:snapToGrid w:val="0"/>
                                      <w:rPr>
                                        <w:rFonts w:hint="eastAsia"/>
                                      </w:rPr>
                                    </w:pPr>
                                    <w:r>
                                      <w:rPr>
                                        <w:rFonts w:hint="eastAsia"/>
                                      </w:rPr>
                                      <w:t>2</w:t>
                                    </w:r>
                                  </w:p>
                                </w:txbxContent>
                              </wps:txbx>
                              <wps:bodyPr lIns="0" tIns="0" rIns="0" bIns="0" upright="1"/>
                            </wps:wsp>
                            <wps:wsp>
                              <wps:cNvPr id="147" name="直接连接符 112"/>
                              <wps:cNvCnPr/>
                              <wps:spPr>
                                <a:xfrm>
                                  <a:off x="914400" y="1287780"/>
                                  <a:ext cx="457200" cy="0"/>
                                </a:xfrm>
                                <a:prstGeom prst="line">
                                  <a:avLst/>
                                </a:prstGeom>
                                <a:ln w="9525" cap="flat" cmpd="sng">
                                  <a:solidFill>
                                    <a:srgbClr val="000000"/>
                                  </a:solidFill>
                                  <a:prstDash val="solid"/>
                                  <a:headEnd type="none" w="med" len="med"/>
                                  <a:tailEnd type="triangle" w="med" len="med"/>
                                </a:ln>
                              </wps:spPr>
                              <wps:bodyPr upright="1"/>
                            </wps:wsp>
                            <wps:wsp>
                              <wps:cNvPr id="148" name="矩形 113"/>
                              <wps:cNvSpPr/>
                              <wps:spPr>
                                <a:xfrm>
                                  <a:off x="1371600" y="1188720"/>
                                  <a:ext cx="9144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r>
                                      <w:t>喷淋塔用水</w:t>
                                    </w:r>
                                  </w:p>
                                </w:txbxContent>
                              </wps:txbx>
                              <wps:bodyPr upright="1"/>
                            </wps:wsp>
                            <wps:wsp>
                              <wps:cNvPr id="149" name="直接连接符 114"/>
                              <wps:cNvCnPr/>
                              <wps:spPr>
                                <a:xfrm flipH="1" flipV="1">
                                  <a:off x="3540125" y="592455"/>
                                  <a:ext cx="3175" cy="794385"/>
                                </a:xfrm>
                                <a:prstGeom prst="line">
                                  <a:avLst/>
                                </a:prstGeom>
                                <a:ln w="9525" cap="flat" cmpd="sng">
                                  <a:solidFill>
                                    <a:srgbClr val="000000"/>
                                  </a:solidFill>
                                  <a:prstDash val="solid"/>
                                  <a:headEnd type="none" w="med" len="med"/>
                                  <a:tailEnd type="triangle" w="med" len="med"/>
                                </a:ln>
                              </wps:spPr>
                              <wps:bodyPr upright="1"/>
                            </wps:wsp>
                            <wps:wsp>
                              <wps:cNvPr id="150" name="矩形 115"/>
                              <wps:cNvSpPr/>
                              <wps:spPr>
                                <a:xfrm>
                                  <a:off x="2808605" y="866775"/>
                                  <a:ext cx="571500" cy="495300"/>
                                </a:xfrm>
                                <a:prstGeom prst="rect">
                                  <a:avLst/>
                                </a:prstGeom>
                                <a:noFill/>
                                <a:ln>
                                  <a:noFill/>
                                </a:ln>
                              </wps:spPr>
                              <wps:txbx>
                                <w:txbxContent>
                                  <w:p>
                                    <w:pPr>
                                      <w:rPr>
                                        <w:rFonts w:hint="eastAsia"/>
                                      </w:rPr>
                                    </w:pPr>
                                    <w:r>
                                      <w:rPr>
                                        <w:rFonts w:hint="eastAsia"/>
                                      </w:rPr>
                                      <w:t>0.0425</w:t>
                                    </w:r>
                                  </w:p>
                                </w:txbxContent>
                              </wps:txbx>
                              <wps:bodyPr upright="1"/>
                            </wps:wsp>
                            <wps:wsp>
                              <wps:cNvPr id="151" name="直接连接符 116"/>
                              <wps:cNvCnPr/>
                              <wps:spPr>
                                <a:xfrm flipV="1">
                                  <a:off x="1600200" y="990600"/>
                                  <a:ext cx="228600" cy="198120"/>
                                </a:xfrm>
                                <a:prstGeom prst="line">
                                  <a:avLst/>
                                </a:prstGeom>
                                <a:ln w="9525" cap="flat" cmpd="sng">
                                  <a:solidFill>
                                    <a:srgbClr val="000000"/>
                                  </a:solidFill>
                                  <a:prstDash val="dash"/>
                                  <a:headEnd type="none" w="med" len="med"/>
                                  <a:tailEnd type="triangle" w="med" len="med"/>
                                </a:ln>
                              </wps:spPr>
                              <wps:bodyPr upright="1"/>
                            </wps:wsp>
                            <wps:wsp>
                              <wps:cNvPr id="152" name="矩形 117"/>
                              <wps:cNvSpPr/>
                              <wps:spPr>
                                <a:xfrm>
                                  <a:off x="1828800" y="792480"/>
                                  <a:ext cx="914400" cy="297180"/>
                                </a:xfrm>
                                <a:prstGeom prst="rect">
                                  <a:avLst/>
                                </a:prstGeom>
                                <a:noFill/>
                                <a:ln>
                                  <a:noFill/>
                                </a:ln>
                              </wps:spPr>
                              <wps:txbx>
                                <w:txbxContent>
                                  <w:p>
                                    <w:pPr>
                                      <w:rPr>
                                        <w:rFonts w:hint="eastAsia"/>
                                      </w:rPr>
                                    </w:pPr>
                                    <w:r>
                                      <w:t>损失</w:t>
                                    </w:r>
                                    <w:r>
                                      <w:rPr>
                                        <w:rFonts w:hint="eastAsia"/>
                                      </w:rPr>
                                      <w:t>0.0075</w:t>
                                    </w:r>
                                  </w:p>
                                </w:txbxContent>
                              </wps:txbx>
                              <wps:bodyPr upright="1"/>
                            </wps:wsp>
                            <wps:wsp>
                              <wps:cNvPr id="153" name="文本框 118"/>
                              <wps:cNvSpPr txBox="1"/>
                              <wps:spPr>
                                <a:xfrm>
                                  <a:off x="914400" y="1089660"/>
                                  <a:ext cx="507365" cy="161925"/>
                                </a:xfrm>
                                <a:prstGeom prst="rect">
                                  <a:avLst/>
                                </a:prstGeom>
                                <a:noFill/>
                                <a:ln>
                                  <a:noFill/>
                                </a:ln>
                              </wps:spPr>
                              <wps:txbx>
                                <w:txbxContent>
                                  <w:p>
                                    <w:pPr>
                                      <w:snapToGrid w:val="0"/>
                                      <w:jc w:val="center"/>
                                      <w:rPr>
                                        <w:rFonts w:hint="eastAsia"/>
                                      </w:rPr>
                                    </w:pPr>
                                    <w:r>
                                      <w:rPr>
                                        <w:rFonts w:hint="eastAsia"/>
                                      </w:rPr>
                                      <w:t>0.05</w:t>
                                    </w:r>
                                  </w:p>
                                </w:txbxContent>
                              </wps:txbx>
                              <wps:bodyPr lIns="0" tIns="0" rIns="0" bIns="0" upright="1"/>
                            </wps:wsp>
                            <wps:wsp>
                              <wps:cNvPr id="154" name="直接连接符 119"/>
                              <wps:cNvCnPr/>
                              <wps:spPr>
                                <a:xfrm>
                                  <a:off x="2286000" y="1375410"/>
                                  <a:ext cx="342900" cy="0"/>
                                </a:xfrm>
                                <a:prstGeom prst="line">
                                  <a:avLst/>
                                </a:prstGeom>
                                <a:ln w="9525" cap="flat" cmpd="sng">
                                  <a:solidFill>
                                    <a:srgbClr val="000000"/>
                                  </a:solidFill>
                                  <a:prstDash val="solid"/>
                                  <a:headEnd type="none" w="med" len="med"/>
                                  <a:tailEnd type="triangle" w="med" len="med"/>
                                </a:ln>
                              </wps:spPr>
                              <wps:bodyPr upright="1"/>
                            </wps:wsp>
                            <wps:wsp>
                              <wps:cNvPr id="155" name="矩形 120"/>
                              <wps:cNvSpPr/>
                              <wps:spPr>
                                <a:xfrm>
                                  <a:off x="2628900" y="1177290"/>
                                  <a:ext cx="685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t>酸碱</w:t>
                                    </w:r>
                                  </w:p>
                                  <w:p>
                                    <w:r>
                                      <w:t>中和</w:t>
                                    </w:r>
                                  </w:p>
                                </w:txbxContent>
                              </wps:txbx>
                              <wps:bodyPr upright="1"/>
                            </wps:wsp>
                            <wps:wsp>
                              <wps:cNvPr id="156" name="直接连接符 121"/>
                              <wps:cNvCnPr/>
                              <wps:spPr>
                                <a:xfrm>
                                  <a:off x="3314700" y="1375410"/>
                                  <a:ext cx="228600" cy="0"/>
                                </a:xfrm>
                                <a:prstGeom prst="line">
                                  <a:avLst/>
                                </a:prstGeom>
                                <a:ln w="9525" cap="flat" cmpd="sng">
                                  <a:solidFill>
                                    <a:srgbClr val="000000"/>
                                  </a:solidFill>
                                  <a:prstDash val="solid"/>
                                  <a:headEnd type="none" w="med" len="med"/>
                                  <a:tailEnd type="none" w="med" len="med"/>
                                </a:ln>
                              </wps:spPr>
                              <wps:bodyPr upright="1"/>
                            </wps:wsp>
                            <wps:wsp>
                              <wps:cNvPr id="157" name="直接连接符 122"/>
                              <wps:cNvCnPr/>
                              <wps:spPr>
                                <a:xfrm flipV="1">
                                  <a:off x="1821180" y="2078355"/>
                                  <a:ext cx="228600" cy="99060"/>
                                </a:xfrm>
                                <a:prstGeom prst="line">
                                  <a:avLst/>
                                </a:prstGeom>
                                <a:ln w="12700" cap="flat" cmpd="sng">
                                  <a:solidFill>
                                    <a:srgbClr val="000000"/>
                                  </a:solidFill>
                                  <a:prstDash val="dash"/>
                                  <a:headEnd type="none" w="med" len="med"/>
                                  <a:tailEnd type="triangle" w="med" len="med"/>
                                </a:ln>
                              </wps:spPr>
                              <wps:bodyPr upright="1"/>
                            </wps:wsp>
                          </wpc:wpc>
                        </a:graphicData>
                      </a:graphic>
                    </wp:anchor>
                  </w:drawing>
                </mc:Choice>
                <mc:Fallback>
                  <w:pict>
                    <v:group id="_x0000_s1026" o:spid="_x0000_s1026" o:spt="203" style="position:absolute;left:0pt;margin-left:-10.9pt;margin-top:7.45pt;height:189.1pt;width:376.2pt;mso-position-horizontal-relative:char;mso-position-vertical-relative:line;z-index:251661312;mso-width-relative:page;mso-height-relative:page;" coordsize="4777740,2401570" editas="canvas" o:gfxdata="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">
                      <o:lock v:ext="edit" aspectratio="f"/>
                      <v:shape id="_x0000_s1026" o:spid="_x0000_s1026" style="position:absolute;left:0;top:0;height:2401570;width:4777740;" filled="f" stroked="f" coordsize="21600,21600" o:gfxdata="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">
                        <v:fill on="f" focussize="0,0"/>
                        <v:stroke on="f"/>
                        <v:imagedata o:title=""/>
                        <o:lock v:ext="edit" aspectratio="t"/>
                      </v:shape>
                      <v:shape id="文本框 89" o:spid="_x0000_s1026" o:spt="202" type="#_x0000_t202" style="position:absolute;left:176530;top:1185545;height:792480;width:228600;" fillcolor="#FFFFFF" filled="t" stroked="t" coordsize="21600,21600" o:gfxdata="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ZsQ09gAAAAKAQAADwAAAAAAAAABACAAAAAiAAAAZHJzL2Rvd25yZXYueG1sUEsBAhQAFAAAAAgA&#10;h07iQL6P39glAgAAaAQAAA4AAAAAAAAAAQAgAAAAJwEAAGRycy9lMm9Eb2MueG1sUEsFBgAAAAAG&#10;AAYAWQEAAL4FAAAAAA==&#10;">
                        <v:fill on="t" focussize="0,0"/>
                        <v:stroke weight="1pt" color="#000000" joinstyle="miter"/>
                        <v:imagedata o:title=""/>
                        <o:lock v:ext="edit" aspectratio="f"/>
                        <v:textbox inset="0mm,0mm,0mm,0mm">
                          <w:txbxContent>
                            <w:p>
                              <w:pPr>
                                <w:snapToGrid w:val="0"/>
                                <w:jc w:val="center"/>
                                <w:rPr>
                                  <w:rFonts w:hint="eastAsia"/>
                                </w:rPr>
                              </w:pPr>
                              <w:r>
                                <w:rPr>
                                  <w:rFonts w:hint="eastAsia"/>
                                </w:rPr>
                                <w:t>供水管网</w:t>
                              </w:r>
                            </w:p>
                          </w:txbxContent>
                        </v:textbox>
                      </v:shape>
                      <v:line id="直接连接符 90" o:spid="_x0000_s1026" o:spt="20" style="position:absolute;left:400685;top:1704975;height:635;width:485775;" filled="f" stroked="t" coordsize="21600,21600" o:gfxdata="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AxyHXZAAAACgEAAA8AAAAAAAAAAQAgAAAA&#10;IgAAAGRycy9kb3ducmV2LnhtbFBLAQIUABQAAAAIAIdO4kDwJAgqCgIAAPgDAAAOAAAAAAAAAAEA&#10;IAAAACgBAABkcnMvZTJvRG9jLnhtbFBLBQYAAAAABgAGAFkBAACkBQAAAAA=&#10;">
                        <v:fill on="f" focussize="0,0"/>
                        <v:stroke weight="1pt" color="#000000" joinstyle="round" endarrow="block"/>
                        <v:imagedata o:title=""/>
                        <o:lock v:ext="edit" aspectratio="f"/>
                      </v:line>
                      <v:shape id="文本框 91" o:spid="_x0000_s1026" o:spt="202" type="#_x0000_t202" style="position:absolute;left:397510;top:1506855;height:215265;width:465455;" filled="f" stroked="f" coordsize="21600,21600" o:gfxdata="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tq8v2QAAAAoBAAAPAAAAAAAAAAEAIAAAACIAAABkcnMvZG93&#10;bnJldi54bWxQSwECFAAUAAAACACHTuJAiRY1psYBAAB/AwAADgAAAAAAAAABACAAAAAoAQAAZHJz&#10;L2Uyb0RvYy54bWxQSwUGAAAAAAYABgBZAQAAYAUAAAAA&#10;">
                        <v:fill on="f" focussize="0,0"/>
                        <v:stroke on="f"/>
                        <v:imagedata o:title=""/>
                        <o:lock v:ext="edit" aspectratio="f"/>
                        <v:textbox inset="0mm,0mm,0mm,0mm">
                          <w:txbxContent>
                            <w:p>
                              <w:pPr>
                                <w:snapToGrid w:val="0"/>
                                <w:jc w:val="center"/>
                                <w:rPr>
                                  <w:rFonts w:hint="default" w:eastAsia="宋体"/>
                                  <w:lang w:val="en-US" w:eastAsia="zh-CN"/>
                                </w:rPr>
                              </w:pPr>
                              <w:r>
                                <w:rPr>
                                  <w:rFonts w:hint="eastAsia"/>
                                  <w:lang w:val="en-US" w:eastAsia="zh-CN"/>
                                </w:rPr>
                                <w:t>3.8</w:t>
                              </w:r>
                            </w:p>
                          </w:txbxContent>
                        </v:textbox>
                      </v:shape>
                      <v:line id="直接连接符 92" o:spid="_x0000_s1026" o:spt="20" style="position:absolute;left:862965;top:501650;flip:x;height:1797050;width:12065;" filled="f" stroked="t" coordsize="21600,21600" o:gfxdata="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mmvNnaAAAACgEAAA8AAAAAAAAAAQAg&#10;AAAAIgAAAGRycy9kb3ducmV2LnhtbFBLAQIUABQAAAAIAIdO4kC0+i2iDAIAAAAEAAAOAAAAAAAA&#10;AAEAIAAAACkBAABkcnMvZTJvRG9jLnhtbFBLBQYAAAAABgAGAFkBAACnBQAAAAA=&#10;">
                        <v:fill on="f" focussize="0,0"/>
                        <v:stroke weight="1pt" color="#000000" joinstyle="round"/>
                        <v:imagedata o:title=""/>
                        <o:lock v:ext="edit" aspectratio="f"/>
                      </v:line>
                      <v:shape id="文本框 93" o:spid="_x0000_s1026" o:spt="202" type="#_x0000_t202" style="position:absolute;left:3326130;top:97155;height:487045;width:791845;" fillcolor="#FFFFFF" filled="t" stroked="t" coordsize="21600,21600" o:gfxdata="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x&#10;mxDT2AAAAAoBAAAPAAAAAAAAAAEAIAAAACIAAABkcnMvZG93bnJldi54bWxQSwECFAAUAAAACACH&#10;TuJAyz6s/yQCAABnBAAADgAAAAAAAAABACAAAAAnAQAAZHJzL2Uyb0RvYy54bWxQSwUGAAAAAAYA&#10;BgBZAQAAvQUAAAAA&#10;">
                        <v:fill on="t" focussize="0,0"/>
                        <v:stroke weight="1pt" color="#000000" joinstyle="miter"/>
                        <v:imagedata o:title=""/>
                        <o:lock v:ext="edit" aspectratio="f"/>
                        <v:textbox inset="0mm,0mm,0mm,0mm">
                          <w:txbxContent>
                            <w:p>
                              <w:pPr>
                                <w:snapToGrid w:val="0"/>
                                <w:jc w:val="center"/>
                                <w:rPr>
                                  <w:rFonts w:hint="eastAsia"/>
                                </w:rPr>
                              </w:pPr>
                              <w:r>
                                <w:rPr>
                                  <w:rFonts w:hint="eastAsia"/>
                                </w:rPr>
                                <w:t>依托</w:t>
                              </w:r>
                              <w:r>
                                <w:rPr>
                                  <w:rFonts w:hint="eastAsia"/>
                                  <w:lang w:val="en-US" w:eastAsia="zh-CN"/>
                                </w:rPr>
                                <w:t>已建</w:t>
                              </w:r>
                              <w:r>
                                <w:rPr>
                                  <w:rFonts w:hint="eastAsia"/>
                                </w:rPr>
                                <w:t>污水预处理池</w:t>
                              </w:r>
                            </w:p>
                          </w:txbxContent>
                        </v:textbox>
                      </v:shape>
                      <v:shape id="文本框 94" o:spid="_x0000_s1026" o:spt="202" type="#_x0000_t202" style="position:absolute;left:4161155;top:311150;height:161925;width:457200;" filled="f" stroked="f" coordsize="21600,21600" o:gfxdata="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ravL9kAAAAKAQAADwAAAAAAAAABACAAAAAiAAAAZHJzL2Rvd25y&#10;ZXYueG1sUEsBAhQAFAAAAAgAh07iQMWUR47EAQAAfwMAAA4AAAAAAAAAAQAgAAAAKAEAAGRycy9l&#10;Mm9Eb2MueG1sUEsFBgAAAAAGAAYAWQEAAF4FAAAAAA==&#10;">
                        <v:fill on="f" focussize="0,0"/>
                        <v:stroke on="f"/>
                        <v:imagedata o:title=""/>
                        <o:lock v:ext="edit" aspectratio="f"/>
                        <v:textbox inset="0mm,0mm,0mm,0mm">
                          <w:txbxContent>
                            <w:p>
                              <w:pPr>
                                <w:snapToGrid w:val="0"/>
                                <w:jc w:val="center"/>
                                <w:rPr>
                                  <w:rFonts w:hint="default" w:eastAsia="宋体"/>
                                  <w:lang w:val="en-US" w:eastAsia="zh-CN"/>
                                </w:rPr>
                              </w:pPr>
                              <w:r>
                                <w:rPr>
                                  <w:rFonts w:hint="eastAsia"/>
                                  <w:lang w:val="en-US" w:eastAsia="zh-CN"/>
                                </w:rPr>
                                <w:t>1.53</w:t>
                              </w:r>
                            </w:p>
                          </w:txbxContent>
                        </v:textbox>
                      </v:shape>
                      <v:shape id="文本框 95" o:spid="_x0000_s1026" o:spt="202" type="#_x0000_t202" style="position:absolute;left:2640330;top:294640;height:161925;width:685800;" filled="f" stroked="f" coordsize="21600,21600" o:gfxdata="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ravL9kAAAAKAQAADwAAAAAAAAABACAAAAAiAAAAZHJzL2Rvd25y&#10;ZXYueG1sUEsBAhQAFAAAAAgAh07iQPvsy3XEAQAAfwMAAA4AAAAAAAAAAQAgAAAAKAEAAGRycy9l&#10;Mm9Eb2MueG1sUEsFBgAAAAAGAAYAWQEAAF4FAAAAAA==&#10;">
                        <v:fill on="f" focussize="0,0"/>
                        <v:stroke on="f"/>
                        <v:imagedata o:title=""/>
                        <o:lock v:ext="edit" aspectratio="f"/>
                        <v:textbox inset="0mm,0mm,0mm,0mm">
                          <w:txbxContent>
                            <w:p>
                              <w:pPr>
                                <w:snapToGrid w:val="0"/>
                                <w:jc w:val="center"/>
                                <w:rPr>
                                  <w:rFonts w:hint="eastAsia"/>
                                </w:rPr>
                              </w:pPr>
                              <w:r>
                                <w:rPr>
                                  <w:rFonts w:hint="eastAsia"/>
                                </w:rPr>
                                <w:t>1.4875</w:t>
                              </w:r>
                            </w:p>
                          </w:txbxContent>
                        </v:textbox>
                      </v:shape>
                      <v:shape id="文本框 96" o:spid="_x0000_s1026" o:spt="202" type="#_x0000_t202" style="position:absolute;left:3869055;top:935990;height:462280;width:900430;" fillcolor="#FFFFFF" filled="t" stroked="f" coordsize="21600,21600" o:gfxdata="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sbQTDY&#10;AAAACgEAAA8AAAAAAAAAAQAgAAAAIgAAAGRycy9kb3ducmV2LnhtbFBLAQIUABQAAAAIAIdO4kBR&#10;SDT0IAIAAD8EAAAOAAAAAAAAAAEAIAAAACcBAABkcnMvZTJvRG9jLnhtbFBLBQYAAAAABgAGAFkB&#10;AAC5BQAAAAA=&#10;">
                        <v:fill on="t" focussize="0,0"/>
                        <v:stroke on="f" weight="1pt" joinstyle="miter"/>
                        <v:imagedata o:title=""/>
                        <o:lock v:ext="edit" aspectratio="f"/>
                        <v:textbox inset="0mm,0mm,0mm,0mm">
                          <w:txbxContent>
                            <w:p>
                              <w:pPr>
                                <w:jc w:val="center"/>
                                <w:rPr>
                                  <w:rFonts w:hint="eastAsia"/>
                                  <w:sz w:val="21"/>
                                  <w:szCs w:val="21"/>
                                </w:rPr>
                              </w:pPr>
                              <w:r>
                                <w:rPr>
                                  <w:rFonts w:hint="default" w:ascii="Times New Roman" w:hAnsi="Times New Roman" w:cs="Times New Roman"/>
                                  <w:color w:val="auto"/>
                                  <w:sz w:val="21"/>
                                  <w:szCs w:val="21"/>
                                  <w:lang w:eastAsia="zh-CN"/>
                                </w:rPr>
                                <w:t>蓬溪县来龙山污水处理厂</w:t>
                              </w:r>
                            </w:p>
                          </w:txbxContent>
                        </v:textbox>
                      </v:shape>
                      <v:line id="直接连接符 97" o:spid="_x0000_s1026" o:spt="20" style="position:absolute;left:2640330;top:492125;height:635;width:683895;" filled="f" stroked="t" coordsize="21600,21600" o:gfxdata="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DHIddkAAAAKAQAADwAAAAAAAAAB&#10;ACAAAAAiAAAAZHJzL2Rvd25yZXYueG1sUEsBAhQAFAAAAAgAh07iQEEguwQPAgAA+AMAAA4AAAAA&#10;AAAAAQAgAAAAKAEAAGRycy9lMm9Eb2MueG1sUEsFBgAAAAAGAAYAWQEAAKkFAAAAAA==&#10;">
                        <v:fill on="f" focussize="0,0"/>
                        <v:stroke weight="1pt" color="#000000" joinstyle="round" endarrow="block"/>
                        <v:imagedata o:title=""/>
                        <o:lock v:ext="edit" aspectratio="f"/>
                      </v:line>
                      <v:line id="直接连接符 98" o:spid="_x0000_s1026" o:spt="20" style="position:absolute;left:4151630;top:492125;height:635;width:237490;" filled="f" stroked="t" coordsize="21600,21600" o:gfxdata="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pOgYjaAAAACgEAAA8AAAAAAAAAAQAgAAAAIgAA&#10;AGRycy9kb3ducmV2LnhtbFBLAQIUABQAAAAIAIdO4kD+rqaABgIAAPQDAAAOAAAAAAAAAAEAIAAA&#10;ACkBAABkcnMvZTJvRG9jLnhtbFBLBQYAAAAABgAGAFkBAAChBQAAAAA=&#10;">
                        <v:fill on="f" focussize="0,0"/>
                        <v:stroke weight="1pt" color="#000000" joinstyle="round"/>
                        <v:imagedata o:title=""/>
                        <o:lock v:ext="edit" aspectratio="f"/>
                      </v:line>
                      <v:line id="直接连接符 99" o:spid="_x0000_s1026" o:spt="20" style="position:absolute;left:4381500;top:488950;height:467995;width:635;" filled="f" stroked="t" coordsize="21600,21600" o:gfxdata="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AxyHXZAAAACgEAAA8AAAAAAAAAAQAgAAAA&#10;IgAAAGRycy9kb3ducmV2LnhtbFBLAQIUABQAAAAIAIdO4kBfUavkCgIAAPgDAAAOAAAAAAAAAAEA&#10;IAAAACgBAABkcnMvZTJvRG9jLnhtbFBLBQYAAAAABgAGAFkBAACkBQAAAAA=&#10;">
                        <v:fill on="f" focussize="0,0"/>
                        <v:stroke weight="1pt" color="#000000" joinstyle="round" endarrow="block"/>
                        <v:imagedata o:title=""/>
                        <o:lock v:ext="edit" aspectratio="f"/>
                      </v:line>
                      <v:line id="直接连接符 100" o:spid="_x0000_s1026" o:spt="20" style="position:absolute;left:4354195;top:1404620;height:215900;width:635;" filled="f" stroked="t" coordsize="21600,21600" o:gfxdata="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wMch12QAAAAoBAAAPAAAAAAAAAAEAIAAA&#10;ACIAAABkcnMvZG93bnJldi54bWxQSwECFAAUAAAACACHTuJAZHCrGgsCAAD6AwAADgAAAAAAAAAB&#10;ACAAAAAoAQAAZHJzL2Uyb0RvYy54bWxQSwUGAAAAAAYABgBZAQAApQUAAAAA&#10;">
                        <v:fill on="f" focussize="0,0"/>
                        <v:stroke weight="1pt" color="#000000" joinstyle="round" endarrow="block"/>
                        <v:imagedata o:title=""/>
                        <o:lock v:ext="edit" aspectratio="f"/>
                      </v:line>
                      <v:shape id="文本框 101" o:spid="_x0000_s1026" o:spt="202" type="#_x0000_t202" style="position:absolute;left:4098925;top:1658620;height:273050;width:563880;" fillcolor="#FFFFFF" filled="t" stroked="f" coordsize="21600,21600" o:gfxdata="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xtB&#10;MNgAAAAKAQAADwAAAAAAAAABACAAAAAiAAAAZHJzL2Rvd25yZXYueG1sUEsBAhQAFAAAAAgAh07i&#10;QA/xgoMiAgAAQQQAAA4AAAAAAAAAAQAgAAAAJwEAAGRycy9lMm9Eb2MueG1sUEsFBgAAAAAGAAYA&#10;WQEAALsFAAAAAA==&#10;">
                        <v:fill on="t" focussize="0,0"/>
                        <v:stroke on="f" weight="1pt" joinstyle="miter"/>
                        <v:imagedata o:title=""/>
                        <o:lock v:ext="edit" aspectratio="f"/>
                        <v:textbox inset="0mm,0mm,0mm,0mm">
                          <w:txbxContent>
                            <w:p>
                              <w:pPr>
                                <w:rPr>
                                  <w:rFonts w:hint="eastAsia"/>
                                  <w:sz w:val="21"/>
                                  <w:szCs w:val="21"/>
                                </w:rPr>
                              </w:pPr>
                              <w:r>
                                <w:rPr>
                                  <w:rFonts w:hint="default" w:ascii="Times New Roman" w:hAnsi="Times New Roman" w:cs="Times New Roman"/>
                                  <w:color w:val="auto"/>
                                  <w:sz w:val="21"/>
                                  <w:szCs w:val="21"/>
                                  <w:lang w:eastAsia="zh-CN"/>
                                </w:rPr>
                                <w:t>芝溪河</w:t>
                              </w:r>
                            </w:p>
                          </w:txbxContent>
                        </v:textbox>
                      </v:shape>
                      <v:group id="组合 107" o:spid="_x0000_s1026" o:spt="203" style="position:absolute;left:871855;top:204470;height:388620;width:1882775;" coordorigin="3444,6357" coordsize="2965,612" o:gfxdata="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">
                        <o:lock v:ext="edit" aspectratio="f"/>
                        <v:shape id="文本框 102" o:spid="_x0000_s1026" o:spt="202" type="#_x0000_t202" style="position:absolute;left:4368;top:6657;height:312;width:1861;" fillcolor="#FFFFFF" filled="t" stroked="t" coordsize="21600,21600" o:gfxdata="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TPQL4A&#10;AADc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inset="0mm,0mm,0mm,0mm">
                            <w:txbxContent>
                              <w:p>
                                <w:pPr>
                                  <w:snapToGrid w:val="0"/>
                                  <w:jc w:val="center"/>
                                  <w:rPr>
                                    <w:rFonts w:hint="eastAsia"/>
                                  </w:rPr>
                                </w:pPr>
                                <w:r>
                                  <w:rPr>
                                    <w:rFonts w:hint="eastAsia"/>
                                  </w:rPr>
                                  <w:t>办公、生活用水</w:t>
                                </w:r>
                              </w:p>
                            </w:txbxContent>
                          </v:textbox>
                        </v:shape>
                        <v:shape id="文本框 103" o:spid="_x0000_s1026" o:spt="202" type="#_x0000_t202" style="position:absolute;left:3511;top:6525;height:255;width:799;" filled="f" stroked="f" coordsize="21600,21600" o:gfxdata="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NU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jc w:val="center"/>
                                  <w:rPr>
                                    <w:rFonts w:hint="eastAsia"/>
                                  </w:rPr>
                                </w:pPr>
                                <w:r>
                                  <w:rPr>
                                    <w:rFonts w:hint="eastAsia"/>
                                  </w:rPr>
                                  <w:t>1.75</w:t>
                                </w:r>
                              </w:p>
                            </w:txbxContent>
                          </v:textbox>
                        </v:shape>
                        <v:line id="直接连接符 104" o:spid="_x0000_s1026" o:spt="20" style="position:absolute;left:3444;top:6820;height:1;width:907;" filled="f" stroked="t" coordsize="21600,21600" o:gfxdata="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F0a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105" o:spid="_x0000_s1026" o:spt="202" type="#_x0000_t202" style="position:absolute;left:4861;top:6357;height:255;width:1548;" filled="f" stroked="f" coordsize="21600,21600" o:gfxdata="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mSj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jc w:val="center"/>
                                  <w:rPr>
                                    <w:rFonts w:hint="eastAsia"/>
                                  </w:rPr>
                                </w:pPr>
                                <w:r>
                                  <w:rPr>
                                    <w:rFonts w:hint="eastAsia"/>
                                  </w:rPr>
                                  <w:t>损失0.2625</w:t>
                                </w:r>
                              </w:p>
                            </w:txbxContent>
                          </v:textbox>
                        </v:shape>
                        <v:line id="直接连接符 106" o:spid="_x0000_s1026" o:spt="20" style="position:absolute;left:4969;top:6513;flip:y;height:156;width:180;" filled="f" stroked="t" coordsize="21600,21600" o:gfxdata="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ErdavQAA&#10;ANwAAAAPAAAAAAAAAAEAIAAAACIAAABkcnMvZG93bnJldi54bWxQSwECFAAUAAAACACHTuJAMy8F&#10;njsAAAA5AAAAEAAAAAAAAAABACAAAAAMAQAAZHJzL3NoYXBleG1sLnhtbFBLBQYAAAAABgAGAFsB&#10;AAC2AwAAAAA=&#10;">
                          <v:fill on="f" focussize="0,0"/>
                          <v:stroke weight="1pt" color="#000000" joinstyle="round" dashstyle="1 1" endcap="round" endarrow="block" endarrowwidth="narrow" endarrowlength="short"/>
                          <v:imagedata o:title=""/>
                          <o:lock v:ext="edit" aspectratio="f"/>
                        </v:line>
                      </v:group>
                      <v:line id="直接连接符 108" o:spid="_x0000_s1026" o:spt="20" style="position:absolute;left:856615;top:2308860;height:635;width:575945;" filled="f" stroked="t" coordsize="21600,21600" o:gfxdata="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AxyHXZAAAACgEAAA8AAAAAAAAAAQAg&#10;AAAAIgAAAGRycy9kb3ducmV2LnhtbFBLAQIUABQAAAAIAIdO4kCy+U8WDQIAAPkDAAAOAAAAAAAA&#10;AAEAIAAAACgBAABkcnMvZTJvRG9jLnhtbFBLBQYAAAAABgAGAFkBAACnBQAAAAA=&#10;">
                        <v:fill on="f" focussize="0,0"/>
                        <v:stroke weight="1pt" color="#000000" joinstyle="round" endarrow="block"/>
                        <v:imagedata o:title=""/>
                        <o:lock v:ext="edit" aspectratio="f"/>
                      </v:line>
                      <v:shape id="文本框 109" o:spid="_x0000_s1026" o:spt="202" type="#_x0000_t202" style="position:absolute;left:886460;top:2136775;height:161925;width:507365;" filled="f" stroked="f" coordsize="21600,21600" o:gfxdata="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ravL9kAAAAKAQAADwAAAAAAAAABACAAAAAiAAAAZHJz&#10;L2Rvd25yZXYueG1sUEsBAhQAFAAAAAgAh07iQJ0rqbnKAQAAgAMAAA4AAAAAAAAAAQAgAAAAKAEA&#10;AGRycy9lMm9Eb2MueG1sUEsFBgAAAAAGAAYAWQEAAGQFAAAAAA==&#10;">
                        <v:fill on="f" focussize="0,0"/>
                        <v:stroke on="f"/>
                        <v:imagedata o:title=""/>
                        <o:lock v:ext="edit" aspectratio="f"/>
                        <v:textbox inset="0mm,0mm,0mm,0mm">
                          <w:txbxContent>
                            <w:p>
                              <w:pPr>
                                <w:snapToGrid w:val="0"/>
                                <w:jc w:val="center"/>
                                <w:rPr>
                                  <w:rFonts w:hint="eastAsia"/>
                                </w:rPr>
                              </w:pPr>
                              <w:r>
                                <w:rPr>
                                  <w:rFonts w:hint="eastAsia"/>
                                </w:rPr>
                                <w:t>2</w:t>
                              </w:r>
                            </w:p>
                          </w:txbxContent>
                        </v:textbox>
                      </v:shape>
                      <v:shape id="文本框 110" o:spid="_x0000_s1026" o:spt="202" type="#_x0000_t202" style="position:absolute;left:1433195;top:2218055;height:198120;width:1181735;" fillcolor="#FFFFFF" filled="t" stroked="t" coordsize="21600,21600" o:gfxdata="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ZsQ09gAAAAKAQAADwAAAAAAAAABACAAAAAiAAAAZHJzL2Rvd25yZXYueG1sUEsBAhQAFAAA&#10;AAgAh07iQOfNJjsoAgAAawQAAA4AAAAAAAAAAQAgAAAAJwEAAGRycy9lMm9Eb2MueG1sUEsFBgAA&#10;AAAGAAYAWQEAAMEFAAAAAA==&#10;">
                        <v:fill on="t" focussize="0,0"/>
                        <v:stroke weight="1pt" color="#000000" joinstyle="miter"/>
                        <v:imagedata o:title=""/>
                        <o:lock v:ext="edit" aspectratio="f"/>
                        <v:textbox inset="0mm,0mm,0mm,0mm">
                          <w:txbxContent>
                            <w:p>
                              <w:pPr>
                                <w:snapToGrid w:val="0"/>
                                <w:jc w:val="center"/>
                                <w:rPr>
                                  <w:rFonts w:hint="eastAsia"/>
                                </w:rPr>
                              </w:pPr>
                              <w:r>
                                <w:rPr>
                                  <w:rFonts w:hint="eastAsia"/>
                                </w:rPr>
                                <w:t>循环冷却水</w:t>
                              </w:r>
                            </w:p>
                          </w:txbxContent>
                        </v:textbox>
                      </v:shape>
                      <v:shape id="文本框 111" o:spid="_x0000_s1026" o:spt="202" type="#_x0000_t202" style="position:absolute;left:2049780;top:1979295;height:161925;width:507365;" filled="f" stroked="f" coordsize="21600,21600" o:gfxdata="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2ry/ZAAAACgEAAA8AAAAAAAAAAQAgAAAAIgAAAGRycy9k&#10;b3ducmV2LnhtbFBLAQIUABQAAAAIAIdO4kDi6DoYyAEAAIEDAAAOAAAAAAAAAAEAIAAAACgBAABk&#10;cnMvZTJvRG9jLnhtbFBLBQYAAAAABgAGAFkBAABiBQAAAAA=&#10;">
                        <v:fill on="f" focussize="0,0"/>
                        <v:stroke on="f"/>
                        <v:imagedata o:title=""/>
                        <o:lock v:ext="edit" aspectratio="f"/>
                        <v:textbox inset="0mm,0mm,0mm,0mm">
                          <w:txbxContent>
                            <w:p>
                              <w:pPr>
                                <w:snapToGrid w:val="0"/>
                                <w:rPr>
                                  <w:rFonts w:hint="eastAsia"/>
                                </w:rPr>
                              </w:pPr>
                              <w:r>
                                <w:rPr>
                                  <w:rFonts w:hint="eastAsia"/>
                                </w:rPr>
                                <w:t>2</w:t>
                              </w:r>
                            </w:p>
                          </w:txbxContent>
                        </v:textbox>
                      </v:shape>
                      <v:line id="直接连接符 112" o:spid="_x0000_s1026" o:spt="20" style="position:absolute;left:914400;top:1287780;height:0;width:457200;" filled="f" stroked="t" coordsize="21600,21600" o:gfxdata="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Vxl9sAAAAKAQAADwAAAAAAAAABACAA&#10;AAAiAAAAZHJzL2Rvd25yZXYueG1sUEsBAhQAFAAAAAgAh07iQLtAv8IKAgAA9gMAAA4AAAAAAAAA&#10;AQAgAAAAKgEAAGRycy9lMm9Eb2MueG1sUEsFBgAAAAAGAAYAWQEAAKYFAAAAAA==&#10;">
                        <v:fill on="f" focussize="0,0"/>
                        <v:stroke color="#000000" joinstyle="round" endarrow="block"/>
                        <v:imagedata o:title=""/>
                        <o:lock v:ext="edit" aspectratio="f"/>
                      </v:line>
                      <v:rect id="矩形 113" o:spid="_x0000_s1026" o:spt="1" style="position:absolute;left:1371600;top:1188720;height:396240;width:914400;" fillcolor="#FFFFFF" filled="t" stroked="t" coordsize="21600,21600" o:gfxdata="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sOEetgAAAAKAQAADwAAAAAAAAAB&#10;ACAAAAAiAAAAZHJzL2Rvd25yZXYueG1sUEsBAhQAFAAAAAgAh07iQI3gu9YQAgAAOAQAAA4AAAAA&#10;AAAAAQAgAAAAJwEAAGRycy9lMm9Eb2MueG1sUEsFBgAAAAAGAAYAWQEAAKkFAAAAAA==&#10;">
                        <v:fill on="t" focussize="0,0"/>
                        <v:stroke color="#000000" joinstyle="miter"/>
                        <v:imagedata o:title=""/>
                        <o:lock v:ext="edit" aspectratio="f"/>
                        <v:textbox>
                          <w:txbxContent>
                            <w:p>
                              <w:r>
                                <w:t>喷淋塔用水</w:t>
                              </w:r>
                            </w:p>
                          </w:txbxContent>
                        </v:textbox>
                      </v:rect>
                      <v:line id="直接连接符 114" o:spid="_x0000_s1026" o:spt="20" style="position:absolute;left:3540125;top:592455;flip:x y;height:794385;width:3175;" filled="f" stroked="t" coordsize="21600,21600" o:gfxdata="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hQae/aAAAA&#10;CgEAAA8AAAAAAAAAAQAgAAAAIgAAAGRycy9kb3ducmV2LnhtbFBLAQIUABQAAAAIAIdO4kDxjaFO&#10;GwIAAA0EAAAOAAAAAAAAAAEAIAAAACkBAABkcnMvZTJvRG9jLnhtbFBLBQYAAAAABgAGAFkBAAC2&#10;BQAAAAA=&#10;">
                        <v:fill on="f" focussize="0,0"/>
                        <v:stroke color="#000000" joinstyle="round" endarrow="block"/>
                        <v:imagedata o:title=""/>
                        <o:lock v:ext="edit" aspectratio="f"/>
                      </v:line>
                      <v:rect id="矩形 115" o:spid="_x0000_s1026" o:spt="1" style="position:absolute;left:2808605;top:866775;height:495300;width:571500;" filled="f" stroked="f" coordsize="21600,21600" o:gfxdata="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6RKmN2wAAAAoBAAAPAAAAAAAAAAEAIAAAACIAAABkcnMvZG93bnJldi54bWxQSwECFAAUAAAA&#10;CACHTuJAS4Hza7IBAABPAwAADgAAAAAAAAABACAAAAAqAQAAZHJzL2Uyb0RvYy54bWxQSwUGAAAA&#10;AAYABgBZAQAATgUAAAAA&#10;">
                        <v:fill on="f" focussize="0,0"/>
                        <v:stroke on="f"/>
                        <v:imagedata o:title=""/>
                        <o:lock v:ext="edit" aspectratio="f"/>
                        <v:textbox>
                          <w:txbxContent>
                            <w:p>
                              <w:pPr>
                                <w:rPr>
                                  <w:rFonts w:hint="eastAsia"/>
                                </w:rPr>
                              </w:pPr>
                              <w:r>
                                <w:rPr>
                                  <w:rFonts w:hint="eastAsia"/>
                                </w:rPr>
                                <w:t>0.0425</w:t>
                              </w:r>
                            </w:p>
                          </w:txbxContent>
                        </v:textbox>
                      </v:rect>
                      <v:line id="直接连接符 116" o:spid="_x0000_s1026" o:spt="20" style="position:absolute;left:1600200;top:990600;flip:y;height:198120;width:228600;" filled="f" stroked="t" coordsize="21600,21600" o:gfxdata="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gwU581wAAAAoBAAAPAAAAAAAA&#10;AAEAIAAAACIAAABkcnMvZG93bnJldi54bWxQSwECFAAUAAAACACHTuJAq+akxxMCAAAEBAAADgAA&#10;AAAAAAABACAAAAAmAQAAZHJzL2Uyb0RvYy54bWxQSwUGAAAAAAYABgBZAQAAqwUAAAAA&#10;">
                        <v:fill on="f" focussize="0,0"/>
                        <v:stroke color="#000000" joinstyle="round" dashstyle="dash" endarrow="block"/>
                        <v:imagedata o:title=""/>
                        <o:lock v:ext="edit" aspectratio="f"/>
                      </v:line>
                      <v:rect id="矩形 117" o:spid="_x0000_s1026" o:spt="1" style="position:absolute;left:1828800;top:792480;height:297180;width:914400;" filled="f" stroked="f" coordsize="21600,21600" o:gfxdata="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E&#10;qY3bAAAACgEAAA8AAAAAAAAAAQAgAAAAIgAAAGRycy9kb3ducmV2LnhtbFBLAQIUABQAAAAIAIdO&#10;4kArlZIlrgEAAE8DAAAOAAAAAAAAAAEAIAAAACoBAABkcnMvZTJvRG9jLnhtbFBLBQYAAAAABgAG&#10;AFkBAABKBQAAAAA=&#10;">
                        <v:fill on="f" focussize="0,0"/>
                        <v:stroke on="f"/>
                        <v:imagedata o:title=""/>
                        <o:lock v:ext="edit" aspectratio="f"/>
                        <v:textbox>
                          <w:txbxContent>
                            <w:p>
                              <w:pPr>
                                <w:rPr>
                                  <w:rFonts w:hint="eastAsia"/>
                                </w:rPr>
                              </w:pPr>
                              <w:r>
                                <w:t>损失</w:t>
                              </w:r>
                              <w:r>
                                <w:rPr>
                                  <w:rFonts w:hint="eastAsia"/>
                                </w:rPr>
                                <w:t>0.0075</w:t>
                              </w:r>
                            </w:p>
                          </w:txbxContent>
                        </v:textbox>
                      </v:rect>
                      <v:shape id="文本框 118" o:spid="_x0000_s1026" o:spt="202" type="#_x0000_t202" style="position:absolute;left:914400;top:1089660;height:161925;width:507365;" filled="f" stroked="f" coordsize="21600,21600" o:gfxdata="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ravL9kAAAAKAQAADwAAAAAAAAABACAAAAAiAAAAZHJzL2Rv&#10;d25yZXYueG1sUEsBAhQAFAAAAAgAh07iQPuBjJXHAQAAgAMAAA4AAAAAAAAAAQAgAAAAKAEAAGRy&#10;cy9lMm9Eb2MueG1sUEsFBgAAAAAGAAYAWQEAAGEFAAAAAA==&#10;">
                        <v:fill on="f" focussize="0,0"/>
                        <v:stroke on="f"/>
                        <v:imagedata o:title=""/>
                        <o:lock v:ext="edit" aspectratio="f"/>
                        <v:textbox inset="0mm,0mm,0mm,0mm">
                          <w:txbxContent>
                            <w:p>
                              <w:pPr>
                                <w:snapToGrid w:val="0"/>
                                <w:jc w:val="center"/>
                                <w:rPr>
                                  <w:rFonts w:hint="eastAsia"/>
                                </w:rPr>
                              </w:pPr>
                              <w:r>
                                <w:rPr>
                                  <w:rFonts w:hint="eastAsia"/>
                                </w:rPr>
                                <w:t>0.05</w:t>
                              </w:r>
                            </w:p>
                          </w:txbxContent>
                        </v:textbox>
                      </v:shape>
                      <v:line id="直接连接符 119" o:spid="_x0000_s1026" o:spt="20" style="position:absolute;left:2286000;top:1375410;height:0;width:342900;" filled="f" stroked="t" coordsize="21600,21600" o:gfxdata="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Vxl9sAAAAKAQAADwAAAAAAAAAB&#10;ACAAAAAiAAAAZHJzL2Rvd25yZXYueG1sUEsBAhQAFAAAAAgAh07iQLLbaN0NAgAA9wMAAA4AAAAA&#10;AAAAAQAgAAAAKgEAAGRycy9lMm9Eb2MueG1sUEsFBgAAAAAGAAYAWQEAAKkFAAAAAA==&#10;">
                        <v:fill on="f" focussize="0,0"/>
                        <v:stroke color="#000000" joinstyle="round" endarrow="block"/>
                        <v:imagedata o:title=""/>
                        <o:lock v:ext="edit" aspectratio="f"/>
                      </v:line>
                      <v:rect id="矩形 120" o:spid="_x0000_s1026" o:spt="1" style="position:absolute;left:2628900;top:1177290;height:495300;width:685800;" fillcolor="#FFFFFF" filled="t" stroked="t" coordsize="21600,21600" o:gfxdata="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w4R62AAAAAoBAAAPAAAAAAAAAAEAIAAA&#10;ACIAAABkcnMvZG93bnJldi54bWxQSwECFAAUAAAACACHTuJA1yPZ8wwCAAA4BAAADgAAAAAAAAAB&#10;ACAAAAAnAQAAZHJzL2Uyb0RvYy54bWxQSwUGAAAAAAYABgBZAQAApQUAAAAA&#10;">
                        <v:fill on="t" focussize="0,0"/>
                        <v:stroke color="#000000" joinstyle="miter"/>
                        <v:imagedata o:title=""/>
                        <o:lock v:ext="edit" aspectratio="f"/>
                        <v:textbox>
                          <w:txbxContent>
                            <w:p>
                              <w:pPr>
                                <w:rPr>
                                  <w:rFonts w:hint="eastAsia"/>
                                </w:rPr>
                              </w:pPr>
                              <w:r>
                                <w:t>酸碱</w:t>
                              </w:r>
                            </w:p>
                            <w:p>
                              <w:r>
                                <w:t>中和</w:t>
                              </w:r>
                            </w:p>
                          </w:txbxContent>
                        </v:textbox>
                      </v:rect>
                      <v:line id="直接连接符 121" o:spid="_x0000_s1026" o:spt="20" style="position:absolute;left:3314700;top:1375410;height:0;width:228600;" filled="f" stroked="t" coordsize="21600,21600" o:gfxdata="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huK9gAAAAKAQAADwAAAAAAAAABACAAAAAiAAAAZHJz&#10;L2Rvd25yZXYueG1sUEsBAhQAFAAAAAgAh07iQKlZdoIEAgAA8wMAAA4AAAAAAAAAAQAgAAAAJwEA&#10;AGRycy9lMm9Eb2MueG1sUEsFBgAAAAAGAAYAWQEAAJ0FAAAAAA==&#10;">
                        <v:fill on="f" focussize="0,0"/>
                        <v:stroke color="#000000" joinstyle="round"/>
                        <v:imagedata o:title=""/>
                        <o:lock v:ext="edit" aspectratio="f"/>
                      </v:line>
                      <v:line id="直接连接符 122" o:spid="_x0000_s1026" o:spt="20" style="position:absolute;left:1821180;top:2078355;flip:y;height:99060;width:228600;" filled="f" stroked="t" coordsize="21600,21600" o:gfxdata="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wkwydkAAAAKAQAADwAA&#10;AAAAAAABACAAAAAiAAAAZHJzL2Rvd25yZXYueG1sUEsBAhQAFAAAAAgAh07iQN9u6hsVAgAABQQA&#10;AA4AAAAAAAAAAQAgAAAAKAEAAGRycy9lMm9Eb2MueG1sUEsFBgAAAAAGAAYAWQEAAK8FAAAAAA==&#10;">
                        <v:fill on="f" focussize="0,0"/>
                        <v:stroke weight="1pt" color="#000000" joinstyle="round" dashstyle="dash" endarrow="block"/>
                        <v:imagedata o:title=""/>
                        <o:lock v:ext="edit" aspectratio="f"/>
                      </v:line>
                    </v:group>
                  </w:pict>
                </mc:Fallback>
              </mc:AlternateContent>
            </w:r>
          </w:p>
          <w:p>
            <w:pPr>
              <w:adjustRightInd w:val="0"/>
              <w:spacing w:line="360" w:lineRule="auto"/>
              <w:ind w:firstLine="482" w:firstLineChars="200"/>
              <w:outlineLvl w:val="2"/>
              <w:rPr>
                <w:rFonts w:hint="eastAsia"/>
                <w:b/>
                <w:sz w:val="24"/>
              </w:rPr>
            </w:pPr>
          </w:p>
          <w:p>
            <w:pPr>
              <w:adjustRightInd w:val="0"/>
              <w:spacing w:line="360" w:lineRule="auto"/>
              <w:ind w:firstLine="482" w:firstLineChars="200"/>
              <w:outlineLvl w:val="2"/>
              <w:rPr>
                <w:rFonts w:hint="eastAsia"/>
                <w:b/>
                <w:sz w:val="24"/>
                <w:highlight w:val="yellow"/>
              </w:rPr>
            </w:pPr>
          </w:p>
          <w:p>
            <w:pPr>
              <w:adjustRightInd w:val="0"/>
              <w:spacing w:line="360" w:lineRule="auto"/>
              <w:ind w:firstLine="482" w:firstLineChars="200"/>
              <w:outlineLvl w:val="2"/>
              <w:rPr>
                <w:rFonts w:hint="eastAsia"/>
                <w:b/>
                <w:sz w:val="24"/>
                <w:highlight w:val="yellow"/>
              </w:rPr>
            </w:pPr>
          </w:p>
          <w:p>
            <w:pPr>
              <w:adjustRightInd w:val="0"/>
              <w:spacing w:line="360" w:lineRule="auto"/>
              <w:ind w:firstLine="482" w:firstLineChars="200"/>
              <w:outlineLvl w:val="2"/>
              <w:rPr>
                <w:rFonts w:hint="eastAsia"/>
                <w:b/>
                <w:sz w:val="24"/>
                <w:highlight w:val="yellow"/>
              </w:rPr>
            </w:pPr>
          </w:p>
          <w:p>
            <w:pPr>
              <w:adjustRightInd w:val="0"/>
              <w:spacing w:line="360" w:lineRule="auto"/>
              <w:ind w:firstLine="482" w:firstLineChars="200"/>
              <w:outlineLvl w:val="2"/>
              <w:rPr>
                <w:rFonts w:hint="eastAsia"/>
                <w:b/>
                <w:sz w:val="24"/>
                <w:highlight w:val="yellow"/>
              </w:rPr>
            </w:pPr>
          </w:p>
          <w:p>
            <w:pPr>
              <w:adjustRightInd w:val="0"/>
              <w:spacing w:line="360" w:lineRule="auto"/>
              <w:ind w:firstLine="482" w:firstLineChars="200"/>
              <w:outlineLvl w:val="2"/>
              <w:rPr>
                <w:rFonts w:hint="eastAsia"/>
                <w:b/>
                <w:sz w:val="24"/>
                <w:highlight w:val="yellow"/>
              </w:rPr>
            </w:pPr>
          </w:p>
          <w:p>
            <w:pPr>
              <w:adjustRightInd w:val="0"/>
              <w:spacing w:line="360" w:lineRule="auto"/>
              <w:ind w:firstLine="482" w:firstLineChars="200"/>
              <w:outlineLvl w:val="2"/>
              <w:rPr>
                <w:rFonts w:hint="eastAsia"/>
                <w:b/>
                <w:sz w:val="24"/>
                <w:highlight w:val="yellow"/>
              </w:rPr>
            </w:pPr>
          </w:p>
          <w:p>
            <w:pPr>
              <w:adjustRightInd w:val="0"/>
              <w:spacing w:line="360" w:lineRule="auto"/>
              <w:ind w:firstLine="482" w:firstLineChars="200"/>
              <w:outlineLvl w:val="2"/>
              <w:rPr>
                <w:rFonts w:hint="eastAsia"/>
                <w:b/>
                <w:sz w:val="24"/>
                <w:highlight w:val="yellow"/>
              </w:rPr>
            </w:pPr>
          </w:p>
          <w:p>
            <w:pPr>
              <w:adjustRightInd w:val="0"/>
              <w:spacing w:line="360" w:lineRule="auto"/>
              <w:outlineLvl w:val="2"/>
              <w:rPr>
                <w:rFonts w:hint="eastAsia"/>
                <w:b/>
                <w:sz w:val="24"/>
                <w:highlight w:val="yellow"/>
              </w:rPr>
            </w:pPr>
          </w:p>
          <w:p>
            <w:pPr>
              <w:spacing w:line="360" w:lineRule="auto"/>
              <w:ind w:firstLine="2924" w:firstLineChars="1387"/>
              <w:rPr>
                <w:rFonts w:hint="eastAsia" w:eastAsia="黑体"/>
                <w:b/>
                <w:color w:val="000000"/>
              </w:rPr>
            </w:pPr>
            <w:r>
              <w:rPr>
                <w:b/>
                <w:color w:val="000000"/>
                <w:szCs w:val="21"/>
              </w:rPr>
              <w:t>图</w:t>
            </w:r>
            <w:r>
              <w:rPr>
                <w:rFonts w:hint="eastAsia"/>
                <w:b/>
                <w:color w:val="000000"/>
                <w:szCs w:val="21"/>
                <w:lang w:val="en-US" w:eastAsia="zh-CN"/>
              </w:rPr>
              <w:t>4-2</w:t>
            </w:r>
            <w:r>
              <w:rPr>
                <w:b/>
                <w:color w:val="000000"/>
                <w:szCs w:val="21"/>
              </w:rPr>
              <w:t xml:space="preserve"> </w:t>
            </w:r>
            <w:r>
              <w:rPr>
                <w:rFonts w:hAnsi="宋体"/>
                <w:b/>
                <w:color w:val="000000"/>
              </w:rPr>
              <w:t>项目给排水平衡图（</w:t>
            </w:r>
            <w:r>
              <w:rPr>
                <w:b/>
                <w:color w:val="000000"/>
              </w:rPr>
              <w:t>m</w:t>
            </w:r>
            <w:r>
              <w:rPr>
                <w:b/>
                <w:color w:val="000000"/>
                <w:vertAlign w:val="superscript"/>
              </w:rPr>
              <w:t>3</w:t>
            </w:r>
            <w:r>
              <w:rPr>
                <w:b/>
                <w:color w:val="000000"/>
              </w:rPr>
              <w:t>/</w:t>
            </w:r>
            <w:r>
              <w:rPr>
                <w:rFonts w:hint="eastAsia"/>
                <w:b/>
                <w:color w:val="000000"/>
              </w:rPr>
              <w:t>d</w:t>
            </w:r>
            <w:r>
              <w:rPr>
                <w:rFonts w:hAnsi="宋体"/>
                <w:b/>
                <w:color w:val="000000"/>
              </w:rPr>
              <w:t>）</w:t>
            </w:r>
          </w:p>
          <w:p>
            <w:pPr>
              <w:spacing w:line="360" w:lineRule="auto"/>
              <w:ind w:firstLine="482" w:firstLineChars="200"/>
              <w:rPr>
                <w:rFonts w:hint="default" w:ascii="Times New Roman" w:hAnsi="Times New Roman" w:cs="Times New Roman"/>
                <w:b/>
                <w:bCs/>
                <w:color w:val="auto"/>
                <w:sz w:val="24"/>
              </w:rPr>
            </w:pPr>
            <w:r>
              <w:rPr>
                <w:rFonts w:hint="eastAsia" w:cs="Times New Roman"/>
                <w:b/>
                <w:bCs/>
                <w:color w:val="auto"/>
                <w:sz w:val="24"/>
                <w:lang w:val="en-US" w:eastAsia="zh-CN"/>
              </w:rPr>
              <w:t>项目</w:t>
            </w:r>
            <w:r>
              <w:rPr>
                <w:rFonts w:hint="default" w:ascii="Times New Roman" w:hAnsi="Times New Roman" w:cs="Times New Roman"/>
                <w:b/>
                <w:bCs/>
                <w:color w:val="auto"/>
                <w:sz w:val="24"/>
              </w:rPr>
              <w:t>废水治理措施可行性：</w:t>
            </w:r>
          </w:p>
          <w:p>
            <w:pPr>
              <w:tabs>
                <w:tab w:val="left" w:pos="82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本项目污水产生量为</w:t>
            </w:r>
            <w:r>
              <w:rPr>
                <w:rFonts w:hint="eastAsia" w:cs="Times New Roman"/>
                <w:color w:val="auto"/>
                <w:sz w:val="24"/>
                <w:lang w:val="en-US" w:eastAsia="zh-CN"/>
              </w:rPr>
              <w:t>1.53</w:t>
            </w:r>
            <w:r>
              <w:rPr>
                <w:rFonts w:hint="default" w:ascii="Times New Roman" w:hAnsi="Times New Roman" w:cs="Times New Roman"/>
                <w:color w:val="auto"/>
                <w:sz w:val="24"/>
                <w:lang w:eastAsia="zh-CN"/>
              </w:rPr>
              <w:t>m</w:t>
            </w:r>
            <w:r>
              <w:rPr>
                <w:rFonts w:hint="default" w:ascii="Times New Roman" w:hAnsi="Times New Roman" w:cs="Times New Roman"/>
                <w:color w:val="auto"/>
                <w:sz w:val="24"/>
                <w:vertAlign w:val="superscript"/>
                <w:lang w:eastAsia="zh-CN"/>
              </w:rPr>
              <w:t>3</w:t>
            </w:r>
            <w:r>
              <w:rPr>
                <w:rFonts w:hint="default" w:ascii="Times New Roman" w:hAnsi="Times New Roman" w:cs="Times New Roman"/>
                <w:color w:val="auto"/>
                <w:sz w:val="24"/>
                <w:lang w:eastAsia="zh-CN"/>
              </w:rPr>
              <w:t>/d</w:t>
            </w:r>
            <w:r>
              <w:rPr>
                <w:rFonts w:hint="default" w:ascii="Times New Roman" w:hAnsi="Times New Roman" w:cs="Times New Roman"/>
                <w:color w:val="auto"/>
                <w:sz w:val="24"/>
              </w:rPr>
              <w:t>，主要污染物为COD、BOD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-N、TP、TN。废水经预处理池处理后排入市政污水管网，送</w:t>
            </w:r>
            <w:r>
              <w:rPr>
                <w:rFonts w:hint="default" w:ascii="Times New Roman" w:hAnsi="Times New Roman" w:cs="Times New Roman"/>
                <w:color w:val="auto"/>
                <w:sz w:val="24"/>
                <w:lang w:eastAsia="zh-CN"/>
              </w:rPr>
              <w:t>蓬溪县来龙山污水处理厂</w:t>
            </w:r>
            <w:r>
              <w:rPr>
                <w:rFonts w:hint="default" w:ascii="Times New Roman" w:hAnsi="Times New Roman" w:cs="Times New Roman"/>
                <w:color w:val="auto"/>
                <w:sz w:val="24"/>
              </w:rPr>
              <w:t>处理，本项目废水处理措施可行性如下：</w:t>
            </w:r>
          </w:p>
          <w:p>
            <w:pPr>
              <w:spacing w:line="360" w:lineRule="auto"/>
              <w:ind w:firstLine="480" w:firstLineChars="200"/>
              <w:jc w:val="left"/>
              <w:rPr>
                <w:rFonts w:hint="default" w:ascii="Times New Roman" w:hAnsi="Times New Roman" w:cs="Times New Roman"/>
                <w:color w:val="auto"/>
                <w:sz w:val="24"/>
                <w:szCs w:val="22"/>
              </w:rPr>
            </w:pPr>
            <w:r>
              <w:rPr>
                <w:rFonts w:hint="default" w:ascii="Times New Roman" w:hAnsi="Times New Roman" w:cs="Times New Roman"/>
                <w:color w:val="auto"/>
                <w:sz w:val="24"/>
                <w:szCs w:val="22"/>
                <w:lang w:val="en-US" w:eastAsia="zh-CN"/>
              </w:rPr>
              <w:t>1）</w:t>
            </w:r>
            <w:r>
              <w:rPr>
                <w:rFonts w:hint="default" w:ascii="Times New Roman" w:hAnsi="Times New Roman" w:cs="Times New Roman"/>
                <w:color w:val="auto"/>
                <w:sz w:val="24"/>
                <w:szCs w:val="22"/>
              </w:rPr>
              <w:t>本项目废水为水质简单，满足</w:t>
            </w:r>
            <w:r>
              <w:rPr>
                <w:rFonts w:hint="default" w:ascii="Times New Roman" w:hAnsi="Times New Roman" w:cs="Times New Roman"/>
                <w:color w:val="auto"/>
                <w:sz w:val="24"/>
                <w:szCs w:val="22"/>
                <w:lang w:eastAsia="zh-CN"/>
              </w:rPr>
              <w:t>蓬溪县来龙山污水处理厂</w:t>
            </w:r>
            <w:r>
              <w:rPr>
                <w:rFonts w:hint="default" w:ascii="Times New Roman" w:hAnsi="Times New Roman" w:cs="Times New Roman"/>
                <w:color w:val="auto"/>
                <w:sz w:val="24"/>
                <w:szCs w:val="22"/>
              </w:rPr>
              <w:t>的处理工艺需求；</w:t>
            </w:r>
          </w:p>
          <w:p>
            <w:pPr>
              <w:spacing w:line="360" w:lineRule="auto"/>
              <w:ind w:firstLine="480" w:firstLineChars="200"/>
              <w:jc w:val="left"/>
              <w:rPr>
                <w:rFonts w:hint="default" w:ascii="Times New Roman" w:hAnsi="Times New Roman" w:cs="Times New Roman"/>
                <w:color w:val="auto"/>
                <w:sz w:val="24"/>
                <w:szCs w:val="22"/>
              </w:rPr>
            </w:pPr>
            <w:r>
              <w:rPr>
                <w:rFonts w:hint="default" w:ascii="Times New Roman" w:hAnsi="Times New Roman" w:cs="Times New Roman"/>
                <w:color w:val="auto"/>
                <w:sz w:val="24"/>
                <w:szCs w:val="22"/>
                <w:lang w:val="en-US" w:eastAsia="zh-CN"/>
              </w:rPr>
              <w:t>2）</w:t>
            </w:r>
            <w:r>
              <w:rPr>
                <w:rFonts w:hint="default" w:ascii="Times New Roman" w:hAnsi="Times New Roman" w:cs="Times New Roman"/>
                <w:color w:val="auto"/>
                <w:sz w:val="24"/>
                <w:szCs w:val="22"/>
              </w:rPr>
              <w:t>本项目处于</w:t>
            </w:r>
            <w:r>
              <w:rPr>
                <w:rFonts w:hint="default" w:ascii="Times New Roman" w:hAnsi="Times New Roman" w:cs="Times New Roman"/>
                <w:color w:val="auto"/>
                <w:sz w:val="24"/>
                <w:szCs w:val="22"/>
                <w:lang w:eastAsia="zh-CN"/>
              </w:rPr>
              <w:t>蓬溪县来龙山污水处理厂</w:t>
            </w:r>
            <w:r>
              <w:rPr>
                <w:rFonts w:hint="default" w:ascii="Times New Roman" w:hAnsi="Times New Roman" w:cs="Times New Roman"/>
                <w:color w:val="auto"/>
                <w:sz w:val="24"/>
                <w:szCs w:val="22"/>
              </w:rPr>
              <w:t>的收水范围，污水管网已铺设到位；</w:t>
            </w:r>
          </w:p>
          <w:p>
            <w:pPr>
              <w:spacing w:line="360" w:lineRule="auto"/>
              <w:ind w:firstLine="480" w:firstLineChars="200"/>
              <w:jc w:val="left"/>
              <w:rPr>
                <w:rFonts w:hint="default" w:ascii="Times New Roman" w:hAnsi="Times New Roman" w:cs="Times New Roman"/>
                <w:color w:val="auto"/>
                <w:sz w:val="24"/>
                <w:szCs w:val="22"/>
              </w:rPr>
            </w:pPr>
            <w:r>
              <w:rPr>
                <w:rFonts w:hint="default" w:ascii="Times New Roman" w:hAnsi="Times New Roman" w:cs="Times New Roman"/>
                <w:color w:val="auto"/>
                <w:sz w:val="24"/>
                <w:szCs w:val="22"/>
                <w:lang w:val="en-US" w:eastAsia="zh-CN"/>
              </w:rPr>
              <w:t>3）</w:t>
            </w:r>
            <w:r>
              <w:rPr>
                <w:rFonts w:hint="default" w:ascii="Times New Roman" w:hAnsi="Times New Roman" w:cs="Times New Roman"/>
                <w:color w:val="000000"/>
                <w:sz w:val="24"/>
              </w:rPr>
              <w:t>蓬溪县来龙山污水处理厂位于赤城镇唐家沟村二组，总占地30.6亩。于2009年11月19日开工建设，2012年8月建成竣工，2012年11月投入试运行。该污水处理厂处理规模为</w:t>
            </w:r>
            <w:r>
              <w:rPr>
                <w:rFonts w:hint="default" w:ascii="Times New Roman" w:hAnsi="Times New Roman" w:cs="Times New Roman"/>
                <w:color w:val="000000"/>
                <w:sz w:val="24"/>
                <w:lang w:val="en-US" w:eastAsia="zh-CN"/>
              </w:rPr>
              <w:t>1</w:t>
            </w:r>
            <w:r>
              <w:rPr>
                <w:rFonts w:hint="default" w:ascii="Times New Roman" w:hAnsi="Times New Roman" w:cs="Times New Roman"/>
                <w:color w:val="000000"/>
                <w:sz w:val="24"/>
              </w:rPr>
              <w:t>万m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/d，采用Carrousel氧化沟生物处理工艺，用于处理蓬溪县县城生活污水及上游工业园区</w:t>
            </w:r>
            <w:r>
              <w:rPr>
                <w:rFonts w:hint="default" w:ascii="Times New Roman" w:hAnsi="Times New Roman" w:cs="Times New Roman"/>
                <w:color w:val="000000"/>
                <w:sz w:val="24"/>
                <w:lang w:val="en-US" w:eastAsia="zh-CN"/>
              </w:rPr>
              <w:t>生活</w:t>
            </w:r>
            <w:r>
              <w:rPr>
                <w:rFonts w:hint="default" w:ascii="Times New Roman" w:hAnsi="Times New Roman" w:cs="Times New Roman"/>
                <w:color w:val="000000"/>
                <w:sz w:val="24"/>
              </w:rPr>
              <w:t>废水</w:t>
            </w:r>
            <w:r>
              <w:rPr>
                <w:rFonts w:hint="default" w:ascii="Times New Roman" w:hAnsi="Times New Roman" w:cs="Times New Roman"/>
                <w:color w:val="auto"/>
                <w:sz w:val="24"/>
                <w:szCs w:val="22"/>
              </w:rPr>
              <w:t>。</w:t>
            </w:r>
          </w:p>
          <w:p>
            <w:pPr>
              <w:spacing w:line="360" w:lineRule="auto"/>
              <w:ind w:firstLine="480" w:firstLineChars="200"/>
              <w:jc w:val="left"/>
              <w:rPr>
                <w:rFonts w:hint="default" w:ascii="Times New Roman" w:hAnsi="Times New Roman" w:cs="Times New Roman"/>
                <w:color w:val="auto"/>
                <w:sz w:val="24"/>
                <w:lang w:eastAsia="zh-CN"/>
              </w:rPr>
            </w:pPr>
            <w:r>
              <w:rPr>
                <w:rFonts w:hint="default" w:ascii="Times New Roman" w:hAnsi="Times New Roman" w:cs="Times New Roman"/>
                <w:color w:val="auto"/>
                <w:sz w:val="24"/>
                <w:szCs w:val="22"/>
                <w:lang w:val="en-US" w:eastAsia="zh-CN"/>
              </w:rPr>
              <w:t>4）</w:t>
            </w:r>
            <w:r>
              <w:rPr>
                <w:rFonts w:hint="default" w:ascii="Times New Roman" w:hAnsi="Times New Roman" w:cs="Times New Roman"/>
                <w:color w:val="auto"/>
                <w:sz w:val="24"/>
                <w:szCs w:val="22"/>
                <w:lang w:eastAsia="zh-CN"/>
              </w:rPr>
              <w:t>遂宁市齐科环保设备有限公司</w:t>
            </w:r>
            <w:r>
              <w:rPr>
                <w:rFonts w:hint="default" w:ascii="Times New Roman" w:hAnsi="Times New Roman" w:cs="Times New Roman"/>
                <w:color w:val="auto"/>
                <w:sz w:val="24"/>
                <w:lang w:eastAsia="zh-CN"/>
              </w:rPr>
              <w:t>已建设</w:t>
            </w:r>
            <w:r>
              <w:rPr>
                <w:rFonts w:hint="default" w:ascii="Times New Roman" w:hAnsi="Times New Roman" w:cs="Times New Roman"/>
                <w:color w:val="auto"/>
                <w:sz w:val="24"/>
                <w:lang w:val="en-US" w:eastAsia="zh-CN"/>
              </w:rPr>
              <w:t>20m³的生活废水</w:t>
            </w:r>
            <w:r>
              <w:rPr>
                <w:rFonts w:hint="default" w:ascii="Times New Roman" w:hAnsi="Times New Roman" w:cs="Times New Roman"/>
                <w:color w:val="auto"/>
                <w:sz w:val="24"/>
              </w:rPr>
              <w:t>预处理池</w:t>
            </w:r>
            <w:r>
              <w:rPr>
                <w:rFonts w:hint="default" w:ascii="Times New Roman" w:hAnsi="Times New Roman" w:cs="Times New Roman"/>
                <w:color w:val="auto"/>
                <w:sz w:val="24"/>
                <w:lang w:eastAsia="zh-CN"/>
              </w:rPr>
              <w:t>（化粪池），用于收集和预处理厂区所产生的生活废水，本项目废水产量仅</w:t>
            </w:r>
            <w:r>
              <w:rPr>
                <w:rFonts w:hint="eastAsia" w:cs="Times New Roman"/>
                <w:color w:val="auto"/>
                <w:sz w:val="24"/>
                <w:lang w:val="en-US" w:eastAsia="zh-CN"/>
              </w:rPr>
              <w:t>1.53</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lang w:eastAsia="zh-CN"/>
              </w:rPr>
              <w:t>，</w:t>
            </w:r>
            <w:r>
              <w:rPr>
                <w:rFonts w:hint="default" w:ascii="Times New Roman" w:hAnsi="Times New Roman" w:cs="Times New Roman"/>
                <w:color w:val="auto"/>
                <w:sz w:val="24"/>
                <w:szCs w:val="22"/>
                <w:lang w:eastAsia="zh-CN"/>
              </w:rPr>
              <w:t>遂宁市齐科环保设备有限公司</w:t>
            </w:r>
            <w:r>
              <w:rPr>
                <w:rFonts w:hint="default" w:ascii="Times New Roman" w:hAnsi="Times New Roman" w:cs="Times New Roman"/>
                <w:color w:val="auto"/>
                <w:sz w:val="24"/>
                <w:lang w:eastAsia="zh-CN"/>
              </w:rPr>
              <w:t>既有预处理池还有足够的容量满足本项目生活废水的预处理需要。</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b/>
                <w:color w:val="auto"/>
                <w:sz w:val="21"/>
                <w:szCs w:val="21"/>
              </w:rPr>
              <w:t>表</w:t>
            </w:r>
            <w:r>
              <w:rPr>
                <w:rFonts w:hint="default" w:ascii="Times New Roman" w:hAnsi="Times New Roman" w:eastAsia="宋体" w:cs="Times New Roman"/>
                <w:b/>
                <w:color w:val="auto"/>
                <w:sz w:val="21"/>
                <w:szCs w:val="21"/>
                <w:lang w:val="en-US" w:eastAsia="zh-CN"/>
              </w:rPr>
              <w:t>4-6 项目废水排放情况汇总表</w:t>
            </w:r>
          </w:p>
          <w:tbl>
            <w:tblPr>
              <w:tblStyle w:val="1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95"/>
              <w:gridCol w:w="719"/>
              <w:gridCol w:w="879"/>
              <w:gridCol w:w="1018"/>
              <w:gridCol w:w="803"/>
              <w:gridCol w:w="768"/>
              <w:gridCol w:w="672"/>
              <w:gridCol w:w="191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640"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废水类别</w:t>
                  </w:r>
                </w:p>
              </w:tc>
              <w:tc>
                <w:tcPr>
                  <w:tcW w:w="462"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废水排放量</w:t>
                  </w:r>
                </w:p>
              </w:tc>
              <w:tc>
                <w:tcPr>
                  <w:tcW w:w="565"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排放方式</w:t>
                  </w:r>
                </w:p>
              </w:tc>
              <w:tc>
                <w:tcPr>
                  <w:tcW w:w="655"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排放去向</w:t>
                  </w:r>
                </w:p>
              </w:tc>
              <w:tc>
                <w:tcPr>
                  <w:tcW w:w="516"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排放规律</w:t>
                  </w:r>
                </w:p>
              </w:tc>
              <w:tc>
                <w:tcPr>
                  <w:tcW w:w="494" w:type="pct"/>
                  <w:tcBorders>
                    <w:tl2br w:val="nil"/>
                    <w:tr2bl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排放口编号</w:t>
                  </w:r>
                </w:p>
              </w:tc>
              <w:tc>
                <w:tcPr>
                  <w:tcW w:w="432" w:type="pct"/>
                  <w:tcBorders>
                    <w:tl2br w:val="nil"/>
                    <w:tr2bl w:val="nil"/>
                  </w:tcBorders>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排放口类型</w:t>
                  </w:r>
                </w:p>
              </w:tc>
              <w:tc>
                <w:tcPr>
                  <w:tcW w:w="1231" w:type="pc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41" w:hRule="atLeast"/>
                <w:jc w:val="center"/>
              </w:trPr>
              <w:tc>
                <w:tcPr>
                  <w:tcW w:w="640"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w:t>
                  </w:r>
                </w:p>
              </w:tc>
              <w:tc>
                <w:tcPr>
                  <w:tcW w:w="462"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1.53</w:t>
                  </w:r>
                  <w:r>
                    <w:rPr>
                      <w:rFonts w:hint="default" w:ascii="Times New Roman" w:hAnsi="Times New Roman" w:eastAsia="宋体" w:cs="Times New Roman"/>
                      <w:i w:val="0"/>
                      <w:iCs w:val="0"/>
                      <w:color w:val="auto"/>
                      <w:kern w:val="0"/>
                      <w:sz w:val="21"/>
                      <w:szCs w:val="21"/>
                      <w:u w:val="none"/>
                      <w:lang w:val="en-US" w:eastAsia="zh-CN" w:bidi="ar"/>
                    </w:rPr>
                    <w:t>m³/d</w:t>
                  </w:r>
                </w:p>
              </w:tc>
              <w:tc>
                <w:tcPr>
                  <w:tcW w:w="565"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间接排放</w:t>
                  </w:r>
                </w:p>
              </w:tc>
              <w:tc>
                <w:tcPr>
                  <w:tcW w:w="655"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市政污水管网－蓬溪县来龙山污水处理厂</w:t>
                  </w:r>
                </w:p>
              </w:tc>
              <w:tc>
                <w:tcPr>
                  <w:tcW w:w="516"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间断排放－排放期间流量稳定</w:t>
                  </w:r>
                </w:p>
              </w:tc>
              <w:tc>
                <w:tcPr>
                  <w:tcW w:w="494" w:type="pct"/>
                  <w:vMerge w:val="restart"/>
                  <w:tcBorders>
                    <w:tl2br w:val="nil"/>
                    <w:tr2bl w:val="nil"/>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DW001</w:t>
                  </w:r>
                </w:p>
              </w:tc>
              <w:tc>
                <w:tcPr>
                  <w:tcW w:w="432" w:type="pct"/>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一般排放口－生活废水排放口</w:t>
                  </w:r>
                </w:p>
              </w:tc>
              <w:tc>
                <w:tcPr>
                  <w:tcW w:w="123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《污水综合排放标准》GB8978-1996）表4中的三级标准（氨氮、总量、总氮达到《污水排入城镇下水道水质标准》GB/T31962-2015 B级标准）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0"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62"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56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516"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94" w:type="pct"/>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rPr>
                  </w:pPr>
                </w:p>
              </w:tc>
              <w:tc>
                <w:tcPr>
                  <w:tcW w:w="432"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231"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62"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56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516"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94" w:type="pct"/>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rPr>
                  </w:pPr>
                </w:p>
              </w:tc>
              <w:tc>
                <w:tcPr>
                  <w:tcW w:w="432"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231"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62"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56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516"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94" w:type="pct"/>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rPr>
                  </w:pPr>
                </w:p>
              </w:tc>
              <w:tc>
                <w:tcPr>
                  <w:tcW w:w="432"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231"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0" w:hRule="atLeast"/>
                <w:jc w:val="center"/>
              </w:trPr>
              <w:tc>
                <w:tcPr>
                  <w:tcW w:w="640"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62"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56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655"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516"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494" w:type="pct"/>
                  <w:vMerge w:val="continue"/>
                  <w:tcBorders>
                    <w:tl2br w:val="nil"/>
                    <w:tr2bl w:val="nil"/>
                  </w:tcBorders>
                  <w:noWrap/>
                  <w:vAlign w:val="center"/>
                </w:tcPr>
                <w:p>
                  <w:pPr>
                    <w:jc w:val="center"/>
                    <w:rPr>
                      <w:rFonts w:hint="default" w:ascii="Times New Roman" w:hAnsi="Times New Roman" w:eastAsia="宋体" w:cs="Times New Roman"/>
                      <w:i w:val="0"/>
                      <w:iCs w:val="0"/>
                      <w:color w:val="auto"/>
                      <w:sz w:val="21"/>
                      <w:szCs w:val="21"/>
                      <w:u w:val="none"/>
                    </w:rPr>
                  </w:pPr>
                </w:p>
              </w:tc>
              <w:tc>
                <w:tcPr>
                  <w:tcW w:w="432"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c>
                <w:tcPr>
                  <w:tcW w:w="1231" w:type="pct"/>
                  <w:vMerge w:val="continue"/>
                  <w:tcBorders>
                    <w:tl2br w:val="nil"/>
                    <w:tr2bl w:val="nil"/>
                  </w:tcBorders>
                  <w:noWrap w:val="0"/>
                  <w:vAlign w:val="center"/>
                </w:tcPr>
                <w:p>
                  <w:pPr>
                    <w:jc w:val="center"/>
                    <w:rPr>
                      <w:rFonts w:hint="default" w:ascii="Times New Roman" w:hAnsi="Times New Roman" w:eastAsia="宋体" w:cs="Times New Roman"/>
                      <w:i w:val="0"/>
                      <w:iCs w:val="0"/>
                      <w:color w:val="auto"/>
                      <w:sz w:val="21"/>
                      <w:szCs w:val="21"/>
                      <w:u w:val="none"/>
                    </w:rPr>
                  </w:pPr>
                </w:p>
              </w:tc>
            </w:tr>
          </w:tbl>
          <w:p>
            <w:pPr>
              <w:numPr>
                <w:ilvl w:val="0"/>
                <w:numId w:val="4"/>
              </w:numPr>
              <w:tabs>
                <w:tab w:val="left" w:pos="820"/>
              </w:tabs>
              <w:spacing w:line="360" w:lineRule="auto"/>
              <w:ind w:left="0" w:leftChars="0" w:firstLine="482" w:firstLineChars="200"/>
              <w:rPr>
                <w:rFonts w:hint="default" w:ascii="Times New Roman" w:hAnsi="Times New Roman" w:cs="Times New Roman"/>
                <w:sz w:val="24"/>
                <w:szCs w:val="24"/>
              </w:rPr>
            </w:pPr>
            <w:r>
              <w:rPr>
                <w:rFonts w:hint="default" w:ascii="Times New Roman" w:hAnsi="Times New Roman" w:eastAsia="宋体" w:cs="Times New Roman"/>
                <w:b/>
                <w:bCs/>
                <w:sz w:val="24"/>
                <w:szCs w:val="24"/>
              </w:rPr>
              <w:t>噪声排放及处理措施</w:t>
            </w:r>
          </w:p>
          <w:p>
            <w:pPr>
              <w:numPr>
                <w:ilvl w:val="0"/>
                <w:numId w:val="0"/>
              </w:numPr>
              <w:tabs>
                <w:tab w:val="left" w:pos="820"/>
              </w:tabs>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本项目的噪声源主要是混料机、破碎机、挤出机、切割机、水泵等生产设备运行噪声以及运输搬运过程中产生的噪声等</w:t>
            </w:r>
            <w:r>
              <w:rPr>
                <w:rFonts w:hint="default" w:ascii="Times New Roman" w:hAnsi="Times New Roman" w:cs="Times New Roman"/>
                <w:bCs w:val="0"/>
                <w:color w:val="000000"/>
                <w:sz w:val="24"/>
                <w:szCs w:val="24"/>
              </w:rPr>
              <w:t>，噪声源强在70～</w:t>
            </w:r>
            <w:r>
              <w:rPr>
                <w:rFonts w:hint="eastAsia" w:ascii="Times New Roman" w:hAnsi="Times New Roman" w:cs="Times New Roman"/>
                <w:bCs w:val="0"/>
                <w:color w:val="000000"/>
                <w:sz w:val="24"/>
                <w:szCs w:val="24"/>
                <w:lang w:val="en-US" w:eastAsia="zh-CN"/>
              </w:rPr>
              <w:t>85</w:t>
            </w:r>
            <w:r>
              <w:rPr>
                <w:rFonts w:hint="default" w:ascii="Times New Roman" w:hAnsi="Times New Roman" w:cs="Times New Roman"/>
                <w:bCs w:val="0"/>
                <w:color w:val="000000"/>
                <w:sz w:val="24"/>
                <w:szCs w:val="24"/>
              </w:rPr>
              <w:t>dB（A）之间。</w:t>
            </w:r>
            <w:r>
              <w:rPr>
                <w:rFonts w:hint="default" w:ascii="Times New Roman" w:hAnsi="Times New Roman" w:cs="Times New Roman"/>
                <w:sz w:val="24"/>
                <w:szCs w:val="24"/>
              </w:rPr>
              <w:t>项目各类主要产噪设备分布及源强统计见</w:t>
            </w:r>
            <w:r>
              <w:rPr>
                <w:rFonts w:hint="eastAsia" w:ascii="Times New Roman" w:hAnsi="Times New Roman" w:cs="Times New Roman"/>
                <w:sz w:val="24"/>
                <w:szCs w:val="24"/>
                <w:lang w:val="en-US" w:eastAsia="zh-CN"/>
              </w:rPr>
              <w:t>下</w:t>
            </w:r>
            <w:r>
              <w:rPr>
                <w:rFonts w:hint="default" w:ascii="Times New Roman" w:hAnsi="Times New Roman" w:cs="Times New Roman"/>
                <w:sz w:val="24"/>
                <w:szCs w:val="24"/>
              </w:rPr>
              <w:t>表。</w:t>
            </w:r>
          </w:p>
          <w:p>
            <w:pPr>
              <w:spacing w:line="36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表</w:t>
            </w:r>
            <w:r>
              <w:rPr>
                <w:rFonts w:hint="eastAsia" w:ascii="Times New Roman" w:hAnsi="Times New Roman" w:cs="Times New Roman"/>
                <w:b/>
                <w:sz w:val="21"/>
                <w:szCs w:val="21"/>
                <w:lang w:val="en-US" w:eastAsia="zh-CN"/>
              </w:rPr>
              <w:t>4-7</w:t>
            </w:r>
            <w:r>
              <w:rPr>
                <w:rFonts w:hint="default" w:ascii="Times New Roman" w:hAnsi="Times New Roman" w:cs="Times New Roman"/>
                <w:b/>
                <w:sz w:val="21"/>
                <w:szCs w:val="21"/>
              </w:rPr>
              <w:t xml:space="preserve">  项目各主要产噪设备分布及源强统计表</w:t>
            </w:r>
          </w:p>
          <w:tbl>
            <w:tblPr>
              <w:tblStyle w:val="16"/>
              <w:tblW w:w="4999" w:type="pct"/>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510"/>
              <w:gridCol w:w="1437"/>
              <w:gridCol w:w="922"/>
              <w:gridCol w:w="1497"/>
              <w:gridCol w:w="2100"/>
              <w:gridCol w:w="1303"/>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924"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噪声源</w:t>
                  </w:r>
                </w:p>
              </w:tc>
              <w:tc>
                <w:tcPr>
                  <w:tcW w:w="59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源强 [dB(A)]</w:t>
                  </w:r>
                </w:p>
              </w:tc>
              <w:tc>
                <w:tcPr>
                  <w:tcW w:w="96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产生位置</w:t>
                  </w:r>
                </w:p>
              </w:tc>
              <w:tc>
                <w:tcPr>
                  <w:tcW w:w="1351"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处理措施</w:t>
                  </w:r>
                </w:p>
              </w:tc>
              <w:tc>
                <w:tcPr>
                  <w:tcW w:w="83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处理后噪声级[dB(A)]</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924"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PVC挤塑机</w:t>
                  </w:r>
                </w:p>
              </w:tc>
              <w:tc>
                <w:tcPr>
                  <w:tcW w:w="59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75～80</w:t>
                  </w:r>
                </w:p>
              </w:tc>
              <w:tc>
                <w:tcPr>
                  <w:tcW w:w="96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车间内北侧</w:t>
                  </w:r>
                </w:p>
              </w:tc>
              <w:tc>
                <w:tcPr>
                  <w:tcW w:w="1351"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厂房隔音，安装减振垫等</w:t>
                  </w:r>
                </w:p>
              </w:tc>
              <w:tc>
                <w:tcPr>
                  <w:tcW w:w="83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924"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PP-R挤塑机</w:t>
                  </w:r>
                </w:p>
              </w:tc>
              <w:tc>
                <w:tcPr>
                  <w:tcW w:w="59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70～75</w:t>
                  </w:r>
                </w:p>
              </w:tc>
              <w:tc>
                <w:tcPr>
                  <w:tcW w:w="96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车间内</w:t>
                  </w:r>
                  <w:r>
                    <w:rPr>
                      <w:rFonts w:hint="default" w:ascii="Times New Roman" w:hAnsi="Times New Roman" w:cs="Times New Roman"/>
                      <w:color w:val="auto"/>
                      <w:sz w:val="21"/>
                      <w:szCs w:val="21"/>
                      <w:vertAlign w:val="baseline"/>
                      <w:lang w:val="en-US" w:eastAsia="zh-CN"/>
                    </w:rPr>
                    <w:t>南</w:t>
                  </w:r>
                  <w:r>
                    <w:rPr>
                      <w:rFonts w:hint="default" w:ascii="Times New Roman" w:hAnsi="Times New Roman" w:eastAsia="宋体" w:cs="Times New Roman"/>
                      <w:color w:val="auto"/>
                      <w:sz w:val="21"/>
                      <w:szCs w:val="21"/>
                      <w:vertAlign w:val="baseline"/>
                      <w:lang w:val="en-US" w:eastAsia="zh-CN"/>
                    </w:rPr>
                    <w:t>部</w:t>
                  </w:r>
                </w:p>
              </w:tc>
              <w:tc>
                <w:tcPr>
                  <w:tcW w:w="1351"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厂房隔音，合理布局，安装减振垫等</w:t>
                  </w:r>
                </w:p>
              </w:tc>
              <w:tc>
                <w:tcPr>
                  <w:tcW w:w="838" w:type="pct"/>
                  <w:tcBorders>
                    <w:tl2br w:val="nil"/>
                    <w:tr2bl w:val="nil"/>
                  </w:tcBorders>
                  <w:noWrap w:val="0"/>
                  <w:vAlign w:val="top"/>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924"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PVC注塑机</w:t>
                  </w:r>
                </w:p>
              </w:tc>
              <w:tc>
                <w:tcPr>
                  <w:tcW w:w="59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70～75</w:t>
                  </w:r>
                </w:p>
              </w:tc>
              <w:tc>
                <w:tcPr>
                  <w:tcW w:w="96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车间内东北侧</w:t>
                  </w:r>
                </w:p>
              </w:tc>
              <w:tc>
                <w:tcPr>
                  <w:tcW w:w="1351"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厂房隔音，合理布局，安装减振垫等</w:t>
                  </w:r>
                </w:p>
              </w:tc>
              <w:tc>
                <w:tcPr>
                  <w:tcW w:w="838" w:type="pct"/>
                  <w:tcBorders>
                    <w:tl2br w:val="nil"/>
                    <w:tr2bl w:val="nil"/>
                  </w:tcBorders>
                  <w:noWrap w:val="0"/>
                  <w:vAlign w:val="top"/>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924"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PP-R注塑机</w:t>
                  </w:r>
                </w:p>
              </w:tc>
              <w:tc>
                <w:tcPr>
                  <w:tcW w:w="59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70～80</w:t>
                  </w:r>
                </w:p>
              </w:tc>
              <w:tc>
                <w:tcPr>
                  <w:tcW w:w="96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车间内</w:t>
                  </w:r>
                  <w:r>
                    <w:rPr>
                      <w:rFonts w:hint="default" w:ascii="Times New Roman" w:hAnsi="Times New Roman" w:cs="Times New Roman"/>
                      <w:color w:val="auto"/>
                      <w:sz w:val="21"/>
                      <w:szCs w:val="21"/>
                      <w:vertAlign w:val="baseline"/>
                      <w:lang w:val="en-US" w:eastAsia="zh-CN"/>
                    </w:rPr>
                    <w:t>东</w:t>
                  </w:r>
                  <w:r>
                    <w:rPr>
                      <w:rFonts w:hint="default" w:ascii="Times New Roman" w:hAnsi="Times New Roman" w:eastAsia="宋体" w:cs="Times New Roman"/>
                      <w:color w:val="auto"/>
                      <w:sz w:val="21"/>
                      <w:szCs w:val="21"/>
                      <w:vertAlign w:val="baseline"/>
                      <w:lang w:val="en-US" w:eastAsia="zh-CN"/>
                    </w:rPr>
                    <w:t>南侧</w:t>
                  </w:r>
                </w:p>
              </w:tc>
              <w:tc>
                <w:tcPr>
                  <w:tcW w:w="1351"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厂房隔音，合理布局，安装减振垫等</w:t>
                  </w:r>
                </w:p>
              </w:tc>
              <w:tc>
                <w:tcPr>
                  <w:tcW w:w="838" w:type="pct"/>
                  <w:tcBorders>
                    <w:tl2br w:val="nil"/>
                    <w:tr2bl w:val="nil"/>
                  </w:tcBorders>
                  <w:noWrap w:val="0"/>
                  <w:vAlign w:val="top"/>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924"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真空吸料机</w:t>
                  </w:r>
                </w:p>
              </w:tc>
              <w:tc>
                <w:tcPr>
                  <w:tcW w:w="59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70～75</w:t>
                  </w:r>
                </w:p>
              </w:tc>
              <w:tc>
                <w:tcPr>
                  <w:tcW w:w="96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车间内中部</w:t>
                  </w:r>
                </w:p>
              </w:tc>
              <w:tc>
                <w:tcPr>
                  <w:tcW w:w="1351"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合理布局，低噪声设备，厂房隔音</w:t>
                  </w:r>
                </w:p>
              </w:tc>
              <w:tc>
                <w:tcPr>
                  <w:tcW w:w="838" w:type="pct"/>
                  <w:tcBorders>
                    <w:tl2br w:val="nil"/>
                    <w:tr2bl w:val="nil"/>
                  </w:tcBorders>
                  <w:noWrap w:val="0"/>
                  <w:vAlign w:val="top"/>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924"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PVC搅拌机</w:t>
                  </w:r>
                </w:p>
              </w:tc>
              <w:tc>
                <w:tcPr>
                  <w:tcW w:w="59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75～80</w:t>
                  </w:r>
                </w:p>
              </w:tc>
              <w:tc>
                <w:tcPr>
                  <w:tcW w:w="96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车间内中部</w:t>
                  </w:r>
                </w:p>
              </w:tc>
              <w:tc>
                <w:tcPr>
                  <w:tcW w:w="1351"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厂房隔音，安装减振垫等</w:t>
                  </w:r>
                </w:p>
              </w:tc>
              <w:tc>
                <w:tcPr>
                  <w:tcW w:w="838" w:type="pct"/>
                  <w:tcBorders>
                    <w:tl2br w:val="nil"/>
                    <w:tr2bl w:val="nil"/>
                  </w:tcBorders>
                  <w:noWrap w:val="0"/>
                  <w:vAlign w:val="top"/>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w:t>
                  </w:r>
                </w:p>
              </w:tc>
              <w:tc>
                <w:tcPr>
                  <w:tcW w:w="924"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PP-R烘干机</w:t>
                  </w:r>
                </w:p>
              </w:tc>
              <w:tc>
                <w:tcPr>
                  <w:tcW w:w="59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70～75</w:t>
                  </w:r>
                </w:p>
              </w:tc>
              <w:tc>
                <w:tcPr>
                  <w:tcW w:w="96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车间内北侧</w:t>
                  </w:r>
                </w:p>
              </w:tc>
              <w:tc>
                <w:tcPr>
                  <w:tcW w:w="1351"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厂房隔音，合理布局，安装减振垫等</w:t>
                  </w:r>
                </w:p>
              </w:tc>
              <w:tc>
                <w:tcPr>
                  <w:tcW w:w="838"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w:t>
                  </w:r>
                </w:p>
              </w:tc>
              <w:tc>
                <w:tcPr>
                  <w:tcW w:w="924"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PVC缠膜机</w:t>
                  </w:r>
                </w:p>
              </w:tc>
              <w:tc>
                <w:tcPr>
                  <w:tcW w:w="59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70～75</w:t>
                  </w:r>
                </w:p>
              </w:tc>
              <w:tc>
                <w:tcPr>
                  <w:tcW w:w="96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车间内</w:t>
                  </w:r>
                  <w:r>
                    <w:rPr>
                      <w:rFonts w:hint="default" w:ascii="Times New Roman" w:hAnsi="Times New Roman" w:cs="Times New Roman"/>
                      <w:color w:val="auto"/>
                      <w:sz w:val="21"/>
                      <w:szCs w:val="21"/>
                      <w:vertAlign w:val="baseline"/>
                      <w:lang w:val="en-US" w:eastAsia="zh-CN"/>
                    </w:rPr>
                    <w:t>东北</w:t>
                  </w:r>
                  <w:r>
                    <w:rPr>
                      <w:rFonts w:hint="default" w:ascii="Times New Roman" w:hAnsi="Times New Roman" w:eastAsia="宋体" w:cs="Times New Roman"/>
                      <w:color w:val="auto"/>
                      <w:sz w:val="21"/>
                      <w:szCs w:val="21"/>
                      <w:vertAlign w:val="baseline"/>
                      <w:lang w:val="en-US" w:eastAsia="zh-CN"/>
                    </w:rPr>
                    <w:t>侧</w:t>
                  </w:r>
                </w:p>
              </w:tc>
              <w:tc>
                <w:tcPr>
                  <w:tcW w:w="1351"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厂房隔音，合理布局，安装减振垫等</w:t>
                  </w:r>
                </w:p>
              </w:tc>
              <w:tc>
                <w:tcPr>
                  <w:tcW w:w="838"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w:t>
                  </w:r>
                </w:p>
              </w:tc>
              <w:tc>
                <w:tcPr>
                  <w:tcW w:w="924"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PVC牵引机</w:t>
                  </w:r>
                </w:p>
              </w:tc>
              <w:tc>
                <w:tcPr>
                  <w:tcW w:w="59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70～80</w:t>
                  </w:r>
                </w:p>
              </w:tc>
              <w:tc>
                <w:tcPr>
                  <w:tcW w:w="96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车间内东北侧</w:t>
                  </w:r>
                </w:p>
              </w:tc>
              <w:tc>
                <w:tcPr>
                  <w:tcW w:w="1351"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厂房隔音，安装减振垫等</w:t>
                  </w:r>
                </w:p>
              </w:tc>
              <w:tc>
                <w:tcPr>
                  <w:tcW w:w="838"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924"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PVC切割机</w:t>
                  </w:r>
                </w:p>
              </w:tc>
              <w:tc>
                <w:tcPr>
                  <w:tcW w:w="59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70～75</w:t>
                  </w:r>
                </w:p>
              </w:tc>
              <w:tc>
                <w:tcPr>
                  <w:tcW w:w="96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车间内</w:t>
                  </w:r>
                  <w:r>
                    <w:rPr>
                      <w:rFonts w:hint="default" w:ascii="Times New Roman" w:hAnsi="Times New Roman" w:cs="Times New Roman"/>
                      <w:color w:val="auto"/>
                      <w:sz w:val="21"/>
                      <w:szCs w:val="21"/>
                      <w:vertAlign w:val="baseline"/>
                      <w:lang w:val="en-US" w:eastAsia="zh-CN"/>
                    </w:rPr>
                    <w:t>东</w:t>
                  </w:r>
                  <w:r>
                    <w:rPr>
                      <w:rFonts w:hint="default" w:ascii="Times New Roman" w:hAnsi="Times New Roman" w:eastAsia="宋体" w:cs="Times New Roman"/>
                      <w:color w:val="auto"/>
                      <w:sz w:val="21"/>
                      <w:szCs w:val="21"/>
                      <w:vertAlign w:val="baseline"/>
                      <w:lang w:val="en-US" w:eastAsia="zh-CN"/>
                    </w:rPr>
                    <w:t>南侧</w:t>
                  </w:r>
                </w:p>
              </w:tc>
              <w:tc>
                <w:tcPr>
                  <w:tcW w:w="1351"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厂房隔音，合理布局，安装减振垫等</w:t>
                  </w:r>
                </w:p>
              </w:tc>
              <w:tc>
                <w:tcPr>
                  <w:tcW w:w="838"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924"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破碎机</w:t>
                  </w:r>
                </w:p>
              </w:tc>
              <w:tc>
                <w:tcPr>
                  <w:tcW w:w="59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75～80</w:t>
                  </w:r>
                </w:p>
              </w:tc>
              <w:tc>
                <w:tcPr>
                  <w:tcW w:w="96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车间内</w:t>
                  </w:r>
                  <w:r>
                    <w:rPr>
                      <w:rFonts w:hint="default" w:ascii="Times New Roman" w:hAnsi="Times New Roman" w:cs="Times New Roman"/>
                      <w:color w:val="auto"/>
                      <w:sz w:val="21"/>
                      <w:szCs w:val="21"/>
                      <w:vertAlign w:val="baseline"/>
                      <w:lang w:val="en-US" w:eastAsia="zh-CN"/>
                    </w:rPr>
                    <w:t>南</w:t>
                  </w:r>
                  <w:r>
                    <w:rPr>
                      <w:rFonts w:hint="default" w:ascii="Times New Roman" w:hAnsi="Times New Roman" w:eastAsia="宋体" w:cs="Times New Roman"/>
                      <w:color w:val="auto"/>
                      <w:sz w:val="21"/>
                      <w:szCs w:val="21"/>
                      <w:vertAlign w:val="baseline"/>
                      <w:lang w:val="en-US" w:eastAsia="zh-CN"/>
                    </w:rPr>
                    <w:t>侧</w:t>
                  </w:r>
                </w:p>
              </w:tc>
              <w:tc>
                <w:tcPr>
                  <w:tcW w:w="1351"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厂房隔音，合理布局，安装减振垫等</w:t>
                  </w:r>
                </w:p>
              </w:tc>
              <w:tc>
                <w:tcPr>
                  <w:tcW w:w="838"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924"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PP-R真空定型机</w:t>
                  </w:r>
                </w:p>
              </w:tc>
              <w:tc>
                <w:tcPr>
                  <w:tcW w:w="59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70～75</w:t>
                  </w:r>
                </w:p>
              </w:tc>
              <w:tc>
                <w:tcPr>
                  <w:tcW w:w="96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车间内南侧</w:t>
                  </w:r>
                </w:p>
              </w:tc>
              <w:tc>
                <w:tcPr>
                  <w:tcW w:w="1351"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厂房隔音，安装减振垫等</w:t>
                  </w:r>
                </w:p>
              </w:tc>
              <w:tc>
                <w:tcPr>
                  <w:tcW w:w="838"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13</w:t>
                  </w:r>
                </w:p>
              </w:tc>
              <w:tc>
                <w:tcPr>
                  <w:tcW w:w="924"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PP-R牵引机</w:t>
                  </w:r>
                </w:p>
              </w:tc>
              <w:tc>
                <w:tcPr>
                  <w:tcW w:w="59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70～75</w:t>
                  </w:r>
                </w:p>
              </w:tc>
              <w:tc>
                <w:tcPr>
                  <w:tcW w:w="96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车间内</w:t>
                  </w:r>
                  <w:r>
                    <w:rPr>
                      <w:rFonts w:hint="default" w:ascii="Times New Roman" w:hAnsi="Times New Roman" w:cs="Times New Roman"/>
                      <w:color w:val="auto"/>
                      <w:sz w:val="21"/>
                      <w:szCs w:val="21"/>
                      <w:vertAlign w:val="baseline"/>
                      <w:lang w:val="en-US" w:eastAsia="zh-CN"/>
                    </w:rPr>
                    <w:t>西南</w:t>
                  </w:r>
                  <w:r>
                    <w:rPr>
                      <w:rFonts w:hint="default" w:ascii="Times New Roman" w:hAnsi="Times New Roman" w:eastAsia="宋体" w:cs="Times New Roman"/>
                      <w:color w:val="auto"/>
                      <w:sz w:val="21"/>
                      <w:szCs w:val="21"/>
                      <w:vertAlign w:val="baseline"/>
                      <w:lang w:val="en-US" w:eastAsia="zh-CN"/>
                    </w:rPr>
                    <w:t>侧</w:t>
                  </w:r>
                </w:p>
              </w:tc>
              <w:tc>
                <w:tcPr>
                  <w:tcW w:w="1351"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厂房隔音，合理布局，安装减振垫等</w:t>
                  </w:r>
                </w:p>
              </w:tc>
              <w:tc>
                <w:tcPr>
                  <w:tcW w:w="838"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14</w:t>
                  </w:r>
                </w:p>
              </w:tc>
              <w:tc>
                <w:tcPr>
                  <w:tcW w:w="924"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PP-R切割机</w:t>
                  </w:r>
                </w:p>
              </w:tc>
              <w:tc>
                <w:tcPr>
                  <w:tcW w:w="59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70～80</w:t>
                  </w:r>
                </w:p>
              </w:tc>
              <w:tc>
                <w:tcPr>
                  <w:tcW w:w="96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车间内</w:t>
                  </w:r>
                  <w:r>
                    <w:rPr>
                      <w:rFonts w:hint="default" w:ascii="Times New Roman" w:hAnsi="Times New Roman" w:cs="Times New Roman"/>
                      <w:color w:val="auto"/>
                      <w:sz w:val="21"/>
                      <w:szCs w:val="21"/>
                      <w:vertAlign w:val="baseline"/>
                      <w:lang w:val="en-US" w:eastAsia="zh-CN"/>
                    </w:rPr>
                    <w:t>西</w:t>
                  </w:r>
                  <w:r>
                    <w:rPr>
                      <w:rFonts w:hint="default" w:ascii="Times New Roman" w:hAnsi="Times New Roman" w:eastAsia="宋体" w:cs="Times New Roman"/>
                      <w:color w:val="auto"/>
                      <w:sz w:val="21"/>
                      <w:szCs w:val="21"/>
                      <w:vertAlign w:val="baseline"/>
                      <w:lang w:val="en-US" w:eastAsia="zh-CN"/>
                    </w:rPr>
                    <w:t>南侧</w:t>
                  </w:r>
                </w:p>
              </w:tc>
              <w:tc>
                <w:tcPr>
                  <w:tcW w:w="1351"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厂房隔音，合理布局，安装减振垫等</w:t>
                  </w:r>
                </w:p>
              </w:tc>
              <w:tc>
                <w:tcPr>
                  <w:tcW w:w="838"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328"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15</w:t>
                  </w:r>
                </w:p>
              </w:tc>
              <w:tc>
                <w:tcPr>
                  <w:tcW w:w="924"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风机</w:t>
                  </w:r>
                </w:p>
              </w:tc>
              <w:tc>
                <w:tcPr>
                  <w:tcW w:w="59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78～85</w:t>
                  </w:r>
                </w:p>
              </w:tc>
              <w:tc>
                <w:tcPr>
                  <w:tcW w:w="963"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循环水池</w:t>
                  </w:r>
                </w:p>
              </w:tc>
              <w:tc>
                <w:tcPr>
                  <w:tcW w:w="1351" w:type="pct"/>
                  <w:tcBorders>
                    <w:tl2br w:val="nil"/>
                    <w:tr2bl w:val="nil"/>
                  </w:tcBorders>
                  <w:noWrap w:val="0"/>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地埋式</w:t>
                  </w:r>
                </w:p>
              </w:tc>
              <w:tc>
                <w:tcPr>
                  <w:tcW w:w="838"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≤55</w:t>
                  </w:r>
                </w:p>
              </w:tc>
            </w:tr>
          </w:tbl>
          <w:p>
            <w:pPr>
              <w:adjustRightInd w:val="0"/>
              <w:snapToGrid w:val="0"/>
              <w:spacing w:line="360" w:lineRule="auto"/>
              <w:ind w:firstLine="480" w:firstLineChars="200"/>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rPr>
              <w:t>本项</w:t>
            </w:r>
            <w:r>
              <w:rPr>
                <w:rFonts w:hint="default" w:ascii="Times New Roman" w:hAnsi="Times New Roman" w:eastAsia="宋体" w:cs="Times New Roman"/>
                <w:bCs/>
                <w:sz w:val="24"/>
                <w:szCs w:val="24"/>
                <w:lang w:eastAsia="zh-CN"/>
              </w:rPr>
              <w:t>目周边</w:t>
            </w:r>
            <w:r>
              <w:rPr>
                <w:rFonts w:hint="default" w:ascii="Times New Roman" w:hAnsi="Times New Roman" w:eastAsia="宋体" w:cs="Times New Roman"/>
                <w:bCs/>
                <w:sz w:val="24"/>
                <w:szCs w:val="24"/>
                <w:lang w:val="en-US" w:eastAsia="zh-CN"/>
              </w:rPr>
              <w:t>50m范围内无声环境保护目标，200m范围内无声环境敏感目标，因此仅做厂界达标分析。</w:t>
            </w:r>
          </w:p>
          <w:p>
            <w:pPr>
              <w:adjustRightInd w:val="0"/>
              <w:snapToGrid w:val="0"/>
              <w:spacing w:line="360" w:lineRule="auto"/>
              <w:ind w:firstLine="482" w:firstLineChars="200"/>
              <w:rPr>
                <w:rFonts w:hint="default" w:ascii="Times New Roman" w:hAnsi="Times New Roman" w:eastAsia="宋体" w:cs="Times New Roman"/>
                <w:b/>
                <w:bCs w:val="0"/>
                <w:sz w:val="24"/>
                <w:szCs w:val="24"/>
                <w:lang w:val="en-US" w:eastAsia="zh-CN"/>
              </w:rPr>
            </w:pPr>
            <w:r>
              <w:rPr>
                <w:rFonts w:hint="default" w:ascii="Times New Roman" w:hAnsi="Times New Roman" w:eastAsia="宋体" w:cs="Times New Roman"/>
                <w:b/>
                <w:bCs w:val="0"/>
                <w:sz w:val="24"/>
                <w:szCs w:val="24"/>
              </w:rPr>
              <w:t>（2）</w:t>
            </w:r>
            <w:r>
              <w:rPr>
                <w:rFonts w:hint="default" w:ascii="Times New Roman" w:hAnsi="Times New Roman" w:eastAsia="宋体" w:cs="Times New Roman"/>
                <w:b/>
                <w:bCs w:val="0"/>
                <w:sz w:val="24"/>
                <w:szCs w:val="24"/>
                <w:lang w:eastAsia="zh-CN"/>
              </w:rPr>
              <w:t>厂界</w:t>
            </w:r>
            <w:r>
              <w:rPr>
                <w:rFonts w:hint="default" w:ascii="Times New Roman" w:hAnsi="Times New Roman" w:eastAsia="宋体" w:cs="Times New Roman"/>
                <w:b/>
                <w:bCs w:val="0"/>
                <w:sz w:val="24"/>
                <w:szCs w:val="24"/>
              </w:rPr>
              <w:t>噪声</w:t>
            </w:r>
            <w:r>
              <w:rPr>
                <w:rFonts w:hint="default" w:ascii="Times New Roman" w:hAnsi="Times New Roman" w:eastAsia="宋体" w:cs="Times New Roman"/>
                <w:b/>
                <w:bCs w:val="0"/>
                <w:sz w:val="24"/>
                <w:szCs w:val="24"/>
                <w:lang w:eastAsia="zh-CN"/>
              </w:rPr>
              <w:t>达标</w:t>
            </w:r>
            <w:r>
              <w:rPr>
                <w:rFonts w:hint="default" w:ascii="Times New Roman" w:hAnsi="Times New Roman" w:cs="Times New Roman"/>
                <w:b/>
                <w:bCs w:val="0"/>
                <w:sz w:val="24"/>
                <w:szCs w:val="24"/>
                <w:lang w:val="en-US" w:eastAsia="zh-CN"/>
              </w:rPr>
              <w:t>分析</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本项目设备声源均为无指向性、稳态机械声源，且均处于自由空间。设备距离厂界的距离远大于设备的本身尺寸，故将本项目的设备简化为点声源计算。计算方法</w:t>
            </w:r>
            <w:r>
              <w:rPr>
                <w:rFonts w:hint="default" w:ascii="Times New Roman" w:hAnsi="Times New Roman" w:eastAsia="宋体" w:cs="Times New Roman"/>
                <w:sz w:val="24"/>
                <w:szCs w:val="24"/>
                <w:lang w:eastAsia="zh-CN"/>
              </w:rPr>
              <w:t>如下</w:t>
            </w:r>
            <w:r>
              <w:rPr>
                <w:rFonts w:hint="default" w:ascii="Times New Roman" w:hAnsi="Times New Roman" w:eastAsia="宋体" w:cs="Times New Roman"/>
                <w:sz w:val="24"/>
                <w:szCs w:val="24"/>
              </w:rPr>
              <w:t>所述</w:t>
            </w:r>
          </w:p>
          <w:p>
            <w:pPr>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1）预测模式</w:t>
            </w:r>
          </w:p>
          <w:p>
            <w:pPr>
              <w:adjustRightInd w:val="0"/>
              <w:snapToGrid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本预测采用点声源衰减模式，仅考虑距离衰减值、隔声墙隔声、建筑物隔声等因素。噪声衰减公式：</w:t>
            </w:r>
          </w:p>
          <w:p>
            <w:pPr>
              <w:pStyle w:val="7"/>
              <w:spacing w:line="294"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LA(r)=LA(ro)-201g(r/ro)</w:t>
            </w:r>
          </w:p>
          <w:p>
            <w:pPr>
              <w:pStyle w:val="7"/>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式中：LA(r)——距离声源r处的A声级，dB(A)；</w:t>
            </w:r>
          </w:p>
          <w:p>
            <w:pPr>
              <w:pStyle w:val="7"/>
              <w:keepNext w:val="0"/>
              <w:keepLines w:val="0"/>
              <w:pageBreakBefore w:val="0"/>
              <w:widowControl w:val="0"/>
              <w:kinsoku/>
              <w:wordWrap/>
              <w:overflowPunct/>
              <w:topLinePunct w:val="0"/>
              <w:autoSpaceDE/>
              <w:autoSpaceDN/>
              <w:bidi w:val="0"/>
              <w:adjustRightInd/>
              <w:snapToGrid/>
              <w:spacing w:after="0" w:line="360" w:lineRule="auto"/>
              <w:ind w:left="0" w:right="0" w:firstLine="1200" w:firstLineChars="5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LA(ro)——距声源ro处的A声级，dB(A)；</w:t>
            </w:r>
          </w:p>
          <w:p>
            <w:pPr>
              <w:pStyle w:val="7"/>
              <w:keepNext w:val="0"/>
              <w:keepLines w:val="0"/>
              <w:pageBreakBefore w:val="0"/>
              <w:widowControl w:val="0"/>
              <w:kinsoku/>
              <w:wordWrap/>
              <w:overflowPunct/>
              <w:topLinePunct w:val="0"/>
              <w:autoSpaceDE/>
              <w:autoSpaceDN/>
              <w:bidi w:val="0"/>
              <w:adjustRightInd/>
              <w:snapToGrid/>
              <w:spacing w:after="0" w:line="360" w:lineRule="auto"/>
              <w:ind w:left="0" w:right="0" w:firstLine="1200" w:firstLineChars="5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ro.r——距声源的距离，m；</w:t>
            </w:r>
          </w:p>
          <w:p>
            <w:pPr>
              <w:pStyle w:val="7"/>
              <w:keepNext w:val="0"/>
              <w:keepLines w:val="0"/>
              <w:pageBreakBefore w:val="0"/>
              <w:widowControl w:val="0"/>
              <w:kinsoku/>
              <w:wordWrap/>
              <w:overflowPunct/>
              <w:topLinePunct w:val="0"/>
              <w:autoSpaceDE/>
              <w:autoSpaceDN/>
              <w:bidi w:val="0"/>
              <w:adjustRightInd/>
              <w:snapToGrid/>
              <w:spacing w:after="0" w:line="360" w:lineRule="auto"/>
              <w:ind w:left="0" w:right="0" w:firstLine="1200" w:firstLineChars="5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噪声叠加公式：</w:t>
            </w:r>
          </w:p>
          <w:p>
            <w:pPr>
              <w:pStyle w:val="7"/>
              <w:keepNext w:val="0"/>
              <w:keepLines w:val="0"/>
              <w:pageBreakBefore w:val="0"/>
              <w:widowControl w:val="0"/>
              <w:kinsoku/>
              <w:wordWrap/>
              <w:overflowPunct/>
              <w:topLinePunct w:val="0"/>
              <w:autoSpaceDE/>
              <w:autoSpaceDN/>
              <w:bidi w:val="0"/>
              <w:adjustRightInd/>
              <w:snapToGrid/>
              <w:spacing w:after="0" w:line="360" w:lineRule="auto"/>
              <w:ind w:right="0"/>
              <w:jc w:val="center"/>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lang w:eastAsia="zh-CN"/>
              </w:rPr>
              <w:drawing>
                <wp:inline distT="0" distB="0" distL="114300" distR="114300">
                  <wp:extent cx="1373505" cy="472440"/>
                  <wp:effectExtent l="0" t="0" r="13335" b="0"/>
                  <wp:docPr id="7" name="图片 4" descr="QQ截图2019041615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90416150507"/>
                          <pic:cNvPicPr>
                            <a:picLocks noChangeAspect="1"/>
                          </pic:cNvPicPr>
                        </pic:nvPicPr>
                        <pic:blipFill>
                          <a:blip r:embed="rId24"/>
                          <a:stretch>
                            <a:fillRect/>
                          </a:stretch>
                        </pic:blipFill>
                        <pic:spPr>
                          <a:xfrm>
                            <a:off x="0" y="0"/>
                            <a:ext cx="1373505" cy="472440"/>
                          </a:xfrm>
                          <a:prstGeom prst="rect">
                            <a:avLst/>
                          </a:prstGeom>
                          <a:noFill/>
                          <a:ln>
                            <a:noFill/>
                          </a:ln>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式中：L——某点噪声总叠加值，dB(A)； </w:t>
            </w:r>
          </w:p>
          <w:p>
            <w:pPr>
              <w:pStyle w:val="7"/>
              <w:keepNext w:val="0"/>
              <w:keepLines w:val="0"/>
              <w:pageBreakBefore w:val="0"/>
              <w:widowControl w:val="0"/>
              <w:kinsoku/>
              <w:wordWrap/>
              <w:overflowPunct/>
              <w:topLinePunct w:val="0"/>
              <w:autoSpaceDE/>
              <w:autoSpaceDN/>
              <w:bidi w:val="0"/>
              <w:adjustRightInd/>
              <w:snapToGrid/>
              <w:spacing w:after="0" w:line="360" w:lineRule="auto"/>
              <w:ind w:left="0" w:right="0" w:firstLine="1200" w:firstLineChars="5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Li——第i</w:t>
            </w:r>
            <w:r>
              <w:rPr>
                <w:rFonts w:hint="default" w:ascii="Times New Roman" w:hAnsi="Times New Roman" w:eastAsia="宋体" w:cs="Times New Roman"/>
                <w:sz w:val="24"/>
                <w:szCs w:val="24"/>
                <w:lang w:val="en-US" w:eastAsia="zh-CN"/>
              </w:rPr>
              <w:t>个</w:t>
            </w:r>
            <w:r>
              <w:rPr>
                <w:rFonts w:hint="default" w:ascii="Times New Roman" w:hAnsi="Times New Roman" w:eastAsia="宋体" w:cs="Times New Roman"/>
                <w:sz w:val="24"/>
                <w:szCs w:val="24"/>
              </w:rPr>
              <w:t xml:space="preserve">声源的噪声值，dB(A)； </w:t>
            </w:r>
          </w:p>
          <w:p>
            <w:pPr>
              <w:pStyle w:val="7"/>
              <w:keepNext w:val="0"/>
              <w:keepLines w:val="0"/>
              <w:pageBreakBefore w:val="0"/>
              <w:widowControl w:val="0"/>
              <w:kinsoku/>
              <w:wordWrap/>
              <w:overflowPunct/>
              <w:topLinePunct w:val="0"/>
              <w:autoSpaceDE/>
              <w:autoSpaceDN/>
              <w:bidi w:val="0"/>
              <w:adjustRightInd/>
              <w:snapToGrid/>
              <w:spacing w:after="0" w:line="360" w:lineRule="auto"/>
              <w:ind w:left="0" w:right="0" w:firstLine="1200" w:firstLineChars="5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n——声源个数。</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厂界噪声预测结果</w:t>
            </w:r>
          </w:p>
          <w:p>
            <w:pPr>
              <w:spacing w:line="360" w:lineRule="auto"/>
              <w:jc w:val="center"/>
              <w:rPr>
                <w:rFonts w:hint="default" w:ascii="Times New Roman" w:hAnsi="Times New Roman" w:cs="Times New Roman"/>
                <w:b/>
                <w:sz w:val="21"/>
                <w:szCs w:val="21"/>
                <w:lang w:val="en-US" w:eastAsia="zh-CN"/>
              </w:rPr>
            </w:pPr>
            <w:r>
              <w:rPr>
                <w:rFonts w:hint="default" w:ascii="Times New Roman" w:hAnsi="Times New Roman" w:cs="Times New Roman"/>
                <w:b/>
                <w:sz w:val="21"/>
                <w:szCs w:val="21"/>
                <w:lang w:val="en-US" w:eastAsia="zh-CN"/>
              </w:rPr>
              <w:t>表</w:t>
            </w:r>
            <w:r>
              <w:rPr>
                <w:rFonts w:hint="eastAsia" w:ascii="Times New Roman" w:hAnsi="Times New Roman" w:cs="Times New Roman"/>
                <w:b/>
                <w:sz w:val="21"/>
                <w:szCs w:val="21"/>
                <w:lang w:val="en-US" w:eastAsia="zh-CN"/>
              </w:rPr>
              <w:t>4-8</w:t>
            </w:r>
            <w:r>
              <w:rPr>
                <w:rFonts w:hint="default" w:ascii="Times New Roman" w:hAnsi="Times New Roman" w:cs="Times New Roman"/>
                <w:b/>
                <w:sz w:val="21"/>
                <w:szCs w:val="21"/>
                <w:lang w:val="en-US" w:eastAsia="zh-CN"/>
              </w:rPr>
              <w:t xml:space="preserve"> 项目噪声源对场界贡献值</w:t>
            </w:r>
          </w:p>
          <w:tbl>
            <w:tblPr>
              <w:tblStyle w:val="1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0"/>
              <w:gridCol w:w="982"/>
              <w:gridCol w:w="828"/>
              <w:gridCol w:w="601"/>
              <w:gridCol w:w="639"/>
              <w:gridCol w:w="455"/>
              <w:gridCol w:w="490"/>
              <w:gridCol w:w="803"/>
              <w:gridCol w:w="803"/>
              <w:gridCol w:w="803"/>
              <w:gridCol w:w="8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355"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6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主要</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噪声源</w:t>
                  </w:r>
                </w:p>
              </w:tc>
              <w:tc>
                <w:tcPr>
                  <w:tcW w:w="53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等效室外噪声级</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dB（A）</w:t>
                  </w:r>
                </w:p>
              </w:tc>
              <w:tc>
                <w:tcPr>
                  <w:tcW w:w="1406"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噪声源离厂界距离（m）</w:t>
                  </w:r>
                </w:p>
              </w:tc>
              <w:tc>
                <w:tcPr>
                  <w:tcW w:w="2072" w:type="pct"/>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噪声贡献值dB(A)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55"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6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5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p>
              </w:tc>
              <w:tc>
                <w:tcPr>
                  <w:tcW w:w="3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w:t>
                  </w:r>
                </w:p>
              </w:tc>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E</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32"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PVC挤塑机</w:t>
                  </w:r>
                </w:p>
              </w:tc>
              <w:tc>
                <w:tcPr>
                  <w:tcW w:w="533"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60</w:t>
                  </w:r>
                </w:p>
              </w:tc>
              <w:tc>
                <w:tcPr>
                  <w:tcW w:w="3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17.45</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17.60</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17.57</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632"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PP-R挤塑机</w:t>
                  </w:r>
                </w:p>
              </w:tc>
              <w:tc>
                <w:tcPr>
                  <w:tcW w:w="533"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65</w:t>
                  </w:r>
                </w:p>
              </w:tc>
              <w:tc>
                <w:tcPr>
                  <w:tcW w:w="3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22.45</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22.54</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22.57</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32"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PVC注塑机</w:t>
                  </w:r>
                </w:p>
              </w:tc>
              <w:tc>
                <w:tcPr>
                  <w:tcW w:w="533"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65</w:t>
                  </w:r>
                </w:p>
              </w:tc>
              <w:tc>
                <w:tcPr>
                  <w:tcW w:w="3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w:t>
                  </w:r>
                </w:p>
              </w:tc>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22.49</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22.61</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22.53</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632"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PP-R注塑机</w:t>
                  </w:r>
                </w:p>
              </w:tc>
              <w:tc>
                <w:tcPr>
                  <w:tcW w:w="533"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65</w:t>
                  </w:r>
                </w:p>
              </w:tc>
              <w:tc>
                <w:tcPr>
                  <w:tcW w:w="3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29</w:t>
                  </w:r>
                </w:p>
              </w:tc>
              <w:tc>
                <w:tcPr>
                  <w:tcW w:w="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29</w:t>
                  </w:r>
                </w:p>
              </w:tc>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22.46</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22.53</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22.53</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32"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真空吸料机</w:t>
                  </w:r>
                </w:p>
              </w:tc>
              <w:tc>
                <w:tcPr>
                  <w:tcW w:w="533"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60</w:t>
                  </w:r>
                </w:p>
              </w:tc>
              <w:tc>
                <w:tcPr>
                  <w:tcW w:w="3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21</w:t>
                  </w:r>
                </w:p>
              </w:tc>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22.46</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17.54</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17.56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632"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PVC搅拌机</w:t>
                  </w:r>
                </w:p>
              </w:tc>
              <w:tc>
                <w:tcPr>
                  <w:tcW w:w="533"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55</w:t>
                  </w:r>
                </w:p>
              </w:tc>
              <w:tc>
                <w:tcPr>
                  <w:tcW w:w="3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17</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26</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12.45</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12.60</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12.56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632"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PP-R烘干机</w:t>
                  </w:r>
                </w:p>
              </w:tc>
              <w:tc>
                <w:tcPr>
                  <w:tcW w:w="533"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vertAlign w:val="baseline"/>
                      <w:lang w:val="en-US" w:eastAsia="zh-CN"/>
                    </w:rPr>
                    <w:t>65</w:t>
                  </w:r>
                </w:p>
              </w:tc>
              <w:tc>
                <w:tcPr>
                  <w:tcW w:w="3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17</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27</w:t>
                  </w:r>
                </w:p>
              </w:tc>
              <w:tc>
                <w:tcPr>
                  <w:tcW w:w="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22.45</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22.54</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22.56</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632"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PVC缠膜机</w:t>
                  </w:r>
                </w:p>
              </w:tc>
              <w:tc>
                <w:tcPr>
                  <w:tcW w:w="533"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w:t>
                  </w:r>
                </w:p>
              </w:tc>
              <w:tc>
                <w:tcPr>
                  <w:tcW w:w="3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34</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22.39</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22.60</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22.63</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632"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PVC牵引机</w:t>
                  </w:r>
                </w:p>
              </w:tc>
              <w:tc>
                <w:tcPr>
                  <w:tcW w:w="533"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w:t>
                  </w:r>
                </w:p>
              </w:tc>
              <w:tc>
                <w:tcPr>
                  <w:tcW w:w="3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31</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22.40</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22.60</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22.61</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32"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PVC切割机</w:t>
                  </w:r>
                </w:p>
              </w:tc>
              <w:tc>
                <w:tcPr>
                  <w:tcW w:w="533"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w:t>
                  </w:r>
                </w:p>
              </w:tc>
              <w:tc>
                <w:tcPr>
                  <w:tcW w:w="3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22.38</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22.60</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22.63</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632"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破碎机</w:t>
                  </w:r>
                </w:p>
              </w:tc>
              <w:tc>
                <w:tcPr>
                  <w:tcW w:w="533"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70</w:t>
                  </w:r>
                </w:p>
              </w:tc>
              <w:tc>
                <w:tcPr>
                  <w:tcW w:w="3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27.44</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27.57</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27.57</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632"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PP-R真空定型机</w:t>
                  </w:r>
                </w:p>
              </w:tc>
              <w:tc>
                <w:tcPr>
                  <w:tcW w:w="533"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w:t>
                  </w:r>
                </w:p>
              </w:tc>
              <w:tc>
                <w:tcPr>
                  <w:tcW w:w="3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22.42</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22.54</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22.60</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632"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PP-R牵引机</w:t>
                  </w:r>
                </w:p>
              </w:tc>
              <w:tc>
                <w:tcPr>
                  <w:tcW w:w="533"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w:t>
                  </w:r>
                </w:p>
              </w:tc>
              <w:tc>
                <w:tcPr>
                  <w:tcW w:w="3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29</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22.41</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22.54</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22.61</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632"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PP-R切割机</w:t>
                  </w:r>
                </w:p>
              </w:tc>
              <w:tc>
                <w:tcPr>
                  <w:tcW w:w="533"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w:t>
                  </w:r>
                </w:p>
              </w:tc>
              <w:tc>
                <w:tcPr>
                  <w:tcW w:w="3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27</w:t>
                  </w:r>
                </w:p>
              </w:tc>
              <w:tc>
                <w:tcPr>
                  <w:tcW w:w="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22.38</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22.54</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22.63</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632"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风机</w:t>
                  </w:r>
                </w:p>
              </w:tc>
              <w:tc>
                <w:tcPr>
                  <w:tcW w:w="533" w:type="pct"/>
                  <w:tcBorders>
                    <w:tl2br w:val="nil"/>
                    <w:tr2bl w:val="nil"/>
                  </w:tcBorders>
                  <w:vAlign w:val="center"/>
                </w:tcPr>
                <w:p>
                  <w:pPr>
                    <w:pStyle w:val="7"/>
                    <w:keepNext w:val="0"/>
                    <w:keepLines w:val="0"/>
                    <w:pageBreakBefore w:val="0"/>
                    <w:widowControl w:val="0"/>
                    <w:kinsoku/>
                    <w:wordWrap/>
                    <w:overflowPunct/>
                    <w:topLinePunct w:val="0"/>
                    <w:autoSpaceDE/>
                    <w:autoSpaceDN/>
                    <w:bidi w:val="0"/>
                    <w:adjustRightInd w:val="0"/>
                    <w:snapToGrid w:val="0"/>
                    <w:spacing w:before="0" w:after="0" w:line="240" w:lineRule="auto"/>
                    <w:ind w:right="0" w:right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65</w:t>
                  </w:r>
                </w:p>
              </w:tc>
              <w:tc>
                <w:tcPr>
                  <w:tcW w:w="38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36</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2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31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28</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22.38</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22.61</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22.63</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22.41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5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2572" w:type="pct"/>
                  <w:gridSpan w:val="6"/>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背景值dB(A)</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927" w:type="pct"/>
                  <w:gridSpan w:val="7"/>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总贡献值</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55.04</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56.03</w:t>
                  </w:r>
                </w:p>
              </w:tc>
              <w:tc>
                <w:tcPr>
                  <w:tcW w:w="51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54.05</w:t>
                  </w:r>
                </w:p>
              </w:tc>
              <w:tc>
                <w:tcPr>
                  <w:tcW w:w="5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53.06</w:t>
                  </w:r>
                </w:p>
              </w:tc>
            </w:tr>
          </w:tbl>
          <w:p>
            <w:pPr>
              <w:adjustRightInd w:val="0"/>
              <w:snapToGrid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经过进一步距离衰减后，本项目产生的噪声在厂界处的贡献值</w:t>
            </w:r>
            <w:r>
              <w:rPr>
                <w:rFonts w:hint="default" w:ascii="Times New Roman" w:hAnsi="Times New Roman" w:eastAsia="宋体" w:cs="Times New Roman"/>
                <w:sz w:val="24"/>
                <w:szCs w:val="24"/>
                <w:lang w:eastAsia="zh-CN"/>
              </w:rPr>
              <w:t>为</w:t>
            </w:r>
            <w:r>
              <w:rPr>
                <w:rFonts w:hint="default" w:ascii="Times New Roman" w:hAnsi="Times New Roman" w:eastAsia="宋体" w:cs="Times New Roman"/>
                <w:sz w:val="24"/>
                <w:szCs w:val="24"/>
                <w:lang w:val="en-US" w:eastAsia="zh-CN"/>
              </w:rPr>
              <w:t>36.0</w:t>
            </w:r>
            <w:r>
              <w:rPr>
                <w:rFonts w:hint="default" w:ascii="Times New Roman" w:hAnsi="Times New Roman" w:eastAsia="宋体" w:cs="Times New Roman"/>
                <w:sz w:val="24"/>
                <w:szCs w:val="24"/>
              </w:rPr>
              <w:t>dB</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，满足《工业企业厂界环境噪声排放标准》（GB12348-2008）3类标准[昼65dB</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，夜间55dB</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]。本项目建成后对声环境影响不大。</w:t>
            </w:r>
          </w:p>
          <w:p>
            <w:pPr>
              <w:numPr>
                <w:ilvl w:val="0"/>
                <w:numId w:val="0"/>
              </w:numPr>
              <w:spacing w:line="360" w:lineRule="auto"/>
              <w:ind w:leftChars="200"/>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lang w:val="en-US" w:eastAsia="zh-CN"/>
              </w:rPr>
              <w:t>4、</w:t>
            </w:r>
            <w:r>
              <w:rPr>
                <w:rFonts w:hint="default" w:ascii="Times New Roman" w:hAnsi="Times New Roman" w:eastAsia="宋体" w:cs="Times New Roman"/>
                <w:b/>
                <w:bCs/>
                <w:sz w:val="24"/>
                <w:szCs w:val="20"/>
              </w:rPr>
              <w:t>固体废弃物</w:t>
            </w:r>
          </w:p>
          <w:p>
            <w:pPr>
              <w:spacing w:line="360" w:lineRule="auto"/>
              <w:ind w:firstLine="482" w:firstLineChars="200"/>
              <w:rPr>
                <w:rFonts w:hint="default" w:ascii="Times New Roman" w:hAnsi="Times New Roman" w:cs="Times New Roman"/>
                <w:kern w:val="0"/>
                <w:sz w:val="24"/>
              </w:rPr>
            </w:pPr>
            <w:r>
              <w:rPr>
                <w:rFonts w:hint="default" w:ascii="Times New Roman" w:hAnsi="Times New Roman" w:cs="Times New Roman"/>
                <w:b/>
                <w:sz w:val="24"/>
              </w:rPr>
              <w:t>（1）一般固废</w:t>
            </w:r>
          </w:p>
          <w:p>
            <w:pPr>
              <w:adjustRightInd w:val="0"/>
              <w:snapToGrid w:val="0"/>
              <w:spacing w:line="360" w:lineRule="auto"/>
              <w:ind w:firstLine="482"/>
              <w:textAlignment w:val="baseline"/>
              <w:rPr>
                <w:rFonts w:hint="default" w:ascii="Times New Roman" w:hAnsi="Times New Roman" w:cs="Times New Roman"/>
                <w:b/>
                <w:color w:val="000000"/>
                <w:sz w:val="24"/>
              </w:rPr>
            </w:pPr>
            <w:r>
              <w:rPr>
                <w:rFonts w:hint="default" w:ascii="Times New Roman" w:hAnsi="Times New Roman" w:cs="Times New Roman"/>
                <w:b/>
                <w:color w:val="000000"/>
                <w:sz w:val="24"/>
              </w:rPr>
              <w:t>①废包装材料</w:t>
            </w:r>
          </w:p>
          <w:p>
            <w:pPr>
              <w:snapToGrid w:val="0"/>
              <w:spacing w:line="360" w:lineRule="auto"/>
              <w:ind w:firstLine="480"/>
              <w:rPr>
                <w:rFonts w:hint="default" w:ascii="Times New Roman" w:hAnsi="Times New Roman" w:cs="Times New Roman"/>
                <w:sz w:val="24"/>
              </w:rPr>
            </w:pPr>
            <w:r>
              <w:rPr>
                <w:rFonts w:hint="default" w:ascii="Times New Roman" w:hAnsi="Times New Roman" w:cs="Times New Roman"/>
                <w:sz w:val="24"/>
              </w:rPr>
              <w:t>本项目废包装材料主要为塑料包装袋，产生量约为</w:t>
            </w:r>
            <w:r>
              <w:rPr>
                <w:rFonts w:hint="default" w:ascii="Times New Roman" w:hAnsi="Times New Roman" w:cs="Times New Roman"/>
                <w:color w:val="000000"/>
                <w:sz w:val="24"/>
              </w:rPr>
              <w:t>2t/a，</w:t>
            </w:r>
            <w:r>
              <w:rPr>
                <w:rFonts w:hint="default" w:ascii="Times New Roman" w:hAnsi="Times New Roman" w:cs="Times New Roman"/>
                <w:sz w:val="24"/>
              </w:rPr>
              <w:t>废包装材料由员工统一收集，定期交废品回收站处置。</w:t>
            </w:r>
          </w:p>
          <w:p>
            <w:pPr>
              <w:adjustRightInd w:val="0"/>
              <w:snapToGrid w:val="0"/>
              <w:spacing w:line="360" w:lineRule="auto"/>
              <w:ind w:firstLine="482"/>
              <w:textAlignment w:val="baseline"/>
              <w:rPr>
                <w:rFonts w:hint="default" w:ascii="Times New Roman" w:hAnsi="Times New Roman" w:cs="Times New Roman"/>
                <w:b/>
                <w:color w:val="000000"/>
                <w:sz w:val="24"/>
              </w:rPr>
            </w:pPr>
            <w:r>
              <w:rPr>
                <w:rFonts w:hint="default" w:ascii="Times New Roman" w:hAnsi="Times New Roman" w:cs="Times New Roman"/>
                <w:b/>
                <w:color w:val="000000"/>
                <w:sz w:val="24"/>
              </w:rPr>
              <w:t>②废边角料、次品</w:t>
            </w:r>
          </w:p>
          <w:p>
            <w:pPr>
              <w:snapToGrid w:val="0"/>
              <w:spacing w:line="360" w:lineRule="auto"/>
              <w:ind w:firstLine="352" w:firstLineChars="147"/>
              <w:rPr>
                <w:rFonts w:hint="default" w:ascii="Times New Roman" w:hAnsi="Times New Roman" w:cs="Times New Roman"/>
                <w:sz w:val="24"/>
              </w:rPr>
            </w:pPr>
            <w:r>
              <w:rPr>
                <w:rFonts w:hint="default" w:ascii="Times New Roman" w:hAnsi="Times New Roman" w:cs="Times New Roman"/>
                <w:sz w:val="24"/>
              </w:rPr>
              <w:t>整个过程中产生的废边角料、次品等由员工统一收集后，产生量约为50t/a。运至废料利用区经破碎机破碎后，重新配料循环使用，不外排。</w:t>
            </w:r>
          </w:p>
          <w:p>
            <w:pPr>
              <w:adjustRightInd w:val="0"/>
              <w:snapToGrid w:val="0"/>
              <w:spacing w:line="360" w:lineRule="auto"/>
              <w:ind w:firstLine="482" w:firstLineChars="200"/>
              <w:textAlignment w:val="baseline"/>
              <w:rPr>
                <w:rFonts w:hint="default" w:ascii="Times New Roman" w:hAnsi="Times New Roman" w:cs="Times New Roman"/>
                <w:b/>
                <w:color w:val="000000"/>
                <w:sz w:val="24"/>
              </w:rPr>
            </w:pPr>
            <w:r>
              <w:rPr>
                <w:rFonts w:hint="default" w:ascii="Times New Roman" w:hAnsi="Times New Roman" w:cs="Times New Roman"/>
                <w:b/>
                <w:color w:val="000000"/>
                <w:sz w:val="24"/>
              </w:rPr>
              <w:t>③生活垃圾</w:t>
            </w:r>
          </w:p>
          <w:p>
            <w:pPr>
              <w:adjustRightInd w:val="0"/>
              <w:snapToGrid w:val="0"/>
              <w:spacing w:line="360" w:lineRule="auto"/>
              <w:ind w:firstLine="360" w:firstLineChars="150"/>
              <w:textAlignment w:val="baseline"/>
              <w:rPr>
                <w:rFonts w:hint="default" w:ascii="Times New Roman" w:hAnsi="Times New Roman" w:cs="Times New Roman"/>
                <w:sz w:val="24"/>
              </w:rPr>
            </w:pPr>
            <w:r>
              <w:rPr>
                <w:rFonts w:hint="default" w:ascii="Times New Roman" w:hAnsi="Times New Roman" w:cs="Times New Roman"/>
                <w:sz w:val="24"/>
              </w:rPr>
              <w:t>本项目共有员工</w:t>
            </w:r>
            <w:r>
              <w:rPr>
                <w:rFonts w:hint="default" w:ascii="Times New Roman" w:hAnsi="Times New Roman" w:cs="Times New Roman"/>
                <w:sz w:val="24"/>
                <w:lang w:val="en-US" w:eastAsia="zh-CN"/>
              </w:rPr>
              <w:t>3</w:t>
            </w:r>
            <w:r>
              <w:rPr>
                <w:rFonts w:hint="eastAsia" w:cs="Times New Roman"/>
                <w:sz w:val="24"/>
                <w:lang w:val="en-US" w:eastAsia="zh-CN"/>
              </w:rPr>
              <w:t>5</w:t>
            </w:r>
            <w:r>
              <w:rPr>
                <w:rFonts w:hint="default" w:ascii="Times New Roman" w:hAnsi="Times New Roman" w:cs="Times New Roman"/>
                <w:sz w:val="24"/>
              </w:rPr>
              <w:t>人，生活垃圾</w:t>
            </w:r>
            <w:r>
              <w:rPr>
                <w:rFonts w:hint="default" w:ascii="Times New Roman" w:hAnsi="Times New Roman" w:cs="Times New Roman"/>
                <w:color w:val="000000"/>
                <w:sz w:val="24"/>
              </w:rPr>
              <w:t>人均</w:t>
            </w:r>
            <w:r>
              <w:rPr>
                <w:rFonts w:hint="default" w:ascii="Times New Roman" w:hAnsi="Times New Roman" w:cs="Times New Roman"/>
                <w:sz w:val="24"/>
              </w:rPr>
              <w:t>产生量为0.5kg/d，</w:t>
            </w:r>
            <w:r>
              <w:rPr>
                <w:rFonts w:hint="default" w:ascii="Times New Roman" w:hAnsi="Times New Roman" w:cs="Times New Roman"/>
                <w:color w:val="000000"/>
                <w:sz w:val="24"/>
              </w:rPr>
              <w:t>垃圾产生量为</w:t>
            </w:r>
            <w:r>
              <w:rPr>
                <w:rFonts w:hint="eastAsia" w:cs="Times New Roman"/>
                <w:color w:val="000000"/>
                <w:sz w:val="24"/>
                <w:lang w:val="en-US" w:eastAsia="zh-CN"/>
              </w:rPr>
              <w:t>17.5</w:t>
            </w:r>
            <w:r>
              <w:rPr>
                <w:rFonts w:hint="default" w:ascii="Times New Roman" w:hAnsi="Times New Roman" w:cs="Times New Roman"/>
                <w:color w:val="000000"/>
                <w:sz w:val="24"/>
              </w:rPr>
              <w:t>kg/d，合计年产生量为</w:t>
            </w:r>
            <w:r>
              <w:rPr>
                <w:rFonts w:hint="eastAsia" w:cs="Times New Roman"/>
                <w:color w:val="000000"/>
                <w:sz w:val="24"/>
                <w:lang w:val="en-US" w:eastAsia="zh-CN"/>
              </w:rPr>
              <w:t>5.775</w:t>
            </w:r>
            <w:r>
              <w:rPr>
                <w:rFonts w:hint="default" w:ascii="Times New Roman" w:hAnsi="Times New Roman" w:cs="Times New Roman"/>
                <w:color w:val="000000"/>
                <w:sz w:val="24"/>
              </w:rPr>
              <w:t>t/a。</w:t>
            </w:r>
            <w:r>
              <w:rPr>
                <w:rFonts w:hint="default" w:ascii="Times New Roman" w:hAnsi="Times New Roman" w:cs="Times New Roman"/>
                <w:sz w:val="24"/>
              </w:rPr>
              <w:t>生活垃圾由清洁人员按时清扫，暂存于厂区垃圾桶内，定期由市政环卫部门统一收集运至城市垃圾处理场填埋处置。</w:t>
            </w:r>
          </w:p>
          <w:p>
            <w:pPr>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（2）危险固废</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根据分析，项目运行期间产生的危险固废主要为定期更换的废活性炭以及机械设备维护过程中产生的少量的废机油、废棉纱等。</w:t>
            </w:r>
          </w:p>
          <w:p>
            <w:pPr>
              <w:adjustRightInd w:val="0"/>
              <w:snapToGrid w:val="0"/>
              <w:spacing w:line="360" w:lineRule="auto"/>
              <w:ind w:firstLine="482" w:firstLineChars="200"/>
              <w:rPr>
                <w:rFonts w:hint="default" w:ascii="Times New Roman" w:hAnsi="Times New Roman" w:eastAsia="黑体" w:cs="Times New Roman"/>
                <w:b/>
                <w:bCs/>
                <w:sz w:val="24"/>
              </w:rPr>
            </w:pPr>
            <w:r>
              <w:rPr>
                <w:rFonts w:hint="default" w:ascii="Times New Roman" w:hAnsi="Times New Roman" w:cs="Times New Roman"/>
                <w:b/>
                <w:sz w:val="24"/>
              </w:rPr>
              <w:t>①废机油</w:t>
            </w:r>
          </w:p>
          <w:p>
            <w:pPr>
              <w:adjustRightInd w:val="0"/>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主要产生于设备维护、检修过程，其产生量约为0.5t/a，属于《国家危险废物名录》（2021年版）中HW08号：废矿物油，其废物代码为：900-214-08，交由有资质单位清运处理。</w:t>
            </w:r>
          </w:p>
          <w:p>
            <w:pPr>
              <w:spacing w:line="360" w:lineRule="auto"/>
              <w:ind w:firstLine="482" w:firstLineChars="200"/>
              <w:rPr>
                <w:rFonts w:hint="default" w:ascii="Times New Roman" w:hAnsi="Times New Roman" w:cs="Times New Roman"/>
                <w:color w:val="000000"/>
                <w:sz w:val="24"/>
              </w:rPr>
            </w:pPr>
            <w:r>
              <w:rPr>
                <w:rFonts w:hint="default" w:ascii="Times New Roman" w:hAnsi="Times New Roman" w:cs="Times New Roman"/>
                <w:b/>
                <w:color w:val="000000"/>
                <w:sz w:val="24"/>
              </w:rPr>
              <w:t>②定期更换的废活性炭：</w:t>
            </w:r>
            <w:r>
              <w:rPr>
                <w:rFonts w:hint="default" w:ascii="Times New Roman" w:hAnsi="Times New Roman" w:cs="Times New Roman"/>
                <w:sz w:val="24"/>
              </w:rPr>
              <w:t>主要来自于挤塑、注塑等产生的有机废气治理过程中，</w:t>
            </w:r>
            <w:r>
              <w:rPr>
                <w:rFonts w:hint="default" w:ascii="Times New Roman" w:hAnsi="Times New Roman" w:cs="Times New Roman"/>
                <w:color w:val="000000"/>
                <w:kern w:val="0"/>
                <w:sz w:val="24"/>
              </w:rPr>
              <w:t>其产生量约为</w:t>
            </w:r>
            <w:r>
              <w:rPr>
                <w:rFonts w:hint="eastAsia" w:cs="Times New Roman"/>
                <w:color w:val="000000"/>
                <w:kern w:val="0"/>
                <w:sz w:val="24"/>
                <w:lang w:eastAsia="zh-CN"/>
              </w:rPr>
              <w:t>60.1425</w:t>
            </w:r>
            <w:r>
              <w:rPr>
                <w:rFonts w:hint="default" w:ascii="Times New Roman" w:hAnsi="Times New Roman" w:cs="Times New Roman"/>
                <w:color w:val="000000"/>
                <w:sz w:val="24"/>
              </w:rPr>
              <w:t>t/a，属于《国家危险废物名录》（2021年版）中HW49号：其他废物，其废物代码为：</w:t>
            </w:r>
            <w:r>
              <w:rPr>
                <w:rFonts w:hint="default" w:ascii="Times New Roman" w:hAnsi="Times New Roman" w:cs="Times New Roman"/>
                <w:sz w:val="24"/>
              </w:rPr>
              <w:t>900-039-49</w:t>
            </w:r>
            <w:r>
              <w:rPr>
                <w:rFonts w:hint="default" w:ascii="Times New Roman" w:hAnsi="Times New Roman" w:cs="Times New Roman"/>
                <w:color w:val="000000"/>
                <w:sz w:val="24"/>
              </w:rPr>
              <w:t>，需将其交由有资质单位进行处理。</w:t>
            </w:r>
          </w:p>
          <w:p>
            <w:pPr>
              <w:spacing w:line="360" w:lineRule="auto"/>
              <w:ind w:firstLine="482"/>
              <w:rPr>
                <w:rFonts w:hint="default" w:ascii="Times New Roman" w:hAnsi="Times New Roman" w:cs="Times New Roman"/>
                <w:sz w:val="24"/>
              </w:rPr>
            </w:pPr>
            <w:r>
              <w:rPr>
                <w:rFonts w:hint="default" w:ascii="Times New Roman" w:hAnsi="Times New Roman" w:cs="Times New Roman"/>
                <w:b/>
                <w:sz w:val="24"/>
              </w:rPr>
              <w:t>③含油废棉纱、废手套：</w:t>
            </w:r>
            <w:r>
              <w:rPr>
                <w:rFonts w:hint="default" w:ascii="Times New Roman" w:hAnsi="Times New Roman" w:cs="Times New Roman"/>
                <w:sz w:val="24"/>
              </w:rPr>
              <w:t>设备维护过程中产生的固废主要为含油废手套、含油废棉纱等，产生量共计0.01t/a。属于《国家危险废物名录》（2021年）中HW49号，其废物代码为：900-041-49，须交由有资质单位清运处理。</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本项目中主要固体废物排放及处理方法见表</w:t>
            </w:r>
            <w:r>
              <w:rPr>
                <w:rFonts w:hint="eastAsia" w:ascii="Times New Roman" w:hAnsi="Times New Roman" w:cs="Times New Roman"/>
                <w:color w:val="000000"/>
                <w:sz w:val="24"/>
                <w:lang w:val="en-US" w:eastAsia="zh-CN"/>
              </w:rPr>
              <w:t>4-9</w:t>
            </w:r>
            <w:r>
              <w:rPr>
                <w:rFonts w:hint="default" w:ascii="Times New Roman" w:hAnsi="Times New Roman" w:cs="Times New Roman"/>
                <w:color w:val="000000"/>
                <w:sz w:val="24"/>
              </w:rPr>
              <w:t>所示。</w:t>
            </w:r>
          </w:p>
          <w:p>
            <w:pPr>
              <w:spacing w:line="360" w:lineRule="auto"/>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表</w:t>
            </w:r>
            <w:r>
              <w:rPr>
                <w:rFonts w:hint="eastAsia" w:ascii="Times New Roman" w:hAnsi="Times New Roman" w:cs="Times New Roman"/>
                <w:b/>
                <w:color w:val="000000"/>
                <w:szCs w:val="21"/>
                <w:lang w:val="en-US" w:eastAsia="zh-CN"/>
              </w:rPr>
              <w:t>4-9</w:t>
            </w:r>
            <w:r>
              <w:rPr>
                <w:rFonts w:hint="default" w:ascii="Times New Roman" w:hAnsi="Times New Roman" w:cs="Times New Roman"/>
                <w:b/>
                <w:color w:val="000000"/>
                <w:szCs w:val="21"/>
              </w:rPr>
              <w:t xml:space="preserve"> 固体废物排放及处理方法</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
              <w:gridCol w:w="843"/>
              <w:gridCol w:w="738"/>
              <w:gridCol w:w="728"/>
              <w:gridCol w:w="306"/>
              <w:gridCol w:w="481"/>
              <w:gridCol w:w="676"/>
              <w:gridCol w:w="382"/>
              <w:gridCol w:w="60"/>
              <w:gridCol w:w="556"/>
              <w:gridCol w:w="569"/>
              <w:gridCol w:w="553"/>
              <w:gridCol w:w="559"/>
              <w:gridCol w:w="819"/>
              <w:gridCol w:w="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7" w:type="pct"/>
                <w:cantSplit/>
                <w:jc w:val="center"/>
              </w:trPr>
              <w:tc>
                <w:tcPr>
                  <w:tcW w:w="267" w:type="pct"/>
                  <w:noWrap w:val="0"/>
                  <w:tcMar>
                    <w:left w:w="57" w:type="dxa"/>
                    <w:right w:w="57" w:type="dxa"/>
                  </w:tcMar>
                  <w:vAlign w:val="center"/>
                </w:tcPr>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序号</w:t>
                  </w:r>
                </w:p>
              </w:tc>
              <w:tc>
                <w:tcPr>
                  <w:tcW w:w="1685" w:type="pct"/>
                  <w:gridSpan w:val="4"/>
                  <w:noWrap w:val="0"/>
                  <w:vAlign w:val="center"/>
                </w:tcPr>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废弃物名称</w:t>
                  </w:r>
                </w:p>
              </w:tc>
              <w:tc>
                <w:tcPr>
                  <w:tcW w:w="992" w:type="pct"/>
                  <w:gridSpan w:val="3"/>
                  <w:noWrap w:val="0"/>
                  <w:tcMar>
                    <w:left w:w="57" w:type="dxa"/>
                    <w:right w:w="57" w:type="dxa"/>
                  </w:tcMar>
                  <w:vAlign w:val="center"/>
                </w:tcPr>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产生量</w:t>
                  </w:r>
                </w:p>
              </w:tc>
              <w:tc>
                <w:tcPr>
                  <w:tcW w:w="764" w:type="pct"/>
                  <w:gridSpan w:val="3"/>
                  <w:noWrap w:val="0"/>
                  <w:vAlign w:val="center"/>
                </w:tcPr>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szCs w:val="21"/>
                    </w:rPr>
                    <w:t>来源</w:t>
                  </w:r>
                </w:p>
              </w:tc>
              <w:tc>
                <w:tcPr>
                  <w:tcW w:w="1242" w:type="pct"/>
                  <w:gridSpan w:val="3"/>
                  <w:noWrap w:val="0"/>
                  <w:vAlign w:val="center"/>
                </w:tcPr>
                <w:p>
                  <w:pPr>
                    <w:pStyle w:val="39"/>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7" w:type="pct"/>
                <w:cantSplit/>
                <w:jc w:val="center"/>
              </w:trPr>
              <w:tc>
                <w:tcPr>
                  <w:tcW w:w="4952" w:type="pct"/>
                  <w:gridSpan w:val="14"/>
                  <w:noWrap w:val="0"/>
                  <w:tcMar>
                    <w:left w:w="57" w:type="dxa"/>
                    <w:right w:w="57" w:type="dxa"/>
                  </w:tcMar>
                  <w:vAlign w:val="center"/>
                </w:tcPr>
                <w:p>
                  <w:pPr>
                    <w:pStyle w:val="39"/>
                    <w:adjustRightInd/>
                    <w:spacing w:before="0" w:after="0"/>
                    <w:contextualSpacing/>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一般固废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7" w:type="pct"/>
                <w:cantSplit/>
                <w:jc w:val="center"/>
              </w:trPr>
              <w:tc>
                <w:tcPr>
                  <w:tcW w:w="267" w:type="pct"/>
                  <w:noWrap w:val="0"/>
                  <w:tcMar>
                    <w:left w:w="57" w:type="dxa"/>
                    <w:right w:w="57" w:type="dxa"/>
                  </w:tcMar>
                  <w:vAlign w:val="center"/>
                </w:tcPr>
                <w:p>
                  <w:pPr>
                    <w:pStyle w:val="39"/>
                    <w:spacing w:before="0" w:after="0"/>
                    <w:rPr>
                      <w:rFonts w:hint="default" w:ascii="Times New Roman" w:hAnsi="Times New Roman" w:cs="Times New Roman"/>
                      <w:szCs w:val="21"/>
                    </w:rPr>
                  </w:pPr>
                  <w:r>
                    <w:rPr>
                      <w:rFonts w:hint="default" w:ascii="Times New Roman" w:hAnsi="Times New Roman" w:cs="Times New Roman"/>
                      <w:szCs w:val="21"/>
                    </w:rPr>
                    <w:t>1</w:t>
                  </w:r>
                </w:p>
              </w:tc>
              <w:tc>
                <w:tcPr>
                  <w:tcW w:w="1685" w:type="pct"/>
                  <w:gridSpan w:val="4"/>
                  <w:noWrap w:val="0"/>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废包装材料</w:t>
                  </w:r>
                </w:p>
              </w:tc>
              <w:tc>
                <w:tcPr>
                  <w:tcW w:w="992" w:type="pct"/>
                  <w:gridSpan w:val="3"/>
                  <w:noWrap w:val="0"/>
                  <w:tcMar>
                    <w:left w:w="57" w:type="dxa"/>
                    <w:right w:w="57" w:type="dxa"/>
                  </w:tcMar>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2t/a</w:t>
                  </w:r>
                </w:p>
              </w:tc>
              <w:tc>
                <w:tcPr>
                  <w:tcW w:w="764" w:type="pct"/>
                  <w:gridSpan w:val="3"/>
                  <w:noWrap w:val="0"/>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包装过程</w:t>
                  </w:r>
                </w:p>
              </w:tc>
              <w:tc>
                <w:tcPr>
                  <w:tcW w:w="1242" w:type="pct"/>
                  <w:gridSpan w:val="3"/>
                  <w:noWrap w:val="0"/>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szCs w:val="21"/>
                      <w:lang w:val="en-US" w:eastAsia="zh-CN"/>
                    </w:rPr>
                    <w:t>集中收集后定期外售废品收购站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7" w:type="pct"/>
                <w:cantSplit/>
                <w:jc w:val="center"/>
              </w:trPr>
              <w:tc>
                <w:tcPr>
                  <w:tcW w:w="267" w:type="pct"/>
                  <w:noWrap w:val="0"/>
                  <w:tcMar>
                    <w:left w:w="57" w:type="dxa"/>
                    <w:right w:w="57" w:type="dxa"/>
                  </w:tcMar>
                  <w:vAlign w:val="center"/>
                </w:tcPr>
                <w:p>
                  <w:pPr>
                    <w:pStyle w:val="39"/>
                    <w:spacing w:before="0" w:after="0"/>
                    <w:rPr>
                      <w:rFonts w:hint="default" w:ascii="Times New Roman" w:hAnsi="Times New Roman" w:cs="Times New Roman"/>
                      <w:szCs w:val="21"/>
                    </w:rPr>
                  </w:pPr>
                  <w:r>
                    <w:rPr>
                      <w:rFonts w:hint="default" w:ascii="Times New Roman" w:hAnsi="Times New Roman" w:cs="Times New Roman"/>
                      <w:szCs w:val="21"/>
                    </w:rPr>
                    <w:t>2</w:t>
                  </w:r>
                </w:p>
              </w:tc>
              <w:tc>
                <w:tcPr>
                  <w:tcW w:w="1685" w:type="pct"/>
                  <w:gridSpan w:val="4"/>
                  <w:noWrap w:val="0"/>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废边角料、次品</w:t>
                  </w:r>
                </w:p>
              </w:tc>
              <w:tc>
                <w:tcPr>
                  <w:tcW w:w="992" w:type="pct"/>
                  <w:gridSpan w:val="3"/>
                  <w:noWrap w:val="0"/>
                  <w:tcMar>
                    <w:left w:w="57" w:type="dxa"/>
                    <w:right w:w="57" w:type="dxa"/>
                  </w:tcMar>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50t/a</w:t>
                  </w:r>
                </w:p>
              </w:tc>
              <w:tc>
                <w:tcPr>
                  <w:tcW w:w="764" w:type="pct"/>
                  <w:gridSpan w:val="3"/>
                  <w:noWrap w:val="0"/>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生产</w:t>
                  </w:r>
                </w:p>
              </w:tc>
              <w:tc>
                <w:tcPr>
                  <w:tcW w:w="1242" w:type="pct"/>
                  <w:gridSpan w:val="3"/>
                  <w:noWrap w:val="0"/>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szCs w:val="21"/>
                      <w:lang w:val="en-US" w:eastAsia="zh-CN"/>
                    </w:rPr>
                    <w:t>破碎后回用于生产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7" w:type="pct"/>
                <w:cantSplit/>
                <w:jc w:val="center"/>
              </w:trPr>
              <w:tc>
                <w:tcPr>
                  <w:tcW w:w="267" w:type="pct"/>
                  <w:noWrap w:val="0"/>
                  <w:tcMar>
                    <w:left w:w="57" w:type="dxa"/>
                    <w:right w:w="57" w:type="dxa"/>
                  </w:tcMar>
                  <w:vAlign w:val="center"/>
                </w:tcPr>
                <w:p>
                  <w:pPr>
                    <w:pStyle w:val="39"/>
                    <w:spacing w:before="0" w:after="0"/>
                    <w:rPr>
                      <w:rFonts w:hint="default" w:ascii="Times New Roman" w:hAnsi="Times New Roman" w:cs="Times New Roman"/>
                      <w:szCs w:val="21"/>
                      <w:lang w:eastAsia="zh-CN"/>
                    </w:rPr>
                  </w:pPr>
                  <w:r>
                    <w:rPr>
                      <w:rFonts w:hint="default" w:ascii="Times New Roman" w:hAnsi="Times New Roman" w:cs="Times New Roman"/>
                      <w:szCs w:val="21"/>
                      <w:lang w:val="en-US" w:eastAsia="zh-CN"/>
                    </w:rPr>
                    <w:t>3</w:t>
                  </w:r>
                </w:p>
              </w:tc>
              <w:tc>
                <w:tcPr>
                  <w:tcW w:w="1685" w:type="pct"/>
                  <w:gridSpan w:val="4"/>
                  <w:noWrap w:val="0"/>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生活垃圾</w:t>
                  </w:r>
                </w:p>
              </w:tc>
              <w:tc>
                <w:tcPr>
                  <w:tcW w:w="992" w:type="pct"/>
                  <w:gridSpan w:val="3"/>
                  <w:noWrap w:val="0"/>
                  <w:tcMar>
                    <w:left w:w="57" w:type="dxa"/>
                    <w:right w:w="57" w:type="dxa"/>
                  </w:tcMar>
                  <w:vAlign w:val="center"/>
                </w:tcPr>
                <w:p>
                  <w:pPr>
                    <w:pStyle w:val="39"/>
                    <w:rPr>
                      <w:rFonts w:hint="default" w:ascii="Times New Roman" w:hAnsi="Times New Roman" w:cs="Times New Roman"/>
                      <w:color w:val="000000"/>
                      <w:szCs w:val="21"/>
                      <w:lang w:val="en-US" w:eastAsia="zh-CN"/>
                    </w:rPr>
                  </w:pPr>
                  <w:r>
                    <w:rPr>
                      <w:rFonts w:hint="eastAsia" w:cs="Times New Roman"/>
                      <w:color w:val="000000"/>
                      <w:szCs w:val="21"/>
                      <w:lang w:val="en-US" w:eastAsia="zh-CN"/>
                    </w:rPr>
                    <w:t>5.775</w:t>
                  </w:r>
                  <w:r>
                    <w:rPr>
                      <w:rFonts w:hint="default" w:ascii="Times New Roman" w:hAnsi="Times New Roman" w:cs="Times New Roman"/>
                      <w:color w:val="000000"/>
                      <w:szCs w:val="21"/>
                      <w:lang w:val="en-US" w:eastAsia="zh-CN"/>
                    </w:rPr>
                    <w:t>t/a</w:t>
                  </w:r>
                </w:p>
              </w:tc>
              <w:tc>
                <w:tcPr>
                  <w:tcW w:w="764" w:type="pct"/>
                  <w:gridSpan w:val="3"/>
                  <w:noWrap w:val="0"/>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办公</w:t>
                  </w:r>
                </w:p>
              </w:tc>
              <w:tc>
                <w:tcPr>
                  <w:tcW w:w="1242" w:type="pct"/>
                  <w:gridSpan w:val="3"/>
                  <w:noWrap w:val="0"/>
                  <w:vAlign w:val="center"/>
                </w:tcPr>
                <w:p>
                  <w:pPr>
                    <w:pStyle w:val="39"/>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由市政环卫部门清运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7" w:type="pct"/>
                <w:cantSplit/>
                <w:jc w:val="center"/>
              </w:trPr>
              <w:tc>
                <w:tcPr>
                  <w:tcW w:w="4952" w:type="pct"/>
                  <w:gridSpan w:val="14"/>
                  <w:noWrap w:val="0"/>
                  <w:tcMar>
                    <w:left w:w="57" w:type="dxa"/>
                    <w:right w:w="57" w:type="dxa"/>
                  </w:tcMar>
                  <w:vAlign w:val="center"/>
                </w:tcPr>
                <w:p>
                  <w:pPr>
                    <w:pStyle w:val="39"/>
                    <w:adjustRightInd/>
                    <w:spacing w:before="0" w:after="0"/>
                    <w:contextualSpacing/>
                    <w:jc w:val="center"/>
                    <w:rPr>
                      <w:rFonts w:hint="default" w:ascii="Times New Roman" w:hAnsi="Times New Roman" w:cs="Times New Roman"/>
                      <w:color w:val="000000"/>
                      <w:szCs w:val="21"/>
                    </w:rPr>
                  </w:pPr>
                  <w:r>
                    <w:rPr>
                      <w:rFonts w:hint="default" w:ascii="Times New Roman" w:hAnsi="Times New Roman" w:cs="Times New Roman"/>
                      <w:b/>
                      <w:color w:val="000000"/>
                      <w:szCs w:val="21"/>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7" w:type="pct"/>
                  <w:noWrap w:val="0"/>
                  <w:tcMar>
                    <w:left w:w="57" w:type="dxa"/>
                    <w:right w:w="57" w:type="dxa"/>
                  </w:tcMar>
                  <w:vAlign w:val="center"/>
                </w:tcPr>
                <w:p>
                  <w:pPr>
                    <w:pStyle w:val="39"/>
                    <w:adjustRightInd/>
                    <w:spacing w:before="0" w:after="0"/>
                    <w:contextualSpacing/>
                    <w:rPr>
                      <w:rFonts w:hint="default" w:ascii="Times New Roman" w:hAnsi="Times New Roman" w:eastAsia="宋体" w:cs="Times New Roman"/>
                      <w:b/>
                      <w:color w:val="000000"/>
                      <w:szCs w:val="21"/>
                      <w:lang w:val="en-US" w:eastAsia="zh-CN"/>
                    </w:rPr>
                  </w:pPr>
                  <w:r>
                    <w:rPr>
                      <w:rFonts w:hint="default" w:ascii="Times New Roman" w:hAnsi="Times New Roman" w:cs="Times New Roman"/>
                      <w:b/>
                      <w:color w:val="000000"/>
                      <w:szCs w:val="21"/>
                      <w:lang w:val="en-US" w:eastAsia="zh-CN"/>
                    </w:rPr>
                    <w:t>序号</w:t>
                  </w:r>
                </w:p>
              </w:tc>
              <w:tc>
                <w:tcPr>
                  <w:tcW w:w="543" w:type="pct"/>
                  <w:noWrap w:val="0"/>
                  <w:vAlign w:val="center"/>
                </w:tcPr>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名称</w:t>
                  </w:r>
                </w:p>
              </w:tc>
              <w:tc>
                <w:tcPr>
                  <w:tcW w:w="476" w:type="pct"/>
                  <w:noWrap w:val="0"/>
                  <w:vAlign w:val="center"/>
                </w:tcPr>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危险废物类别</w:t>
                  </w:r>
                </w:p>
              </w:tc>
              <w:tc>
                <w:tcPr>
                  <w:tcW w:w="469" w:type="pct"/>
                  <w:noWrap w:val="0"/>
                  <w:vAlign w:val="center"/>
                </w:tcPr>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危险废物代码</w:t>
                  </w:r>
                </w:p>
              </w:tc>
              <w:tc>
                <w:tcPr>
                  <w:tcW w:w="507" w:type="pct"/>
                  <w:gridSpan w:val="2"/>
                  <w:noWrap w:val="0"/>
                  <w:vAlign w:val="center"/>
                </w:tcPr>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产生量</w:t>
                  </w:r>
                </w:p>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（t/a）</w:t>
                  </w:r>
                </w:p>
              </w:tc>
              <w:tc>
                <w:tcPr>
                  <w:tcW w:w="436" w:type="pct"/>
                  <w:noWrap w:val="0"/>
                  <w:tcMar>
                    <w:left w:w="57" w:type="dxa"/>
                    <w:right w:w="57" w:type="dxa"/>
                  </w:tcMar>
                  <w:vAlign w:val="center"/>
                </w:tcPr>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产生工序及装置</w:t>
                  </w:r>
                </w:p>
              </w:tc>
              <w:tc>
                <w:tcPr>
                  <w:tcW w:w="285" w:type="pct"/>
                  <w:gridSpan w:val="2"/>
                  <w:noWrap w:val="0"/>
                  <w:vAlign w:val="center"/>
                </w:tcPr>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形</w:t>
                  </w:r>
                </w:p>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态</w:t>
                  </w:r>
                </w:p>
              </w:tc>
              <w:tc>
                <w:tcPr>
                  <w:tcW w:w="358" w:type="pct"/>
                  <w:noWrap w:val="0"/>
                  <w:vAlign w:val="center"/>
                </w:tcPr>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主要成分</w:t>
                  </w:r>
                </w:p>
              </w:tc>
              <w:tc>
                <w:tcPr>
                  <w:tcW w:w="367" w:type="pct"/>
                  <w:noWrap w:val="0"/>
                  <w:vAlign w:val="center"/>
                </w:tcPr>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有害成分</w:t>
                  </w:r>
                </w:p>
              </w:tc>
              <w:tc>
                <w:tcPr>
                  <w:tcW w:w="356" w:type="pct"/>
                  <w:noWrap w:val="0"/>
                  <w:vAlign w:val="center"/>
                </w:tcPr>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产废周期</w:t>
                  </w:r>
                </w:p>
              </w:tc>
              <w:tc>
                <w:tcPr>
                  <w:tcW w:w="360" w:type="pct"/>
                  <w:noWrap w:val="0"/>
                  <w:vAlign w:val="center"/>
                </w:tcPr>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危险</w:t>
                  </w:r>
                </w:p>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特性</w:t>
                  </w:r>
                </w:p>
              </w:tc>
              <w:tc>
                <w:tcPr>
                  <w:tcW w:w="573" w:type="pct"/>
                  <w:gridSpan w:val="2"/>
                  <w:noWrap w:val="0"/>
                  <w:vAlign w:val="center"/>
                </w:tcPr>
                <w:p>
                  <w:pPr>
                    <w:pStyle w:val="39"/>
                    <w:adjustRightInd/>
                    <w:spacing w:before="0" w:after="0"/>
                    <w:contextualSpacing/>
                    <w:rPr>
                      <w:rFonts w:hint="default" w:ascii="Times New Roman" w:hAnsi="Times New Roman" w:cs="Times New Roman"/>
                      <w:b/>
                      <w:color w:val="000000"/>
                      <w:szCs w:val="21"/>
                    </w:rPr>
                  </w:pPr>
                  <w:r>
                    <w:rPr>
                      <w:rFonts w:hint="default" w:ascii="Times New Roman" w:hAnsi="Times New Roman" w:cs="Times New Roman"/>
                      <w:b/>
                      <w:color w:val="000000"/>
                      <w:szCs w:val="21"/>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7" w:type="pct"/>
                  <w:noWrap w:val="0"/>
                  <w:tcMar>
                    <w:left w:w="57" w:type="dxa"/>
                    <w:right w:w="57" w:type="dxa"/>
                  </w:tcMar>
                  <w:vAlign w:val="center"/>
                </w:tcPr>
                <w:p>
                  <w:pPr>
                    <w:pStyle w:val="39"/>
                    <w:adjustRightInd/>
                    <w:spacing w:before="0" w:after="0"/>
                    <w:contextualSpacing/>
                    <w:rPr>
                      <w:rFonts w:hint="default" w:ascii="Times New Roman" w:hAnsi="Times New Roman" w:cs="Times New Roman"/>
                      <w:b/>
                      <w:color w:val="000000"/>
                      <w:szCs w:val="21"/>
                      <w:lang w:eastAsia="zh-CN"/>
                    </w:rPr>
                  </w:pPr>
                  <w:r>
                    <w:rPr>
                      <w:rFonts w:hint="default" w:ascii="Times New Roman" w:hAnsi="Times New Roman" w:cs="Times New Roman"/>
                      <w:b/>
                      <w:color w:val="000000"/>
                      <w:szCs w:val="21"/>
                      <w:lang w:eastAsia="zh-CN"/>
                    </w:rPr>
                    <w:t>1</w:t>
                  </w:r>
                </w:p>
              </w:tc>
              <w:tc>
                <w:tcPr>
                  <w:tcW w:w="543" w:type="pct"/>
                  <w:noWrap w:val="0"/>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废机油</w:t>
                  </w:r>
                </w:p>
              </w:tc>
              <w:tc>
                <w:tcPr>
                  <w:tcW w:w="476" w:type="pct"/>
                  <w:noWrap w:val="0"/>
                  <w:vAlign w:val="center"/>
                </w:tcPr>
                <w:p>
                  <w:pPr>
                    <w:pStyle w:val="39"/>
                    <w:spacing w:before="0" w:after="0"/>
                    <w:rPr>
                      <w:rFonts w:hint="default" w:ascii="Times New Roman" w:hAnsi="Times New Roman" w:cs="Times New Roman"/>
                      <w:szCs w:val="21"/>
                    </w:rPr>
                  </w:pPr>
                  <w:r>
                    <w:rPr>
                      <w:rFonts w:hint="default" w:ascii="Times New Roman" w:hAnsi="Times New Roman" w:cs="Times New Roman"/>
                      <w:color w:val="000000"/>
                      <w:szCs w:val="21"/>
                      <w:lang w:val="en-US" w:eastAsia="zh-CN"/>
                    </w:rPr>
                    <w:t>HW08号</w:t>
                  </w:r>
                </w:p>
              </w:tc>
              <w:tc>
                <w:tcPr>
                  <w:tcW w:w="469" w:type="pct"/>
                  <w:noWrap w:val="0"/>
                  <w:vAlign w:val="center"/>
                </w:tcPr>
                <w:p>
                  <w:pPr>
                    <w:pStyle w:val="39"/>
                    <w:adjustRightInd/>
                    <w:spacing w:before="0" w:after="0"/>
                    <w:contextualSpacing/>
                    <w:rPr>
                      <w:rFonts w:hint="default" w:ascii="Times New Roman" w:hAnsi="Times New Roman" w:cs="Times New Roman"/>
                      <w:color w:val="000000"/>
                      <w:szCs w:val="21"/>
                      <w:lang w:eastAsia="zh-CN"/>
                    </w:rPr>
                  </w:pPr>
                  <w:r>
                    <w:rPr>
                      <w:rFonts w:hint="default" w:ascii="Times New Roman" w:hAnsi="Times New Roman" w:cs="Times New Roman"/>
                      <w:color w:val="000000"/>
                      <w:szCs w:val="21"/>
                    </w:rPr>
                    <w:t>900-</w:t>
                  </w:r>
                </w:p>
                <w:p>
                  <w:pPr>
                    <w:pStyle w:val="39"/>
                    <w:adjustRightInd/>
                    <w:spacing w:before="0" w:after="0"/>
                    <w:contextualSpacing/>
                    <w:rPr>
                      <w:rFonts w:hint="default" w:ascii="Times New Roman" w:hAnsi="Times New Roman" w:cs="Times New Roman"/>
                      <w:color w:val="000000"/>
                      <w:szCs w:val="21"/>
                    </w:rPr>
                  </w:pPr>
                  <w:r>
                    <w:rPr>
                      <w:rFonts w:hint="default" w:ascii="Times New Roman" w:hAnsi="Times New Roman" w:cs="Times New Roman"/>
                      <w:color w:val="000000"/>
                      <w:szCs w:val="21"/>
                      <w:lang w:eastAsia="zh-CN"/>
                    </w:rPr>
                    <w:t>214</w:t>
                  </w:r>
                  <w:r>
                    <w:rPr>
                      <w:rFonts w:hint="default" w:ascii="Times New Roman" w:hAnsi="Times New Roman" w:cs="Times New Roman"/>
                      <w:color w:val="000000"/>
                      <w:szCs w:val="21"/>
                    </w:rPr>
                    <w:t>-08</w:t>
                  </w:r>
                </w:p>
              </w:tc>
              <w:tc>
                <w:tcPr>
                  <w:tcW w:w="507" w:type="pct"/>
                  <w:gridSpan w:val="2"/>
                  <w:noWrap w:val="0"/>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0.5</w:t>
                  </w:r>
                </w:p>
              </w:tc>
              <w:tc>
                <w:tcPr>
                  <w:tcW w:w="436" w:type="pct"/>
                  <w:noWrap w:val="0"/>
                  <w:tcMar>
                    <w:left w:w="57" w:type="dxa"/>
                    <w:right w:w="57" w:type="dxa"/>
                  </w:tcMar>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设备</w:t>
                  </w:r>
                </w:p>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维护</w:t>
                  </w:r>
                </w:p>
              </w:tc>
              <w:tc>
                <w:tcPr>
                  <w:tcW w:w="285" w:type="pct"/>
                  <w:gridSpan w:val="2"/>
                  <w:noWrap w:val="0"/>
                  <w:vAlign w:val="center"/>
                </w:tcPr>
                <w:p>
                  <w:pPr>
                    <w:pStyle w:val="39"/>
                    <w:adjustRightInd/>
                    <w:spacing w:before="0" w:after="0"/>
                    <w:contextualSpacing/>
                    <w:rPr>
                      <w:rFonts w:hint="default" w:ascii="Times New Roman" w:hAnsi="Times New Roman" w:cs="Times New Roman"/>
                      <w:color w:val="000000"/>
                      <w:szCs w:val="21"/>
                    </w:rPr>
                  </w:pPr>
                  <w:r>
                    <w:rPr>
                      <w:rFonts w:hint="default" w:ascii="Times New Roman" w:hAnsi="Times New Roman" w:cs="Times New Roman"/>
                      <w:color w:val="000000"/>
                      <w:szCs w:val="21"/>
                    </w:rPr>
                    <w:t>液态</w:t>
                  </w:r>
                </w:p>
              </w:tc>
              <w:tc>
                <w:tcPr>
                  <w:tcW w:w="358" w:type="pct"/>
                  <w:noWrap w:val="0"/>
                  <w:vAlign w:val="center"/>
                </w:tcPr>
                <w:p>
                  <w:pPr>
                    <w:pStyle w:val="39"/>
                    <w:adjustRightInd/>
                    <w:spacing w:before="0" w:after="0"/>
                    <w:contextualSpacing/>
                    <w:rPr>
                      <w:rFonts w:hint="default" w:ascii="Times New Roman" w:hAnsi="Times New Roman" w:cs="Times New Roman"/>
                      <w:color w:val="000000"/>
                      <w:szCs w:val="21"/>
                    </w:rPr>
                  </w:pPr>
                  <w:r>
                    <w:rPr>
                      <w:rFonts w:hint="default" w:ascii="Times New Roman" w:hAnsi="Times New Roman" w:cs="Times New Roman"/>
                      <w:color w:val="000000"/>
                      <w:szCs w:val="21"/>
                    </w:rPr>
                    <w:t>油</w:t>
                  </w:r>
                </w:p>
              </w:tc>
              <w:tc>
                <w:tcPr>
                  <w:tcW w:w="367" w:type="pct"/>
                  <w:noWrap w:val="0"/>
                  <w:vAlign w:val="center"/>
                </w:tcPr>
                <w:p>
                  <w:pPr>
                    <w:pStyle w:val="39"/>
                    <w:adjustRightInd/>
                    <w:spacing w:before="0" w:after="0"/>
                    <w:contextualSpacing/>
                    <w:rPr>
                      <w:rFonts w:hint="default" w:ascii="Times New Roman" w:hAnsi="Times New Roman" w:cs="Times New Roman"/>
                      <w:color w:val="000000"/>
                      <w:szCs w:val="21"/>
                    </w:rPr>
                  </w:pPr>
                  <w:r>
                    <w:rPr>
                      <w:rFonts w:hint="default" w:ascii="Times New Roman" w:hAnsi="Times New Roman" w:cs="Times New Roman"/>
                      <w:color w:val="000000"/>
                      <w:szCs w:val="21"/>
                    </w:rPr>
                    <w:t>油</w:t>
                  </w:r>
                </w:p>
              </w:tc>
              <w:tc>
                <w:tcPr>
                  <w:tcW w:w="356" w:type="pct"/>
                  <w:noWrap w:val="0"/>
                  <w:vAlign w:val="center"/>
                </w:tcPr>
                <w:p>
                  <w:pPr>
                    <w:pStyle w:val="39"/>
                    <w:adjustRightInd/>
                    <w:spacing w:before="0" w:after="0"/>
                    <w:contextualSpacing/>
                    <w:rPr>
                      <w:rFonts w:hint="default" w:ascii="Times New Roman" w:hAnsi="Times New Roman" w:cs="Times New Roman"/>
                      <w:color w:val="000000"/>
                      <w:szCs w:val="21"/>
                    </w:rPr>
                  </w:pPr>
                  <w:r>
                    <w:rPr>
                      <w:rFonts w:hint="default" w:ascii="Times New Roman" w:hAnsi="Times New Roman" w:cs="Times New Roman"/>
                      <w:color w:val="000000"/>
                      <w:szCs w:val="21"/>
                    </w:rPr>
                    <w:t>1年</w:t>
                  </w:r>
                </w:p>
              </w:tc>
              <w:tc>
                <w:tcPr>
                  <w:tcW w:w="360" w:type="pct"/>
                  <w:noWrap w:val="0"/>
                  <w:vAlign w:val="center"/>
                </w:tcPr>
                <w:p>
                  <w:pPr>
                    <w:pStyle w:val="39"/>
                    <w:adjustRightInd/>
                    <w:spacing w:before="0" w:after="0"/>
                    <w:contextualSpacing/>
                    <w:rPr>
                      <w:rFonts w:hint="default" w:ascii="Times New Roman" w:hAnsi="Times New Roman" w:cs="Times New Roman"/>
                      <w:color w:val="000000"/>
                      <w:szCs w:val="21"/>
                      <w:lang w:eastAsia="zh-CN"/>
                    </w:rPr>
                  </w:pPr>
                  <w:r>
                    <w:rPr>
                      <w:rFonts w:hint="default" w:ascii="Times New Roman" w:hAnsi="Times New Roman" w:cs="Times New Roman"/>
                      <w:color w:val="000000"/>
                      <w:szCs w:val="21"/>
                    </w:rPr>
                    <w:t>T</w:t>
                  </w:r>
                  <w:r>
                    <w:rPr>
                      <w:rFonts w:hint="default" w:ascii="Times New Roman" w:hAnsi="Times New Roman" w:cs="Times New Roman"/>
                      <w:color w:val="000000"/>
                      <w:szCs w:val="21"/>
                      <w:lang w:eastAsia="zh-CN"/>
                    </w:rPr>
                    <w:t>、I</w:t>
                  </w:r>
                </w:p>
              </w:tc>
              <w:tc>
                <w:tcPr>
                  <w:tcW w:w="573" w:type="pct"/>
                  <w:gridSpan w:val="2"/>
                  <w:vMerge w:val="restart"/>
                  <w:noWrap w:val="0"/>
                  <w:vAlign w:val="center"/>
                </w:tcPr>
                <w:p>
                  <w:pPr>
                    <w:pStyle w:val="39"/>
                    <w:adjustRightInd/>
                    <w:snapToGrid w:val="0"/>
                    <w:spacing w:before="0" w:after="0"/>
                    <w:contextualSpacing/>
                    <w:rPr>
                      <w:rFonts w:hint="default" w:ascii="Times New Roman" w:hAnsi="Times New Roman" w:cs="Times New Roman"/>
                      <w:color w:val="000000"/>
                      <w:sz w:val="18"/>
                      <w:szCs w:val="18"/>
                      <w:lang w:eastAsia="zh-CN"/>
                    </w:rPr>
                  </w:pPr>
                  <w:r>
                    <w:rPr>
                      <w:rFonts w:hint="default" w:ascii="Times New Roman" w:hAnsi="Times New Roman" w:cs="Times New Roman"/>
                      <w:color w:val="000000"/>
                      <w:sz w:val="18"/>
                      <w:szCs w:val="18"/>
                    </w:rPr>
                    <w:t>暂存在危废暂存间内，集中收集后交</w:t>
                  </w:r>
                  <w:r>
                    <w:rPr>
                      <w:rFonts w:hint="default" w:ascii="Times New Roman" w:hAnsi="Times New Roman" w:cs="Times New Roman"/>
                      <w:sz w:val="18"/>
                      <w:szCs w:val="18"/>
                    </w:rPr>
                    <w:t>有资质的</w:t>
                  </w:r>
                  <w:r>
                    <w:rPr>
                      <w:rFonts w:hint="default" w:ascii="Times New Roman" w:hAnsi="Times New Roman" w:cs="Times New Roman"/>
                      <w:color w:val="000000"/>
                      <w:sz w:val="18"/>
                      <w:szCs w:val="18"/>
                      <w:lang w:eastAsia="zh-CN"/>
                    </w:rPr>
                    <w:t>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7" w:type="pct"/>
                  <w:noWrap w:val="0"/>
                  <w:tcMar>
                    <w:left w:w="57" w:type="dxa"/>
                    <w:right w:w="57" w:type="dxa"/>
                  </w:tcMar>
                  <w:vAlign w:val="center"/>
                </w:tcPr>
                <w:p>
                  <w:pPr>
                    <w:pStyle w:val="39"/>
                    <w:adjustRightInd/>
                    <w:spacing w:before="0" w:after="0"/>
                    <w:contextualSpacing/>
                    <w:rPr>
                      <w:rFonts w:hint="default" w:ascii="Times New Roman" w:hAnsi="Times New Roman" w:cs="Times New Roman"/>
                      <w:b/>
                      <w:color w:val="000000"/>
                      <w:szCs w:val="21"/>
                      <w:lang w:eastAsia="zh-CN"/>
                    </w:rPr>
                  </w:pPr>
                  <w:r>
                    <w:rPr>
                      <w:rFonts w:hint="default" w:ascii="Times New Roman" w:hAnsi="Times New Roman" w:cs="Times New Roman"/>
                      <w:b/>
                      <w:color w:val="000000"/>
                      <w:szCs w:val="21"/>
                      <w:lang w:eastAsia="zh-CN"/>
                    </w:rPr>
                    <w:t>2</w:t>
                  </w:r>
                </w:p>
              </w:tc>
              <w:tc>
                <w:tcPr>
                  <w:tcW w:w="543" w:type="pct"/>
                  <w:noWrap w:val="0"/>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废活</w:t>
                  </w:r>
                </w:p>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性炭</w:t>
                  </w:r>
                </w:p>
              </w:tc>
              <w:tc>
                <w:tcPr>
                  <w:tcW w:w="476" w:type="pct"/>
                  <w:noWrap w:val="0"/>
                  <w:vAlign w:val="center"/>
                </w:tcPr>
                <w:p>
                  <w:pPr>
                    <w:pStyle w:val="39"/>
                    <w:spacing w:before="0" w:after="0"/>
                    <w:rPr>
                      <w:rFonts w:hint="default" w:ascii="Times New Roman" w:hAnsi="Times New Roman" w:cs="Times New Roman"/>
                      <w:szCs w:val="21"/>
                    </w:rPr>
                  </w:pPr>
                  <w:r>
                    <w:rPr>
                      <w:rFonts w:hint="default" w:ascii="Times New Roman" w:hAnsi="Times New Roman" w:cs="Times New Roman"/>
                      <w:color w:val="000000"/>
                      <w:szCs w:val="21"/>
                      <w:lang w:val="en-US" w:eastAsia="zh-CN"/>
                    </w:rPr>
                    <w:t>HW49号</w:t>
                  </w:r>
                </w:p>
              </w:tc>
              <w:tc>
                <w:tcPr>
                  <w:tcW w:w="469" w:type="pct"/>
                  <w:noWrap w:val="0"/>
                  <w:vAlign w:val="center"/>
                </w:tcPr>
                <w:p>
                  <w:pPr>
                    <w:pStyle w:val="39"/>
                    <w:adjustRightInd/>
                    <w:spacing w:before="0" w:after="0"/>
                    <w:contextualSpacing/>
                    <w:rPr>
                      <w:rFonts w:hint="default" w:ascii="Times New Roman" w:hAnsi="Times New Roman" w:cs="Times New Roman"/>
                      <w:color w:val="000000"/>
                      <w:szCs w:val="21"/>
                      <w:lang w:eastAsia="zh-CN"/>
                    </w:rPr>
                  </w:pPr>
                  <w:r>
                    <w:rPr>
                      <w:rFonts w:hint="default" w:ascii="Times New Roman" w:hAnsi="Times New Roman" w:cs="Times New Roman"/>
                      <w:color w:val="000000"/>
                      <w:szCs w:val="21"/>
                    </w:rPr>
                    <w:t>900-</w:t>
                  </w:r>
                </w:p>
                <w:p>
                  <w:pPr>
                    <w:pStyle w:val="39"/>
                    <w:adjustRightInd/>
                    <w:spacing w:before="0" w:after="0"/>
                    <w:contextualSpacing/>
                    <w:rPr>
                      <w:rFonts w:hint="default" w:ascii="Times New Roman" w:hAnsi="Times New Roman" w:cs="Times New Roman"/>
                      <w:color w:val="000000"/>
                      <w:szCs w:val="21"/>
                    </w:rPr>
                  </w:pPr>
                  <w:r>
                    <w:rPr>
                      <w:rFonts w:hint="default" w:ascii="Times New Roman" w:hAnsi="Times New Roman" w:cs="Times New Roman"/>
                      <w:color w:val="000000"/>
                      <w:szCs w:val="21"/>
                    </w:rPr>
                    <w:t>0</w:t>
                  </w:r>
                  <w:r>
                    <w:rPr>
                      <w:rFonts w:hint="default" w:ascii="Times New Roman" w:hAnsi="Times New Roman" w:cs="Times New Roman"/>
                      <w:color w:val="000000"/>
                      <w:szCs w:val="21"/>
                      <w:lang w:eastAsia="zh-CN"/>
                    </w:rPr>
                    <w:t>39</w:t>
                  </w:r>
                  <w:r>
                    <w:rPr>
                      <w:rFonts w:hint="default" w:ascii="Times New Roman" w:hAnsi="Times New Roman" w:cs="Times New Roman"/>
                      <w:color w:val="000000"/>
                      <w:szCs w:val="21"/>
                    </w:rPr>
                    <w:t>-49</w:t>
                  </w:r>
                </w:p>
              </w:tc>
              <w:tc>
                <w:tcPr>
                  <w:tcW w:w="507" w:type="pct"/>
                  <w:gridSpan w:val="2"/>
                  <w:noWrap w:val="0"/>
                  <w:vAlign w:val="center"/>
                </w:tcPr>
                <w:p>
                  <w:pPr>
                    <w:pStyle w:val="39"/>
                    <w:rPr>
                      <w:rFonts w:hint="default" w:ascii="Times New Roman" w:hAnsi="Times New Roman" w:cs="Times New Roman"/>
                      <w:color w:val="000000"/>
                      <w:szCs w:val="21"/>
                      <w:lang w:val="en-US" w:eastAsia="zh-CN"/>
                    </w:rPr>
                  </w:pPr>
                  <w:r>
                    <w:rPr>
                      <w:rFonts w:hint="eastAsia" w:cs="Times New Roman"/>
                      <w:color w:val="000000"/>
                      <w:szCs w:val="21"/>
                      <w:lang w:val="en-US" w:eastAsia="zh-CN"/>
                    </w:rPr>
                    <w:t>60.1425</w:t>
                  </w:r>
                </w:p>
              </w:tc>
              <w:tc>
                <w:tcPr>
                  <w:tcW w:w="436" w:type="pct"/>
                  <w:noWrap w:val="0"/>
                  <w:tcMar>
                    <w:left w:w="57" w:type="dxa"/>
                    <w:right w:w="57" w:type="dxa"/>
                  </w:tcMar>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有机废气治理</w:t>
                  </w:r>
                </w:p>
              </w:tc>
              <w:tc>
                <w:tcPr>
                  <w:tcW w:w="285" w:type="pct"/>
                  <w:gridSpan w:val="2"/>
                  <w:noWrap w:val="0"/>
                  <w:vAlign w:val="center"/>
                </w:tcPr>
                <w:p>
                  <w:pPr>
                    <w:pStyle w:val="39"/>
                    <w:adjustRightInd/>
                    <w:spacing w:before="0" w:after="0"/>
                    <w:contextualSpacing/>
                    <w:rPr>
                      <w:rFonts w:hint="default" w:ascii="Times New Roman" w:hAnsi="Times New Roman" w:cs="Times New Roman"/>
                      <w:szCs w:val="21"/>
                    </w:rPr>
                  </w:pPr>
                  <w:r>
                    <w:rPr>
                      <w:rFonts w:hint="default" w:ascii="Times New Roman" w:hAnsi="Times New Roman" w:cs="Times New Roman"/>
                      <w:szCs w:val="21"/>
                    </w:rPr>
                    <w:t>固态</w:t>
                  </w:r>
                </w:p>
              </w:tc>
              <w:tc>
                <w:tcPr>
                  <w:tcW w:w="358" w:type="pct"/>
                  <w:noWrap w:val="0"/>
                  <w:vAlign w:val="center"/>
                </w:tcPr>
                <w:p>
                  <w:pPr>
                    <w:pStyle w:val="39"/>
                    <w:adjustRightInd/>
                    <w:spacing w:before="0" w:after="0"/>
                    <w:contextualSpacing/>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烃类</w:t>
                  </w:r>
                </w:p>
              </w:tc>
              <w:tc>
                <w:tcPr>
                  <w:tcW w:w="367" w:type="pct"/>
                  <w:noWrap w:val="0"/>
                  <w:vAlign w:val="center"/>
                </w:tcPr>
                <w:p>
                  <w:pPr>
                    <w:pStyle w:val="39"/>
                    <w:adjustRightInd/>
                    <w:spacing w:before="0" w:after="0"/>
                    <w:contextualSpacing/>
                    <w:rPr>
                      <w:rFonts w:hint="default" w:ascii="Times New Roman" w:hAnsi="Times New Roman" w:cs="Times New Roman"/>
                      <w:color w:val="000000"/>
                      <w:szCs w:val="21"/>
                    </w:rPr>
                  </w:pPr>
                  <w:r>
                    <w:rPr>
                      <w:rFonts w:hint="default" w:ascii="Times New Roman" w:hAnsi="Times New Roman" w:cs="Times New Roman"/>
                      <w:color w:val="000000"/>
                      <w:szCs w:val="21"/>
                      <w:lang w:eastAsia="zh-CN"/>
                    </w:rPr>
                    <w:t>烃类</w:t>
                  </w:r>
                </w:p>
              </w:tc>
              <w:tc>
                <w:tcPr>
                  <w:tcW w:w="356" w:type="pct"/>
                  <w:noWrap w:val="0"/>
                  <w:vAlign w:val="center"/>
                </w:tcPr>
                <w:p>
                  <w:pPr>
                    <w:pStyle w:val="39"/>
                    <w:adjustRightInd/>
                    <w:spacing w:before="0" w:after="0"/>
                    <w:contextualSpacing/>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1个月</w:t>
                  </w:r>
                </w:p>
              </w:tc>
              <w:tc>
                <w:tcPr>
                  <w:tcW w:w="360" w:type="pct"/>
                  <w:noWrap w:val="0"/>
                  <w:vAlign w:val="center"/>
                </w:tcPr>
                <w:p>
                  <w:pPr>
                    <w:pStyle w:val="39"/>
                    <w:contextualSpacing/>
                    <w:rPr>
                      <w:rFonts w:hint="default" w:ascii="Times New Roman" w:hAnsi="Times New Roman" w:cs="Times New Roman"/>
                      <w:color w:val="000000"/>
                      <w:szCs w:val="21"/>
                    </w:rPr>
                  </w:pPr>
                  <w:r>
                    <w:rPr>
                      <w:rFonts w:hint="default" w:ascii="Times New Roman" w:hAnsi="Times New Roman" w:cs="Times New Roman"/>
                      <w:color w:val="000000"/>
                      <w:szCs w:val="21"/>
                    </w:rPr>
                    <w:t>T</w:t>
                  </w:r>
                </w:p>
              </w:tc>
              <w:tc>
                <w:tcPr>
                  <w:tcW w:w="573" w:type="pct"/>
                  <w:gridSpan w:val="2"/>
                  <w:vMerge w:val="continue"/>
                  <w:noWrap w:val="0"/>
                  <w:vAlign w:val="center"/>
                </w:tcPr>
                <w:p>
                  <w:pPr>
                    <w:pStyle w:val="39"/>
                    <w:snapToGrid w:val="0"/>
                    <w:spacing w:before="0" w:after="0"/>
                    <w:contextualSpacing/>
                    <w:rPr>
                      <w:rFonts w:hint="default" w:ascii="Times New Roman" w:hAnsi="Times New Roman" w:cs="Times New Roman"/>
                      <w:color w:val="000000"/>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7" w:type="pct"/>
                  <w:noWrap w:val="0"/>
                  <w:tcMar>
                    <w:left w:w="57" w:type="dxa"/>
                    <w:right w:w="57" w:type="dxa"/>
                  </w:tcMar>
                  <w:vAlign w:val="center"/>
                </w:tcPr>
                <w:p>
                  <w:pPr>
                    <w:pStyle w:val="39"/>
                    <w:adjustRightInd/>
                    <w:spacing w:before="0" w:after="0"/>
                    <w:contextualSpacing/>
                    <w:rPr>
                      <w:rFonts w:hint="default" w:ascii="Times New Roman" w:hAnsi="Times New Roman" w:cs="Times New Roman"/>
                      <w:b/>
                      <w:color w:val="000000"/>
                      <w:szCs w:val="21"/>
                      <w:lang w:eastAsia="zh-CN"/>
                    </w:rPr>
                  </w:pPr>
                  <w:r>
                    <w:rPr>
                      <w:rFonts w:hint="default" w:ascii="Times New Roman" w:hAnsi="Times New Roman" w:cs="Times New Roman"/>
                      <w:b/>
                      <w:color w:val="000000"/>
                      <w:szCs w:val="21"/>
                      <w:lang w:val="en-US" w:eastAsia="zh-CN"/>
                    </w:rPr>
                    <w:t>3</w:t>
                  </w:r>
                </w:p>
              </w:tc>
              <w:tc>
                <w:tcPr>
                  <w:tcW w:w="543" w:type="pct"/>
                  <w:noWrap w:val="0"/>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含油废棉纱、手套</w:t>
                  </w:r>
                </w:p>
              </w:tc>
              <w:tc>
                <w:tcPr>
                  <w:tcW w:w="476" w:type="pct"/>
                  <w:noWrap w:val="0"/>
                  <w:vAlign w:val="center"/>
                </w:tcPr>
                <w:p>
                  <w:pPr>
                    <w:pStyle w:val="39"/>
                    <w:spacing w:before="0" w:after="0"/>
                    <w:rPr>
                      <w:rFonts w:hint="default" w:ascii="Times New Roman" w:hAnsi="Times New Roman" w:cs="Times New Roman"/>
                      <w:szCs w:val="21"/>
                    </w:rPr>
                  </w:pPr>
                  <w:r>
                    <w:rPr>
                      <w:rFonts w:hint="default" w:ascii="Times New Roman" w:hAnsi="Times New Roman" w:cs="Times New Roman"/>
                      <w:color w:val="000000"/>
                      <w:szCs w:val="21"/>
                      <w:lang w:val="en-US" w:eastAsia="zh-CN"/>
                    </w:rPr>
                    <w:t>HW49号</w:t>
                  </w:r>
                </w:p>
              </w:tc>
              <w:tc>
                <w:tcPr>
                  <w:tcW w:w="469" w:type="pct"/>
                  <w:noWrap w:val="0"/>
                  <w:vAlign w:val="center"/>
                </w:tcPr>
                <w:p>
                  <w:pPr>
                    <w:pStyle w:val="39"/>
                    <w:adjustRightInd/>
                    <w:spacing w:before="0" w:after="0"/>
                    <w:contextualSpacing/>
                    <w:rPr>
                      <w:rFonts w:hint="default" w:ascii="Times New Roman" w:hAnsi="Times New Roman" w:cs="Times New Roman"/>
                      <w:color w:val="000000"/>
                      <w:szCs w:val="21"/>
                      <w:lang w:eastAsia="zh-CN"/>
                    </w:rPr>
                  </w:pPr>
                  <w:r>
                    <w:rPr>
                      <w:rFonts w:hint="default" w:ascii="Times New Roman" w:hAnsi="Times New Roman" w:cs="Times New Roman"/>
                      <w:color w:val="000000"/>
                      <w:szCs w:val="21"/>
                    </w:rPr>
                    <w:t>900-</w:t>
                  </w:r>
                </w:p>
                <w:p>
                  <w:pPr>
                    <w:pStyle w:val="39"/>
                    <w:adjustRightInd/>
                    <w:spacing w:before="0" w:after="0"/>
                    <w:contextualSpacing/>
                    <w:rPr>
                      <w:rFonts w:hint="default" w:ascii="Times New Roman" w:hAnsi="Times New Roman" w:cs="Times New Roman"/>
                      <w:color w:val="000000"/>
                      <w:szCs w:val="21"/>
                    </w:rPr>
                  </w:pPr>
                  <w:r>
                    <w:rPr>
                      <w:rFonts w:hint="default" w:ascii="Times New Roman" w:hAnsi="Times New Roman" w:cs="Times New Roman"/>
                      <w:color w:val="000000"/>
                      <w:szCs w:val="21"/>
                    </w:rPr>
                    <w:t>041-49</w:t>
                  </w:r>
                </w:p>
              </w:tc>
              <w:tc>
                <w:tcPr>
                  <w:tcW w:w="507" w:type="pct"/>
                  <w:gridSpan w:val="2"/>
                  <w:noWrap w:val="0"/>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0.01t</w:t>
                  </w:r>
                </w:p>
              </w:tc>
              <w:tc>
                <w:tcPr>
                  <w:tcW w:w="436" w:type="pct"/>
                  <w:noWrap w:val="0"/>
                  <w:tcMar>
                    <w:left w:w="57" w:type="dxa"/>
                    <w:right w:w="57" w:type="dxa"/>
                  </w:tcMar>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设备维护</w:t>
                  </w:r>
                </w:p>
              </w:tc>
              <w:tc>
                <w:tcPr>
                  <w:tcW w:w="285" w:type="pct"/>
                  <w:gridSpan w:val="2"/>
                  <w:noWrap w:val="0"/>
                  <w:vAlign w:val="center"/>
                </w:tcPr>
                <w:p>
                  <w:pPr>
                    <w:pStyle w:val="39"/>
                    <w:adjustRightInd/>
                    <w:spacing w:before="0" w:after="0"/>
                    <w:contextualSpacing/>
                    <w:rPr>
                      <w:rFonts w:hint="default" w:ascii="Times New Roman" w:hAnsi="Times New Roman" w:cs="Times New Roman"/>
                      <w:color w:val="000000"/>
                      <w:szCs w:val="21"/>
                    </w:rPr>
                  </w:pPr>
                  <w:r>
                    <w:rPr>
                      <w:rFonts w:hint="default" w:ascii="Times New Roman" w:hAnsi="Times New Roman" w:cs="Times New Roman"/>
                      <w:color w:val="000000"/>
                      <w:szCs w:val="21"/>
                    </w:rPr>
                    <w:t>固态</w:t>
                  </w:r>
                </w:p>
              </w:tc>
              <w:tc>
                <w:tcPr>
                  <w:tcW w:w="358" w:type="pct"/>
                  <w:noWrap w:val="0"/>
                  <w:vAlign w:val="center"/>
                </w:tcPr>
                <w:p>
                  <w:pPr>
                    <w:pStyle w:val="39"/>
                    <w:adjustRightInd/>
                    <w:spacing w:before="0" w:after="0"/>
                    <w:contextualSpacing/>
                    <w:rPr>
                      <w:rFonts w:hint="default" w:ascii="Times New Roman" w:hAnsi="Times New Roman" w:cs="Times New Roman"/>
                      <w:color w:val="000000"/>
                      <w:szCs w:val="21"/>
                    </w:rPr>
                  </w:pPr>
                  <w:r>
                    <w:rPr>
                      <w:rFonts w:hint="default" w:ascii="Times New Roman" w:hAnsi="Times New Roman" w:cs="Times New Roman"/>
                      <w:color w:val="000000"/>
                      <w:szCs w:val="21"/>
                    </w:rPr>
                    <w:t>油</w:t>
                  </w:r>
                </w:p>
              </w:tc>
              <w:tc>
                <w:tcPr>
                  <w:tcW w:w="367" w:type="pct"/>
                  <w:noWrap w:val="0"/>
                  <w:vAlign w:val="center"/>
                </w:tcPr>
                <w:p>
                  <w:pPr>
                    <w:pStyle w:val="39"/>
                    <w:adjustRightInd/>
                    <w:spacing w:before="0" w:after="0"/>
                    <w:contextualSpacing/>
                    <w:rPr>
                      <w:rFonts w:hint="default" w:ascii="Times New Roman" w:hAnsi="Times New Roman" w:cs="Times New Roman"/>
                      <w:color w:val="000000"/>
                      <w:szCs w:val="21"/>
                    </w:rPr>
                  </w:pPr>
                  <w:r>
                    <w:rPr>
                      <w:rFonts w:hint="default" w:ascii="Times New Roman" w:hAnsi="Times New Roman" w:cs="Times New Roman"/>
                      <w:color w:val="000000"/>
                      <w:szCs w:val="21"/>
                    </w:rPr>
                    <w:t>油</w:t>
                  </w:r>
                </w:p>
              </w:tc>
              <w:tc>
                <w:tcPr>
                  <w:tcW w:w="356" w:type="pct"/>
                  <w:noWrap w:val="0"/>
                  <w:vAlign w:val="center"/>
                </w:tcPr>
                <w:p>
                  <w:pPr>
                    <w:pStyle w:val="39"/>
                    <w:adjustRightInd/>
                    <w:spacing w:before="0" w:after="0"/>
                    <w:contextualSpacing/>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1年</w:t>
                  </w:r>
                </w:p>
              </w:tc>
              <w:tc>
                <w:tcPr>
                  <w:tcW w:w="360" w:type="pct"/>
                  <w:noWrap w:val="0"/>
                  <w:vAlign w:val="center"/>
                </w:tcPr>
                <w:p>
                  <w:pPr>
                    <w:pStyle w:val="39"/>
                    <w:adjustRightInd/>
                    <w:spacing w:before="0" w:after="0"/>
                    <w:contextualSpacing/>
                    <w:jc w:val="both"/>
                    <w:rPr>
                      <w:rFonts w:hint="default" w:ascii="Times New Roman" w:hAnsi="Times New Roman" w:cs="Times New Roman"/>
                      <w:color w:val="000000"/>
                      <w:szCs w:val="21"/>
                      <w:lang w:eastAsia="zh-CN"/>
                    </w:rPr>
                  </w:pPr>
                  <w:r>
                    <w:rPr>
                      <w:rFonts w:hint="default" w:ascii="Times New Roman" w:hAnsi="Times New Roman" w:cs="Times New Roman"/>
                      <w:color w:val="000000"/>
                      <w:szCs w:val="21"/>
                    </w:rPr>
                    <w:t>T</w:t>
                  </w:r>
                  <w:r>
                    <w:rPr>
                      <w:rFonts w:hint="default" w:ascii="Times New Roman" w:hAnsi="Times New Roman" w:cs="Times New Roman"/>
                      <w:color w:val="000000"/>
                      <w:szCs w:val="21"/>
                      <w:lang w:eastAsia="zh-CN"/>
                    </w:rPr>
                    <w:t>、I</w:t>
                  </w:r>
                </w:p>
              </w:tc>
              <w:tc>
                <w:tcPr>
                  <w:tcW w:w="573" w:type="pct"/>
                  <w:gridSpan w:val="2"/>
                  <w:vMerge w:val="continue"/>
                  <w:noWrap w:val="0"/>
                  <w:vAlign w:val="center"/>
                </w:tcPr>
                <w:p>
                  <w:pPr>
                    <w:pStyle w:val="39"/>
                    <w:adjustRightInd/>
                    <w:snapToGrid w:val="0"/>
                    <w:spacing w:before="0" w:after="0"/>
                    <w:contextualSpacing/>
                    <w:rPr>
                      <w:rFonts w:hint="default" w:ascii="Times New Roman" w:hAnsi="Times New Roman" w:cs="Times New Roman"/>
                      <w:color w:val="000000"/>
                      <w:szCs w:val="21"/>
                    </w:rPr>
                  </w:pPr>
                </w:p>
              </w:tc>
            </w:tr>
          </w:tbl>
          <w:p>
            <w:pPr>
              <w:adjustRightInd w:val="0"/>
              <w:snapToGrid w:val="0"/>
              <w:spacing w:line="360" w:lineRule="auto"/>
              <w:ind w:firstLine="480"/>
              <w:rPr>
                <w:rFonts w:hint="default" w:ascii="Times New Roman" w:hAnsi="Times New Roman" w:cs="Times New Roman"/>
                <w:sz w:val="24"/>
              </w:rPr>
            </w:pPr>
            <w:r>
              <w:rPr>
                <w:rFonts w:hint="default" w:ascii="Times New Roman" w:hAnsi="Times New Roman" w:cs="Times New Roman"/>
                <w:sz w:val="24"/>
              </w:rPr>
              <w:t>评价要求建设单位在生产车间布置一般废物暂存区、危废暂存区及生活垃圾桶。</w:t>
            </w:r>
          </w:p>
          <w:p>
            <w:pPr>
              <w:adjustRightInd w:val="0"/>
              <w:snapToGrid w:val="0"/>
              <w:spacing w:line="360" w:lineRule="auto"/>
              <w:ind w:firstLine="482"/>
              <w:rPr>
                <w:rFonts w:hint="default" w:ascii="Times New Roman" w:hAnsi="Times New Roman" w:cs="Times New Roman"/>
                <w:sz w:val="24"/>
              </w:rPr>
            </w:pPr>
            <w:r>
              <w:rPr>
                <w:rFonts w:hint="default" w:ascii="Times New Roman" w:hAnsi="Times New Roman" w:cs="Times New Roman"/>
                <w:b/>
                <w:sz w:val="24"/>
              </w:rPr>
              <w:t>一般废物暂存区：</w:t>
            </w:r>
            <w:r>
              <w:rPr>
                <w:rFonts w:hint="default" w:ascii="Times New Roman" w:hAnsi="Times New Roman" w:cs="Times New Roman"/>
                <w:sz w:val="24"/>
              </w:rPr>
              <w:t>布置在生产车间内分隔的区域；</w:t>
            </w:r>
          </w:p>
          <w:p>
            <w:pPr>
              <w:adjustRightInd w:val="0"/>
              <w:snapToGrid w:val="0"/>
              <w:spacing w:line="360" w:lineRule="auto"/>
              <w:ind w:firstLine="482"/>
              <w:rPr>
                <w:rFonts w:hint="default" w:ascii="Times New Roman" w:hAnsi="Times New Roman" w:cs="Times New Roman"/>
                <w:sz w:val="24"/>
              </w:rPr>
            </w:pPr>
            <w:r>
              <w:rPr>
                <w:rFonts w:hint="default" w:ascii="Times New Roman" w:hAnsi="Times New Roman" w:cs="Times New Roman"/>
                <w:b/>
                <w:sz w:val="24"/>
              </w:rPr>
              <w:t>危废暂存区：</w:t>
            </w:r>
            <w:r>
              <w:rPr>
                <w:rFonts w:hint="default" w:ascii="Times New Roman" w:hAnsi="Times New Roman" w:cs="Times New Roman"/>
                <w:sz w:val="24"/>
              </w:rPr>
              <w:t>项目须与有危废处理资质单位签订危险废物处置协议，处置其生产过程中产生的危险废物，项目自行布置一个危废暂存区，危险废物全部桶装收集暂存。</w:t>
            </w:r>
          </w:p>
          <w:p>
            <w:pPr>
              <w:adjustRightInd w:val="0"/>
              <w:snapToGrid w:val="0"/>
              <w:spacing w:line="360" w:lineRule="auto"/>
              <w:ind w:firstLine="482"/>
              <w:rPr>
                <w:rFonts w:hint="default" w:ascii="Times New Roman" w:hAnsi="Times New Roman" w:cs="Times New Roman"/>
                <w:sz w:val="24"/>
              </w:rPr>
            </w:pPr>
            <w:r>
              <w:rPr>
                <w:rFonts w:hint="default" w:ascii="Times New Roman" w:hAnsi="Times New Roman" w:cs="Times New Roman"/>
                <w:b/>
                <w:sz w:val="24"/>
              </w:rPr>
              <w:t>生活垃圾：</w:t>
            </w:r>
            <w:r>
              <w:rPr>
                <w:rFonts w:hint="default" w:ascii="Times New Roman" w:hAnsi="Times New Roman" w:cs="Times New Roman"/>
                <w:sz w:val="24"/>
              </w:rPr>
              <w:t>布置生活垃圾桶暂存收集，市政环卫部门清运。</w:t>
            </w:r>
          </w:p>
          <w:p>
            <w:pPr>
              <w:snapToGrid w:val="0"/>
              <w:spacing w:line="360" w:lineRule="auto"/>
              <w:ind w:firstLine="482" w:firstLineChars="200"/>
              <w:rPr>
                <w:rFonts w:hint="default" w:ascii="Times New Roman" w:hAnsi="Times New Roman" w:cs="Times New Roman"/>
                <w:sz w:val="24"/>
              </w:rPr>
            </w:pPr>
            <w:r>
              <w:rPr>
                <w:rFonts w:hint="default" w:ascii="Times New Roman" w:hAnsi="Times New Roman" w:cs="Times New Roman"/>
                <w:b/>
                <w:sz w:val="24"/>
              </w:rPr>
              <w:t>根据《危险废物储存污染控制标准》 规定，建设单位在营运期应规范危险废物暂存方式，设置危废暂存间，暂存间应进行防风、防雨、防晒、防渗漏处理。</w:t>
            </w:r>
          </w:p>
          <w:p>
            <w:pPr>
              <w:adjustRightInd w:val="0"/>
              <w:snapToGrid w:val="0"/>
              <w:spacing w:line="360" w:lineRule="auto"/>
              <w:ind w:firstLine="482"/>
              <w:rPr>
                <w:rFonts w:hint="default" w:ascii="Times New Roman" w:hAnsi="Times New Roman" w:cs="Times New Roman"/>
                <w:b/>
                <w:sz w:val="24"/>
                <w:u w:val="single"/>
              </w:rPr>
            </w:pPr>
            <w:r>
              <w:rPr>
                <w:rFonts w:hint="default" w:ascii="Times New Roman" w:hAnsi="Times New Roman" w:cs="Times New Roman"/>
                <w:sz w:val="24"/>
              </w:rPr>
              <w:t>①新增专门的危废暂存间，结合厂区布局，建议将危险废物堆放区设置在布置车间西侧，暂存区占地面积约10m</w:t>
            </w:r>
            <w:r>
              <w:rPr>
                <w:rFonts w:hint="default" w:ascii="Times New Roman" w:hAnsi="Times New Roman" w:cs="Times New Roman"/>
                <w:sz w:val="24"/>
                <w:vertAlign w:val="superscript"/>
              </w:rPr>
              <w:t>2</w:t>
            </w:r>
            <w:r>
              <w:rPr>
                <w:rFonts w:hint="default" w:ascii="Times New Roman" w:hAnsi="Times New Roman" w:cs="Times New Roman"/>
                <w:sz w:val="24"/>
              </w:rPr>
              <w:t>，密闭设置，且堆放区域必须防风、防雨、防晒、防渗漏，分类堆放，设标识牌，并应按相关规定做好危险废物堆放区地面硬化、铺设防渗层，加强堆放区的防雨和防渗漏措施，以免危险废物等随雨水渗漏而造成地下水体的污染：</w:t>
            </w:r>
          </w:p>
          <w:p>
            <w:pPr>
              <w:adjustRightInd w:val="0"/>
              <w:snapToGrid w:val="0"/>
              <w:spacing w:line="360" w:lineRule="auto"/>
              <w:ind w:firstLine="482"/>
              <w:rPr>
                <w:rFonts w:hint="default" w:ascii="Times New Roman" w:hAnsi="Times New Roman" w:cs="Times New Roman"/>
                <w:sz w:val="24"/>
              </w:rPr>
            </w:pPr>
            <w:r>
              <w:rPr>
                <w:rFonts w:hint="default" w:ascii="Times New Roman" w:hAnsi="Times New Roman" w:cs="Times New Roman"/>
                <w:sz w:val="24"/>
              </w:rPr>
              <w:t>A、</w:t>
            </w:r>
            <w:r>
              <w:rPr>
                <w:rFonts w:hint="default" w:ascii="Times New Roman" w:hAnsi="Times New Roman" w:cs="Times New Roman"/>
                <w:bCs/>
                <w:sz w:val="24"/>
              </w:rPr>
              <w:t>危险废物隔离存放，禁止与其它原料或废物混合存放。各种废物包装贮存需按照国家相应要求处置，贮存场所按照</w:t>
            </w:r>
            <w:r>
              <w:rPr>
                <w:rFonts w:hint="default" w:ascii="Times New Roman" w:hAnsi="Times New Roman" w:cs="Times New Roman"/>
                <w:sz w:val="24"/>
              </w:rPr>
              <w:t>GB15562.2设置警示标准。建有堵截泄漏的裙脚，地面与裙脚要用坚固的防渗材料建造。应有隔离设施、报警装置和防风、防晒、防雨设施。</w:t>
            </w:r>
          </w:p>
          <w:p>
            <w:pPr>
              <w:adjustRightInd w:val="0"/>
              <w:snapToGrid w:val="0"/>
              <w:spacing w:line="360" w:lineRule="auto"/>
              <w:ind w:firstLine="482"/>
              <w:rPr>
                <w:rFonts w:hint="default" w:ascii="Times New Roman" w:hAnsi="Times New Roman" w:cs="Times New Roman"/>
                <w:sz w:val="24"/>
              </w:rPr>
            </w:pPr>
            <w:r>
              <w:rPr>
                <w:rFonts w:hint="default" w:ascii="Times New Roman" w:hAnsi="Times New Roman" w:cs="Times New Roman"/>
                <w:sz w:val="24"/>
              </w:rPr>
              <w:t>B、危险固废暂存区域需有耐腐蚀的硬化地面，地面无裂缝；衬层上需建有渗漏液收集清除系统。</w:t>
            </w:r>
          </w:p>
          <w:p>
            <w:pPr>
              <w:adjustRightInd w:val="0"/>
              <w:snapToGrid w:val="0"/>
              <w:spacing w:line="360" w:lineRule="auto"/>
              <w:ind w:firstLine="482"/>
              <w:rPr>
                <w:rFonts w:hint="default" w:ascii="Times New Roman" w:hAnsi="Times New Roman" w:cs="Times New Roman"/>
                <w:sz w:val="24"/>
              </w:rPr>
            </w:pPr>
            <w:r>
              <w:rPr>
                <w:rFonts w:hint="default" w:ascii="Times New Roman" w:hAnsi="Times New Roman" w:cs="Times New Roman"/>
                <w:sz w:val="24"/>
              </w:rPr>
              <w:t>C、危险废物暂存场所参照危险废物安全填埋的技术要求进行，采用双衬层的结构，即在主防渗层（通常采用高密度聚乙烯（HDPE）膜）下面布设检测层（通常采用土工网格），检测层下面布设副防渗层。双衬层结构可减少渗漏造成的环境风险，使危废暂存间防渗层渗透系数≤10</w:t>
            </w:r>
            <w:r>
              <w:rPr>
                <w:rFonts w:hint="default" w:ascii="Times New Roman" w:hAnsi="Times New Roman" w:cs="Times New Roman"/>
                <w:sz w:val="24"/>
                <w:vertAlign w:val="superscript"/>
              </w:rPr>
              <w:t>-10</w:t>
            </w:r>
            <w:r>
              <w:rPr>
                <w:rFonts w:hint="default" w:ascii="Times New Roman" w:hAnsi="Times New Roman" w:cs="Times New Roman"/>
                <w:sz w:val="24"/>
              </w:rPr>
              <w:t>cm/s。根据现场踏勘，本项目租用车间地面已采取</w:t>
            </w:r>
            <w:r>
              <w:rPr>
                <w:rFonts w:hint="default" w:ascii="Times New Roman" w:hAnsi="Times New Roman" w:cs="Times New Roman"/>
                <w:bCs/>
                <w:color w:val="000000"/>
                <w:sz w:val="24"/>
              </w:rPr>
              <w:t>防渗混凝土层+2mm环氧树脂，环评要求：在危废暂存间地面设置不锈钢托盘，确保防渗系数K≤10</w:t>
            </w:r>
            <w:r>
              <w:rPr>
                <w:rFonts w:hint="default" w:ascii="Times New Roman" w:hAnsi="Times New Roman" w:cs="Times New Roman"/>
                <w:bCs/>
                <w:color w:val="000000"/>
                <w:sz w:val="24"/>
                <w:vertAlign w:val="superscript"/>
              </w:rPr>
              <w:t>-10</w:t>
            </w:r>
            <w:r>
              <w:rPr>
                <w:rFonts w:hint="default" w:ascii="Times New Roman" w:hAnsi="Times New Roman" w:cs="Times New Roman"/>
                <w:bCs/>
                <w:color w:val="000000"/>
                <w:sz w:val="24"/>
              </w:rPr>
              <w:t>cm/s以上</w:t>
            </w:r>
            <w:r>
              <w:rPr>
                <w:rFonts w:hint="default" w:ascii="Times New Roman" w:hAnsi="Times New Roman" w:cs="Times New Roman"/>
                <w:color w:val="000000"/>
                <w:sz w:val="24"/>
              </w:rPr>
              <w:t>。</w:t>
            </w:r>
          </w:p>
          <w:p>
            <w:pPr>
              <w:widowControl/>
              <w:adjustRightInd w:val="0"/>
              <w:snapToGrid w:val="0"/>
              <w:spacing w:line="360" w:lineRule="auto"/>
              <w:ind w:firstLine="482"/>
              <w:jc w:val="left"/>
              <w:rPr>
                <w:rFonts w:hint="default" w:ascii="Times New Roman" w:hAnsi="Times New Roman" w:cs="Times New Roman"/>
                <w:sz w:val="24"/>
              </w:rPr>
            </w:pPr>
            <w:r>
              <w:rPr>
                <w:rFonts w:hint="default" w:ascii="Times New Roman" w:hAnsi="Times New Roman" w:cs="Times New Roman"/>
                <w:sz w:val="24"/>
              </w:rPr>
              <w:t>D、危险暂存</w:t>
            </w:r>
            <w:r>
              <w:rPr>
                <w:rFonts w:hint="default" w:ascii="Times New Roman" w:hAnsi="Times New Roman" w:cs="Times New Roman"/>
                <w:bCs/>
                <w:sz w:val="24"/>
              </w:rPr>
              <w:t>不得超过一年。</w:t>
            </w:r>
            <w:r>
              <w:rPr>
                <w:rFonts w:hint="default" w:ascii="Times New Roman" w:hAnsi="Times New Roman" w:cs="Times New Roman"/>
                <w:sz w:val="24"/>
              </w:rPr>
              <w:t>废物转运时必须安全转移，防止撒漏，废油等采用专用罐车运输，有具有相应处理资质的单位接手。并严格执行危险废物转运五联单制度，防止二次污染的产生。危险废物运输按规定路线行驶，驾驶员持证上岗。</w:t>
            </w:r>
          </w:p>
          <w:p>
            <w:pPr>
              <w:widowControl/>
              <w:snapToGrid w:val="0"/>
              <w:spacing w:line="360" w:lineRule="auto"/>
              <w:jc w:val="center"/>
              <w:rPr>
                <w:rFonts w:hint="default" w:ascii="Times New Roman" w:hAnsi="Times New Roman" w:cs="Times New Roman"/>
                <w:b/>
                <w:szCs w:val="21"/>
              </w:rPr>
            </w:pPr>
            <w:r>
              <w:rPr>
                <w:rFonts w:hint="default" w:ascii="Times New Roman" w:hAnsi="Times New Roman" w:cs="Times New Roman"/>
                <w:b/>
                <w:szCs w:val="21"/>
              </w:rPr>
              <w:t>表</w:t>
            </w:r>
            <w:r>
              <w:rPr>
                <w:rFonts w:hint="eastAsia" w:ascii="Times New Roman" w:hAnsi="Times New Roman" w:cs="Times New Roman"/>
                <w:b/>
                <w:szCs w:val="21"/>
                <w:lang w:val="en-US" w:eastAsia="zh-CN"/>
              </w:rPr>
              <w:t>4-10</w:t>
            </w:r>
            <w:r>
              <w:rPr>
                <w:rFonts w:hint="default" w:ascii="Times New Roman" w:hAnsi="Times New Roman" w:cs="Times New Roman"/>
                <w:b/>
                <w:szCs w:val="21"/>
              </w:rPr>
              <w:t xml:space="preserve"> 项目危险废物贮存场所基本情况表</w:t>
            </w:r>
          </w:p>
          <w:tbl>
            <w:tblPr>
              <w:tblStyle w:val="16"/>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
              <w:gridCol w:w="744"/>
              <w:gridCol w:w="868"/>
              <w:gridCol w:w="751"/>
              <w:gridCol w:w="755"/>
              <w:gridCol w:w="613"/>
              <w:gridCol w:w="683"/>
              <w:gridCol w:w="612"/>
              <w:gridCol w:w="684"/>
              <w:gridCol w:w="754"/>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noWrap w:val="0"/>
                  <w:vAlign w:val="center"/>
                </w:tcPr>
                <w:p>
                  <w:pPr>
                    <w:widowControl/>
                    <w:jc w:val="center"/>
                    <w:rPr>
                      <w:rFonts w:hint="default" w:ascii="Times New Roman" w:hAnsi="Times New Roman" w:cs="Times New Roman"/>
                      <w:b/>
                      <w:szCs w:val="21"/>
                    </w:rPr>
                  </w:pPr>
                  <w:r>
                    <w:rPr>
                      <w:rFonts w:hint="default" w:ascii="Times New Roman" w:hAnsi="Times New Roman" w:cs="Times New Roman"/>
                      <w:b/>
                      <w:szCs w:val="21"/>
                    </w:rPr>
                    <w:t>序</w:t>
                  </w:r>
                </w:p>
                <w:p>
                  <w:pPr>
                    <w:widowControl/>
                    <w:jc w:val="center"/>
                    <w:rPr>
                      <w:rFonts w:hint="default" w:ascii="Times New Roman" w:hAnsi="Times New Roman" w:cs="Times New Roman"/>
                      <w:b/>
                      <w:szCs w:val="21"/>
                    </w:rPr>
                  </w:pPr>
                  <w:r>
                    <w:rPr>
                      <w:rFonts w:hint="default" w:ascii="Times New Roman" w:hAnsi="Times New Roman" w:cs="Times New Roman"/>
                      <w:b/>
                      <w:szCs w:val="21"/>
                    </w:rPr>
                    <w:t>号</w:t>
                  </w:r>
                </w:p>
              </w:tc>
              <w:tc>
                <w:tcPr>
                  <w:tcW w:w="787" w:type="dxa"/>
                  <w:noWrap w:val="0"/>
                  <w:vAlign w:val="center"/>
                </w:tcPr>
                <w:p>
                  <w:pPr>
                    <w:widowControl/>
                    <w:jc w:val="center"/>
                    <w:rPr>
                      <w:rFonts w:hint="default" w:ascii="Times New Roman" w:hAnsi="Times New Roman" w:cs="Times New Roman"/>
                      <w:b/>
                      <w:szCs w:val="21"/>
                    </w:rPr>
                  </w:pPr>
                  <w:r>
                    <w:rPr>
                      <w:rFonts w:hint="default" w:ascii="Times New Roman" w:hAnsi="Times New Roman" w:cs="Times New Roman"/>
                      <w:b/>
                      <w:szCs w:val="21"/>
                    </w:rPr>
                    <w:t>贮存场</w:t>
                  </w:r>
                </w:p>
                <w:p>
                  <w:pPr>
                    <w:widowControl/>
                    <w:jc w:val="center"/>
                    <w:rPr>
                      <w:rFonts w:hint="default" w:ascii="Times New Roman" w:hAnsi="Times New Roman" w:cs="Times New Roman"/>
                      <w:b/>
                      <w:szCs w:val="21"/>
                    </w:rPr>
                  </w:pPr>
                  <w:r>
                    <w:rPr>
                      <w:rFonts w:hint="default" w:ascii="Times New Roman" w:hAnsi="Times New Roman" w:cs="Times New Roman"/>
                      <w:b/>
                      <w:szCs w:val="21"/>
                    </w:rPr>
                    <w:t>所名称</w:t>
                  </w:r>
                </w:p>
              </w:tc>
              <w:tc>
                <w:tcPr>
                  <w:tcW w:w="923" w:type="dxa"/>
                  <w:noWrap w:val="0"/>
                  <w:vAlign w:val="center"/>
                </w:tcPr>
                <w:p>
                  <w:pPr>
                    <w:widowControl/>
                    <w:jc w:val="center"/>
                    <w:rPr>
                      <w:rFonts w:hint="default" w:ascii="Times New Roman" w:hAnsi="Times New Roman" w:cs="Times New Roman"/>
                      <w:b/>
                      <w:szCs w:val="21"/>
                    </w:rPr>
                  </w:pPr>
                  <w:r>
                    <w:rPr>
                      <w:rFonts w:hint="default" w:ascii="Times New Roman" w:hAnsi="Times New Roman" w:cs="Times New Roman"/>
                      <w:b/>
                      <w:szCs w:val="21"/>
                    </w:rPr>
                    <w:t>危险废</w:t>
                  </w:r>
                </w:p>
                <w:p>
                  <w:pPr>
                    <w:widowControl/>
                    <w:jc w:val="center"/>
                    <w:rPr>
                      <w:rFonts w:hint="default" w:ascii="Times New Roman" w:hAnsi="Times New Roman" w:cs="Times New Roman"/>
                      <w:b/>
                      <w:szCs w:val="21"/>
                    </w:rPr>
                  </w:pPr>
                  <w:r>
                    <w:rPr>
                      <w:rFonts w:hint="default" w:ascii="Times New Roman" w:hAnsi="Times New Roman" w:cs="Times New Roman"/>
                      <w:b/>
                      <w:szCs w:val="21"/>
                    </w:rPr>
                    <w:t>物名称</w:t>
                  </w:r>
                </w:p>
              </w:tc>
              <w:tc>
                <w:tcPr>
                  <w:tcW w:w="794" w:type="dxa"/>
                  <w:noWrap w:val="0"/>
                  <w:vAlign w:val="center"/>
                </w:tcPr>
                <w:p>
                  <w:pPr>
                    <w:widowControl/>
                    <w:jc w:val="center"/>
                    <w:rPr>
                      <w:rFonts w:hint="default" w:ascii="Times New Roman" w:hAnsi="Times New Roman" w:cs="Times New Roman"/>
                      <w:b/>
                      <w:szCs w:val="21"/>
                    </w:rPr>
                  </w:pPr>
                  <w:r>
                    <w:rPr>
                      <w:rFonts w:hint="default" w:ascii="Times New Roman" w:hAnsi="Times New Roman" w:cs="Times New Roman"/>
                      <w:b/>
                      <w:szCs w:val="21"/>
                    </w:rPr>
                    <w:t>危险废</w:t>
                  </w:r>
                </w:p>
                <w:p>
                  <w:pPr>
                    <w:widowControl/>
                    <w:jc w:val="center"/>
                    <w:rPr>
                      <w:rFonts w:hint="default" w:ascii="Times New Roman" w:hAnsi="Times New Roman" w:cs="Times New Roman"/>
                      <w:b/>
                      <w:szCs w:val="21"/>
                    </w:rPr>
                  </w:pPr>
                  <w:r>
                    <w:rPr>
                      <w:rFonts w:hint="default" w:ascii="Times New Roman" w:hAnsi="Times New Roman" w:cs="Times New Roman"/>
                      <w:b/>
                      <w:szCs w:val="21"/>
                    </w:rPr>
                    <w:t>物类别</w:t>
                  </w:r>
                </w:p>
              </w:tc>
              <w:tc>
                <w:tcPr>
                  <w:tcW w:w="799" w:type="dxa"/>
                  <w:noWrap w:val="0"/>
                  <w:vAlign w:val="center"/>
                </w:tcPr>
                <w:p>
                  <w:pPr>
                    <w:widowControl/>
                    <w:jc w:val="center"/>
                    <w:rPr>
                      <w:rFonts w:hint="default" w:ascii="Times New Roman" w:hAnsi="Times New Roman" w:cs="Times New Roman"/>
                      <w:b/>
                      <w:szCs w:val="21"/>
                    </w:rPr>
                  </w:pPr>
                  <w:r>
                    <w:rPr>
                      <w:rFonts w:hint="default" w:ascii="Times New Roman" w:hAnsi="Times New Roman" w:cs="Times New Roman"/>
                      <w:b/>
                      <w:szCs w:val="21"/>
                    </w:rPr>
                    <w:t>危险废</w:t>
                  </w:r>
                </w:p>
                <w:p>
                  <w:pPr>
                    <w:widowControl/>
                    <w:jc w:val="center"/>
                    <w:rPr>
                      <w:rFonts w:hint="default" w:ascii="Times New Roman" w:hAnsi="Times New Roman" w:cs="Times New Roman"/>
                      <w:b/>
                      <w:szCs w:val="21"/>
                    </w:rPr>
                  </w:pPr>
                  <w:r>
                    <w:rPr>
                      <w:rFonts w:hint="default" w:ascii="Times New Roman" w:hAnsi="Times New Roman" w:cs="Times New Roman"/>
                      <w:b/>
                      <w:szCs w:val="21"/>
                    </w:rPr>
                    <w:t>物代码</w:t>
                  </w:r>
                </w:p>
              </w:tc>
              <w:tc>
                <w:tcPr>
                  <w:tcW w:w="642" w:type="dxa"/>
                  <w:noWrap w:val="0"/>
                  <w:vAlign w:val="center"/>
                </w:tcPr>
                <w:p>
                  <w:pPr>
                    <w:widowControl/>
                    <w:jc w:val="center"/>
                    <w:rPr>
                      <w:rFonts w:hint="default" w:ascii="Times New Roman" w:hAnsi="Times New Roman" w:cs="Times New Roman"/>
                      <w:b/>
                      <w:szCs w:val="21"/>
                    </w:rPr>
                  </w:pPr>
                  <w:r>
                    <w:rPr>
                      <w:rFonts w:hint="default" w:ascii="Times New Roman" w:hAnsi="Times New Roman" w:cs="Times New Roman"/>
                      <w:b/>
                      <w:szCs w:val="21"/>
                    </w:rPr>
                    <w:t>位置</w:t>
                  </w:r>
                </w:p>
              </w:tc>
              <w:tc>
                <w:tcPr>
                  <w:tcW w:w="1361" w:type="dxa"/>
                  <w:gridSpan w:val="2"/>
                  <w:noWrap w:val="0"/>
                  <w:vAlign w:val="center"/>
                </w:tcPr>
                <w:p>
                  <w:pPr>
                    <w:widowControl/>
                    <w:jc w:val="center"/>
                    <w:rPr>
                      <w:rFonts w:hint="default" w:ascii="Times New Roman" w:hAnsi="Times New Roman" w:cs="Times New Roman"/>
                      <w:b/>
                      <w:szCs w:val="21"/>
                    </w:rPr>
                  </w:pPr>
                  <w:r>
                    <w:rPr>
                      <w:rFonts w:hint="default" w:ascii="Times New Roman" w:hAnsi="Times New Roman" w:cs="Times New Roman"/>
                      <w:b/>
                      <w:szCs w:val="21"/>
                    </w:rPr>
                    <w:t>占地</w:t>
                  </w:r>
                </w:p>
                <w:p>
                  <w:pPr>
                    <w:widowControl/>
                    <w:jc w:val="center"/>
                    <w:rPr>
                      <w:rFonts w:hint="default" w:ascii="Times New Roman" w:hAnsi="Times New Roman" w:cs="Times New Roman"/>
                      <w:b/>
                      <w:szCs w:val="21"/>
                    </w:rPr>
                  </w:pPr>
                  <w:r>
                    <w:rPr>
                      <w:rFonts w:hint="default" w:ascii="Times New Roman" w:hAnsi="Times New Roman" w:cs="Times New Roman"/>
                      <w:b/>
                      <w:szCs w:val="21"/>
                    </w:rPr>
                    <w:t>面积</w:t>
                  </w:r>
                </w:p>
              </w:tc>
              <w:tc>
                <w:tcPr>
                  <w:tcW w:w="721" w:type="dxa"/>
                  <w:noWrap w:val="0"/>
                  <w:vAlign w:val="center"/>
                </w:tcPr>
                <w:p>
                  <w:pPr>
                    <w:widowControl/>
                    <w:jc w:val="center"/>
                    <w:rPr>
                      <w:rFonts w:hint="default" w:ascii="Times New Roman" w:hAnsi="Times New Roman" w:cs="Times New Roman"/>
                      <w:b/>
                      <w:szCs w:val="21"/>
                    </w:rPr>
                  </w:pPr>
                  <w:r>
                    <w:rPr>
                      <w:rFonts w:hint="default" w:ascii="Times New Roman" w:hAnsi="Times New Roman" w:cs="Times New Roman"/>
                      <w:b/>
                      <w:szCs w:val="21"/>
                    </w:rPr>
                    <w:t>贮存</w:t>
                  </w:r>
                </w:p>
                <w:p>
                  <w:pPr>
                    <w:widowControl/>
                    <w:jc w:val="center"/>
                    <w:rPr>
                      <w:rFonts w:hint="default" w:ascii="Times New Roman" w:hAnsi="Times New Roman" w:cs="Times New Roman"/>
                      <w:b/>
                      <w:szCs w:val="21"/>
                    </w:rPr>
                  </w:pPr>
                  <w:r>
                    <w:rPr>
                      <w:rFonts w:hint="default" w:ascii="Times New Roman" w:hAnsi="Times New Roman" w:cs="Times New Roman"/>
                      <w:b/>
                      <w:szCs w:val="21"/>
                    </w:rPr>
                    <w:t>方式</w:t>
                  </w:r>
                </w:p>
              </w:tc>
              <w:tc>
                <w:tcPr>
                  <w:tcW w:w="798" w:type="dxa"/>
                  <w:noWrap w:val="0"/>
                  <w:vAlign w:val="center"/>
                </w:tcPr>
                <w:p>
                  <w:pPr>
                    <w:widowControl/>
                    <w:jc w:val="center"/>
                    <w:rPr>
                      <w:rFonts w:hint="default" w:ascii="Times New Roman" w:hAnsi="Times New Roman" w:cs="Times New Roman"/>
                      <w:b/>
                      <w:szCs w:val="21"/>
                    </w:rPr>
                  </w:pPr>
                  <w:r>
                    <w:rPr>
                      <w:rFonts w:hint="default" w:ascii="Times New Roman" w:hAnsi="Times New Roman" w:cs="Times New Roman"/>
                      <w:b/>
                      <w:szCs w:val="21"/>
                    </w:rPr>
                    <w:t>贮存能</w:t>
                  </w:r>
                </w:p>
                <w:p>
                  <w:pPr>
                    <w:widowControl/>
                    <w:jc w:val="center"/>
                    <w:rPr>
                      <w:rFonts w:hint="default" w:ascii="Times New Roman" w:hAnsi="Times New Roman" w:cs="Times New Roman"/>
                      <w:b/>
                      <w:szCs w:val="21"/>
                    </w:rPr>
                  </w:pPr>
                  <w:r>
                    <w:rPr>
                      <w:rFonts w:hint="default" w:ascii="Times New Roman" w:hAnsi="Times New Roman" w:cs="Times New Roman"/>
                      <w:b/>
                      <w:szCs w:val="21"/>
                    </w:rPr>
                    <w:t>力（t/a）</w:t>
                  </w:r>
                </w:p>
              </w:tc>
              <w:tc>
                <w:tcPr>
                  <w:tcW w:w="795" w:type="dxa"/>
                  <w:noWrap w:val="0"/>
                  <w:vAlign w:val="center"/>
                </w:tcPr>
                <w:p>
                  <w:pPr>
                    <w:widowControl/>
                    <w:jc w:val="center"/>
                    <w:rPr>
                      <w:rFonts w:hint="default" w:ascii="Times New Roman" w:hAnsi="Times New Roman" w:cs="Times New Roman"/>
                      <w:b/>
                      <w:szCs w:val="21"/>
                    </w:rPr>
                  </w:pPr>
                  <w:r>
                    <w:rPr>
                      <w:rFonts w:hint="default" w:ascii="Times New Roman" w:hAnsi="Times New Roman" w:cs="Times New Roman"/>
                      <w:b/>
                      <w:szCs w:val="21"/>
                    </w:rPr>
                    <w:t>贮存</w:t>
                  </w:r>
                </w:p>
                <w:p>
                  <w:pPr>
                    <w:widowControl/>
                    <w:jc w:val="center"/>
                    <w:rPr>
                      <w:rFonts w:hint="default" w:ascii="Times New Roman" w:hAnsi="Times New Roman" w:cs="Times New Roman"/>
                      <w:b/>
                      <w:szCs w:val="21"/>
                    </w:rPr>
                  </w:pPr>
                  <w:r>
                    <w:rPr>
                      <w:rFonts w:hint="default" w:ascii="Times New Roman" w:hAnsi="Times New Roman" w:cs="Times New Roman"/>
                      <w:b/>
                      <w:szCs w:val="21"/>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1</w:t>
                  </w:r>
                </w:p>
              </w:tc>
              <w:tc>
                <w:tcPr>
                  <w:tcW w:w="787" w:type="dxa"/>
                  <w:vMerge w:val="restar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危废暂存间</w:t>
                  </w:r>
                </w:p>
              </w:tc>
              <w:tc>
                <w:tcPr>
                  <w:tcW w:w="923" w:type="dxa"/>
                  <w:noWrap w:val="0"/>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废机油</w:t>
                  </w:r>
                </w:p>
              </w:tc>
              <w:tc>
                <w:tcPr>
                  <w:tcW w:w="794" w:type="dxa"/>
                  <w:noWrap w:val="0"/>
                  <w:vAlign w:val="center"/>
                </w:tcPr>
                <w:p>
                  <w:pPr>
                    <w:pStyle w:val="39"/>
                    <w:spacing w:before="0" w:after="0"/>
                    <w:rPr>
                      <w:rFonts w:hint="default" w:ascii="Times New Roman" w:hAnsi="Times New Roman" w:cs="Times New Roman"/>
                      <w:szCs w:val="21"/>
                    </w:rPr>
                  </w:pPr>
                  <w:r>
                    <w:rPr>
                      <w:rFonts w:hint="default" w:ascii="Times New Roman" w:hAnsi="Times New Roman" w:cs="Times New Roman"/>
                      <w:color w:val="000000"/>
                      <w:szCs w:val="21"/>
                      <w:lang w:val="en-US" w:eastAsia="zh-CN"/>
                    </w:rPr>
                    <w:t>HW08号</w:t>
                  </w:r>
                </w:p>
              </w:tc>
              <w:tc>
                <w:tcPr>
                  <w:tcW w:w="799" w:type="dxa"/>
                  <w:noWrap w:val="0"/>
                  <w:vAlign w:val="center"/>
                </w:tcPr>
                <w:p>
                  <w:pPr>
                    <w:pStyle w:val="39"/>
                    <w:adjustRightInd/>
                    <w:spacing w:before="0" w:after="0"/>
                    <w:contextualSpacing/>
                    <w:rPr>
                      <w:rFonts w:hint="default" w:ascii="Times New Roman" w:hAnsi="Times New Roman" w:cs="Times New Roman"/>
                      <w:color w:val="000000"/>
                      <w:szCs w:val="21"/>
                      <w:lang w:eastAsia="zh-CN"/>
                    </w:rPr>
                  </w:pPr>
                  <w:r>
                    <w:rPr>
                      <w:rFonts w:hint="default" w:ascii="Times New Roman" w:hAnsi="Times New Roman" w:cs="Times New Roman"/>
                      <w:color w:val="000000"/>
                      <w:szCs w:val="21"/>
                    </w:rPr>
                    <w:t>900-</w:t>
                  </w:r>
                </w:p>
                <w:p>
                  <w:pPr>
                    <w:pStyle w:val="39"/>
                    <w:adjustRightInd/>
                    <w:spacing w:before="0" w:after="0"/>
                    <w:contextualSpacing/>
                    <w:rPr>
                      <w:rFonts w:hint="default" w:ascii="Times New Roman" w:hAnsi="Times New Roman" w:cs="Times New Roman"/>
                      <w:color w:val="000000"/>
                      <w:szCs w:val="21"/>
                    </w:rPr>
                  </w:pPr>
                  <w:r>
                    <w:rPr>
                      <w:rFonts w:hint="default" w:ascii="Times New Roman" w:hAnsi="Times New Roman" w:cs="Times New Roman"/>
                      <w:color w:val="000000"/>
                      <w:szCs w:val="21"/>
                      <w:lang w:eastAsia="zh-CN"/>
                    </w:rPr>
                    <w:t>214</w:t>
                  </w:r>
                  <w:r>
                    <w:rPr>
                      <w:rFonts w:hint="default" w:ascii="Times New Roman" w:hAnsi="Times New Roman" w:cs="Times New Roman"/>
                      <w:color w:val="000000"/>
                      <w:szCs w:val="21"/>
                    </w:rPr>
                    <w:t>-08</w:t>
                  </w:r>
                </w:p>
              </w:tc>
              <w:tc>
                <w:tcPr>
                  <w:tcW w:w="642" w:type="dxa"/>
                  <w:vMerge w:val="restar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车间西侧</w:t>
                  </w:r>
                </w:p>
              </w:tc>
              <w:tc>
                <w:tcPr>
                  <w:tcW w:w="720" w:type="dxa"/>
                  <w:vMerge w:val="restar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10m</w:t>
                  </w:r>
                  <w:r>
                    <w:rPr>
                      <w:rFonts w:hint="default" w:ascii="Times New Roman" w:hAnsi="Times New Roman" w:cs="Times New Roman"/>
                      <w:szCs w:val="21"/>
                      <w:vertAlign w:val="superscript"/>
                    </w:rPr>
                    <w:t>2</w:t>
                  </w:r>
                </w:p>
              </w:tc>
              <w:tc>
                <w:tcPr>
                  <w:tcW w:w="641" w:type="dxa"/>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1m</w:t>
                  </w:r>
                  <w:r>
                    <w:rPr>
                      <w:rFonts w:hint="default" w:ascii="Times New Roman" w:hAnsi="Times New Roman" w:cs="Times New Roman"/>
                      <w:szCs w:val="21"/>
                      <w:vertAlign w:val="superscript"/>
                    </w:rPr>
                    <w:t>2</w:t>
                  </w:r>
                </w:p>
              </w:tc>
              <w:tc>
                <w:tcPr>
                  <w:tcW w:w="721" w:type="dxa"/>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桶装</w:t>
                  </w:r>
                </w:p>
                <w:p>
                  <w:pPr>
                    <w:widowControl/>
                    <w:jc w:val="center"/>
                    <w:rPr>
                      <w:rFonts w:hint="default" w:ascii="Times New Roman" w:hAnsi="Times New Roman" w:cs="Times New Roman"/>
                      <w:szCs w:val="21"/>
                    </w:rPr>
                  </w:pPr>
                  <w:r>
                    <w:rPr>
                      <w:rFonts w:hint="default" w:ascii="Times New Roman" w:hAnsi="Times New Roman" w:cs="Times New Roman"/>
                      <w:szCs w:val="21"/>
                    </w:rPr>
                    <w:t>贮存</w:t>
                  </w:r>
                </w:p>
              </w:tc>
              <w:tc>
                <w:tcPr>
                  <w:tcW w:w="798" w:type="dxa"/>
                  <w:vMerge w:val="restar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50.0</w:t>
                  </w:r>
                </w:p>
              </w:tc>
              <w:tc>
                <w:tcPr>
                  <w:tcW w:w="795" w:type="dxa"/>
                  <w:vMerge w:val="restart"/>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2</w:t>
                  </w:r>
                </w:p>
              </w:tc>
              <w:tc>
                <w:tcPr>
                  <w:tcW w:w="787" w:type="dxa"/>
                  <w:vMerge w:val="continue"/>
                  <w:noWrap w:val="0"/>
                  <w:vAlign w:val="center"/>
                </w:tcPr>
                <w:p>
                  <w:pPr>
                    <w:widowControl/>
                    <w:jc w:val="center"/>
                    <w:rPr>
                      <w:rFonts w:hint="default" w:ascii="Times New Roman" w:hAnsi="Times New Roman" w:cs="Times New Roman"/>
                      <w:szCs w:val="21"/>
                    </w:rPr>
                  </w:pPr>
                </w:p>
              </w:tc>
              <w:tc>
                <w:tcPr>
                  <w:tcW w:w="923" w:type="dxa"/>
                  <w:noWrap w:val="0"/>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废活性炭</w:t>
                  </w:r>
                </w:p>
              </w:tc>
              <w:tc>
                <w:tcPr>
                  <w:tcW w:w="794" w:type="dxa"/>
                  <w:noWrap w:val="0"/>
                  <w:vAlign w:val="center"/>
                </w:tcPr>
                <w:p>
                  <w:pPr>
                    <w:pStyle w:val="39"/>
                    <w:spacing w:before="0" w:after="0"/>
                    <w:rPr>
                      <w:rFonts w:hint="default" w:ascii="Times New Roman" w:hAnsi="Times New Roman" w:cs="Times New Roman"/>
                      <w:szCs w:val="21"/>
                    </w:rPr>
                  </w:pPr>
                  <w:r>
                    <w:rPr>
                      <w:rFonts w:hint="default" w:ascii="Times New Roman" w:hAnsi="Times New Roman" w:cs="Times New Roman"/>
                      <w:color w:val="000000"/>
                      <w:szCs w:val="21"/>
                      <w:lang w:val="en-US" w:eastAsia="zh-CN"/>
                    </w:rPr>
                    <w:t>HW49号</w:t>
                  </w:r>
                </w:p>
              </w:tc>
              <w:tc>
                <w:tcPr>
                  <w:tcW w:w="799" w:type="dxa"/>
                  <w:noWrap w:val="0"/>
                  <w:vAlign w:val="center"/>
                </w:tcPr>
                <w:p>
                  <w:pPr>
                    <w:pStyle w:val="39"/>
                    <w:adjustRightInd/>
                    <w:spacing w:before="0" w:after="0"/>
                    <w:contextualSpacing/>
                    <w:rPr>
                      <w:rFonts w:hint="default" w:ascii="Times New Roman" w:hAnsi="Times New Roman" w:cs="Times New Roman"/>
                      <w:color w:val="000000"/>
                      <w:szCs w:val="21"/>
                      <w:lang w:eastAsia="zh-CN"/>
                    </w:rPr>
                  </w:pPr>
                  <w:r>
                    <w:rPr>
                      <w:rFonts w:hint="default" w:ascii="Times New Roman" w:hAnsi="Times New Roman" w:cs="Times New Roman"/>
                      <w:color w:val="000000"/>
                      <w:szCs w:val="21"/>
                    </w:rPr>
                    <w:t>900-</w:t>
                  </w:r>
                </w:p>
                <w:p>
                  <w:pPr>
                    <w:pStyle w:val="39"/>
                    <w:adjustRightInd/>
                    <w:spacing w:before="0" w:after="0"/>
                    <w:contextualSpacing/>
                    <w:rPr>
                      <w:rFonts w:hint="default" w:ascii="Times New Roman" w:hAnsi="Times New Roman" w:cs="Times New Roman"/>
                      <w:color w:val="000000"/>
                      <w:szCs w:val="21"/>
                      <w:lang w:eastAsia="zh-CN"/>
                    </w:rPr>
                  </w:pPr>
                  <w:r>
                    <w:rPr>
                      <w:rFonts w:hint="default" w:ascii="Times New Roman" w:hAnsi="Times New Roman" w:cs="Times New Roman"/>
                      <w:color w:val="000000"/>
                      <w:szCs w:val="21"/>
                      <w:lang w:eastAsia="zh-CN"/>
                    </w:rPr>
                    <w:t>039</w:t>
                  </w:r>
                  <w:r>
                    <w:rPr>
                      <w:rFonts w:hint="default" w:ascii="Times New Roman" w:hAnsi="Times New Roman" w:cs="Times New Roman"/>
                      <w:color w:val="000000"/>
                      <w:szCs w:val="21"/>
                    </w:rPr>
                    <w:t>-</w:t>
                  </w:r>
                  <w:r>
                    <w:rPr>
                      <w:rFonts w:hint="default" w:ascii="Times New Roman" w:hAnsi="Times New Roman" w:cs="Times New Roman"/>
                      <w:color w:val="000000"/>
                      <w:szCs w:val="21"/>
                      <w:lang w:eastAsia="zh-CN"/>
                    </w:rPr>
                    <w:t>49</w:t>
                  </w:r>
                </w:p>
              </w:tc>
              <w:tc>
                <w:tcPr>
                  <w:tcW w:w="642" w:type="dxa"/>
                  <w:vMerge w:val="continue"/>
                  <w:noWrap w:val="0"/>
                  <w:vAlign w:val="center"/>
                </w:tcPr>
                <w:p>
                  <w:pPr>
                    <w:widowControl/>
                    <w:jc w:val="center"/>
                    <w:rPr>
                      <w:rFonts w:hint="default" w:ascii="Times New Roman" w:hAnsi="Times New Roman" w:cs="Times New Roman"/>
                      <w:szCs w:val="21"/>
                    </w:rPr>
                  </w:pPr>
                </w:p>
              </w:tc>
              <w:tc>
                <w:tcPr>
                  <w:tcW w:w="720" w:type="dxa"/>
                  <w:vMerge w:val="continue"/>
                  <w:noWrap w:val="0"/>
                  <w:vAlign w:val="center"/>
                </w:tcPr>
                <w:p>
                  <w:pPr>
                    <w:widowControl/>
                    <w:jc w:val="center"/>
                    <w:rPr>
                      <w:rFonts w:hint="default" w:ascii="Times New Roman" w:hAnsi="Times New Roman" w:cs="Times New Roman"/>
                      <w:szCs w:val="21"/>
                    </w:rPr>
                  </w:pPr>
                </w:p>
              </w:tc>
              <w:tc>
                <w:tcPr>
                  <w:tcW w:w="641" w:type="dxa"/>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4m</w:t>
                  </w:r>
                  <w:r>
                    <w:rPr>
                      <w:rFonts w:hint="default" w:ascii="Times New Roman" w:hAnsi="Times New Roman" w:cs="Times New Roman"/>
                      <w:szCs w:val="21"/>
                      <w:vertAlign w:val="superscript"/>
                    </w:rPr>
                    <w:t>2</w:t>
                  </w:r>
                </w:p>
              </w:tc>
              <w:tc>
                <w:tcPr>
                  <w:tcW w:w="721" w:type="dxa"/>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桶装</w:t>
                  </w:r>
                </w:p>
                <w:p>
                  <w:pPr>
                    <w:widowControl/>
                    <w:jc w:val="center"/>
                    <w:rPr>
                      <w:rFonts w:hint="default" w:ascii="Times New Roman" w:hAnsi="Times New Roman" w:cs="Times New Roman"/>
                      <w:szCs w:val="21"/>
                    </w:rPr>
                  </w:pPr>
                  <w:r>
                    <w:rPr>
                      <w:rFonts w:hint="default" w:ascii="Times New Roman" w:hAnsi="Times New Roman" w:cs="Times New Roman"/>
                      <w:szCs w:val="21"/>
                    </w:rPr>
                    <w:t>贮存</w:t>
                  </w:r>
                </w:p>
              </w:tc>
              <w:tc>
                <w:tcPr>
                  <w:tcW w:w="798" w:type="dxa"/>
                  <w:vMerge w:val="continue"/>
                  <w:noWrap w:val="0"/>
                  <w:vAlign w:val="center"/>
                </w:tcPr>
                <w:p>
                  <w:pPr>
                    <w:widowControl/>
                    <w:jc w:val="center"/>
                    <w:rPr>
                      <w:rFonts w:hint="default" w:ascii="Times New Roman" w:hAnsi="Times New Roman" w:cs="Times New Roman"/>
                      <w:szCs w:val="21"/>
                    </w:rPr>
                  </w:pPr>
                </w:p>
              </w:tc>
              <w:tc>
                <w:tcPr>
                  <w:tcW w:w="795" w:type="dxa"/>
                  <w:vMerge w:val="continue"/>
                  <w:noWrap w:val="0"/>
                  <w:vAlign w:val="center"/>
                </w:tcPr>
                <w:p>
                  <w:pPr>
                    <w:widowControl/>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dxa"/>
                  <w:noWrap w:val="0"/>
                  <w:vAlign w:val="center"/>
                </w:tcPr>
                <w:p>
                  <w:pPr>
                    <w:widowControl/>
                    <w:jc w:val="center"/>
                    <w:rPr>
                      <w:rFonts w:hint="default" w:ascii="Times New Roman" w:hAnsi="Times New Roman" w:eastAsia="宋体" w:cs="Times New Roman"/>
                      <w:szCs w:val="21"/>
                      <w:lang w:eastAsia="zh-CN"/>
                    </w:rPr>
                  </w:pPr>
                  <w:r>
                    <w:rPr>
                      <w:rFonts w:hint="default" w:ascii="Times New Roman" w:hAnsi="Times New Roman" w:cs="Times New Roman"/>
                      <w:szCs w:val="21"/>
                      <w:lang w:val="en-US" w:eastAsia="zh-CN"/>
                    </w:rPr>
                    <w:t>3</w:t>
                  </w:r>
                </w:p>
              </w:tc>
              <w:tc>
                <w:tcPr>
                  <w:tcW w:w="787" w:type="dxa"/>
                  <w:vMerge w:val="continue"/>
                  <w:noWrap w:val="0"/>
                  <w:vAlign w:val="center"/>
                </w:tcPr>
                <w:p>
                  <w:pPr>
                    <w:widowControl/>
                    <w:jc w:val="center"/>
                    <w:rPr>
                      <w:rFonts w:hint="default" w:ascii="Times New Roman" w:hAnsi="Times New Roman" w:cs="Times New Roman"/>
                      <w:szCs w:val="21"/>
                    </w:rPr>
                  </w:pPr>
                </w:p>
              </w:tc>
              <w:tc>
                <w:tcPr>
                  <w:tcW w:w="923" w:type="dxa"/>
                  <w:noWrap w:val="0"/>
                  <w:vAlign w:val="center"/>
                </w:tcPr>
                <w:p>
                  <w:pPr>
                    <w:pStyle w:val="39"/>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含油废棉纱、手套</w:t>
                  </w:r>
                </w:p>
              </w:tc>
              <w:tc>
                <w:tcPr>
                  <w:tcW w:w="794" w:type="dxa"/>
                  <w:noWrap w:val="0"/>
                  <w:vAlign w:val="center"/>
                </w:tcPr>
                <w:p>
                  <w:pPr>
                    <w:pStyle w:val="39"/>
                    <w:spacing w:before="0" w:after="0"/>
                    <w:rPr>
                      <w:rFonts w:hint="default" w:ascii="Times New Roman" w:hAnsi="Times New Roman" w:cs="Times New Roman"/>
                      <w:szCs w:val="21"/>
                    </w:rPr>
                  </w:pPr>
                  <w:r>
                    <w:rPr>
                      <w:rFonts w:hint="default" w:ascii="Times New Roman" w:hAnsi="Times New Roman" w:cs="Times New Roman"/>
                      <w:color w:val="000000"/>
                      <w:szCs w:val="21"/>
                      <w:lang w:val="en-US" w:eastAsia="zh-CN"/>
                    </w:rPr>
                    <w:t>HW49号</w:t>
                  </w:r>
                </w:p>
              </w:tc>
              <w:tc>
                <w:tcPr>
                  <w:tcW w:w="799" w:type="dxa"/>
                  <w:noWrap w:val="0"/>
                  <w:vAlign w:val="center"/>
                </w:tcPr>
                <w:p>
                  <w:pPr>
                    <w:pStyle w:val="39"/>
                    <w:adjustRightInd/>
                    <w:spacing w:before="0" w:after="0"/>
                    <w:contextualSpacing/>
                    <w:rPr>
                      <w:rFonts w:hint="default" w:ascii="Times New Roman" w:hAnsi="Times New Roman" w:cs="Times New Roman"/>
                      <w:color w:val="000000"/>
                      <w:szCs w:val="21"/>
                      <w:lang w:eastAsia="zh-CN"/>
                    </w:rPr>
                  </w:pPr>
                  <w:r>
                    <w:rPr>
                      <w:rFonts w:hint="default" w:ascii="Times New Roman" w:hAnsi="Times New Roman" w:cs="Times New Roman"/>
                      <w:color w:val="000000"/>
                      <w:szCs w:val="21"/>
                    </w:rPr>
                    <w:t>900-</w:t>
                  </w:r>
                </w:p>
                <w:p>
                  <w:pPr>
                    <w:pStyle w:val="39"/>
                    <w:adjustRightInd/>
                    <w:spacing w:before="0" w:after="0"/>
                    <w:contextualSpacing/>
                    <w:rPr>
                      <w:rFonts w:hint="default" w:ascii="Times New Roman" w:hAnsi="Times New Roman" w:cs="Times New Roman"/>
                      <w:color w:val="000000"/>
                      <w:szCs w:val="21"/>
                    </w:rPr>
                  </w:pPr>
                  <w:r>
                    <w:rPr>
                      <w:rFonts w:hint="default" w:ascii="Times New Roman" w:hAnsi="Times New Roman" w:cs="Times New Roman"/>
                      <w:color w:val="000000"/>
                      <w:szCs w:val="21"/>
                    </w:rPr>
                    <w:t>041-49</w:t>
                  </w:r>
                </w:p>
              </w:tc>
              <w:tc>
                <w:tcPr>
                  <w:tcW w:w="642" w:type="dxa"/>
                  <w:vMerge w:val="continue"/>
                  <w:noWrap w:val="0"/>
                  <w:vAlign w:val="center"/>
                </w:tcPr>
                <w:p>
                  <w:pPr>
                    <w:widowControl/>
                    <w:jc w:val="center"/>
                    <w:rPr>
                      <w:rFonts w:hint="default" w:ascii="Times New Roman" w:hAnsi="Times New Roman" w:cs="Times New Roman"/>
                      <w:szCs w:val="21"/>
                    </w:rPr>
                  </w:pPr>
                </w:p>
              </w:tc>
              <w:tc>
                <w:tcPr>
                  <w:tcW w:w="720" w:type="dxa"/>
                  <w:vMerge w:val="continue"/>
                  <w:noWrap w:val="0"/>
                  <w:vAlign w:val="center"/>
                </w:tcPr>
                <w:p>
                  <w:pPr>
                    <w:widowControl/>
                    <w:jc w:val="center"/>
                    <w:rPr>
                      <w:rFonts w:hint="default" w:ascii="Times New Roman" w:hAnsi="Times New Roman" w:cs="Times New Roman"/>
                      <w:szCs w:val="21"/>
                    </w:rPr>
                  </w:pPr>
                </w:p>
              </w:tc>
              <w:tc>
                <w:tcPr>
                  <w:tcW w:w="641" w:type="dxa"/>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1m</w:t>
                  </w:r>
                  <w:r>
                    <w:rPr>
                      <w:rFonts w:hint="default" w:ascii="Times New Roman" w:hAnsi="Times New Roman" w:cs="Times New Roman"/>
                      <w:szCs w:val="21"/>
                      <w:vertAlign w:val="superscript"/>
                    </w:rPr>
                    <w:t>2</w:t>
                  </w:r>
                </w:p>
              </w:tc>
              <w:tc>
                <w:tcPr>
                  <w:tcW w:w="721" w:type="dxa"/>
                  <w:noWrap w:val="0"/>
                  <w:vAlign w:val="center"/>
                </w:tcPr>
                <w:p>
                  <w:pPr>
                    <w:widowControl/>
                    <w:jc w:val="center"/>
                    <w:rPr>
                      <w:rFonts w:hint="default" w:ascii="Times New Roman" w:hAnsi="Times New Roman" w:cs="Times New Roman"/>
                      <w:szCs w:val="21"/>
                    </w:rPr>
                  </w:pPr>
                  <w:r>
                    <w:rPr>
                      <w:rFonts w:hint="default" w:ascii="Times New Roman" w:hAnsi="Times New Roman" w:cs="Times New Roman"/>
                      <w:szCs w:val="21"/>
                    </w:rPr>
                    <w:t>桶装</w:t>
                  </w:r>
                </w:p>
                <w:p>
                  <w:pPr>
                    <w:widowControl/>
                    <w:jc w:val="center"/>
                    <w:rPr>
                      <w:rFonts w:hint="default" w:ascii="Times New Roman" w:hAnsi="Times New Roman" w:cs="Times New Roman"/>
                      <w:szCs w:val="21"/>
                    </w:rPr>
                  </w:pPr>
                  <w:r>
                    <w:rPr>
                      <w:rFonts w:hint="default" w:ascii="Times New Roman" w:hAnsi="Times New Roman" w:cs="Times New Roman"/>
                      <w:szCs w:val="21"/>
                    </w:rPr>
                    <w:t>贮存</w:t>
                  </w:r>
                </w:p>
              </w:tc>
              <w:tc>
                <w:tcPr>
                  <w:tcW w:w="798" w:type="dxa"/>
                  <w:vMerge w:val="continue"/>
                  <w:noWrap w:val="0"/>
                  <w:vAlign w:val="center"/>
                </w:tcPr>
                <w:p>
                  <w:pPr>
                    <w:widowControl/>
                    <w:jc w:val="center"/>
                    <w:rPr>
                      <w:rFonts w:hint="default" w:ascii="Times New Roman" w:hAnsi="Times New Roman" w:cs="Times New Roman"/>
                      <w:szCs w:val="21"/>
                    </w:rPr>
                  </w:pPr>
                </w:p>
              </w:tc>
              <w:tc>
                <w:tcPr>
                  <w:tcW w:w="795" w:type="dxa"/>
                  <w:vMerge w:val="continue"/>
                  <w:noWrap w:val="0"/>
                  <w:vAlign w:val="center"/>
                </w:tcPr>
                <w:p>
                  <w:pPr>
                    <w:widowControl/>
                    <w:jc w:val="center"/>
                    <w:rPr>
                      <w:rFonts w:hint="default" w:ascii="Times New Roman" w:hAnsi="Times New Roman" w:cs="Times New Roman"/>
                      <w:szCs w:val="21"/>
                    </w:rPr>
                  </w:pPr>
                </w:p>
              </w:tc>
            </w:tr>
          </w:tbl>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由上述可知，项目在严格采取以上措施情况下，营运期产生的各类固体废弃物均可实现清洁处理和处置，不会产生二次污染。</w:t>
            </w:r>
          </w:p>
          <w:p>
            <w:pPr>
              <w:pStyle w:val="7"/>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sz w:val="24"/>
                <w:szCs w:val="22"/>
                <w:lang w:val="en-US" w:eastAsia="zh-CN"/>
              </w:rPr>
              <w:t xml:space="preserve"> </w:t>
            </w:r>
            <w:r>
              <w:rPr>
                <w:rFonts w:hint="default" w:ascii="Times New Roman" w:hAnsi="Times New Roman" w:eastAsia="宋体" w:cs="Times New Roman"/>
                <w:b/>
                <w:bCs/>
                <w:sz w:val="24"/>
                <w:szCs w:val="22"/>
                <w:lang w:val="en-US" w:eastAsia="zh-CN"/>
              </w:rPr>
              <w:t xml:space="preserve">  （3）固废管理要求</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2"/>
              </w:rPr>
              <w:t>依据国家相关法律法规，</w:t>
            </w:r>
            <w:r>
              <w:rPr>
                <w:rFonts w:hint="default" w:ascii="Times New Roman" w:hAnsi="Times New Roman" w:eastAsia="宋体" w:cs="Times New Roman"/>
                <w:sz w:val="24"/>
                <w:szCs w:val="22"/>
                <w:lang w:eastAsia="zh-CN"/>
              </w:rPr>
              <w:t>一般固废暂存间应设置在室内，防风、防雨、防嗮、防流散。</w:t>
            </w:r>
            <w:r>
              <w:rPr>
                <w:rFonts w:hint="default" w:ascii="Times New Roman" w:hAnsi="Times New Roman" w:eastAsia="宋体" w:cs="Times New Roman"/>
                <w:sz w:val="24"/>
                <w:szCs w:val="22"/>
              </w:rPr>
              <w:t>危废暂存间严格按照《危险废物贮存污染控制标准》GB18597-2001（2013年修订）的要求设计，做好防雨、防渗、防腐，防止二次污染。</w:t>
            </w:r>
            <w:r>
              <w:rPr>
                <w:rFonts w:hint="default" w:ascii="Times New Roman" w:hAnsi="Times New Roman" w:eastAsia="宋体" w:cs="Times New Roman"/>
                <w:sz w:val="24"/>
                <w:szCs w:val="22"/>
                <w:lang w:eastAsia="zh-CN"/>
              </w:rPr>
              <w:t>针对危险废物暂存间的建设要求</w:t>
            </w:r>
            <w:r>
              <w:rPr>
                <w:rFonts w:hint="default" w:ascii="Times New Roman" w:hAnsi="Times New Roman" w:eastAsia="宋体" w:cs="Times New Roman"/>
                <w:sz w:val="24"/>
                <w:szCs w:val="24"/>
              </w:rPr>
              <w:t>具体要求如下：</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rPr>
              <w:t>①应建有堵截</w:t>
            </w:r>
            <w:r>
              <w:rPr>
                <w:rFonts w:hint="default" w:ascii="Times New Roman" w:hAnsi="Times New Roman" w:eastAsia="宋体" w:cs="Times New Roman"/>
                <w:color w:val="auto"/>
                <w:sz w:val="24"/>
                <w:szCs w:val="24"/>
              </w:rPr>
              <w:t>泄漏的裙脚，地面与裙脚要用坚固防渗的材料建造</w:t>
            </w:r>
            <w:r>
              <w:rPr>
                <w:rFonts w:hint="default" w:ascii="Times New Roman" w:hAnsi="Times New Roman" w:eastAsia="宋体" w:cs="Times New Roman"/>
                <w:color w:val="auto"/>
                <w:sz w:val="24"/>
                <w:szCs w:val="24"/>
                <w:lang w:eastAsia="zh-CN"/>
              </w:rPr>
              <w:t>，地面与墙角所围建的容积不低于截堵最大容积的最大储量或总储量的</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设施内必须有泄漏液体收集装置，用以存放装载废矿物油容器的地方，必须有耐腐蚀的硬化地面，且表面无裂痕</w:t>
            </w:r>
            <w:r>
              <w:rPr>
                <w:rFonts w:hint="default" w:ascii="Times New Roman" w:hAnsi="Times New Roman" w:eastAsia="宋体" w:cs="Times New Roman"/>
                <w:color w:val="auto"/>
                <w:sz w:val="24"/>
                <w:szCs w:val="24"/>
              </w:rPr>
              <w:t>。</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②基础防渗层建议采用厚度在 2 毫米以上的高密度聚乙烯或其他人工防渗材料组成，渗透系数应小于 1.0×10</w:t>
            </w:r>
            <w:r>
              <w:rPr>
                <w:rFonts w:hint="default" w:ascii="Times New Roman" w:hAnsi="Times New Roman" w:eastAsia="宋体" w:cs="Times New Roman"/>
                <w:color w:val="auto"/>
                <w:sz w:val="24"/>
                <w:szCs w:val="24"/>
                <w:vertAlign w:val="superscript"/>
              </w:rPr>
              <w:t>-10</w:t>
            </w:r>
            <w:r>
              <w:rPr>
                <w:rFonts w:hint="default" w:ascii="Times New Roman" w:hAnsi="Times New Roman" w:eastAsia="宋体" w:cs="Times New Roman"/>
                <w:color w:val="auto"/>
                <w:sz w:val="24"/>
                <w:szCs w:val="24"/>
              </w:rPr>
              <w:t>cm/s。</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③危废暂存</w:t>
            </w:r>
            <w:r>
              <w:rPr>
                <w:rFonts w:hint="default" w:ascii="Times New Roman" w:hAnsi="Times New Roman" w:eastAsia="宋体" w:cs="Times New Roman"/>
                <w:color w:val="auto"/>
                <w:sz w:val="24"/>
                <w:szCs w:val="24"/>
                <w:lang w:eastAsia="zh-CN"/>
              </w:rPr>
              <w:t>堆应防风、防雨、防晒</w:t>
            </w:r>
            <w:r>
              <w:rPr>
                <w:rFonts w:hint="default" w:ascii="Times New Roman" w:hAnsi="Times New Roman" w:eastAsia="宋体" w:cs="Times New Roman"/>
                <w:color w:val="auto"/>
                <w:sz w:val="24"/>
                <w:szCs w:val="24"/>
              </w:rPr>
              <w:t>。</w:t>
            </w:r>
          </w:p>
          <w:p>
            <w:pPr>
              <w:spacing w:line="360" w:lineRule="auto"/>
              <w:ind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lang w:eastAsia="zh-CN"/>
              </w:rPr>
              <w:t>④本项目产生的危险废物应放入符合标准的容器内，加上标签，容器存放区域应有防漏裙脚或储漏盘，防漏裙脚或储漏盘的材料要与危险废物相容。</w:t>
            </w:r>
          </w:p>
          <w:p>
            <w:pPr>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危废暂存管理措施：</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针对危废管理，本环评提出以下具体要求：</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A危险废物的收集必须按照危险废物的相关规定进行，禁止</w:t>
            </w:r>
            <w:r>
              <w:rPr>
                <w:rFonts w:hint="default" w:ascii="Times New Roman" w:hAnsi="Times New Roman" w:eastAsia="宋体" w:cs="Times New Roman"/>
                <w:sz w:val="24"/>
                <w:szCs w:val="24"/>
                <w:highlight w:val="none"/>
                <w:lang w:eastAsia="zh-CN"/>
              </w:rPr>
              <w:t>与其他</w:t>
            </w:r>
            <w:r>
              <w:rPr>
                <w:rFonts w:hint="default" w:ascii="Times New Roman" w:hAnsi="Times New Roman" w:eastAsia="宋体" w:cs="Times New Roman"/>
                <w:sz w:val="24"/>
                <w:szCs w:val="24"/>
              </w:rPr>
              <w:t>原料或废物混合存放。暂存设施应建有堵截泄漏的裙脚，地面与裙脚要用坚固的防渗材料建造。应有隔离设施、防风、防晒、</w:t>
            </w:r>
            <w:r>
              <w:rPr>
                <w:rFonts w:hint="default" w:ascii="Times New Roman" w:hAnsi="Times New Roman" w:eastAsia="宋体" w:cs="Times New Roman"/>
                <w:sz w:val="24"/>
                <w:szCs w:val="24"/>
                <w:highlight w:val="none"/>
              </w:rPr>
              <w:t>防雨设施</w:t>
            </w:r>
            <w:r>
              <w:rPr>
                <w:rFonts w:hint="default" w:ascii="Times New Roman" w:hAnsi="Times New Roman" w:eastAsia="宋体" w:cs="Times New Roman"/>
                <w:sz w:val="24"/>
                <w:szCs w:val="24"/>
              </w:rPr>
              <w:t>。</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B危险固废暂存区域需有耐腐蚀的硬化地面，地面无裂缝。</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C危险废物暂存不得超过一年。废物转运时必须安全转移，防止撒漏，废油等采用专用罐车运输，由具有相应处理资质的单位</w:t>
            </w:r>
            <w:r>
              <w:rPr>
                <w:rFonts w:hint="default" w:ascii="Times New Roman" w:hAnsi="Times New Roman" w:eastAsia="宋体" w:cs="Times New Roman"/>
                <w:sz w:val="24"/>
                <w:szCs w:val="24"/>
                <w:lang w:eastAsia="zh-CN"/>
              </w:rPr>
              <w:t>接收</w:t>
            </w:r>
            <w:r>
              <w:rPr>
                <w:rFonts w:hint="default" w:ascii="Times New Roman" w:hAnsi="Times New Roman" w:eastAsia="宋体" w:cs="Times New Roman"/>
                <w:sz w:val="24"/>
                <w:szCs w:val="24"/>
              </w:rPr>
              <w:t>。并严格执行危险废物转运联单制度，防止二次污染的产生。危险废物运输按规定路线行驶，驾驶员持证上岗。</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D评价要求企业必须严格按照《危险废物收集、贮存、运输技术规范》（HJ 2025-2012）的要求，应设置固定危险废物存放点，并用符合规范的封闭、防渗容器封闭储存。设置危险废物标识，分类收集，由专人负责，并建立台账，详细记录危废种类、危险性质、名称、来源、数量等。</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rPr>
              <w:t>E企业对</w:t>
            </w:r>
            <w:r>
              <w:rPr>
                <w:rFonts w:hint="default" w:ascii="Times New Roman" w:hAnsi="Times New Roman" w:eastAsia="宋体" w:cs="Times New Roman"/>
                <w:sz w:val="24"/>
                <w:szCs w:val="24"/>
                <w:lang w:eastAsia="zh-CN"/>
              </w:rPr>
              <w:t>危废的暂存需</w:t>
            </w:r>
            <w:r>
              <w:rPr>
                <w:rFonts w:hint="default" w:ascii="Times New Roman" w:hAnsi="Times New Roman" w:eastAsia="宋体" w:cs="Times New Roman"/>
                <w:sz w:val="24"/>
                <w:szCs w:val="24"/>
              </w:rPr>
              <w:t>《危险废物贮存污染控制标准》（GB18597－2001）的标准中规定。</w:t>
            </w:r>
          </w:p>
          <w:p>
            <w:pPr>
              <w:widowControl w:val="0"/>
              <w:spacing w:after="120" w:line="360" w:lineRule="auto"/>
              <w:ind w:firstLine="480" w:firstLineChars="200"/>
              <w:jc w:val="both"/>
              <w:rPr>
                <w:rFonts w:hint="default" w:ascii="Times New Roman" w:hAnsi="Times New Roman" w:eastAsia="宋体" w:cs="Times New Roman"/>
                <w:color w:val="auto"/>
                <w:kern w:val="2"/>
                <w:sz w:val="24"/>
                <w:lang w:val="en-US" w:eastAsia="zh-CN" w:bidi="ar-SA"/>
              </w:rPr>
            </w:pPr>
            <w:r>
              <w:rPr>
                <w:rFonts w:hint="default" w:ascii="Times New Roman" w:hAnsi="Times New Roman" w:eastAsia="宋体" w:cs="Times New Roman"/>
                <w:color w:val="auto"/>
                <w:kern w:val="2"/>
                <w:sz w:val="24"/>
                <w:szCs w:val="24"/>
                <w:lang w:val="en-US" w:eastAsia="zh-CN" w:bidi="ar-SA"/>
              </w:rPr>
              <w:t>F企业应当按照相关法律法规的要求建立健全危废管理台账。</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由上述可知，项目在严格采取以上措施情况下，营运期产生的各类固体废弃物均可实现清洁处理和处置，不会产生二次污染。</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本项目在</w:t>
            </w:r>
            <w:r>
              <w:rPr>
                <w:rFonts w:hint="default" w:ascii="Times New Roman" w:hAnsi="Times New Roman" w:eastAsia="宋体" w:cs="Times New Roman"/>
                <w:sz w:val="24"/>
                <w:szCs w:val="24"/>
                <w:lang w:eastAsia="zh-CN"/>
              </w:rPr>
              <w:t>厂房西南侧</w:t>
            </w:r>
            <w:r>
              <w:rPr>
                <w:rFonts w:hint="default" w:ascii="Times New Roman" w:hAnsi="Times New Roman" w:eastAsia="宋体" w:cs="Times New Roman"/>
                <w:sz w:val="24"/>
                <w:szCs w:val="24"/>
              </w:rPr>
              <w:t>设置危险废物暂存间1处，面积约</w:t>
            </w:r>
            <w:r>
              <w:rPr>
                <w:rFonts w:hint="default"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平方米，用于收集本项目产生的危险废物。</w:t>
            </w:r>
          </w:p>
          <w:p>
            <w:pPr>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危废转移要求：</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根据有关规定，在危险废物外运至处置单位时必须严格遵守以下要求：</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做好每次外运处置废弃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w:t>
            </w:r>
            <w:r>
              <w:rPr>
                <w:rFonts w:hint="default" w:ascii="Times New Roman" w:hAnsi="Times New Roman" w:eastAsia="宋体" w:cs="Times New Roman"/>
                <w:sz w:val="24"/>
                <w:szCs w:val="24"/>
                <w:lang w:eastAsia="zh-CN"/>
              </w:rPr>
              <w:t>接收单位</w:t>
            </w:r>
            <w:r>
              <w:rPr>
                <w:rFonts w:hint="default" w:ascii="Times New Roman" w:hAnsi="Times New Roman" w:eastAsia="宋体" w:cs="Times New Roman"/>
                <w:sz w:val="24"/>
                <w:szCs w:val="24"/>
              </w:rPr>
              <w:t>，第五联交接</w:t>
            </w:r>
            <w:r>
              <w:rPr>
                <w:rFonts w:hint="default" w:ascii="Times New Roman" w:hAnsi="Times New Roman" w:eastAsia="宋体" w:cs="Times New Roman"/>
                <w:sz w:val="24"/>
                <w:szCs w:val="24"/>
                <w:lang w:eastAsia="zh-CN"/>
              </w:rPr>
              <w:t>收</w:t>
            </w:r>
            <w:r>
              <w:rPr>
                <w:rFonts w:hint="default" w:ascii="Times New Roman" w:hAnsi="Times New Roman" w:eastAsia="宋体" w:cs="Times New Roman"/>
                <w:sz w:val="24"/>
                <w:szCs w:val="24"/>
              </w:rPr>
              <w:t>地生态环境部门。</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（3）处置单位在运输危险废物时必须配备押运人员，并随时处于押运人员的监管之下，不得超装、超载，严格按照所在城市规定的行车时间和行车路线行驶，不得进入危险化学品运输车辆禁止通行的区域。</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（4）危险废物在运输途中若发生被盗、丢失、流散、泄漏等情况时，公司及押运人员必须立即向当地公安部门报告，并采取一切可能的警示措施。</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土壤和地下水</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本项目项目运行期间对地下水环境和土壤环境的主要影响因子是危废间废矿物油渗漏对地下水造成的水质污染影响</w:t>
            </w:r>
            <w:r>
              <w:rPr>
                <w:rFonts w:hint="default" w:ascii="Times New Roman" w:hAnsi="Times New Roman" w:eastAsia="宋体" w:cs="Times New Roman"/>
                <w:sz w:val="24"/>
                <w:szCs w:val="24"/>
              </w:rPr>
              <w:t>，故应对危废间进行重点防控。</w:t>
            </w:r>
          </w:p>
          <w:p>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重点防控的方式为将以上区域划分为重点防渗区，重点防渗区的防渗系统本环评要求采用2 毫米以上的高密度聚乙烯或其他人工防渗材料组成，渗透系数应小于 1.0×10</w:t>
            </w:r>
            <w:r>
              <w:rPr>
                <w:rFonts w:hint="default" w:ascii="Times New Roman" w:hAnsi="Times New Roman" w:eastAsia="宋体" w:cs="Times New Roman"/>
                <w:sz w:val="24"/>
                <w:szCs w:val="24"/>
                <w:vertAlign w:val="superscript"/>
              </w:rPr>
              <w:t>-10</w:t>
            </w:r>
            <w:r>
              <w:rPr>
                <w:rFonts w:hint="default" w:ascii="Times New Roman" w:hAnsi="Times New Roman" w:eastAsia="宋体" w:cs="Times New Roman"/>
                <w:sz w:val="24"/>
                <w:szCs w:val="24"/>
              </w:rPr>
              <w:t>cm/s，或参照GB18598执行。</w:t>
            </w:r>
          </w:p>
          <w:p>
            <w:pPr>
              <w:adjustRightInd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sz w:val="24"/>
                <w:szCs w:val="24"/>
              </w:rPr>
              <w:t>本项目采取的措施能够满足保护地下水及土壤的需求，</w:t>
            </w:r>
            <w:r>
              <w:rPr>
                <w:rFonts w:hint="default" w:ascii="Times New Roman" w:hAnsi="Times New Roman" w:eastAsia="宋体" w:cs="Times New Roman"/>
                <w:sz w:val="24"/>
                <w:szCs w:val="24"/>
                <w:lang w:eastAsia="zh-CN"/>
              </w:rPr>
              <w:t>分区防渗要求</w:t>
            </w:r>
            <w:r>
              <w:rPr>
                <w:rFonts w:hint="default" w:ascii="Times New Roman" w:hAnsi="Times New Roman" w:eastAsia="宋体" w:cs="Times New Roman"/>
                <w:sz w:val="24"/>
                <w:szCs w:val="24"/>
              </w:rPr>
              <w:t>能够满足</w:t>
            </w:r>
            <w:r>
              <w:rPr>
                <w:rFonts w:hint="default" w:ascii="Times New Roman" w:hAnsi="Times New Roman" w:eastAsia="宋体" w:cs="Times New Roman"/>
                <w:sz w:val="24"/>
                <w:szCs w:val="24"/>
                <w:lang w:eastAsia="zh-CN"/>
              </w:rPr>
              <w:t>地下水、土壤</w:t>
            </w:r>
            <w:r>
              <w:rPr>
                <w:rFonts w:hint="default" w:ascii="Times New Roman" w:hAnsi="Times New Roman" w:eastAsia="宋体" w:cs="Times New Roman"/>
                <w:color w:val="auto"/>
                <w:sz w:val="24"/>
                <w:szCs w:val="24"/>
                <w:lang w:eastAsia="zh-CN"/>
              </w:rPr>
              <w:t>污染防范要求。</w:t>
            </w:r>
          </w:p>
          <w:p>
            <w:pPr>
              <w:pStyle w:val="25"/>
              <w:bidi w:val="0"/>
              <w:spacing w:line="36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表</w:t>
            </w:r>
            <w:r>
              <w:rPr>
                <w:rFonts w:hint="default" w:ascii="Times New Roman" w:hAnsi="Times New Roman" w:cs="Times New Roman"/>
                <w:sz w:val="21"/>
                <w:szCs w:val="21"/>
                <w:lang w:val="en-US" w:eastAsia="zh-CN"/>
              </w:rPr>
              <w:t>4-</w:t>
            </w:r>
            <w:r>
              <w:rPr>
                <w:rFonts w:hint="eastAsia" w:ascii="Times New Roman" w:hAnsi="Times New Roman" w:cs="Times New Roman"/>
                <w:sz w:val="21"/>
                <w:szCs w:val="21"/>
                <w:lang w:val="en-US" w:eastAsia="zh-CN"/>
              </w:rPr>
              <w:t>11</w:t>
            </w:r>
            <w:r>
              <w:rPr>
                <w:rFonts w:hint="default" w:ascii="Times New Roman" w:hAnsi="Times New Roman" w:cs="Times New Roman"/>
                <w:sz w:val="21"/>
                <w:szCs w:val="21"/>
                <w:lang w:eastAsia="zh-CN"/>
              </w:rPr>
              <w:t>防渗分区表</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850"/>
              <w:gridCol w:w="1929"/>
              <w:gridCol w:w="30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2" w:type="pct"/>
                  <w:noWrap w:val="0"/>
                  <w:vAlign w:val="center"/>
                </w:tcPr>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190" w:type="pct"/>
                  <w:noWrap w:val="0"/>
                  <w:vAlign w:val="center"/>
                </w:tcPr>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区域</w:t>
                  </w:r>
                </w:p>
              </w:tc>
              <w:tc>
                <w:tcPr>
                  <w:tcW w:w="1241" w:type="pct"/>
                  <w:noWrap w:val="0"/>
                  <w:vAlign w:val="center"/>
                </w:tcPr>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防渗级别</w:t>
                  </w:r>
                </w:p>
              </w:tc>
              <w:tc>
                <w:tcPr>
                  <w:tcW w:w="1985" w:type="pct"/>
                  <w:noWrap w:val="0"/>
                  <w:vAlign w:val="center"/>
                </w:tcPr>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防渗措施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2" w:type="pct"/>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190" w:type="pct"/>
                  <w:noWrap w:val="0"/>
                  <w:vAlign w:val="center"/>
                </w:tcPr>
                <w:p>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危废暂存间</w:t>
                  </w:r>
                </w:p>
              </w:tc>
              <w:tc>
                <w:tcPr>
                  <w:tcW w:w="1241" w:type="pct"/>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重点防渗区</w:t>
                  </w:r>
                </w:p>
              </w:tc>
              <w:tc>
                <w:tcPr>
                  <w:tcW w:w="1985" w:type="pct"/>
                  <w:noWrap w:val="0"/>
                  <w:vAlign w:val="center"/>
                </w:tcPr>
                <w:p>
                  <w:pPr>
                    <w:spacing w:line="240" w:lineRule="auto"/>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采用2 毫米以上的高密度聚乙烯或其他人工防渗材料组成，渗透系数应小于 1.0×10</w:t>
                  </w:r>
                  <w:r>
                    <w:rPr>
                      <w:rFonts w:hint="default" w:ascii="Times New Roman" w:hAnsi="Times New Roman" w:eastAsia="宋体" w:cs="Times New Roman"/>
                      <w:sz w:val="21"/>
                      <w:szCs w:val="21"/>
                      <w:vertAlign w:val="superscript"/>
                    </w:rPr>
                    <w:t>-10</w:t>
                  </w:r>
                  <w:r>
                    <w:rPr>
                      <w:rFonts w:hint="default" w:ascii="Times New Roman" w:hAnsi="Times New Roman" w:eastAsia="宋体" w:cs="Times New Roman"/>
                      <w:sz w:val="21"/>
                      <w:szCs w:val="21"/>
                    </w:rPr>
                    <w:t>cm/s，或参照GB18598执行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2" w:type="pct"/>
                  <w:noWrap w:val="0"/>
                  <w:vAlign w:val="center"/>
                </w:tcPr>
                <w:p>
                  <w:pPr>
                    <w:spacing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190" w:type="pct"/>
                  <w:noWrap w:val="0"/>
                  <w:vAlign w:val="center"/>
                </w:tcPr>
                <w:p>
                  <w:pPr>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生产车间除重点防渗区域</w:t>
                  </w:r>
                </w:p>
              </w:tc>
              <w:tc>
                <w:tcPr>
                  <w:tcW w:w="1241" w:type="pct"/>
                  <w:noWrap w:val="0"/>
                  <w:vAlign w:val="center"/>
                </w:tcPr>
                <w:p>
                  <w:pPr>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一般防渗区</w:t>
                  </w:r>
                </w:p>
              </w:tc>
              <w:tc>
                <w:tcPr>
                  <w:tcW w:w="1985" w:type="pct"/>
                  <w:noWrap w:val="0"/>
                  <w:vAlign w:val="center"/>
                </w:tcPr>
                <w:p>
                  <w:pPr>
                    <w:spacing w:line="0" w:lineRule="atLeast"/>
                    <w:ind w:firstLine="0" w:firstLineChars="0"/>
                    <w:jc w:val="left"/>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采用等效黏土防渗层Mb≥1.5m，K≤1×10</w:t>
                  </w:r>
                  <w:r>
                    <w:rPr>
                      <w:rFonts w:hint="default" w:ascii="Times New Roman" w:hAnsi="Times New Roman" w:cs="Times New Roman"/>
                      <w:color w:val="auto"/>
                      <w:sz w:val="21"/>
                      <w:szCs w:val="21"/>
                      <w:vertAlign w:val="superscript"/>
                    </w:rPr>
                    <w:t>-7</w:t>
                  </w:r>
                  <w:r>
                    <w:rPr>
                      <w:rFonts w:hint="default" w:ascii="Times New Roman" w:hAnsi="Times New Roman" w:cs="Times New Roman"/>
                      <w:color w:val="auto"/>
                      <w:sz w:val="21"/>
                      <w:szCs w:val="21"/>
                    </w:rPr>
                    <w:t>cm/s</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或参照GB16889执行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2" w:type="pct"/>
                  <w:noWrap w:val="0"/>
                  <w:vAlign w:val="center"/>
                </w:tcPr>
                <w:p>
                  <w:pPr>
                    <w:tabs>
                      <w:tab w:val="center" w:pos="431"/>
                      <w:tab w:val="left" w:pos="552"/>
                    </w:tabs>
                    <w:spacing w:line="360" w:lineRule="auto"/>
                    <w:ind w:firstLine="210" w:firstLineChars="10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1190" w:type="pct"/>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办公区</w:t>
                  </w:r>
                </w:p>
              </w:tc>
              <w:tc>
                <w:tcPr>
                  <w:tcW w:w="1241" w:type="pct"/>
                  <w:noWrap w:val="0"/>
                  <w:vAlign w:val="center"/>
                </w:tcPr>
                <w:p>
                  <w:pPr>
                    <w:spacing w:line="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简单防渗区</w:t>
                  </w:r>
                </w:p>
              </w:tc>
              <w:tc>
                <w:tcPr>
                  <w:tcW w:w="1985" w:type="pct"/>
                  <w:noWrap w:val="0"/>
                  <w:vAlign w:val="center"/>
                </w:tcPr>
                <w:p>
                  <w:pPr>
                    <w:spacing w:line="0" w:lineRule="atLeast"/>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一般地面硬化</w:t>
                  </w:r>
                </w:p>
              </w:tc>
            </w:tr>
          </w:tbl>
          <w:p>
            <w:pPr>
              <w:adjustRightInd w:val="0"/>
              <w:snapToGrid w:val="0"/>
              <w:rPr>
                <w:rFonts w:hint="default" w:ascii="Times New Roman" w:hAnsi="Times New Roman" w:cs="Times New Roman"/>
                <w:bCs/>
                <w:spacing w:val="-10"/>
                <w:szCs w:val="21"/>
                <w:lang w:val="en-US" w:eastAsia="zh-CN"/>
              </w:rPr>
            </w:pPr>
          </w:p>
          <w:p>
            <w:pPr>
              <w:numPr>
                <w:ilvl w:val="0"/>
                <w:numId w:val="8"/>
              </w:numPr>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运营期监测计划</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参照《排污单位自行监测技术指南 总则》</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HJ819-2017</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相关要求</w:t>
            </w:r>
            <w:r>
              <w:rPr>
                <w:rFonts w:hint="default" w:ascii="Times New Roman" w:hAnsi="Times New Roman" w:cs="Times New Roman"/>
                <w:color w:val="auto"/>
                <w:sz w:val="24"/>
                <w:szCs w:val="24"/>
                <w:lang w:eastAsia="zh-CN"/>
              </w:rPr>
              <w:t>及本项目的实际情况</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本项目</w:t>
            </w:r>
            <w:r>
              <w:rPr>
                <w:rFonts w:hint="default" w:ascii="Times New Roman" w:hAnsi="Times New Roman" w:cs="Times New Roman"/>
                <w:color w:val="auto"/>
                <w:sz w:val="24"/>
                <w:szCs w:val="24"/>
              </w:rPr>
              <w:t>运营期</w:t>
            </w:r>
            <w:r>
              <w:rPr>
                <w:rFonts w:hint="default" w:ascii="Times New Roman" w:hAnsi="Times New Roman" w:cs="Times New Roman"/>
                <w:color w:val="auto"/>
                <w:sz w:val="24"/>
                <w:szCs w:val="24"/>
                <w:lang w:eastAsia="zh-CN"/>
              </w:rPr>
              <w:t>具体</w:t>
            </w:r>
            <w:r>
              <w:rPr>
                <w:rFonts w:hint="default" w:ascii="Times New Roman" w:hAnsi="Times New Roman" w:cs="Times New Roman"/>
                <w:color w:val="auto"/>
                <w:sz w:val="24"/>
                <w:szCs w:val="24"/>
              </w:rPr>
              <w:t>监测计划如下表所示：</w:t>
            </w:r>
          </w:p>
          <w:p>
            <w:pPr>
              <w:pStyle w:val="25"/>
              <w:bidi w:val="0"/>
              <w:spacing w:line="240" w:lineRule="auto"/>
              <w:rPr>
                <w:rFonts w:hint="default" w:ascii="Times New Roman" w:hAnsi="Times New Roman" w:cs="Times New Roman"/>
                <w:sz w:val="21"/>
                <w:szCs w:val="21"/>
              </w:rPr>
            </w:pPr>
            <w:r>
              <w:rPr>
                <w:rFonts w:hint="default" w:ascii="Times New Roman" w:hAnsi="Times New Roman" w:cs="Times New Roman"/>
                <w:sz w:val="21"/>
                <w:szCs w:val="21"/>
              </w:rPr>
              <w:t>表</w:t>
            </w:r>
            <w:r>
              <w:rPr>
                <w:rFonts w:hint="default" w:ascii="Times New Roman" w:hAnsi="Times New Roman" w:cs="Times New Roman"/>
                <w:sz w:val="21"/>
                <w:szCs w:val="21"/>
                <w:lang w:val="en-US" w:eastAsia="zh-CN"/>
              </w:rPr>
              <w:t>4-1</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rPr>
              <w:t xml:space="preserve"> 运营期监测计划</w:t>
            </w:r>
          </w:p>
          <w:tbl>
            <w:tblPr>
              <w:tblStyle w:val="1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599"/>
              <w:gridCol w:w="1167"/>
              <w:gridCol w:w="33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074" w:type="pct"/>
                  <w:noWrap w:val="0"/>
                  <w:vAlign w:val="center"/>
                </w:tcPr>
                <w:p>
                  <w:pPr>
                    <w:widowControl/>
                    <w:spacing w:line="240" w:lineRule="auto"/>
                    <w:ind w:firstLine="0" w:firstLineChars="0"/>
                    <w:jc w:val="center"/>
                    <w:rPr>
                      <w:rFonts w:hint="default" w:ascii="Times New Roman" w:hAnsi="Times New Roman" w:cs="Times New Roman"/>
                      <w:b/>
                      <w:spacing w:val="-1"/>
                      <w:kern w:val="0"/>
                      <w:sz w:val="22"/>
                      <w:szCs w:val="21"/>
                    </w:rPr>
                  </w:pPr>
                  <w:r>
                    <w:rPr>
                      <w:rFonts w:hint="default" w:ascii="Times New Roman" w:hAnsi="Times New Roman" w:cs="Times New Roman"/>
                      <w:b/>
                      <w:spacing w:val="-1"/>
                      <w:kern w:val="0"/>
                      <w:sz w:val="22"/>
                      <w:szCs w:val="21"/>
                    </w:rPr>
                    <w:t>项目</w:t>
                  </w:r>
                </w:p>
              </w:tc>
              <w:tc>
                <w:tcPr>
                  <w:tcW w:w="1029" w:type="pct"/>
                  <w:noWrap w:val="0"/>
                  <w:vAlign w:val="center"/>
                </w:tcPr>
                <w:p>
                  <w:pPr>
                    <w:widowControl/>
                    <w:spacing w:line="240" w:lineRule="auto"/>
                    <w:ind w:firstLine="0" w:firstLineChars="0"/>
                    <w:jc w:val="center"/>
                    <w:rPr>
                      <w:rFonts w:hint="default" w:ascii="Times New Roman" w:hAnsi="Times New Roman" w:cs="Times New Roman"/>
                      <w:b/>
                      <w:spacing w:val="-1"/>
                      <w:kern w:val="0"/>
                      <w:sz w:val="22"/>
                      <w:szCs w:val="21"/>
                    </w:rPr>
                  </w:pPr>
                  <w:r>
                    <w:rPr>
                      <w:rFonts w:hint="default" w:ascii="Times New Roman" w:hAnsi="Times New Roman" w:cs="Times New Roman"/>
                      <w:b/>
                      <w:spacing w:val="-1"/>
                      <w:kern w:val="0"/>
                      <w:sz w:val="22"/>
                      <w:szCs w:val="21"/>
                    </w:rPr>
                    <w:t>监测因子</w:t>
                  </w:r>
                </w:p>
              </w:tc>
              <w:tc>
                <w:tcPr>
                  <w:tcW w:w="751" w:type="pct"/>
                  <w:noWrap w:val="0"/>
                  <w:vAlign w:val="center"/>
                </w:tcPr>
                <w:p>
                  <w:pPr>
                    <w:widowControl/>
                    <w:spacing w:line="240" w:lineRule="auto"/>
                    <w:ind w:firstLine="0" w:firstLineChars="0"/>
                    <w:jc w:val="center"/>
                    <w:rPr>
                      <w:rFonts w:hint="default" w:ascii="Times New Roman" w:hAnsi="Times New Roman" w:cs="Times New Roman"/>
                      <w:b/>
                      <w:spacing w:val="-1"/>
                      <w:kern w:val="0"/>
                      <w:sz w:val="22"/>
                      <w:szCs w:val="21"/>
                    </w:rPr>
                  </w:pPr>
                  <w:r>
                    <w:rPr>
                      <w:rFonts w:hint="default" w:ascii="Times New Roman" w:hAnsi="Times New Roman" w:cs="Times New Roman"/>
                      <w:b/>
                      <w:spacing w:val="-1"/>
                      <w:kern w:val="0"/>
                      <w:sz w:val="22"/>
                      <w:szCs w:val="21"/>
                    </w:rPr>
                    <w:t>监测频次</w:t>
                  </w:r>
                </w:p>
              </w:tc>
              <w:tc>
                <w:tcPr>
                  <w:tcW w:w="2144" w:type="pct"/>
                  <w:noWrap w:val="0"/>
                  <w:vAlign w:val="center"/>
                </w:tcPr>
                <w:p>
                  <w:pPr>
                    <w:widowControl/>
                    <w:spacing w:line="240" w:lineRule="auto"/>
                    <w:ind w:firstLine="0" w:firstLineChars="0"/>
                    <w:jc w:val="center"/>
                    <w:rPr>
                      <w:rFonts w:hint="default" w:ascii="Times New Roman" w:hAnsi="Times New Roman" w:cs="Times New Roman"/>
                      <w:b/>
                      <w:spacing w:val="-1"/>
                      <w:kern w:val="0"/>
                      <w:sz w:val="22"/>
                      <w:szCs w:val="21"/>
                    </w:rPr>
                  </w:pPr>
                  <w:r>
                    <w:rPr>
                      <w:rFonts w:hint="default" w:ascii="Times New Roman" w:hAnsi="Times New Roman" w:cs="Times New Roman"/>
                      <w:b/>
                      <w:spacing w:val="-1"/>
                      <w:kern w:val="0"/>
                      <w:sz w:val="22"/>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74" w:type="pct"/>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有机废气排放口（DA00</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lang w:eastAsia="zh-CN"/>
                    </w:rPr>
                    <w:t>）</w:t>
                  </w:r>
                </w:p>
              </w:tc>
              <w:tc>
                <w:tcPr>
                  <w:tcW w:w="1029"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非甲烷总烃、HCl</w:t>
                  </w:r>
                </w:p>
              </w:tc>
              <w:tc>
                <w:tcPr>
                  <w:tcW w:w="751"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每年1次</w:t>
                  </w:r>
                </w:p>
              </w:tc>
              <w:tc>
                <w:tcPr>
                  <w:tcW w:w="2144"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非甲烷总烃</w:t>
                  </w:r>
                  <w:r>
                    <w:rPr>
                      <w:rFonts w:hint="default" w:ascii="Times New Roman" w:hAnsi="Times New Roman" w:eastAsia="宋体" w:cs="Times New Roman"/>
                      <w:sz w:val="21"/>
                      <w:szCs w:val="21"/>
                      <w:lang w:val="en-US" w:eastAsia="zh-CN"/>
                    </w:rPr>
                    <w:t>执行《合成树脂工业污染物排放标准》（GB 31572—2015）中表4标准限值</w:t>
                  </w:r>
                  <w:r>
                    <w:rPr>
                      <w:rFonts w:hint="eastAsia" w:cs="Times New Roman"/>
                      <w:sz w:val="21"/>
                      <w:szCs w:val="21"/>
                      <w:lang w:val="en-US" w:eastAsia="zh-CN"/>
                    </w:rPr>
                    <w:t>；HCl</w:t>
                  </w:r>
                  <w:r>
                    <w:rPr>
                      <w:rFonts w:hint="default" w:ascii="Times New Roman" w:hAnsi="Times New Roman" w:eastAsia="宋体" w:cs="Times New Roman"/>
                      <w:sz w:val="21"/>
                      <w:szCs w:val="21"/>
                      <w:lang w:val="en-US" w:eastAsia="zh-CN"/>
                    </w:rPr>
                    <w:t>执行《大气污染物综合排放标准》（GB16297-1996）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074"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废水排放口（</w:t>
                  </w:r>
                  <w:r>
                    <w:rPr>
                      <w:rFonts w:hint="default" w:ascii="Times New Roman" w:hAnsi="Times New Roman" w:cs="Times New Roman"/>
                      <w:sz w:val="21"/>
                      <w:szCs w:val="21"/>
                      <w:lang w:val="en-US" w:eastAsia="zh-CN"/>
                    </w:rPr>
                    <w:t>DW001</w:t>
                  </w:r>
                  <w:r>
                    <w:rPr>
                      <w:rFonts w:hint="default" w:ascii="Times New Roman" w:hAnsi="Times New Roman" w:cs="Times New Roman"/>
                      <w:sz w:val="21"/>
                      <w:szCs w:val="21"/>
                      <w:lang w:eastAsia="zh-CN"/>
                    </w:rPr>
                    <w:t>）</w:t>
                  </w:r>
                </w:p>
              </w:tc>
              <w:tc>
                <w:tcPr>
                  <w:tcW w:w="1029" w:type="pct"/>
                  <w:noWrap w:val="0"/>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b w:val="0"/>
                      <w:bCs w:val="0"/>
                      <w:spacing w:val="0"/>
                      <w:kern w:val="2"/>
                      <w:sz w:val="21"/>
                      <w:szCs w:val="21"/>
                      <w:lang w:val="en-US" w:eastAsia="zh-CN"/>
                    </w:rPr>
                    <w:t>pH、化学需氧量、氨氮、悬浮物、总磷、总氮、五日生化需氧量</w:t>
                  </w:r>
                </w:p>
              </w:tc>
              <w:tc>
                <w:tcPr>
                  <w:tcW w:w="751" w:type="pct"/>
                  <w:noWrap w:val="0"/>
                  <w:vAlign w:val="center"/>
                </w:tcPr>
                <w:p>
                  <w:pPr>
                    <w:widowControl/>
                    <w:spacing w:line="240" w:lineRule="auto"/>
                    <w:ind w:firstLine="0" w:firstLineChars="0"/>
                    <w:jc w:val="center"/>
                    <w:rPr>
                      <w:rFonts w:hint="default" w:ascii="Times New Roman" w:hAnsi="Times New Roman" w:cs="Times New Roman"/>
                      <w:sz w:val="21"/>
                      <w:szCs w:val="21"/>
                    </w:rPr>
                  </w:pPr>
                  <w:r>
                    <w:rPr>
                      <w:rFonts w:hint="default" w:ascii="Times New Roman" w:hAnsi="Times New Roman" w:eastAsia="宋体" w:cs="Times New Roman"/>
                      <w:sz w:val="21"/>
                      <w:szCs w:val="21"/>
                    </w:rPr>
                    <w:t>每年1次</w:t>
                  </w:r>
                </w:p>
              </w:tc>
              <w:tc>
                <w:tcPr>
                  <w:tcW w:w="2144"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《污水综合排放标准》GB8978-1996）表4中的三级标准（氨氮、总量、总氮达到《污水排入城镇下水道水质标准》GB/T31962-2015 B级标准）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74" w:type="pct"/>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厂界</w:t>
                  </w:r>
                </w:p>
              </w:tc>
              <w:tc>
                <w:tcPr>
                  <w:tcW w:w="1029" w:type="pct"/>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rPr>
                    <w:t>颗粒物</w:t>
                  </w:r>
                  <w:r>
                    <w:rPr>
                      <w:rFonts w:hint="default" w:ascii="Times New Roman" w:hAnsi="Times New Roman" w:cs="Times New Roman"/>
                      <w:sz w:val="21"/>
                      <w:szCs w:val="21"/>
                      <w:lang w:eastAsia="zh-CN"/>
                    </w:rPr>
                    <w:t>、</w:t>
                  </w:r>
                  <w:r>
                    <w:rPr>
                      <w:rFonts w:hint="eastAsia" w:cs="Times New Roman"/>
                      <w:sz w:val="21"/>
                      <w:szCs w:val="21"/>
                      <w:lang w:val="en-US" w:eastAsia="zh-CN"/>
                    </w:rPr>
                    <w:t>非甲烷总烃、HCl</w:t>
                  </w:r>
                </w:p>
              </w:tc>
              <w:tc>
                <w:tcPr>
                  <w:tcW w:w="751" w:type="pct"/>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每年1次</w:t>
                  </w:r>
                </w:p>
              </w:tc>
              <w:tc>
                <w:tcPr>
                  <w:tcW w:w="2144"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HCl、</w:t>
                  </w:r>
                  <w:r>
                    <w:rPr>
                      <w:rFonts w:hint="default" w:ascii="Times New Roman" w:hAnsi="Times New Roman" w:eastAsia="宋体" w:cs="Times New Roman"/>
                      <w:sz w:val="21"/>
                      <w:szCs w:val="21"/>
                      <w:lang w:val="en-US" w:eastAsia="zh-CN"/>
                    </w:rPr>
                    <w:t>颗粒物执行《大气污染物综合排放标准》（GB16297-1996）；</w:t>
                  </w:r>
                  <w:r>
                    <w:rPr>
                      <w:rFonts w:hint="eastAsia" w:cs="Times New Roman"/>
                      <w:sz w:val="21"/>
                      <w:szCs w:val="21"/>
                      <w:lang w:val="en-US" w:eastAsia="zh-CN"/>
                    </w:rPr>
                    <w:t>非甲烷总烃</w:t>
                  </w:r>
                  <w:r>
                    <w:rPr>
                      <w:rFonts w:hint="default" w:ascii="Times New Roman" w:hAnsi="Times New Roman" w:eastAsia="宋体" w:cs="Times New Roman"/>
                      <w:sz w:val="21"/>
                      <w:szCs w:val="21"/>
                      <w:lang w:val="en-US" w:eastAsia="zh-CN"/>
                    </w:rPr>
                    <w:t>执行《挥发性有机物无组织排放控制标准》（GB37822—2019）附录A 企业厂区内挥发性有机物无组织排放监控点浓度限值。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74" w:type="pct"/>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厂界</w:t>
                  </w:r>
                </w:p>
              </w:tc>
              <w:tc>
                <w:tcPr>
                  <w:tcW w:w="1029" w:type="pct"/>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751" w:type="pct"/>
                  <w:noWrap w:val="0"/>
                  <w:vAlign w:val="center"/>
                </w:tcPr>
                <w:p>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每个季度1次</w:t>
                  </w:r>
                </w:p>
              </w:tc>
              <w:tc>
                <w:tcPr>
                  <w:tcW w:w="2144" w:type="pct"/>
                  <w:noWrap w:val="0"/>
                  <w:vAlign w:val="center"/>
                </w:tcPr>
                <w:p>
                  <w:pPr>
                    <w:adjustRightInd w:val="0"/>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《工业企业厂界环境噪声排放标准》（GB12348-2008）3类标准</w:t>
                  </w:r>
                </w:p>
              </w:tc>
            </w:tr>
          </w:tbl>
          <w:p>
            <w:pPr>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7、环境风险</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本次环境风险评价按照《建设项目环境风险评价技术导则》（HJ169-2018）中的有关要求进行评价，具体如下：</w:t>
            </w:r>
          </w:p>
          <w:p>
            <w:pPr>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㈠环境风险评价等级确定</w:t>
            </w:r>
          </w:p>
          <w:p>
            <w:pPr>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1、环境风险潜势划分</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建设项目环境风险潜势划分为Ⅰ、Ⅱ、Ⅲ、Ⅳ/Ⅳ</w:t>
            </w:r>
            <w:r>
              <w:rPr>
                <w:rFonts w:hint="default" w:ascii="Times New Roman" w:hAnsi="Times New Roman" w:cs="Times New Roman"/>
                <w:color w:val="000000"/>
                <w:sz w:val="24"/>
                <w:vertAlign w:val="superscript"/>
              </w:rPr>
              <w:t>+</w:t>
            </w:r>
            <w:r>
              <w:rPr>
                <w:rFonts w:hint="default" w:ascii="Times New Roman" w:hAnsi="Times New Roman" w:cs="Times New Roman"/>
                <w:color w:val="000000"/>
                <w:sz w:val="24"/>
              </w:rPr>
              <w:t>级。</w:t>
            </w:r>
          </w:p>
          <w:p>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根据建设项目设计物质和工艺系统的危险性及其所在地的环境敏感程度，结合事故情形下环境影响途径，对建设项目潜在环境危害程度进行概化分析，按照表</w:t>
            </w:r>
            <w:r>
              <w:rPr>
                <w:rFonts w:hint="default" w:ascii="Times New Roman" w:hAnsi="Times New Roman" w:cs="Times New Roman"/>
                <w:color w:val="000000"/>
                <w:sz w:val="24"/>
                <w:lang w:val="en-US" w:eastAsia="zh-CN"/>
              </w:rPr>
              <w:t>4-1</w:t>
            </w:r>
            <w:r>
              <w:rPr>
                <w:rFonts w:hint="eastAsia" w:ascii="Times New Roman" w:hAnsi="Times New Roman" w:cs="Times New Roman"/>
                <w:color w:val="000000"/>
                <w:sz w:val="24"/>
                <w:lang w:val="en-US" w:eastAsia="zh-CN"/>
              </w:rPr>
              <w:t>3</w:t>
            </w:r>
            <w:r>
              <w:rPr>
                <w:rFonts w:hint="default" w:ascii="Times New Roman" w:hAnsi="Times New Roman" w:cs="Times New Roman"/>
                <w:color w:val="000000"/>
                <w:sz w:val="24"/>
              </w:rPr>
              <w:t>确定环境风险潜势。</w:t>
            </w:r>
          </w:p>
          <w:p>
            <w:pPr>
              <w:adjustRightInd w:val="0"/>
              <w:spacing w:line="360" w:lineRule="auto"/>
              <w:ind w:firstLine="482"/>
              <w:jc w:val="center"/>
              <w:outlineLvl w:val="2"/>
              <w:rPr>
                <w:rFonts w:hint="default" w:ascii="Times New Roman" w:hAnsi="Times New Roman" w:cs="Times New Roman"/>
                <w:b/>
                <w:color w:val="000000"/>
                <w:szCs w:val="21"/>
              </w:rPr>
            </w:pPr>
            <w:r>
              <w:rPr>
                <w:rFonts w:hint="default" w:ascii="Times New Roman" w:hAnsi="Times New Roman" w:cs="Times New Roman"/>
                <w:b/>
                <w:color w:val="000000"/>
                <w:szCs w:val="21"/>
              </w:rPr>
              <w:t>表</w:t>
            </w:r>
            <w:r>
              <w:rPr>
                <w:rFonts w:hint="default" w:ascii="Times New Roman" w:hAnsi="Times New Roman" w:cs="Times New Roman"/>
                <w:b/>
                <w:color w:val="000000"/>
                <w:szCs w:val="21"/>
                <w:lang w:val="en-US" w:eastAsia="zh-CN"/>
              </w:rPr>
              <w:t>4-1</w:t>
            </w:r>
            <w:r>
              <w:rPr>
                <w:rFonts w:hint="eastAsia" w:ascii="Times New Roman" w:hAnsi="Times New Roman" w:cs="Times New Roman"/>
                <w:b/>
                <w:color w:val="000000"/>
                <w:szCs w:val="21"/>
                <w:lang w:val="en-US" w:eastAsia="zh-CN"/>
              </w:rPr>
              <w:t>3</w:t>
            </w:r>
            <w:r>
              <w:rPr>
                <w:rFonts w:hint="default" w:ascii="Times New Roman" w:hAnsi="Times New Roman" w:cs="Times New Roman"/>
                <w:b/>
                <w:color w:val="000000"/>
                <w:szCs w:val="21"/>
              </w:rPr>
              <w:t xml:space="preserve">   建设项目环境风险潜势划分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5"/>
              <w:gridCol w:w="1799"/>
              <w:gridCol w:w="1980"/>
              <w:gridCol w:w="1686"/>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135" w:type="dxa"/>
                  <w:vMerge w:val="restart"/>
                  <w:noWrap w:val="0"/>
                  <w:vAlign w:val="center"/>
                </w:tcPr>
                <w:p>
                  <w:pPr>
                    <w:adjustRightIn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环境敏感程度（E）</w:t>
                  </w:r>
                </w:p>
              </w:tc>
              <w:tc>
                <w:tcPr>
                  <w:tcW w:w="7169" w:type="dxa"/>
                  <w:gridSpan w:val="4"/>
                  <w:noWrap w:val="0"/>
                  <w:vAlign w:val="center"/>
                </w:tcPr>
                <w:p>
                  <w:pPr>
                    <w:adjustRightIn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危险物质及工艺系统危险性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135" w:type="dxa"/>
                  <w:vMerge w:val="continue"/>
                  <w:noWrap w:val="0"/>
                  <w:vAlign w:val="center"/>
                </w:tcPr>
                <w:p>
                  <w:pPr>
                    <w:adjustRightInd w:val="0"/>
                    <w:jc w:val="center"/>
                    <w:rPr>
                      <w:rFonts w:hint="default" w:ascii="Times New Roman" w:hAnsi="Times New Roman" w:cs="Times New Roman"/>
                      <w:b/>
                      <w:color w:val="000000"/>
                      <w:szCs w:val="21"/>
                    </w:rPr>
                  </w:pPr>
                </w:p>
              </w:tc>
              <w:tc>
                <w:tcPr>
                  <w:tcW w:w="1799" w:type="dxa"/>
                  <w:noWrap w:val="0"/>
                  <w:vAlign w:val="center"/>
                </w:tcPr>
                <w:p>
                  <w:pPr>
                    <w:adjustRightIn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极高危害（P1）</w:t>
                  </w:r>
                </w:p>
              </w:tc>
              <w:tc>
                <w:tcPr>
                  <w:tcW w:w="1980" w:type="dxa"/>
                  <w:noWrap w:val="0"/>
                  <w:vAlign w:val="center"/>
                </w:tcPr>
                <w:p>
                  <w:pPr>
                    <w:adjustRightIn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高度危害（P2）</w:t>
                  </w:r>
                </w:p>
              </w:tc>
              <w:tc>
                <w:tcPr>
                  <w:tcW w:w="1686" w:type="dxa"/>
                  <w:noWrap w:val="0"/>
                  <w:vAlign w:val="center"/>
                </w:tcPr>
                <w:p>
                  <w:pPr>
                    <w:adjustRightIn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中度危害（P3）</w:t>
                  </w:r>
                </w:p>
              </w:tc>
              <w:tc>
                <w:tcPr>
                  <w:tcW w:w="1704" w:type="dxa"/>
                  <w:noWrap w:val="0"/>
                  <w:vAlign w:val="center"/>
                </w:tcPr>
                <w:p>
                  <w:pPr>
                    <w:adjustRightInd w:val="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noWrap w:val="0"/>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环境高度敏感区（E1）</w:t>
                  </w:r>
                </w:p>
              </w:tc>
              <w:tc>
                <w:tcPr>
                  <w:tcW w:w="1799" w:type="dxa"/>
                  <w:noWrap w:val="0"/>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Ⅳ</w:t>
                  </w:r>
                  <w:r>
                    <w:rPr>
                      <w:rFonts w:hint="default" w:ascii="Times New Roman" w:hAnsi="Times New Roman" w:cs="Times New Roman"/>
                      <w:color w:val="000000"/>
                      <w:szCs w:val="21"/>
                      <w:vertAlign w:val="superscript"/>
                    </w:rPr>
                    <w:t>+</w:t>
                  </w:r>
                </w:p>
              </w:tc>
              <w:tc>
                <w:tcPr>
                  <w:tcW w:w="1980" w:type="dxa"/>
                  <w:noWrap w:val="0"/>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Ⅳ</w:t>
                  </w:r>
                </w:p>
              </w:tc>
              <w:tc>
                <w:tcPr>
                  <w:tcW w:w="1686" w:type="dxa"/>
                  <w:noWrap w:val="0"/>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Ⅲ</w:t>
                  </w:r>
                </w:p>
              </w:tc>
              <w:tc>
                <w:tcPr>
                  <w:tcW w:w="1704" w:type="dxa"/>
                  <w:noWrap w:val="0"/>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noWrap w:val="0"/>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环境中度敏感区（E2）</w:t>
                  </w:r>
                </w:p>
              </w:tc>
              <w:tc>
                <w:tcPr>
                  <w:tcW w:w="1799" w:type="dxa"/>
                  <w:noWrap w:val="0"/>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Ⅳ</w:t>
                  </w:r>
                </w:p>
              </w:tc>
              <w:tc>
                <w:tcPr>
                  <w:tcW w:w="1980" w:type="dxa"/>
                  <w:noWrap w:val="0"/>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Ⅲ</w:t>
                  </w:r>
                </w:p>
              </w:tc>
              <w:tc>
                <w:tcPr>
                  <w:tcW w:w="1686" w:type="dxa"/>
                  <w:noWrap w:val="0"/>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Ⅲ</w:t>
                  </w:r>
                </w:p>
              </w:tc>
              <w:tc>
                <w:tcPr>
                  <w:tcW w:w="1704" w:type="dxa"/>
                  <w:noWrap w:val="0"/>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5" w:type="dxa"/>
                  <w:noWrap w:val="0"/>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环境低度敏感区（E3）</w:t>
                  </w:r>
                </w:p>
              </w:tc>
              <w:tc>
                <w:tcPr>
                  <w:tcW w:w="1799" w:type="dxa"/>
                  <w:noWrap w:val="0"/>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Ⅲ</w:t>
                  </w:r>
                </w:p>
              </w:tc>
              <w:tc>
                <w:tcPr>
                  <w:tcW w:w="1980" w:type="dxa"/>
                  <w:noWrap w:val="0"/>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Ⅲ</w:t>
                  </w:r>
                </w:p>
              </w:tc>
              <w:tc>
                <w:tcPr>
                  <w:tcW w:w="1686" w:type="dxa"/>
                  <w:noWrap w:val="0"/>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Ⅱ</w:t>
                  </w:r>
                </w:p>
              </w:tc>
              <w:tc>
                <w:tcPr>
                  <w:tcW w:w="1704" w:type="dxa"/>
                  <w:noWrap w:val="0"/>
                  <w:vAlign w:val="center"/>
                </w:tcPr>
                <w:p>
                  <w:pPr>
                    <w:adjustRightInd w:val="0"/>
                    <w:jc w:val="center"/>
                    <w:rPr>
                      <w:rFonts w:hint="default" w:ascii="Times New Roman" w:hAnsi="Times New Roman" w:cs="Times New Roman"/>
                      <w:color w:val="000000"/>
                      <w:szCs w:val="21"/>
                    </w:rPr>
                  </w:pPr>
                  <w:r>
                    <w:rPr>
                      <w:rFonts w:hint="default" w:ascii="Times New Roman" w:hAnsi="Times New Roman" w:cs="Times New Roman"/>
                      <w:color w:val="00000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4" w:type="dxa"/>
                  <w:gridSpan w:val="5"/>
                  <w:noWrap w:val="0"/>
                  <w:vAlign w:val="center"/>
                </w:tcPr>
                <w:p>
                  <w:pPr>
                    <w:adjustRightInd w:val="0"/>
                    <w:rPr>
                      <w:rFonts w:hint="default" w:ascii="Times New Roman" w:hAnsi="Times New Roman" w:cs="Times New Roman"/>
                      <w:color w:val="000000"/>
                      <w:szCs w:val="21"/>
                    </w:rPr>
                  </w:pPr>
                  <w:r>
                    <w:rPr>
                      <w:rFonts w:hint="default" w:ascii="Times New Roman" w:hAnsi="Times New Roman" w:cs="Times New Roman"/>
                      <w:color w:val="000000"/>
                      <w:szCs w:val="21"/>
                    </w:rPr>
                    <w:t>注：Ⅳ</w:t>
                  </w:r>
                  <w:r>
                    <w:rPr>
                      <w:rFonts w:hint="default" w:ascii="Times New Roman" w:hAnsi="Times New Roman" w:cs="Times New Roman"/>
                      <w:color w:val="000000"/>
                      <w:szCs w:val="21"/>
                      <w:vertAlign w:val="superscript"/>
                    </w:rPr>
                    <w:t>+</w:t>
                  </w:r>
                  <w:r>
                    <w:rPr>
                      <w:rFonts w:hint="default" w:ascii="Times New Roman" w:hAnsi="Times New Roman" w:cs="Times New Roman"/>
                      <w:color w:val="000000"/>
                      <w:szCs w:val="21"/>
                    </w:rPr>
                    <w:t>级为极高环境风险</w:t>
                  </w:r>
                </w:p>
              </w:tc>
            </w:tr>
          </w:tbl>
          <w:p>
            <w:pPr>
              <w:adjustRightInd w:val="0"/>
              <w:snapToGrid w:val="0"/>
              <w:spacing w:line="360" w:lineRule="auto"/>
              <w:ind w:firstLine="482"/>
              <w:outlineLvl w:val="2"/>
              <w:rPr>
                <w:rFonts w:hint="default" w:ascii="Times New Roman" w:hAnsi="Times New Roman" w:cs="Times New Roman"/>
                <w:b/>
                <w:sz w:val="24"/>
              </w:rPr>
            </w:pPr>
            <w:r>
              <w:rPr>
                <w:rFonts w:hint="default" w:ascii="Times New Roman" w:hAnsi="Times New Roman" w:cs="Times New Roman"/>
                <w:b/>
                <w:sz w:val="24"/>
              </w:rPr>
              <w:t>2、危险物质及工艺系统危险性P级确定</w:t>
            </w:r>
          </w:p>
          <w:p>
            <w:pPr>
              <w:pStyle w:val="4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rPr>
              <w:t>本项目生产过程中涉及的易燃物质PE颗粒、PP-R颗粒、PE颗粒、PVC树脂、色母粒等。</w:t>
            </w:r>
            <w:r>
              <w:rPr>
                <w:rFonts w:hint="default" w:ascii="Times New Roman" w:hAnsi="Times New Roman" w:cs="Times New Roman"/>
                <w:sz w:val="24"/>
              </w:rPr>
              <w:t>经对照《危险化学品重大危险源辨识》（GB18218-2018）和《建设项目环境风险评价导则》（HJ/T169-2018），</w:t>
            </w:r>
            <w:r>
              <w:rPr>
                <w:rFonts w:hint="default" w:ascii="Times New Roman" w:hAnsi="Times New Roman" w:cs="Times New Roman"/>
                <w:color w:val="000000"/>
                <w:sz w:val="24"/>
                <w:szCs w:val="24"/>
              </w:rPr>
              <w:t>该项目在生产过程中主要原辅材料、产品和生产过程中均不涉及到</w:t>
            </w:r>
            <w:r>
              <w:rPr>
                <w:rFonts w:hint="default" w:ascii="Times New Roman" w:hAnsi="Times New Roman" w:cs="Times New Roman"/>
                <w:sz w:val="24"/>
                <w:szCs w:val="24"/>
              </w:rPr>
              <w:t>附表规定的物质</w:t>
            </w:r>
            <w:r>
              <w:rPr>
                <w:rFonts w:hint="default" w:ascii="Times New Roman" w:hAnsi="Times New Roman" w:cs="Times New Roman"/>
                <w:color w:val="000000"/>
                <w:sz w:val="24"/>
                <w:szCs w:val="24"/>
              </w:rPr>
              <w:t>。故根据《建设项目环境风险评价导则》（HJ/T169-2018）附录B中C.1.1中有关要求，</w:t>
            </w:r>
            <w:r>
              <w:rPr>
                <w:rFonts w:hint="default" w:ascii="Times New Roman" w:hAnsi="Times New Roman" w:cs="Times New Roman"/>
                <w:b/>
                <w:color w:val="000000"/>
                <w:sz w:val="24"/>
                <w:szCs w:val="24"/>
                <w:u w:val="single"/>
              </w:rPr>
              <w:t>该项目环境风险潜势为Ⅰ级</w:t>
            </w:r>
            <w:r>
              <w:rPr>
                <w:rFonts w:hint="default" w:ascii="Times New Roman" w:hAnsi="Times New Roman" w:cs="Times New Roman"/>
                <w:color w:val="000000"/>
                <w:sz w:val="24"/>
                <w:szCs w:val="24"/>
                <w:u w:val="single"/>
              </w:rPr>
              <w:t>。</w:t>
            </w:r>
          </w:p>
          <w:p>
            <w:pPr>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3、项目环境风险评价等级确定</w:t>
            </w:r>
          </w:p>
          <w:p>
            <w:pPr>
              <w:pStyle w:val="4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根据《建设项目环境风险评价导则》（HJ/T169-2018）4.3中关于评价等级的划分，具体划分依据如下：</w:t>
            </w:r>
          </w:p>
          <w:p>
            <w:pPr>
              <w:spacing w:line="360" w:lineRule="auto"/>
              <w:jc w:val="center"/>
              <w:rPr>
                <w:rFonts w:hint="default" w:ascii="Times New Roman" w:hAnsi="Times New Roman" w:cs="Times New Roman"/>
                <w:b/>
                <w:color w:val="000000"/>
                <w:szCs w:val="21"/>
              </w:rPr>
            </w:pPr>
            <w:r>
              <w:rPr>
                <w:rFonts w:hint="default" w:ascii="Times New Roman" w:hAnsi="Times New Roman" w:cs="Times New Roman"/>
                <w:b/>
                <w:bCs/>
                <w:color w:val="000000"/>
                <w:szCs w:val="21"/>
              </w:rPr>
              <w:t>表</w:t>
            </w:r>
            <w:r>
              <w:rPr>
                <w:rFonts w:hint="default" w:ascii="Times New Roman" w:hAnsi="Times New Roman" w:cs="Times New Roman"/>
                <w:b/>
                <w:bCs/>
                <w:color w:val="000000"/>
                <w:szCs w:val="21"/>
                <w:lang w:val="en-US" w:eastAsia="zh-CN"/>
              </w:rPr>
              <w:t>4-1</w:t>
            </w:r>
            <w:r>
              <w:rPr>
                <w:rFonts w:hint="eastAsia" w:ascii="Times New Roman" w:hAnsi="Times New Roman" w:cs="Times New Roman"/>
                <w:b/>
                <w:bCs/>
                <w:color w:val="000000"/>
                <w:szCs w:val="21"/>
                <w:lang w:val="en-US" w:eastAsia="zh-CN"/>
              </w:rPr>
              <w:t>4</w:t>
            </w:r>
            <w:r>
              <w:rPr>
                <w:rFonts w:hint="default" w:ascii="Times New Roman" w:hAnsi="Times New Roman" w:cs="Times New Roman"/>
                <w:b/>
                <w:bCs/>
                <w:color w:val="000000"/>
                <w:szCs w:val="21"/>
              </w:rPr>
              <w:t xml:space="preserve"> </w:t>
            </w:r>
            <w:r>
              <w:rPr>
                <w:rFonts w:hint="default" w:ascii="Times New Roman" w:hAnsi="Times New Roman" w:cs="Times New Roman"/>
                <w:b/>
                <w:color w:val="000000"/>
                <w:szCs w:val="21"/>
              </w:rPr>
              <w:t>项目环境风险评价工作等级划分</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551"/>
              <w:gridCol w:w="1551"/>
              <w:gridCol w:w="1551"/>
              <w:gridCol w:w="1551"/>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noWrap w:val="0"/>
                  <w:vAlign w:val="top"/>
                </w:tcPr>
                <w:p>
                  <w:pPr>
                    <w:pStyle w:val="40"/>
                    <w:rPr>
                      <w:rFonts w:hint="default" w:ascii="Times New Roman" w:hAnsi="Times New Roman" w:cs="Times New Roman"/>
                      <w:color w:val="000000"/>
                    </w:rPr>
                  </w:pPr>
                  <w:r>
                    <w:rPr>
                      <w:rFonts w:hint="default" w:ascii="Times New Roman" w:hAnsi="Times New Roman" w:cs="Times New Roman"/>
                      <w:color w:val="000000"/>
                    </w:rPr>
                    <w:t>环境风险潜势</w:t>
                  </w:r>
                </w:p>
              </w:tc>
              <w:tc>
                <w:tcPr>
                  <w:tcW w:w="1551" w:type="dxa"/>
                  <w:noWrap w:val="0"/>
                  <w:vAlign w:val="top"/>
                </w:tcPr>
                <w:p>
                  <w:pPr>
                    <w:pStyle w:val="40"/>
                    <w:ind w:firstLine="420"/>
                    <w:jc w:val="center"/>
                    <w:rPr>
                      <w:rFonts w:hint="default" w:ascii="Times New Roman" w:hAnsi="Times New Roman" w:cs="Times New Roman"/>
                      <w:color w:val="000000"/>
                    </w:rPr>
                  </w:pPr>
                  <w:r>
                    <w:rPr>
                      <w:rFonts w:hint="default" w:ascii="Times New Roman" w:hAnsi="Times New Roman" w:cs="Times New Roman"/>
                      <w:color w:val="000000"/>
                    </w:rPr>
                    <w:t>Ⅳ</w:t>
                  </w:r>
                  <w:r>
                    <w:rPr>
                      <w:rFonts w:hint="default" w:ascii="Times New Roman" w:hAnsi="Times New Roman" w:cs="Times New Roman"/>
                      <w:color w:val="000000"/>
                      <w:vertAlign w:val="superscript"/>
                    </w:rPr>
                    <w:t>+</w:t>
                  </w:r>
                  <w:r>
                    <w:rPr>
                      <w:rFonts w:hint="default" w:ascii="Times New Roman" w:hAnsi="Times New Roman" w:cs="Times New Roman"/>
                      <w:color w:val="000000"/>
                    </w:rPr>
                    <w:t>、Ⅳ</w:t>
                  </w:r>
                </w:p>
              </w:tc>
              <w:tc>
                <w:tcPr>
                  <w:tcW w:w="1551" w:type="dxa"/>
                  <w:noWrap w:val="0"/>
                  <w:vAlign w:val="top"/>
                </w:tcPr>
                <w:p>
                  <w:pPr>
                    <w:pStyle w:val="40"/>
                    <w:ind w:firstLine="420"/>
                    <w:jc w:val="center"/>
                    <w:rPr>
                      <w:rFonts w:hint="default" w:ascii="Times New Roman" w:hAnsi="Times New Roman" w:cs="Times New Roman"/>
                      <w:color w:val="000000"/>
                    </w:rPr>
                  </w:pPr>
                  <w:r>
                    <w:rPr>
                      <w:rFonts w:hint="default" w:ascii="Times New Roman" w:hAnsi="Times New Roman" w:cs="Times New Roman"/>
                      <w:color w:val="000000"/>
                    </w:rPr>
                    <w:t>Ⅲ</w:t>
                  </w:r>
                </w:p>
              </w:tc>
              <w:tc>
                <w:tcPr>
                  <w:tcW w:w="1551" w:type="dxa"/>
                  <w:noWrap w:val="0"/>
                  <w:vAlign w:val="top"/>
                </w:tcPr>
                <w:p>
                  <w:pPr>
                    <w:pStyle w:val="40"/>
                    <w:ind w:firstLine="420"/>
                    <w:jc w:val="center"/>
                    <w:rPr>
                      <w:rFonts w:hint="default" w:ascii="Times New Roman" w:hAnsi="Times New Roman" w:cs="Times New Roman"/>
                      <w:color w:val="000000"/>
                    </w:rPr>
                  </w:pPr>
                  <w:r>
                    <w:rPr>
                      <w:rFonts w:hint="default" w:ascii="Times New Roman" w:hAnsi="Times New Roman" w:cs="Times New Roman"/>
                      <w:color w:val="000000"/>
                    </w:rPr>
                    <w:t>Ⅱ</w:t>
                  </w:r>
                </w:p>
              </w:tc>
              <w:tc>
                <w:tcPr>
                  <w:tcW w:w="1551" w:type="dxa"/>
                  <w:noWrap w:val="0"/>
                  <w:vAlign w:val="top"/>
                </w:tcPr>
                <w:p>
                  <w:pPr>
                    <w:pStyle w:val="40"/>
                    <w:ind w:firstLine="420"/>
                    <w:rPr>
                      <w:rFonts w:hint="default" w:ascii="Times New Roman" w:hAnsi="Times New Roman" w:cs="Times New Roman"/>
                      <w:color w:val="000000"/>
                    </w:rPr>
                  </w:pPr>
                  <w:r>
                    <w:rPr>
                      <w:rFonts w:hint="default" w:ascii="Times New Roman" w:hAnsi="Times New Roman" w:cs="Times New Roman"/>
                      <w:color w:val="000000"/>
                    </w:rPr>
                    <w:t>Ⅰ</w:t>
                  </w:r>
                </w:p>
              </w:tc>
              <w:tc>
                <w:tcPr>
                  <w:tcW w:w="1551" w:type="dxa"/>
                  <w:noWrap w:val="0"/>
                  <w:vAlign w:val="top"/>
                </w:tcPr>
                <w:p>
                  <w:pPr>
                    <w:pStyle w:val="40"/>
                    <w:ind w:firstLine="422"/>
                    <w:rPr>
                      <w:rFonts w:hint="default" w:ascii="Times New Roman" w:hAnsi="Times New Roman" w:cs="Times New Roman"/>
                      <w:b/>
                      <w:color w:val="000000"/>
                      <w:u w:val="single"/>
                    </w:rPr>
                  </w:pPr>
                  <w:r>
                    <w:rPr>
                      <w:rFonts w:hint="default" w:ascii="Times New Roman" w:hAnsi="Times New Roman" w:cs="Times New Roman"/>
                      <w:b/>
                      <w:color w:val="000000"/>
                      <w:u w:val="single"/>
                    </w:rPr>
                    <w:t>本项目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dxa"/>
                  <w:noWrap w:val="0"/>
                  <w:vAlign w:val="top"/>
                </w:tcPr>
                <w:p>
                  <w:pPr>
                    <w:pStyle w:val="40"/>
                    <w:rPr>
                      <w:rFonts w:hint="default" w:ascii="Times New Roman" w:hAnsi="Times New Roman" w:cs="Times New Roman"/>
                      <w:color w:val="000000"/>
                    </w:rPr>
                  </w:pPr>
                  <w:r>
                    <w:rPr>
                      <w:rFonts w:hint="default" w:ascii="Times New Roman" w:hAnsi="Times New Roman" w:cs="Times New Roman"/>
                      <w:color w:val="000000"/>
                    </w:rPr>
                    <w:t>评价工作等级</w:t>
                  </w:r>
                </w:p>
              </w:tc>
              <w:tc>
                <w:tcPr>
                  <w:tcW w:w="1551" w:type="dxa"/>
                  <w:noWrap w:val="0"/>
                  <w:vAlign w:val="top"/>
                </w:tcPr>
                <w:p>
                  <w:pPr>
                    <w:pStyle w:val="40"/>
                    <w:ind w:firstLine="420"/>
                    <w:jc w:val="center"/>
                    <w:rPr>
                      <w:rFonts w:hint="default" w:ascii="Times New Roman" w:hAnsi="Times New Roman" w:cs="Times New Roman"/>
                      <w:color w:val="000000"/>
                    </w:rPr>
                  </w:pPr>
                  <w:r>
                    <w:rPr>
                      <w:rFonts w:hint="default" w:ascii="Times New Roman" w:hAnsi="Times New Roman" w:cs="Times New Roman"/>
                      <w:color w:val="000000"/>
                    </w:rPr>
                    <w:t>一</w:t>
                  </w:r>
                </w:p>
              </w:tc>
              <w:tc>
                <w:tcPr>
                  <w:tcW w:w="1551" w:type="dxa"/>
                  <w:noWrap w:val="0"/>
                  <w:vAlign w:val="top"/>
                </w:tcPr>
                <w:p>
                  <w:pPr>
                    <w:pStyle w:val="40"/>
                    <w:ind w:firstLine="420"/>
                    <w:jc w:val="center"/>
                    <w:rPr>
                      <w:rFonts w:hint="default" w:ascii="Times New Roman" w:hAnsi="Times New Roman" w:cs="Times New Roman"/>
                      <w:color w:val="000000"/>
                    </w:rPr>
                  </w:pPr>
                  <w:r>
                    <w:rPr>
                      <w:rFonts w:hint="default" w:ascii="Times New Roman" w:hAnsi="Times New Roman" w:cs="Times New Roman"/>
                      <w:color w:val="000000"/>
                    </w:rPr>
                    <w:t>二</w:t>
                  </w:r>
                </w:p>
              </w:tc>
              <w:tc>
                <w:tcPr>
                  <w:tcW w:w="1551" w:type="dxa"/>
                  <w:noWrap w:val="0"/>
                  <w:vAlign w:val="top"/>
                </w:tcPr>
                <w:p>
                  <w:pPr>
                    <w:pStyle w:val="40"/>
                    <w:ind w:firstLine="420"/>
                    <w:jc w:val="center"/>
                    <w:rPr>
                      <w:rFonts w:hint="default" w:ascii="Times New Roman" w:hAnsi="Times New Roman" w:cs="Times New Roman"/>
                      <w:color w:val="000000"/>
                    </w:rPr>
                  </w:pPr>
                  <w:r>
                    <w:rPr>
                      <w:rFonts w:hint="default" w:ascii="Times New Roman" w:hAnsi="Times New Roman" w:cs="Times New Roman"/>
                      <w:color w:val="000000"/>
                    </w:rPr>
                    <w:t>三</w:t>
                  </w:r>
                </w:p>
              </w:tc>
              <w:tc>
                <w:tcPr>
                  <w:tcW w:w="1551" w:type="dxa"/>
                  <w:noWrap w:val="0"/>
                  <w:vAlign w:val="top"/>
                </w:tcPr>
                <w:p>
                  <w:pPr>
                    <w:pStyle w:val="40"/>
                    <w:rPr>
                      <w:rFonts w:hint="default" w:ascii="Times New Roman" w:hAnsi="Times New Roman" w:cs="Times New Roman"/>
                      <w:color w:val="000000"/>
                    </w:rPr>
                  </w:pPr>
                  <w:r>
                    <w:rPr>
                      <w:rFonts w:hint="default" w:ascii="Times New Roman" w:hAnsi="Times New Roman" w:cs="Times New Roman"/>
                      <w:color w:val="000000"/>
                    </w:rPr>
                    <w:t>简单分析</w:t>
                  </w:r>
                  <w:r>
                    <w:rPr>
                      <w:rFonts w:hint="default" w:ascii="Times New Roman" w:hAnsi="Times New Roman" w:cs="Times New Roman"/>
                      <w:color w:val="000000"/>
                      <w:vertAlign w:val="superscript"/>
                    </w:rPr>
                    <w:t>a</w:t>
                  </w:r>
                </w:p>
              </w:tc>
              <w:tc>
                <w:tcPr>
                  <w:tcW w:w="1551" w:type="dxa"/>
                  <w:noWrap w:val="0"/>
                  <w:vAlign w:val="top"/>
                </w:tcPr>
                <w:p>
                  <w:pPr>
                    <w:pStyle w:val="40"/>
                    <w:ind w:firstLine="422"/>
                    <w:rPr>
                      <w:rFonts w:hint="default" w:ascii="Times New Roman" w:hAnsi="Times New Roman" w:cs="Times New Roman"/>
                      <w:b/>
                      <w:color w:val="000000"/>
                      <w:u w:val="single"/>
                    </w:rPr>
                  </w:pPr>
                  <w:r>
                    <w:rPr>
                      <w:rFonts w:hint="default" w:ascii="Times New Roman" w:hAnsi="Times New Roman" w:cs="Times New Roman"/>
                      <w:b/>
                      <w:color w:val="000000"/>
                      <w:u w:val="single"/>
                    </w:rPr>
                    <w:t>简单分析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04" w:type="dxa"/>
                  <w:gridSpan w:val="6"/>
                  <w:noWrap w:val="0"/>
                  <w:vAlign w:val="top"/>
                </w:tcPr>
                <w:p>
                  <w:pPr>
                    <w:pStyle w:val="40"/>
                    <w:rPr>
                      <w:rFonts w:hint="default" w:ascii="Times New Roman" w:hAnsi="Times New Roman" w:cs="Times New Roman"/>
                      <w:color w:val="000000"/>
                    </w:rPr>
                  </w:pPr>
                  <w:r>
                    <w:rPr>
                      <w:rFonts w:hint="default" w:ascii="Times New Roman" w:hAnsi="Times New Roman" w:cs="Times New Roman"/>
                      <w:color w:val="000000"/>
                      <w:vertAlign w:val="superscript"/>
                    </w:rPr>
                    <w:t>a</w:t>
                  </w:r>
                  <w:r>
                    <w:rPr>
                      <w:rFonts w:hint="default" w:ascii="Times New Roman" w:hAnsi="Times New Roman" w:cs="Times New Roman"/>
                      <w:color w:val="000000"/>
                    </w:rPr>
                    <w:t>是相对于详细评价工作内容而言，在描述危险物质、环境影响途径、环境危害后果、风险防范措施等方面给出定性说明。见附录A。</w:t>
                  </w:r>
                </w:p>
              </w:tc>
            </w:tr>
          </w:tbl>
          <w:p>
            <w:pPr>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4、环境风险识别</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本项目可能产生的环境风险为火灾和泄漏。</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①火灾</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项目生产过程中使用的原辅材料</w:t>
            </w:r>
            <w:r>
              <w:rPr>
                <w:rFonts w:hint="default" w:ascii="Times New Roman" w:hAnsi="Times New Roman" w:cs="Times New Roman"/>
                <w:color w:val="000000"/>
                <w:sz w:val="24"/>
              </w:rPr>
              <w:t>PE颗粒、PP-R颗粒、PE颗粒、PVC树脂、色母粒</w:t>
            </w:r>
            <w:r>
              <w:rPr>
                <w:rFonts w:hint="default" w:ascii="Times New Roman" w:hAnsi="Times New Roman" w:cs="Times New Roman"/>
                <w:sz w:val="24"/>
              </w:rPr>
              <w:t>属于可燃物质，如人员操作失误、设备故障或其他原因可能引发失火事故。</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bCs/>
                <w:sz w:val="24"/>
              </w:rPr>
              <w:fldChar w:fldCharType="begin"/>
            </w:r>
            <w:r>
              <w:rPr>
                <w:rFonts w:hint="default" w:ascii="Times New Roman" w:hAnsi="Times New Roman" w:cs="Times New Roman"/>
                <w:bCs/>
                <w:sz w:val="24"/>
              </w:rPr>
              <w:instrText xml:space="preserve"> = 2 \* GB3 </w:instrText>
            </w:r>
            <w:r>
              <w:rPr>
                <w:rFonts w:hint="default" w:ascii="Times New Roman" w:hAnsi="Times New Roman" w:cs="Times New Roman"/>
                <w:bCs/>
                <w:sz w:val="24"/>
              </w:rPr>
              <w:fldChar w:fldCharType="separate"/>
            </w:r>
            <w:r>
              <w:rPr>
                <w:rFonts w:hint="default" w:ascii="Times New Roman" w:hAnsi="Times New Roman" w:cs="Times New Roman"/>
                <w:bCs/>
                <w:sz w:val="24"/>
              </w:rPr>
              <w:t>②</w:t>
            </w:r>
            <w:r>
              <w:rPr>
                <w:rFonts w:hint="default" w:ascii="Times New Roman" w:hAnsi="Times New Roman" w:cs="Times New Roman"/>
                <w:bCs/>
                <w:sz w:val="24"/>
              </w:rPr>
              <w:fldChar w:fldCharType="end"/>
            </w:r>
            <w:r>
              <w:rPr>
                <w:rFonts w:hint="default" w:ascii="Times New Roman" w:hAnsi="Times New Roman" w:cs="Times New Roman"/>
                <w:bCs/>
                <w:sz w:val="24"/>
              </w:rPr>
              <w:t>泄露</w:t>
            </w:r>
          </w:p>
          <w:p>
            <w:pPr>
              <w:snapToGrid w:val="0"/>
              <w:spacing w:line="360" w:lineRule="auto"/>
              <w:ind w:firstLine="480" w:firstLineChars="200"/>
              <w:rPr>
                <w:rFonts w:hint="default" w:ascii="Times New Roman" w:hAnsi="Times New Roman" w:cs="Times New Roman"/>
                <w:bCs/>
                <w:sz w:val="24"/>
              </w:rPr>
            </w:pPr>
            <w:r>
              <w:rPr>
                <w:rFonts w:hint="default" w:ascii="Times New Roman" w:hAnsi="Times New Roman" w:cs="Times New Roman"/>
                <w:sz w:val="24"/>
              </w:rPr>
              <w:t>项目生产过程中产生的废机油等，</w:t>
            </w:r>
            <w:r>
              <w:rPr>
                <w:rFonts w:hint="default" w:ascii="Times New Roman" w:hAnsi="Times New Roman" w:cs="Times New Roman"/>
                <w:bCs/>
                <w:sz w:val="24"/>
              </w:rPr>
              <w:t>因储存、管理不善等原因，可能会发生泄漏，造成人员、环境危害。</w:t>
            </w:r>
          </w:p>
          <w:p>
            <w:pPr>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5、环境风险分析</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fldChar w:fldCharType="begin"/>
            </w:r>
            <w:r>
              <w:rPr>
                <w:rFonts w:hint="default" w:ascii="Times New Roman" w:hAnsi="Times New Roman" w:cs="Times New Roman"/>
                <w:bCs/>
                <w:sz w:val="24"/>
              </w:rPr>
              <w:instrText xml:space="preserve"> = 1 \* GB3 </w:instrText>
            </w:r>
            <w:r>
              <w:rPr>
                <w:rFonts w:hint="default" w:ascii="Times New Roman" w:hAnsi="Times New Roman" w:cs="Times New Roman"/>
                <w:bCs/>
                <w:sz w:val="24"/>
              </w:rPr>
              <w:fldChar w:fldCharType="separate"/>
            </w:r>
            <w:r>
              <w:rPr>
                <w:rFonts w:hint="default" w:ascii="Times New Roman" w:hAnsi="Times New Roman" w:cs="Times New Roman"/>
                <w:bCs/>
                <w:sz w:val="24"/>
              </w:rPr>
              <w:t>①</w:t>
            </w:r>
            <w:r>
              <w:rPr>
                <w:rFonts w:hint="default" w:ascii="Times New Roman" w:hAnsi="Times New Roman" w:cs="Times New Roman"/>
                <w:bCs/>
                <w:sz w:val="24"/>
              </w:rPr>
              <w:fldChar w:fldCharType="end"/>
            </w:r>
            <w:r>
              <w:rPr>
                <w:rFonts w:hint="default" w:ascii="Times New Roman" w:hAnsi="Times New Roman" w:cs="Times New Roman"/>
                <w:bCs/>
                <w:sz w:val="24"/>
              </w:rPr>
              <w:t>大气环境</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火灾爆炸事故中，会产生大量的烟气。火灾烟气是物质在燃烧过程分解产生的气态、液态、固态物质与空气的混合物，烟气对人体的危害主要是燃烧产生的有毒有害气体所引起的窒息和对人体器官造成的毒害作用，造成严重的大气污染。厂区发生火灾事故次生的火灾烟气排放会对周围大气环境造成严重影响。</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fldChar w:fldCharType="begin"/>
            </w:r>
            <w:r>
              <w:rPr>
                <w:rFonts w:hint="default" w:ascii="Times New Roman" w:hAnsi="Times New Roman" w:cs="Times New Roman"/>
                <w:bCs/>
                <w:sz w:val="24"/>
              </w:rPr>
              <w:instrText xml:space="preserve"> = 2 \* GB3 </w:instrText>
            </w:r>
            <w:r>
              <w:rPr>
                <w:rFonts w:hint="default" w:ascii="Times New Roman" w:hAnsi="Times New Roman" w:cs="Times New Roman"/>
                <w:bCs/>
                <w:sz w:val="24"/>
              </w:rPr>
              <w:fldChar w:fldCharType="separate"/>
            </w:r>
            <w:r>
              <w:rPr>
                <w:rFonts w:hint="default" w:ascii="Times New Roman" w:hAnsi="Times New Roman" w:cs="Times New Roman"/>
                <w:bCs/>
                <w:sz w:val="24"/>
              </w:rPr>
              <w:t>②</w:t>
            </w:r>
            <w:r>
              <w:rPr>
                <w:rFonts w:hint="default" w:ascii="Times New Roman" w:hAnsi="Times New Roman" w:cs="Times New Roman"/>
                <w:bCs/>
                <w:sz w:val="24"/>
              </w:rPr>
              <w:fldChar w:fldCharType="end"/>
            </w:r>
            <w:r>
              <w:rPr>
                <w:rFonts w:hint="default" w:ascii="Times New Roman" w:hAnsi="Times New Roman" w:cs="Times New Roman"/>
                <w:bCs/>
                <w:sz w:val="24"/>
              </w:rPr>
              <w:t>地表水环境</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如果厂区发生火灾事故，衍生的消防尾水中可能含有有毒有害的物质，排入地表水体时，会对地表水环境造成严重污染。</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fldChar w:fldCharType="begin"/>
            </w:r>
            <w:r>
              <w:rPr>
                <w:rFonts w:hint="default" w:ascii="Times New Roman" w:hAnsi="Times New Roman" w:cs="Times New Roman"/>
                <w:bCs/>
                <w:sz w:val="24"/>
              </w:rPr>
              <w:instrText xml:space="preserve"> = 3 \* GB3 </w:instrText>
            </w:r>
            <w:r>
              <w:rPr>
                <w:rFonts w:hint="default" w:ascii="Times New Roman" w:hAnsi="Times New Roman" w:cs="Times New Roman"/>
                <w:bCs/>
                <w:sz w:val="24"/>
              </w:rPr>
              <w:fldChar w:fldCharType="separate"/>
            </w:r>
            <w:r>
              <w:rPr>
                <w:rFonts w:hint="default" w:ascii="Times New Roman" w:hAnsi="Times New Roman" w:cs="Times New Roman"/>
                <w:bCs/>
                <w:sz w:val="24"/>
              </w:rPr>
              <w:t>③</w:t>
            </w:r>
            <w:r>
              <w:rPr>
                <w:rFonts w:hint="default" w:ascii="Times New Roman" w:hAnsi="Times New Roman" w:cs="Times New Roman"/>
                <w:bCs/>
                <w:sz w:val="24"/>
              </w:rPr>
              <w:fldChar w:fldCharType="end"/>
            </w:r>
            <w:r>
              <w:rPr>
                <w:rFonts w:hint="default" w:ascii="Times New Roman" w:hAnsi="Times New Roman" w:cs="Times New Roman"/>
                <w:bCs/>
                <w:sz w:val="24"/>
              </w:rPr>
              <w:t>地下水环境</w:t>
            </w:r>
          </w:p>
          <w:p>
            <w:pPr>
              <w:spacing w:line="360" w:lineRule="auto"/>
              <w:ind w:firstLine="480" w:firstLineChars="200"/>
              <w:rPr>
                <w:rFonts w:hint="default" w:ascii="Times New Roman" w:hAnsi="Times New Roman" w:cs="Times New Roman"/>
                <w:b/>
                <w:sz w:val="24"/>
              </w:rPr>
            </w:pPr>
            <w:r>
              <w:rPr>
                <w:rFonts w:hint="default" w:ascii="Times New Roman" w:hAnsi="Times New Roman" w:cs="Times New Roman"/>
                <w:bCs/>
                <w:sz w:val="24"/>
              </w:rPr>
              <w:t>如果厂区发生火灾事故，衍生的消防尾水中可能含有有毒有害的物质，如不对废水进行有效收集、处理，消防尾水泄漏进入地下水环境，会对地下水环境造成严重污染。</w:t>
            </w:r>
          </w:p>
          <w:p>
            <w:pPr>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6、环境风险防范措施及应急要求</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①火灾防范措施</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1）严格明火管理，严禁吸烟、动火。消除电气火花。严格按照《中华人民共和国爆炸危险场所安全规程》和现行有关标准、规程及要求执行。</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2）消防器材设置在明显和便于取用的地点，周围未堆放物品和杂物。消防设施、器材，由专人管理，负责检查、维修、保养、更换和添置，保证完好有效，严禁圈占、埋压和挪用。配备消防器材（如干粉灭火器等）和消防设施；标示明确，使用方便；</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3）出现火灾时应及时将可燃物品搬离，远离火源。</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4）项目内定期进行电路、电气检查，消除安全隐患。</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5）建设单位在项目竣工经过消防验收合格后，才能投入使用。</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6）设立专门的环境管理机构，制定日常管理措施、消防措施和应急预案。</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对工作人员进行火灾事态时的报警培训，成立环境风险事故应急救援领导小组和应急救援专业队伍。</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7）加强厂区消防设施的日常管理，确保事故时消防设施能够正常使用，针对厂房等可能出现的火灾事故三个月进行一次消防演练。</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fldChar w:fldCharType="begin"/>
            </w:r>
            <w:r>
              <w:rPr>
                <w:rFonts w:hint="default" w:ascii="Times New Roman" w:hAnsi="Times New Roman" w:cs="Times New Roman"/>
                <w:bCs/>
                <w:sz w:val="24"/>
              </w:rPr>
              <w:instrText xml:space="preserve"> = 2 \* GB3 </w:instrText>
            </w:r>
            <w:r>
              <w:rPr>
                <w:rFonts w:hint="default" w:ascii="Times New Roman" w:hAnsi="Times New Roman" w:cs="Times New Roman"/>
                <w:bCs/>
                <w:sz w:val="24"/>
              </w:rPr>
              <w:fldChar w:fldCharType="separate"/>
            </w:r>
            <w:r>
              <w:rPr>
                <w:rFonts w:hint="default" w:ascii="Times New Roman" w:hAnsi="Times New Roman" w:cs="Times New Roman"/>
                <w:bCs/>
                <w:sz w:val="24"/>
              </w:rPr>
              <w:t>②</w:t>
            </w:r>
            <w:r>
              <w:rPr>
                <w:rFonts w:hint="default" w:ascii="Times New Roman" w:hAnsi="Times New Roman" w:cs="Times New Roman"/>
                <w:bCs/>
                <w:sz w:val="24"/>
              </w:rPr>
              <w:fldChar w:fldCharType="end"/>
            </w:r>
            <w:r>
              <w:rPr>
                <w:rFonts w:hint="default" w:ascii="Times New Roman" w:hAnsi="Times New Roman" w:cs="Times New Roman"/>
                <w:bCs/>
                <w:sz w:val="24"/>
              </w:rPr>
              <w:t>泄露控制措施</w:t>
            </w:r>
          </w:p>
          <w:p>
            <w:pPr>
              <w:spacing w:line="360" w:lineRule="auto"/>
              <w:ind w:firstLine="480" w:firstLineChars="200"/>
              <w:rPr>
                <w:rFonts w:hint="default" w:ascii="Times New Roman" w:hAnsi="Times New Roman" w:cs="Times New Roman"/>
                <w:bCs/>
                <w:sz w:val="24"/>
              </w:rPr>
            </w:pPr>
            <w:r>
              <w:rPr>
                <w:rFonts w:hint="default" w:ascii="Times New Roman" w:hAnsi="Times New Roman" w:cs="Times New Roman"/>
                <w:bCs/>
                <w:sz w:val="24"/>
              </w:rPr>
              <w:t>1）加强日常管理，一旦发现涉油设备漏油应马上检修，采用棉纱清洁地面滴落的油污。同时应加强日常巡查，如发现有泄漏，应立即采取补漏措施。</w:t>
            </w:r>
          </w:p>
          <w:p>
            <w:pPr>
              <w:spacing w:line="360" w:lineRule="auto"/>
              <w:ind w:firstLine="480" w:firstLineChars="200"/>
              <w:rPr>
                <w:rFonts w:hint="default" w:ascii="Times New Roman" w:hAnsi="Times New Roman" w:cs="Times New Roman"/>
                <w:bCs/>
                <w:sz w:val="24"/>
              </w:rPr>
            </w:pPr>
            <w:bookmarkStart w:id="2" w:name="_Hlk61470935"/>
            <w:r>
              <w:rPr>
                <w:rFonts w:hint="default" w:ascii="Times New Roman" w:hAnsi="Times New Roman" w:cs="Times New Roman"/>
                <w:bCs/>
                <w:sz w:val="24"/>
              </w:rPr>
              <w:t>2）设置规范的危废暂存间，液态危废存放位置下方设置防漏托盘（防漏托盘四周高度约10cm），同时设置空桶收集；危废暂存间设置标识标牌，地面全部防漏、防腐处理，泄露的危险废物全部收集于托盘内，同时危废暂存间设置备用空桶。</w:t>
            </w:r>
            <w:bookmarkEnd w:id="2"/>
          </w:p>
          <w:p>
            <w:pPr>
              <w:spacing w:line="360" w:lineRule="auto"/>
              <w:ind w:firstLine="482" w:firstLineChars="200"/>
              <w:rPr>
                <w:rFonts w:hint="default" w:ascii="Times New Roman" w:hAnsi="Times New Roman" w:cs="Times New Roman"/>
                <w:b/>
                <w:color w:val="000000"/>
                <w:sz w:val="24"/>
              </w:rPr>
            </w:pPr>
            <w:r>
              <w:rPr>
                <w:rFonts w:hint="default" w:ascii="Times New Roman" w:hAnsi="Times New Roman" w:cs="Times New Roman"/>
                <w:b/>
                <w:color w:val="000000"/>
                <w:sz w:val="24"/>
              </w:rPr>
              <w:t>（二）风险防范评价结论</w:t>
            </w:r>
          </w:p>
          <w:p>
            <w:pPr>
              <w:pStyle w:val="4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根据上表分析可知，本项目环境风险仅需要进行简单分析，按照《建设项目环境风险评价导则》（HJ/T169-2018）附录A的有关要求，具体如下：</w:t>
            </w:r>
          </w:p>
          <w:p>
            <w:pPr>
              <w:spacing w:line="360" w:lineRule="auto"/>
              <w:jc w:val="center"/>
              <w:rPr>
                <w:rFonts w:hint="default" w:ascii="Times New Roman" w:hAnsi="Times New Roman" w:cs="Times New Roman"/>
                <w:b/>
                <w:color w:val="000000"/>
                <w:szCs w:val="21"/>
              </w:rPr>
            </w:pPr>
            <w:r>
              <w:rPr>
                <w:rFonts w:hint="default" w:ascii="Times New Roman" w:hAnsi="Times New Roman" w:cs="Times New Roman"/>
                <w:b/>
                <w:bCs/>
                <w:color w:val="000000"/>
                <w:szCs w:val="21"/>
              </w:rPr>
              <w:t>表</w:t>
            </w:r>
            <w:r>
              <w:rPr>
                <w:rFonts w:hint="default" w:ascii="Times New Roman" w:hAnsi="Times New Roman" w:cs="Times New Roman"/>
                <w:b/>
                <w:bCs/>
                <w:color w:val="000000"/>
                <w:szCs w:val="21"/>
                <w:lang w:val="en-US" w:eastAsia="zh-CN"/>
              </w:rPr>
              <w:t>4-1</w:t>
            </w:r>
            <w:r>
              <w:rPr>
                <w:rFonts w:hint="eastAsia" w:ascii="Times New Roman" w:hAnsi="Times New Roman" w:cs="Times New Roman"/>
                <w:b/>
                <w:bCs/>
                <w:color w:val="000000"/>
                <w:szCs w:val="21"/>
                <w:lang w:val="en-US" w:eastAsia="zh-CN"/>
              </w:rPr>
              <w:t>5</w:t>
            </w:r>
            <w:r>
              <w:rPr>
                <w:rFonts w:hint="default" w:ascii="Times New Roman" w:hAnsi="Times New Roman" w:cs="Times New Roman"/>
                <w:b/>
                <w:bCs/>
                <w:color w:val="000000"/>
                <w:szCs w:val="21"/>
              </w:rPr>
              <w:t xml:space="preserve">  </w:t>
            </w:r>
            <w:r>
              <w:rPr>
                <w:rFonts w:hint="default" w:ascii="Times New Roman" w:hAnsi="Times New Roman" w:cs="Times New Roman"/>
                <w:b/>
                <w:color w:val="000000"/>
                <w:szCs w:val="21"/>
              </w:rPr>
              <w:t>项目环境风险简单分析内容表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809"/>
              <w:gridCol w:w="2372"/>
              <w:gridCol w:w="700"/>
              <w:gridCol w:w="2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noWrap w:val="0"/>
                  <w:vAlign w:val="center"/>
                </w:tcPr>
                <w:p>
                  <w:pPr>
                    <w:pStyle w:val="40"/>
                    <w:jc w:val="both"/>
                    <w:rPr>
                      <w:rFonts w:hint="default" w:ascii="Times New Roman" w:hAnsi="Times New Roman" w:cs="Times New Roman"/>
                      <w:color w:val="000000"/>
                    </w:rPr>
                  </w:pPr>
                  <w:r>
                    <w:rPr>
                      <w:rFonts w:hint="default" w:ascii="Times New Roman" w:hAnsi="Times New Roman" w:cs="Times New Roman"/>
                      <w:color w:val="000000"/>
                    </w:rPr>
                    <w:t>建设项目名称</w:t>
                  </w:r>
                </w:p>
              </w:tc>
              <w:tc>
                <w:tcPr>
                  <w:tcW w:w="3942" w:type="pct"/>
                  <w:gridSpan w:val="4"/>
                  <w:noWrap w:val="0"/>
                  <w:vAlign w:val="center"/>
                </w:tcPr>
                <w:p>
                  <w:pPr>
                    <w:pStyle w:val="40"/>
                    <w:ind w:firstLine="480"/>
                    <w:jc w:val="center"/>
                    <w:rPr>
                      <w:rFonts w:hint="default" w:ascii="Times New Roman" w:hAnsi="Times New Roman" w:cs="Times New Roman"/>
                      <w:color w:val="000000"/>
                    </w:rPr>
                  </w:pPr>
                  <w:r>
                    <w:rPr>
                      <w:rFonts w:hint="default" w:ascii="Times New Roman" w:hAnsi="Times New Roman" w:cs="Times New Roman"/>
                      <w:color w:val="000000"/>
                    </w:rPr>
                    <w:t>年产1万吨塑料管材及管件项目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noWrap w:val="0"/>
                  <w:vAlign w:val="center"/>
                </w:tcPr>
                <w:p>
                  <w:pPr>
                    <w:pStyle w:val="40"/>
                    <w:jc w:val="both"/>
                    <w:rPr>
                      <w:rFonts w:hint="default" w:ascii="Times New Roman" w:hAnsi="Times New Roman" w:cs="Times New Roman"/>
                      <w:color w:val="000000"/>
                    </w:rPr>
                  </w:pPr>
                  <w:r>
                    <w:rPr>
                      <w:rFonts w:hint="default" w:ascii="Times New Roman" w:hAnsi="Times New Roman" w:cs="Times New Roman"/>
                      <w:color w:val="000000"/>
                    </w:rPr>
                    <w:t>建设地点</w:t>
                  </w:r>
                </w:p>
              </w:tc>
              <w:tc>
                <w:tcPr>
                  <w:tcW w:w="3942" w:type="pct"/>
                  <w:gridSpan w:val="4"/>
                  <w:noWrap w:val="0"/>
                  <w:vAlign w:val="center"/>
                </w:tcPr>
                <w:p>
                  <w:pPr>
                    <w:pStyle w:val="40"/>
                    <w:rPr>
                      <w:rFonts w:hint="default" w:ascii="Times New Roman" w:hAnsi="Times New Roman" w:cs="Times New Roman"/>
                      <w:color w:val="000000"/>
                    </w:rPr>
                  </w:pPr>
                  <w:r>
                    <w:rPr>
                      <w:rFonts w:hint="default" w:ascii="Times New Roman" w:hAnsi="Times New Roman" w:cs="Times New Roman"/>
                      <w:color w:val="000000"/>
                    </w:rPr>
                    <w:t>四川省遂宁市蓬溪县赤城镇上游工业园聚财路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noWrap w:val="0"/>
                  <w:vAlign w:val="center"/>
                </w:tcPr>
                <w:p>
                  <w:pPr>
                    <w:pStyle w:val="40"/>
                    <w:jc w:val="both"/>
                    <w:rPr>
                      <w:rFonts w:hint="default" w:ascii="Times New Roman" w:hAnsi="Times New Roman" w:cs="Times New Roman"/>
                      <w:color w:val="000000"/>
                    </w:rPr>
                  </w:pPr>
                  <w:r>
                    <w:rPr>
                      <w:rFonts w:hint="default" w:ascii="Times New Roman" w:hAnsi="Times New Roman" w:cs="Times New Roman"/>
                      <w:color w:val="000000"/>
                    </w:rPr>
                    <w:t>地理坐标</w:t>
                  </w:r>
                </w:p>
              </w:tc>
              <w:tc>
                <w:tcPr>
                  <w:tcW w:w="521" w:type="pct"/>
                  <w:noWrap w:val="0"/>
                  <w:vAlign w:val="center"/>
                </w:tcPr>
                <w:p>
                  <w:pPr>
                    <w:pStyle w:val="40"/>
                    <w:jc w:val="both"/>
                    <w:rPr>
                      <w:rFonts w:hint="default" w:ascii="Times New Roman" w:hAnsi="Times New Roman" w:cs="Times New Roman"/>
                      <w:color w:val="000000"/>
                    </w:rPr>
                  </w:pPr>
                  <w:r>
                    <w:rPr>
                      <w:rFonts w:hint="default" w:ascii="Times New Roman" w:hAnsi="Times New Roman" w:cs="Times New Roman"/>
                      <w:color w:val="000000"/>
                    </w:rPr>
                    <w:t>经度</w:t>
                  </w:r>
                </w:p>
              </w:tc>
              <w:tc>
                <w:tcPr>
                  <w:tcW w:w="1529" w:type="pct"/>
                  <w:noWrap w:val="0"/>
                  <w:vAlign w:val="center"/>
                </w:tcPr>
                <w:p>
                  <w:pPr>
                    <w:pStyle w:val="40"/>
                    <w:jc w:val="both"/>
                    <w:rPr>
                      <w:rFonts w:hint="default" w:ascii="Times New Roman" w:hAnsi="Times New Roman" w:cs="Times New Roman"/>
                      <w:color w:val="000000"/>
                    </w:rPr>
                  </w:pPr>
                  <w:r>
                    <w:rPr>
                      <w:rFonts w:hint="default" w:ascii="Times New Roman" w:hAnsi="Times New Roman" w:cs="Times New Roman"/>
                      <w:color w:val="000000"/>
                    </w:rPr>
                    <w:t>105度41分0.41622秒</w:t>
                  </w:r>
                </w:p>
              </w:tc>
              <w:tc>
                <w:tcPr>
                  <w:tcW w:w="451" w:type="pct"/>
                  <w:noWrap w:val="0"/>
                  <w:vAlign w:val="center"/>
                </w:tcPr>
                <w:p>
                  <w:pPr>
                    <w:pStyle w:val="40"/>
                    <w:rPr>
                      <w:rFonts w:hint="default" w:ascii="Times New Roman" w:hAnsi="Times New Roman" w:cs="Times New Roman"/>
                      <w:color w:val="000000"/>
                    </w:rPr>
                  </w:pPr>
                  <w:r>
                    <w:rPr>
                      <w:rFonts w:hint="default" w:ascii="Times New Roman" w:hAnsi="Times New Roman" w:cs="Times New Roman"/>
                      <w:color w:val="000000"/>
                    </w:rPr>
                    <w:t>纬度</w:t>
                  </w:r>
                </w:p>
              </w:tc>
              <w:tc>
                <w:tcPr>
                  <w:tcW w:w="1440" w:type="pct"/>
                  <w:noWrap w:val="0"/>
                  <w:vAlign w:val="center"/>
                </w:tcPr>
                <w:p>
                  <w:pPr>
                    <w:pStyle w:val="40"/>
                    <w:jc w:val="both"/>
                    <w:rPr>
                      <w:rFonts w:hint="default" w:ascii="Times New Roman" w:hAnsi="Times New Roman" w:cs="Times New Roman"/>
                      <w:color w:val="000000"/>
                    </w:rPr>
                  </w:pPr>
                  <w:r>
                    <w:rPr>
                      <w:rFonts w:hint="default" w:ascii="Times New Roman" w:hAnsi="Times New Roman" w:cs="Times New Roman"/>
                      <w:color w:val="000000"/>
                    </w:rPr>
                    <w:t>30度44分4851532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noWrap w:val="0"/>
                  <w:vAlign w:val="center"/>
                </w:tcPr>
                <w:p>
                  <w:pPr>
                    <w:pStyle w:val="40"/>
                    <w:rPr>
                      <w:rFonts w:hint="default" w:ascii="Times New Roman" w:hAnsi="Times New Roman" w:cs="Times New Roman"/>
                      <w:color w:val="000000"/>
                    </w:rPr>
                  </w:pPr>
                  <w:r>
                    <w:rPr>
                      <w:rFonts w:hint="default" w:ascii="Times New Roman" w:hAnsi="Times New Roman" w:cs="Times New Roman"/>
                      <w:color w:val="000000"/>
                    </w:rPr>
                    <w:t>主要危险物质及分布</w:t>
                  </w:r>
                </w:p>
              </w:tc>
              <w:tc>
                <w:tcPr>
                  <w:tcW w:w="3942" w:type="pct"/>
                  <w:gridSpan w:val="4"/>
                  <w:noWrap w:val="0"/>
                  <w:vAlign w:val="center"/>
                </w:tcPr>
                <w:p>
                  <w:pPr>
                    <w:pStyle w:val="40"/>
                    <w:ind w:firstLine="480"/>
                    <w:rPr>
                      <w:rFonts w:hint="default" w:ascii="Times New Roman" w:hAnsi="Times New Roman" w:cs="Times New Roman"/>
                      <w:color w:val="000000"/>
                    </w:rPr>
                  </w:pPr>
                  <w:r>
                    <w:rPr>
                      <w:rFonts w:hint="default" w:ascii="Times New Roman" w:hAnsi="Times New Roman" w:cs="Times New Roman"/>
                      <w:color w:val="000000"/>
                    </w:rPr>
                    <w:t>1、主要危险物质：无；</w:t>
                  </w:r>
                </w:p>
                <w:p>
                  <w:pPr>
                    <w:pStyle w:val="40"/>
                    <w:ind w:firstLine="480"/>
                    <w:rPr>
                      <w:rFonts w:hint="default" w:ascii="Times New Roman" w:hAnsi="Times New Roman" w:cs="Times New Roman"/>
                      <w:color w:val="000000"/>
                    </w:rPr>
                  </w:pPr>
                  <w:r>
                    <w:rPr>
                      <w:rFonts w:hint="default" w:ascii="Times New Roman" w:hAnsi="Times New Roman" w:cs="Times New Roman"/>
                      <w:color w:val="000000"/>
                    </w:rPr>
                    <w:t>2、危险物质分布：无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noWrap w:val="0"/>
                  <w:vAlign w:val="center"/>
                </w:tcPr>
                <w:p>
                  <w:pPr>
                    <w:pStyle w:val="40"/>
                    <w:rPr>
                      <w:rFonts w:hint="default" w:ascii="Times New Roman" w:hAnsi="Times New Roman" w:cs="Times New Roman"/>
                      <w:color w:val="000000"/>
                    </w:rPr>
                  </w:pPr>
                  <w:r>
                    <w:rPr>
                      <w:rFonts w:hint="default" w:ascii="Times New Roman" w:hAnsi="Times New Roman" w:cs="Times New Roman"/>
                      <w:color w:val="000000"/>
                    </w:rPr>
                    <w:t>环境影响途径及</w:t>
                  </w:r>
                </w:p>
                <w:p>
                  <w:pPr>
                    <w:pStyle w:val="40"/>
                    <w:rPr>
                      <w:rFonts w:hint="default" w:ascii="Times New Roman" w:hAnsi="Times New Roman" w:cs="Times New Roman"/>
                      <w:color w:val="000000"/>
                    </w:rPr>
                  </w:pPr>
                  <w:r>
                    <w:rPr>
                      <w:rFonts w:hint="default" w:ascii="Times New Roman" w:hAnsi="Times New Roman" w:cs="Times New Roman"/>
                      <w:color w:val="000000"/>
                    </w:rPr>
                    <w:t>危害后果（大气、</w:t>
                  </w:r>
                </w:p>
                <w:p>
                  <w:pPr>
                    <w:pStyle w:val="40"/>
                    <w:rPr>
                      <w:rFonts w:hint="default" w:ascii="Times New Roman" w:hAnsi="Times New Roman" w:cs="Times New Roman"/>
                      <w:color w:val="000000"/>
                    </w:rPr>
                  </w:pPr>
                  <w:r>
                    <w:rPr>
                      <w:rFonts w:hint="default" w:ascii="Times New Roman" w:hAnsi="Times New Roman" w:cs="Times New Roman"/>
                      <w:color w:val="000000"/>
                    </w:rPr>
                    <w:t>地表水、地下水等）</w:t>
                  </w:r>
                </w:p>
              </w:tc>
              <w:tc>
                <w:tcPr>
                  <w:tcW w:w="3942" w:type="pct"/>
                  <w:gridSpan w:val="4"/>
                  <w:noWrap w:val="0"/>
                  <w:vAlign w:val="center"/>
                </w:tcPr>
                <w:p>
                  <w:pPr>
                    <w:pStyle w:val="40"/>
                    <w:ind w:firstLine="420"/>
                    <w:rPr>
                      <w:rFonts w:hint="default" w:ascii="Times New Roman" w:hAnsi="Times New Roman" w:cs="Times New Roman"/>
                      <w:color w:val="000000"/>
                    </w:rPr>
                  </w:pPr>
                  <w:r>
                    <w:rPr>
                      <w:rFonts w:hint="default" w:ascii="Times New Roman" w:hAnsi="Times New Roman" w:cs="Times New Roman"/>
                      <w:color w:val="000000"/>
                    </w:rPr>
                    <w:t>1、大气环境影响：本项目使用原料为塑料颗粒等属于易燃物质，如生产过程中如发生火灾，将在短期内释放大量能量，造成建筑破坏和人员伤亡，其</w:t>
                  </w:r>
                  <w:r>
                    <w:rPr>
                      <w:rFonts w:hint="default" w:ascii="Times New Roman" w:hAnsi="Times New Roman" w:cs="Times New Roman"/>
                      <w:bCs/>
                      <w:color w:val="000000"/>
                    </w:rPr>
                    <w:t>燃烧、爆炸产生的有害气体随空气流通往下风向扩散</w:t>
                  </w:r>
                  <w:r>
                    <w:rPr>
                      <w:rFonts w:hint="default" w:ascii="Times New Roman" w:hAnsi="Times New Roman" w:cs="Times New Roman"/>
                      <w:color w:val="000000"/>
                    </w:rPr>
                    <w:t>对大气环境产生污染；</w:t>
                  </w:r>
                </w:p>
                <w:p>
                  <w:pPr>
                    <w:pStyle w:val="40"/>
                    <w:ind w:firstLine="480"/>
                    <w:rPr>
                      <w:rFonts w:hint="default" w:ascii="Times New Roman" w:hAnsi="Times New Roman" w:cs="Times New Roman"/>
                      <w:color w:val="000000"/>
                    </w:rPr>
                  </w:pPr>
                  <w:r>
                    <w:rPr>
                      <w:rFonts w:hint="default" w:ascii="Times New Roman" w:hAnsi="Times New Roman" w:cs="Times New Roman"/>
                      <w:color w:val="000000"/>
                    </w:rPr>
                    <w:t>2、地表水环境影响：火灾</w:t>
                  </w:r>
                  <w:r>
                    <w:rPr>
                      <w:rFonts w:hint="default" w:ascii="Times New Roman" w:hAnsi="Times New Roman" w:cs="Times New Roman"/>
                      <w:bCs/>
                      <w:color w:val="000000"/>
                    </w:rPr>
                    <w:t>灭火产生的消防废水随地表径流汇入周边地表水体对周围地表水体产生污染；</w:t>
                  </w:r>
                </w:p>
                <w:p>
                  <w:pPr>
                    <w:pStyle w:val="40"/>
                    <w:ind w:firstLine="480"/>
                    <w:rPr>
                      <w:rFonts w:hint="default" w:ascii="Times New Roman" w:hAnsi="Times New Roman" w:cs="Times New Roman"/>
                      <w:color w:val="000000"/>
                    </w:rPr>
                  </w:pPr>
                  <w:r>
                    <w:rPr>
                      <w:rFonts w:hint="default" w:ascii="Times New Roman" w:hAnsi="Times New Roman" w:cs="Times New Roman"/>
                      <w:color w:val="000000"/>
                    </w:rPr>
                    <w:t>3、地下水影响：厂区危废暂存间暂存的各类危险废物若泄露或防渗措施破坏将会对区域地下水产生污染影响。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noWrap w:val="0"/>
                  <w:vAlign w:val="center"/>
                </w:tcPr>
                <w:p>
                  <w:pPr>
                    <w:pStyle w:val="40"/>
                    <w:ind w:firstLine="480"/>
                    <w:rPr>
                      <w:rFonts w:hint="default" w:ascii="Times New Roman" w:hAnsi="Times New Roman" w:cs="Times New Roman"/>
                      <w:color w:val="000000"/>
                    </w:rPr>
                  </w:pPr>
                  <w:r>
                    <w:rPr>
                      <w:rFonts w:hint="default" w:ascii="Times New Roman" w:hAnsi="Times New Roman" w:cs="Times New Roman"/>
                      <w:color w:val="000000"/>
                    </w:rPr>
                    <w:t>风险防范措施要求</w:t>
                  </w:r>
                </w:p>
              </w:tc>
              <w:tc>
                <w:tcPr>
                  <w:tcW w:w="3942" w:type="pct"/>
                  <w:gridSpan w:val="4"/>
                  <w:noWrap w:val="0"/>
                  <w:vAlign w:val="center"/>
                </w:tcPr>
                <w:p>
                  <w:pPr>
                    <w:adjustRightInd w:val="0"/>
                    <w:snapToGrid w:val="0"/>
                    <w:ind w:firstLine="420"/>
                    <w:rPr>
                      <w:rFonts w:hint="default" w:ascii="Times New Roman" w:hAnsi="Times New Roman" w:cs="Times New Roman"/>
                      <w:bCs/>
                      <w:kern w:val="0"/>
                      <w:szCs w:val="21"/>
                    </w:rPr>
                  </w:pPr>
                  <w:r>
                    <w:rPr>
                      <w:rFonts w:hint="default" w:ascii="Times New Roman" w:hAnsi="Times New Roman" w:cs="Times New Roman"/>
                      <w:bCs/>
                      <w:kern w:val="0"/>
                      <w:szCs w:val="21"/>
                    </w:rPr>
                    <w:t>①火灾防范措施</w:t>
                  </w:r>
                </w:p>
                <w:p>
                  <w:pPr>
                    <w:adjustRightInd w:val="0"/>
                    <w:snapToGrid w:val="0"/>
                    <w:ind w:firstLine="420"/>
                    <w:rPr>
                      <w:rFonts w:hint="default" w:ascii="Times New Roman" w:hAnsi="Times New Roman" w:cs="Times New Roman"/>
                      <w:bCs/>
                      <w:kern w:val="0"/>
                      <w:szCs w:val="21"/>
                    </w:rPr>
                  </w:pPr>
                  <w:r>
                    <w:rPr>
                      <w:rFonts w:hint="default" w:ascii="Times New Roman" w:hAnsi="Times New Roman" w:cs="Times New Roman"/>
                      <w:bCs/>
                      <w:kern w:val="0"/>
                      <w:szCs w:val="21"/>
                    </w:rPr>
                    <w:t>1）设立专门的环境管理机构，制定日常管理措施、消防措施和应急预案。</w:t>
                  </w:r>
                </w:p>
                <w:p>
                  <w:pPr>
                    <w:adjustRightInd w:val="0"/>
                    <w:snapToGrid w:val="0"/>
                    <w:ind w:firstLine="420"/>
                    <w:rPr>
                      <w:rFonts w:hint="default" w:ascii="Times New Roman" w:hAnsi="Times New Roman" w:cs="Times New Roman"/>
                      <w:bCs/>
                      <w:kern w:val="0"/>
                      <w:szCs w:val="21"/>
                    </w:rPr>
                  </w:pPr>
                  <w:r>
                    <w:rPr>
                      <w:rFonts w:hint="default" w:ascii="Times New Roman" w:hAnsi="Times New Roman" w:cs="Times New Roman"/>
                      <w:bCs/>
                      <w:kern w:val="0"/>
                      <w:szCs w:val="21"/>
                    </w:rPr>
                    <w:t>对工作人员进行火灾事态时的报警培训，成立环境风险事故应急救援领导小组和应急救援专业队伍。</w:t>
                  </w:r>
                </w:p>
                <w:p>
                  <w:pPr>
                    <w:adjustRightInd w:val="0"/>
                    <w:snapToGrid w:val="0"/>
                    <w:ind w:firstLine="420"/>
                    <w:rPr>
                      <w:rFonts w:hint="default" w:ascii="Times New Roman" w:hAnsi="Times New Roman" w:cs="Times New Roman"/>
                      <w:bCs/>
                      <w:kern w:val="0"/>
                      <w:szCs w:val="21"/>
                    </w:rPr>
                  </w:pPr>
                  <w:r>
                    <w:rPr>
                      <w:rFonts w:hint="default" w:ascii="Times New Roman" w:hAnsi="Times New Roman" w:cs="Times New Roman"/>
                      <w:bCs/>
                      <w:kern w:val="0"/>
                      <w:szCs w:val="21"/>
                    </w:rPr>
                    <w:t>2）加强厂区消防设施的日常管理，确保事故时消防设施能够正常使用，针对厂房等可能出现的火灾事故三个月进行一次消防演练。</w:t>
                  </w:r>
                </w:p>
                <w:p>
                  <w:pPr>
                    <w:adjustRightInd w:val="0"/>
                    <w:snapToGrid w:val="0"/>
                    <w:ind w:firstLine="420"/>
                    <w:rPr>
                      <w:rFonts w:hint="default" w:ascii="Times New Roman" w:hAnsi="Times New Roman" w:cs="Times New Roman"/>
                      <w:bCs/>
                      <w:kern w:val="0"/>
                      <w:szCs w:val="21"/>
                    </w:rPr>
                  </w:pPr>
                  <w:r>
                    <w:rPr>
                      <w:rFonts w:hint="default" w:ascii="Times New Roman" w:hAnsi="Times New Roman" w:cs="Times New Roman"/>
                      <w:bCs/>
                      <w:kern w:val="0"/>
                      <w:szCs w:val="21"/>
                    </w:rPr>
                    <w:t>3）严格明火管理，严禁吸烟、动火。消除电气火花。严格按照《中华人民共和国爆炸危险场所安全规程》和现行有关标准、规程及要求执行。</w:t>
                  </w:r>
                </w:p>
                <w:p>
                  <w:pPr>
                    <w:adjustRightInd w:val="0"/>
                    <w:snapToGrid w:val="0"/>
                    <w:ind w:firstLine="420"/>
                    <w:rPr>
                      <w:rFonts w:hint="default" w:ascii="Times New Roman" w:hAnsi="Times New Roman" w:cs="Times New Roman"/>
                      <w:bCs/>
                      <w:kern w:val="0"/>
                      <w:szCs w:val="21"/>
                    </w:rPr>
                  </w:pPr>
                  <w:r>
                    <w:rPr>
                      <w:rFonts w:hint="default" w:ascii="Times New Roman" w:hAnsi="Times New Roman" w:cs="Times New Roman"/>
                      <w:bCs/>
                      <w:kern w:val="0"/>
                      <w:szCs w:val="21"/>
                    </w:rPr>
                    <w:t>4）消防器材设置在明显和便于取用的地点，周围未堆放物品和杂物。消防设施、器材，由专人管理，负责检查、维修、保养、更换和添置，保证完好有效，严禁圈占、埋压和挪用。配备消防器材（如干粉灭火器等）和消防设施；标示明确，使用方便；</w:t>
                  </w:r>
                </w:p>
                <w:p>
                  <w:pPr>
                    <w:adjustRightInd w:val="0"/>
                    <w:snapToGrid w:val="0"/>
                    <w:ind w:firstLine="420"/>
                    <w:rPr>
                      <w:rFonts w:hint="default" w:ascii="Times New Roman" w:hAnsi="Times New Roman" w:cs="Times New Roman"/>
                      <w:bCs/>
                      <w:kern w:val="0"/>
                      <w:szCs w:val="21"/>
                    </w:rPr>
                  </w:pPr>
                  <w:r>
                    <w:rPr>
                      <w:rFonts w:hint="default" w:ascii="Times New Roman" w:hAnsi="Times New Roman" w:cs="Times New Roman"/>
                      <w:bCs/>
                      <w:kern w:val="0"/>
                      <w:szCs w:val="21"/>
                    </w:rPr>
                    <w:t>5）出现火灾时应及时将可燃物品搬离，远离火源。</w:t>
                  </w:r>
                </w:p>
                <w:p>
                  <w:pPr>
                    <w:adjustRightInd w:val="0"/>
                    <w:snapToGrid w:val="0"/>
                    <w:ind w:firstLine="420"/>
                    <w:rPr>
                      <w:rFonts w:hint="default" w:ascii="Times New Roman" w:hAnsi="Times New Roman" w:cs="Times New Roman"/>
                      <w:bCs/>
                      <w:kern w:val="0"/>
                      <w:szCs w:val="21"/>
                    </w:rPr>
                  </w:pPr>
                  <w:r>
                    <w:rPr>
                      <w:rFonts w:hint="default" w:ascii="Times New Roman" w:hAnsi="Times New Roman" w:cs="Times New Roman"/>
                      <w:bCs/>
                      <w:kern w:val="0"/>
                      <w:szCs w:val="21"/>
                    </w:rPr>
                    <w:t>6）项目内定期进行电路、电气检查，消除安全隐患。</w:t>
                  </w:r>
                </w:p>
                <w:p>
                  <w:pPr>
                    <w:adjustRightInd w:val="0"/>
                    <w:snapToGrid w:val="0"/>
                    <w:ind w:firstLine="420"/>
                    <w:rPr>
                      <w:rFonts w:hint="default" w:ascii="Times New Roman" w:hAnsi="Times New Roman" w:cs="Times New Roman"/>
                      <w:bCs/>
                      <w:kern w:val="0"/>
                      <w:szCs w:val="21"/>
                    </w:rPr>
                  </w:pPr>
                  <w:r>
                    <w:rPr>
                      <w:rFonts w:hint="default" w:ascii="Times New Roman" w:hAnsi="Times New Roman" w:cs="Times New Roman"/>
                      <w:bCs/>
                      <w:kern w:val="0"/>
                      <w:szCs w:val="21"/>
                    </w:rPr>
                    <w:t>7）建设单位在项目竣工经过消防验收合格后，才能投入使用。</w:t>
                  </w:r>
                </w:p>
                <w:p>
                  <w:pPr>
                    <w:adjustRightInd w:val="0"/>
                    <w:snapToGrid w:val="0"/>
                    <w:ind w:firstLine="420"/>
                    <w:rPr>
                      <w:rFonts w:hint="default" w:ascii="Times New Roman" w:hAnsi="Times New Roman" w:cs="Times New Roman"/>
                      <w:bCs/>
                      <w:kern w:val="0"/>
                      <w:szCs w:val="21"/>
                    </w:rPr>
                  </w:pPr>
                  <w:r>
                    <w:rPr>
                      <w:rFonts w:hint="default" w:ascii="Times New Roman" w:hAnsi="Times New Roman" w:cs="Times New Roman"/>
                      <w:bCs/>
                      <w:kern w:val="0"/>
                      <w:szCs w:val="21"/>
                    </w:rPr>
                    <w:fldChar w:fldCharType="begin"/>
                  </w:r>
                  <w:r>
                    <w:rPr>
                      <w:rFonts w:hint="default" w:ascii="Times New Roman" w:hAnsi="Times New Roman" w:cs="Times New Roman"/>
                      <w:bCs/>
                      <w:kern w:val="0"/>
                      <w:szCs w:val="21"/>
                    </w:rPr>
                    <w:instrText xml:space="preserve"> = 2 \* GB3 </w:instrText>
                  </w:r>
                  <w:r>
                    <w:rPr>
                      <w:rFonts w:hint="default" w:ascii="Times New Roman" w:hAnsi="Times New Roman" w:cs="Times New Roman"/>
                      <w:bCs/>
                      <w:kern w:val="0"/>
                      <w:szCs w:val="21"/>
                    </w:rPr>
                    <w:fldChar w:fldCharType="separate"/>
                  </w:r>
                  <w:r>
                    <w:rPr>
                      <w:rFonts w:hint="default" w:ascii="Times New Roman" w:hAnsi="Times New Roman" w:cs="Times New Roman"/>
                      <w:bCs/>
                      <w:kern w:val="0"/>
                      <w:szCs w:val="21"/>
                    </w:rPr>
                    <w:t>②</w:t>
                  </w:r>
                  <w:r>
                    <w:rPr>
                      <w:rFonts w:hint="default" w:ascii="Times New Roman" w:hAnsi="Times New Roman" w:cs="Times New Roman"/>
                      <w:bCs/>
                      <w:kern w:val="0"/>
                      <w:szCs w:val="21"/>
                    </w:rPr>
                    <w:fldChar w:fldCharType="end"/>
                  </w:r>
                  <w:r>
                    <w:rPr>
                      <w:rFonts w:hint="default" w:ascii="Times New Roman" w:hAnsi="Times New Roman" w:cs="Times New Roman"/>
                      <w:bCs/>
                      <w:kern w:val="0"/>
                      <w:szCs w:val="21"/>
                    </w:rPr>
                    <w:t>泄露控制措施</w:t>
                  </w:r>
                </w:p>
                <w:p>
                  <w:pPr>
                    <w:snapToGrid w:val="0"/>
                    <w:ind w:firstLine="420"/>
                    <w:rPr>
                      <w:rFonts w:hint="default" w:ascii="Times New Roman" w:hAnsi="Times New Roman" w:cs="Times New Roman"/>
                      <w:bCs/>
                      <w:szCs w:val="21"/>
                    </w:rPr>
                  </w:pPr>
                  <w:r>
                    <w:rPr>
                      <w:rFonts w:hint="default" w:ascii="Times New Roman" w:hAnsi="Times New Roman" w:cs="Times New Roman"/>
                      <w:bCs/>
                      <w:szCs w:val="21"/>
                    </w:rPr>
                    <w:t>）加强日常管理，一旦发现涉油设备漏油应马上检修，采用棉纱清洁地面滴落的油污。同时应加强日常巡查，如发现有泄漏，应立即采取补漏措施。</w:t>
                  </w:r>
                </w:p>
                <w:p>
                  <w:pPr>
                    <w:snapToGrid w:val="0"/>
                    <w:ind w:firstLine="420"/>
                    <w:rPr>
                      <w:rFonts w:hint="default" w:ascii="Times New Roman" w:hAnsi="Times New Roman" w:cs="Times New Roman"/>
                      <w:bCs/>
                      <w:szCs w:val="21"/>
                    </w:rPr>
                  </w:pPr>
                  <w:r>
                    <w:rPr>
                      <w:rFonts w:hint="default" w:ascii="Times New Roman" w:hAnsi="Times New Roman" w:cs="Times New Roman"/>
                    </w:rPr>
                    <w:t>2）设置规范的危废暂存间，液态危废存放位置下方设置防漏托盘（防漏托盘四周高度约10cm），同时设置空桶收集；危废暂存间设置标识标牌，地面全部防漏、防腐处理，泄露的危险废物全部收集于托盘内，同时危废暂存间设置备用空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pct"/>
                  <w:noWrap w:val="0"/>
                  <w:vAlign w:val="center"/>
                </w:tcPr>
                <w:p>
                  <w:pPr>
                    <w:pStyle w:val="40"/>
                    <w:ind w:firstLine="480"/>
                    <w:rPr>
                      <w:rFonts w:hint="default" w:ascii="Times New Roman" w:hAnsi="Times New Roman" w:cs="Times New Roman"/>
                      <w:color w:val="000000"/>
                    </w:rPr>
                  </w:pPr>
                  <w:r>
                    <w:rPr>
                      <w:rFonts w:hint="default" w:ascii="Times New Roman" w:hAnsi="Times New Roman" w:cs="Times New Roman"/>
                      <w:color w:val="000000"/>
                    </w:rPr>
                    <w:t>填表说明（列出项目相关信息及评价说明）</w:t>
                  </w:r>
                </w:p>
              </w:tc>
              <w:tc>
                <w:tcPr>
                  <w:tcW w:w="3942" w:type="pct"/>
                  <w:gridSpan w:val="4"/>
                  <w:noWrap w:val="0"/>
                  <w:vAlign w:val="center"/>
                </w:tcPr>
                <w:p>
                  <w:pPr>
                    <w:pStyle w:val="40"/>
                    <w:ind w:firstLine="480"/>
                    <w:rPr>
                      <w:rFonts w:hint="default" w:ascii="Times New Roman" w:hAnsi="Times New Roman" w:cs="Times New Roman"/>
                      <w:color w:val="000000"/>
                    </w:rPr>
                  </w:pPr>
                  <w:r>
                    <w:rPr>
                      <w:rFonts w:hint="default" w:ascii="Times New Roman" w:hAnsi="Times New Roman" w:cs="Times New Roman"/>
                      <w:color w:val="000000"/>
                    </w:rPr>
                    <w:t>本项目主要进行塑料管材管件的生产，全部为简单的物理加工，生产过程中不涉及危化品。</w:t>
                  </w:r>
                </w:p>
              </w:tc>
            </w:tr>
          </w:tbl>
          <w:p>
            <w:pPr>
              <w:spacing w:line="360" w:lineRule="auto"/>
              <w:ind w:firstLine="241" w:firstLineChars="100"/>
              <w:rPr>
                <w:rFonts w:hint="default" w:ascii="Times New Roman" w:hAnsi="Times New Roman" w:cs="Times New Roman"/>
                <w:b/>
                <w:color w:val="000000"/>
                <w:sz w:val="24"/>
              </w:rPr>
            </w:pPr>
            <w:r>
              <w:rPr>
                <w:rFonts w:hint="default" w:ascii="Times New Roman" w:hAnsi="Times New Roman" w:cs="Times New Roman"/>
                <w:b/>
                <w:bCs/>
                <w:color w:val="000000"/>
                <w:kern w:val="0"/>
                <w:sz w:val="24"/>
              </w:rPr>
              <w:t>（三）</w:t>
            </w:r>
            <w:r>
              <w:rPr>
                <w:rFonts w:hint="default" w:ascii="Times New Roman" w:hAnsi="Times New Roman" w:cs="Times New Roman"/>
                <w:b/>
                <w:color w:val="000000"/>
                <w:sz w:val="24"/>
              </w:rPr>
              <w:t>事故应急预案</w:t>
            </w:r>
          </w:p>
          <w:p>
            <w:pPr>
              <w:adjustRightIn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根据国家相关规定的要求，建设单位应制定环境风险应急预案，并且配备必要的事故应急设施。应急预案的主要内容可参考见</w:t>
            </w:r>
            <w:r>
              <w:rPr>
                <w:rFonts w:hint="default" w:ascii="Times New Roman" w:hAnsi="Times New Roman" w:cs="Times New Roman"/>
                <w:color w:val="000000"/>
                <w:sz w:val="24"/>
                <w:lang w:val="en-US" w:eastAsia="zh-CN"/>
              </w:rPr>
              <w:t>下</w:t>
            </w:r>
            <w:r>
              <w:rPr>
                <w:rFonts w:hint="default" w:ascii="Times New Roman" w:hAnsi="Times New Roman" w:cs="Times New Roman"/>
                <w:color w:val="000000"/>
                <w:sz w:val="24"/>
              </w:rPr>
              <w:t>表。</w:t>
            </w:r>
          </w:p>
          <w:p>
            <w:pPr>
              <w:adjustRightInd w:val="0"/>
              <w:spacing w:line="360" w:lineRule="auto"/>
              <w:ind w:firstLine="422" w:firstLineChars="200"/>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表</w:t>
            </w:r>
            <w:r>
              <w:rPr>
                <w:rFonts w:hint="default" w:ascii="Times New Roman" w:hAnsi="Times New Roman" w:cs="Times New Roman"/>
                <w:b/>
                <w:color w:val="000000"/>
                <w:szCs w:val="21"/>
                <w:lang w:val="en-US" w:eastAsia="zh-CN"/>
              </w:rPr>
              <w:t>4-1</w:t>
            </w:r>
            <w:r>
              <w:rPr>
                <w:rFonts w:hint="eastAsia" w:ascii="Times New Roman" w:hAnsi="Times New Roman" w:cs="Times New Roman"/>
                <w:b/>
                <w:color w:val="000000"/>
                <w:szCs w:val="21"/>
                <w:lang w:val="en-US" w:eastAsia="zh-CN"/>
              </w:rPr>
              <w:t>6</w:t>
            </w:r>
            <w:r>
              <w:rPr>
                <w:rFonts w:hint="default" w:ascii="Times New Roman" w:hAnsi="Times New Roman" w:cs="Times New Roman"/>
                <w:b/>
                <w:color w:val="000000"/>
                <w:szCs w:val="21"/>
              </w:rPr>
              <w:t xml:space="preserve">  应急预案内容</w:t>
            </w:r>
          </w:p>
          <w:tbl>
            <w:tblPr>
              <w:tblStyle w:val="1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30"/>
              <w:gridCol w:w="2250"/>
              <w:gridCol w:w="48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noWrap w:val="0"/>
                  <w:vAlign w:val="center"/>
                </w:tcPr>
                <w:p>
                  <w:pPr>
                    <w:adjustRightInd w:val="0"/>
                    <w:snapToGrid w:val="0"/>
                    <w:spacing w:line="288" w:lineRule="auto"/>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序号</w:t>
                  </w:r>
                </w:p>
              </w:tc>
              <w:tc>
                <w:tcPr>
                  <w:tcW w:w="1450" w:type="pct"/>
                  <w:noWrap w:val="0"/>
                  <w:vAlign w:val="center"/>
                </w:tcPr>
                <w:p>
                  <w:pPr>
                    <w:adjustRightInd w:val="0"/>
                    <w:snapToGrid w:val="0"/>
                    <w:spacing w:line="288" w:lineRule="auto"/>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项目</w:t>
                  </w:r>
                </w:p>
              </w:tc>
              <w:tc>
                <w:tcPr>
                  <w:tcW w:w="3143" w:type="pct"/>
                  <w:noWrap w:val="0"/>
                  <w:vAlign w:val="center"/>
                </w:tcPr>
                <w:p>
                  <w:pPr>
                    <w:adjustRightInd w:val="0"/>
                    <w:snapToGrid w:val="0"/>
                    <w:spacing w:line="288" w:lineRule="auto"/>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内容及要求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1</w:t>
                  </w:r>
                </w:p>
              </w:tc>
              <w:tc>
                <w:tcPr>
                  <w:tcW w:w="1450"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应急计划区</w:t>
                  </w:r>
                </w:p>
              </w:tc>
              <w:tc>
                <w:tcPr>
                  <w:tcW w:w="3143"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危险目标：原料区、成品区、危废暂存间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2</w:t>
                  </w:r>
                </w:p>
              </w:tc>
              <w:tc>
                <w:tcPr>
                  <w:tcW w:w="1450"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应急组织机构、人员</w:t>
                  </w:r>
                </w:p>
              </w:tc>
              <w:tc>
                <w:tcPr>
                  <w:tcW w:w="3143"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工厂、地区应急组织机构、人员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3</w:t>
                  </w:r>
                </w:p>
              </w:tc>
              <w:tc>
                <w:tcPr>
                  <w:tcW w:w="1450"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预案分级响应条件</w:t>
                  </w:r>
                </w:p>
              </w:tc>
              <w:tc>
                <w:tcPr>
                  <w:tcW w:w="3143"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规定预案的级别及分级响应程序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4</w:t>
                  </w:r>
                </w:p>
              </w:tc>
              <w:tc>
                <w:tcPr>
                  <w:tcW w:w="1450"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应急救援保障</w:t>
                  </w:r>
                </w:p>
              </w:tc>
              <w:tc>
                <w:tcPr>
                  <w:tcW w:w="3143"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应急设施，设备与器材等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5</w:t>
                  </w:r>
                </w:p>
              </w:tc>
              <w:tc>
                <w:tcPr>
                  <w:tcW w:w="1450"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报警、通讯联络方式</w:t>
                  </w:r>
                </w:p>
              </w:tc>
              <w:tc>
                <w:tcPr>
                  <w:tcW w:w="3143"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规定应急状态下的报警通讯方式、通知方式和交通保障、管制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6</w:t>
                  </w:r>
                </w:p>
              </w:tc>
              <w:tc>
                <w:tcPr>
                  <w:tcW w:w="1450"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应急环境监测、抢险、救援及控制措施</w:t>
                  </w:r>
                </w:p>
              </w:tc>
              <w:tc>
                <w:tcPr>
                  <w:tcW w:w="3143"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由专业队伍负责对事故现场进行侦察监测，对事故性质、参数与后果进行评估，为指挥部门提供决策依据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7</w:t>
                  </w:r>
                </w:p>
              </w:tc>
              <w:tc>
                <w:tcPr>
                  <w:tcW w:w="1450"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应急检测、防护措施、清除泄漏措施和器材</w:t>
                  </w:r>
                </w:p>
              </w:tc>
              <w:tc>
                <w:tcPr>
                  <w:tcW w:w="3143"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事故现场、邻近区域、控制防火区域，控制和清除污染措施及相应设备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8</w:t>
                  </w:r>
                </w:p>
              </w:tc>
              <w:tc>
                <w:tcPr>
                  <w:tcW w:w="1450"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人员紧急撤离、疏散，应急剂量控制、撤离组织计划</w:t>
                  </w:r>
                </w:p>
              </w:tc>
              <w:tc>
                <w:tcPr>
                  <w:tcW w:w="3143"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事故现场、工厂邻近区、受事故影响的区域人员及公众对毒物应急剂量控制规定，撤离组织计划及救护，医疗救护与公众健康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9</w:t>
                  </w:r>
                </w:p>
              </w:tc>
              <w:tc>
                <w:tcPr>
                  <w:tcW w:w="1450"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事故应急救援关闭程序与恢复措施</w:t>
                  </w:r>
                </w:p>
              </w:tc>
              <w:tc>
                <w:tcPr>
                  <w:tcW w:w="3143"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规定应急状态终止程序；事故现场善后处理，恢复措施；邻近区域解除事故警戒及善后恢复措施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06"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10</w:t>
                  </w:r>
                </w:p>
              </w:tc>
              <w:tc>
                <w:tcPr>
                  <w:tcW w:w="1450"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应急培训计划</w:t>
                  </w:r>
                </w:p>
              </w:tc>
              <w:tc>
                <w:tcPr>
                  <w:tcW w:w="3143" w:type="pct"/>
                  <w:noWrap w:val="0"/>
                  <w:vAlign w:val="center"/>
                </w:tcPr>
                <w:p>
                  <w:pPr>
                    <w:adjustRightInd w:val="0"/>
                    <w:snapToGrid w:val="0"/>
                    <w:spacing w:line="288" w:lineRule="auto"/>
                    <w:jc w:val="center"/>
                    <w:rPr>
                      <w:rFonts w:hint="default" w:ascii="Times New Roman" w:hAnsi="Times New Roman" w:cs="Times New Roman"/>
                      <w:color w:val="000000"/>
                      <w:szCs w:val="21"/>
                    </w:rPr>
                  </w:pPr>
                  <w:r>
                    <w:rPr>
                      <w:rFonts w:hint="default" w:ascii="Times New Roman" w:hAnsi="Times New Roman" w:cs="Times New Roman"/>
                      <w:color w:val="000000"/>
                      <w:szCs w:val="21"/>
                    </w:rPr>
                    <w:t>应急计划制定后，平时安排人员培训与演练</w:t>
                  </w:r>
                </w:p>
              </w:tc>
            </w:tr>
          </w:tbl>
          <w:p>
            <w:pPr>
              <w:widowControl/>
              <w:spacing w:line="360" w:lineRule="auto"/>
              <w:ind w:firstLine="480"/>
              <w:rPr>
                <w:rFonts w:hint="default" w:ascii="Times New Roman" w:hAnsi="Times New Roman" w:cs="Times New Roman"/>
                <w:b/>
                <w:bCs/>
                <w:color w:val="000000"/>
                <w:kern w:val="0"/>
                <w:sz w:val="24"/>
              </w:rPr>
            </w:pPr>
            <w:r>
              <w:rPr>
                <w:rFonts w:hint="default" w:ascii="Times New Roman" w:hAnsi="Times New Roman" w:cs="Times New Roman"/>
                <w:b/>
                <w:bCs/>
                <w:color w:val="000000"/>
                <w:kern w:val="0"/>
                <w:sz w:val="24"/>
              </w:rPr>
              <w:t>（四）风险防范措施投资一览表</w:t>
            </w:r>
          </w:p>
          <w:p>
            <w:pPr>
              <w:widowControl/>
              <w:spacing w:line="360" w:lineRule="auto"/>
              <w:ind w:firstLine="480"/>
              <w:rPr>
                <w:rFonts w:hint="default" w:ascii="Times New Roman" w:hAnsi="Times New Roman" w:cs="Times New Roman"/>
                <w:color w:val="000000"/>
                <w:kern w:val="0"/>
                <w:sz w:val="24"/>
              </w:rPr>
            </w:pPr>
            <w:r>
              <w:rPr>
                <w:rFonts w:hint="default" w:ascii="Times New Roman" w:hAnsi="Times New Roman" w:cs="Times New Roman"/>
                <w:color w:val="000000"/>
                <w:kern w:val="0"/>
                <w:sz w:val="24"/>
              </w:rPr>
              <w:t>综合上述分析，并结合项目设计，其风险防范措施详见下表所示。</w:t>
            </w:r>
          </w:p>
          <w:p>
            <w:pPr>
              <w:widowControl/>
              <w:spacing w:line="360" w:lineRule="auto"/>
              <w:jc w:val="center"/>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表</w:t>
            </w:r>
            <w:r>
              <w:rPr>
                <w:rFonts w:hint="default" w:ascii="Times New Roman" w:hAnsi="Times New Roman" w:cs="Times New Roman"/>
                <w:b/>
                <w:bCs/>
                <w:color w:val="000000"/>
                <w:kern w:val="0"/>
                <w:szCs w:val="21"/>
                <w:lang w:val="en-US" w:eastAsia="zh-CN"/>
              </w:rPr>
              <w:t>4-1</w:t>
            </w:r>
            <w:r>
              <w:rPr>
                <w:rFonts w:hint="eastAsia" w:ascii="Times New Roman" w:hAnsi="Times New Roman" w:cs="Times New Roman"/>
                <w:b/>
                <w:bCs/>
                <w:color w:val="000000"/>
                <w:kern w:val="0"/>
                <w:szCs w:val="21"/>
                <w:lang w:val="en-US" w:eastAsia="zh-CN"/>
              </w:rPr>
              <w:t>7</w:t>
            </w:r>
            <w:r>
              <w:rPr>
                <w:rFonts w:hint="default" w:ascii="Times New Roman" w:hAnsi="Times New Roman" w:cs="Times New Roman"/>
                <w:b/>
                <w:bCs/>
                <w:color w:val="000000"/>
                <w:kern w:val="0"/>
                <w:szCs w:val="21"/>
              </w:rPr>
              <w:t xml:space="preserve">  事故防范措施及投资一览表</w:t>
            </w:r>
          </w:p>
          <w:tbl>
            <w:tblPr>
              <w:tblStyle w:val="16"/>
              <w:tblW w:w="4999" w:type="pct"/>
              <w:jc w:val="center"/>
              <w:tblLayout w:type="fixed"/>
              <w:tblCellMar>
                <w:top w:w="0" w:type="dxa"/>
                <w:left w:w="108" w:type="dxa"/>
                <w:bottom w:w="0" w:type="dxa"/>
                <w:right w:w="108" w:type="dxa"/>
              </w:tblCellMar>
            </w:tblPr>
            <w:tblGrid>
              <w:gridCol w:w="1097"/>
              <w:gridCol w:w="5269"/>
              <w:gridCol w:w="1403"/>
            </w:tblGrid>
            <w:tr>
              <w:tblPrEx>
                <w:tblCellMar>
                  <w:top w:w="0" w:type="dxa"/>
                  <w:left w:w="108" w:type="dxa"/>
                  <w:bottom w:w="0" w:type="dxa"/>
                  <w:right w:w="108" w:type="dxa"/>
                </w:tblCellMar>
              </w:tblPrEx>
              <w:trPr>
                <w:trHeight w:val="205" w:hRule="atLeast"/>
                <w:jc w:val="center"/>
              </w:trPr>
              <w:tc>
                <w:tcPr>
                  <w:tcW w:w="4097" w:type="pct"/>
                  <w:gridSpan w:val="2"/>
                  <w:tcBorders>
                    <w:top w:val="single" w:color="000000" w:sz="4" w:space="0"/>
                    <w:left w:val="single" w:color="000000" w:sz="4" w:space="0"/>
                    <w:bottom w:val="single" w:color="000000" w:sz="4" w:space="0"/>
                    <w:right w:val="single" w:color="000000" w:sz="4" w:space="0"/>
                  </w:tcBorders>
                  <w:noWrap w:val="0"/>
                  <w:vAlign w:val="center"/>
                </w:tcPr>
                <w:p>
                  <w:pPr>
                    <w:snapToGrid w:val="0"/>
                    <w:jc w:val="center"/>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事故防范措施内容</w:t>
                  </w:r>
                </w:p>
              </w:tc>
              <w:tc>
                <w:tcPr>
                  <w:tcW w:w="902" w:type="pct"/>
                  <w:tcBorders>
                    <w:top w:val="single" w:color="000000" w:sz="4" w:space="0"/>
                    <w:left w:val="nil"/>
                    <w:bottom w:val="single" w:color="000000" w:sz="4" w:space="0"/>
                    <w:right w:val="single" w:color="000000" w:sz="4" w:space="0"/>
                  </w:tcBorders>
                  <w:noWrap w:val="0"/>
                  <w:vAlign w:val="center"/>
                </w:tcPr>
                <w:p>
                  <w:pPr>
                    <w:widowControl/>
                    <w:snapToGrid w:val="0"/>
                    <w:jc w:val="center"/>
                    <w:rPr>
                      <w:rFonts w:hint="default" w:ascii="Times New Roman" w:hAnsi="Times New Roman" w:cs="Times New Roman"/>
                      <w:b/>
                      <w:bCs/>
                      <w:color w:val="000000"/>
                      <w:kern w:val="0"/>
                      <w:szCs w:val="21"/>
                    </w:rPr>
                  </w:pPr>
                  <w:r>
                    <w:rPr>
                      <w:rFonts w:hint="default" w:ascii="Times New Roman" w:hAnsi="Times New Roman" w:cs="Times New Roman"/>
                      <w:b/>
                      <w:bCs/>
                      <w:color w:val="000000"/>
                      <w:kern w:val="0"/>
                      <w:szCs w:val="21"/>
                    </w:rPr>
                    <w:t>投资（万元）</w:t>
                  </w:r>
                </w:p>
              </w:tc>
            </w:tr>
            <w:tr>
              <w:tblPrEx>
                <w:tblCellMar>
                  <w:top w:w="0" w:type="dxa"/>
                  <w:left w:w="108" w:type="dxa"/>
                  <w:bottom w:w="0" w:type="dxa"/>
                  <w:right w:w="108" w:type="dxa"/>
                </w:tblCellMar>
              </w:tblPrEx>
              <w:trPr>
                <w:trHeight w:val="545" w:hRule="atLeast"/>
                <w:jc w:val="center"/>
              </w:trPr>
              <w:tc>
                <w:tcPr>
                  <w:tcW w:w="706" w:type="pct"/>
                  <w:vMerge w:val="restart"/>
                  <w:tcBorders>
                    <w:top w:val="single" w:color="000000" w:sz="4" w:space="0"/>
                    <w:left w:val="single" w:color="000000" w:sz="4" w:space="0"/>
                    <w:right w:val="single" w:color="auto" w:sz="4" w:space="0"/>
                  </w:tcBorders>
                  <w:noWrap w:val="0"/>
                  <w:vAlign w:val="center"/>
                </w:tcPr>
                <w:p>
                  <w:pPr>
                    <w:widowControl/>
                    <w:snapToGrid w:val="0"/>
                    <w:jc w:val="center"/>
                    <w:rPr>
                      <w:rFonts w:hint="default" w:ascii="Times New Roman" w:hAnsi="Times New Roman" w:cs="Times New Roman"/>
                      <w:color w:val="000000"/>
                      <w:kern w:val="0"/>
                      <w:szCs w:val="21"/>
                      <w:highlight w:val="yellow"/>
                    </w:rPr>
                  </w:pPr>
                  <w:r>
                    <w:rPr>
                      <w:rFonts w:hint="default" w:ascii="Times New Roman" w:hAnsi="Times New Roman" w:cs="Times New Roman"/>
                      <w:color w:val="000000"/>
                      <w:kern w:val="0"/>
                      <w:szCs w:val="21"/>
                    </w:rPr>
                    <w:t>火灾风险</w:t>
                  </w:r>
                </w:p>
              </w:tc>
              <w:tc>
                <w:tcPr>
                  <w:tcW w:w="3391" w:type="pct"/>
                  <w:tcBorders>
                    <w:top w:val="single" w:color="000000" w:sz="4" w:space="0"/>
                    <w:left w:val="single" w:color="auto" w:sz="4" w:space="0"/>
                    <w:right w:val="single" w:color="000000" w:sz="4" w:space="0"/>
                  </w:tcBorders>
                  <w:noWrap w:val="0"/>
                  <w:vAlign w:val="center"/>
                </w:tcPr>
                <w:p>
                  <w:pPr>
                    <w:snapToGrid w:val="0"/>
                    <w:jc w:val="center"/>
                    <w:rPr>
                      <w:rFonts w:hint="default" w:ascii="Times New Roman" w:hAnsi="Times New Roman" w:cs="Times New Roman"/>
                      <w:color w:val="000000"/>
                      <w:kern w:val="0"/>
                      <w:szCs w:val="21"/>
                      <w:highlight w:val="yellow"/>
                    </w:rPr>
                  </w:pPr>
                  <w:r>
                    <w:rPr>
                      <w:rFonts w:hint="default" w:ascii="Times New Roman" w:hAnsi="Times New Roman" w:cs="Times New Roman"/>
                      <w:color w:val="000000"/>
                    </w:rPr>
                    <w:t>在厂房内设置碳酸氢钠干粉灭火器或磷酸铵盐干粉灭火器，备用于液态物质燃烧产生的火灾灭火</w:t>
                  </w:r>
                </w:p>
              </w:tc>
              <w:tc>
                <w:tcPr>
                  <w:tcW w:w="902" w:type="pct"/>
                  <w:tcBorders>
                    <w:top w:val="single" w:color="000000" w:sz="4" w:space="0"/>
                    <w:left w:val="nil"/>
                    <w:right w:val="single" w:color="000000" w:sz="4" w:space="0"/>
                  </w:tcBorders>
                  <w:noWrap w:val="0"/>
                  <w:vAlign w:val="center"/>
                </w:tcPr>
                <w:p>
                  <w:pPr>
                    <w:widowControl/>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2.0</w:t>
                  </w:r>
                </w:p>
              </w:tc>
            </w:tr>
            <w:tr>
              <w:tblPrEx>
                <w:tblCellMar>
                  <w:top w:w="0" w:type="dxa"/>
                  <w:left w:w="108" w:type="dxa"/>
                  <w:bottom w:w="0" w:type="dxa"/>
                  <w:right w:w="108" w:type="dxa"/>
                </w:tblCellMar>
              </w:tblPrEx>
              <w:trPr>
                <w:trHeight w:val="196" w:hRule="atLeast"/>
                <w:jc w:val="center"/>
              </w:trPr>
              <w:tc>
                <w:tcPr>
                  <w:tcW w:w="706" w:type="pct"/>
                  <w:vMerge w:val="continue"/>
                  <w:tcBorders>
                    <w:left w:val="single" w:color="000000" w:sz="4" w:space="0"/>
                    <w:bottom w:val="single" w:color="000000" w:sz="4" w:space="0"/>
                    <w:right w:val="single" w:color="auto" w:sz="4" w:space="0"/>
                  </w:tcBorders>
                  <w:noWrap w:val="0"/>
                  <w:vAlign w:val="center"/>
                </w:tcPr>
                <w:p>
                  <w:pPr>
                    <w:widowControl/>
                    <w:snapToGrid w:val="0"/>
                    <w:jc w:val="center"/>
                    <w:rPr>
                      <w:rFonts w:hint="default" w:ascii="Times New Roman" w:hAnsi="Times New Roman" w:cs="Times New Roman"/>
                      <w:color w:val="000000"/>
                      <w:kern w:val="0"/>
                      <w:szCs w:val="21"/>
                      <w:highlight w:val="yellow"/>
                    </w:rPr>
                  </w:pPr>
                </w:p>
              </w:tc>
              <w:tc>
                <w:tcPr>
                  <w:tcW w:w="3391" w:type="pct"/>
                  <w:tcBorders>
                    <w:top w:val="single" w:color="000000" w:sz="4" w:space="0"/>
                    <w:left w:val="single" w:color="auto" w:sz="4" w:space="0"/>
                    <w:bottom w:val="single" w:color="000000" w:sz="4" w:space="0"/>
                    <w:right w:val="single" w:color="000000" w:sz="4" w:space="0"/>
                  </w:tcBorders>
                  <w:noWrap w:val="0"/>
                  <w:vAlign w:val="center"/>
                </w:tcPr>
                <w:p>
                  <w:pPr>
                    <w:pStyle w:val="40"/>
                    <w:ind w:firstLine="420"/>
                    <w:jc w:val="center"/>
                    <w:rPr>
                      <w:rFonts w:hint="default" w:ascii="Times New Roman" w:hAnsi="Times New Roman" w:cs="Times New Roman"/>
                      <w:color w:val="000000"/>
                    </w:rPr>
                  </w:pPr>
                  <w:r>
                    <w:rPr>
                      <w:rFonts w:hint="default" w:ascii="Times New Roman" w:hAnsi="Times New Roman" w:cs="Times New Roman"/>
                      <w:color w:val="000000"/>
                    </w:rPr>
                    <w:t>利用</w:t>
                  </w:r>
                  <w:r>
                    <w:rPr>
                      <w:rFonts w:hint="default" w:ascii="Times New Roman" w:hAnsi="Times New Roman" w:cs="Times New Roman"/>
                      <w:color w:val="000000"/>
                      <w:lang w:eastAsia="zh-CN"/>
                    </w:rPr>
                    <w:t>蓬溪县上游工业园</w:t>
                  </w:r>
                  <w:r>
                    <w:rPr>
                      <w:rFonts w:hint="default" w:ascii="Times New Roman" w:hAnsi="Times New Roman" w:cs="Times New Roman"/>
                      <w:color w:val="000000"/>
                    </w:rPr>
                    <w:t>已有的消防给水管网，保证厂区消防给水</w:t>
                  </w:r>
                </w:p>
              </w:tc>
              <w:tc>
                <w:tcPr>
                  <w:tcW w:w="902" w:type="pct"/>
                  <w:tcBorders>
                    <w:top w:val="single" w:color="000000" w:sz="4" w:space="0"/>
                    <w:left w:val="nil"/>
                    <w:bottom w:val="single" w:color="000000" w:sz="4" w:space="0"/>
                    <w:right w:val="single" w:color="000000" w:sz="4" w:space="0"/>
                  </w:tcBorders>
                  <w:noWrap w:val="0"/>
                  <w:vAlign w:val="center"/>
                </w:tcPr>
                <w:p>
                  <w:pPr>
                    <w:widowControl/>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利用</w:t>
                  </w:r>
                </w:p>
              </w:tc>
            </w:tr>
            <w:tr>
              <w:tblPrEx>
                <w:tblCellMar>
                  <w:top w:w="0" w:type="dxa"/>
                  <w:left w:w="108" w:type="dxa"/>
                  <w:bottom w:w="0" w:type="dxa"/>
                  <w:right w:w="108" w:type="dxa"/>
                </w:tblCellMar>
              </w:tblPrEx>
              <w:trPr>
                <w:trHeight w:val="940" w:hRule="atLeast"/>
                <w:jc w:val="center"/>
              </w:trPr>
              <w:tc>
                <w:tcPr>
                  <w:tcW w:w="706" w:type="pct"/>
                  <w:tcBorders>
                    <w:top w:val="single" w:color="000000" w:sz="4" w:space="0"/>
                    <w:left w:val="single" w:color="000000" w:sz="4" w:space="0"/>
                    <w:right w:val="single" w:color="auto" w:sz="4" w:space="0"/>
                  </w:tcBorders>
                  <w:noWrap w:val="0"/>
                  <w:vAlign w:val="center"/>
                </w:tcPr>
                <w:p>
                  <w:pPr>
                    <w:widowControl/>
                    <w:snapToGrid w:val="0"/>
                    <w:jc w:val="center"/>
                    <w:rPr>
                      <w:rFonts w:hint="default" w:ascii="Times New Roman" w:hAnsi="Times New Roman" w:cs="Times New Roman"/>
                      <w:color w:val="000000"/>
                      <w:spacing w:val="6"/>
                      <w:kern w:val="0"/>
                      <w:szCs w:val="21"/>
                      <w:highlight w:val="yellow"/>
                    </w:rPr>
                  </w:pPr>
                  <w:r>
                    <w:rPr>
                      <w:rFonts w:hint="default" w:ascii="Times New Roman" w:hAnsi="Times New Roman" w:cs="Times New Roman"/>
                      <w:color w:val="000000"/>
                      <w:spacing w:val="6"/>
                      <w:kern w:val="0"/>
                      <w:szCs w:val="21"/>
                    </w:rPr>
                    <w:t>泄露风险</w:t>
                  </w:r>
                </w:p>
              </w:tc>
              <w:tc>
                <w:tcPr>
                  <w:tcW w:w="3391" w:type="pct"/>
                  <w:tcBorders>
                    <w:top w:val="single" w:color="000000" w:sz="4" w:space="0"/>
                    <w:left w:val="single" w:color="auto" w:sz="4" w:space="0"/>
                    <w:right w:val="single" w:color="000000" w:sz="4" w:space="0"/>
                  </w:tcBorders>
                  <w:noWrap w:val="0"/>
                  <w:vAlign w:val="center"/>
                </w:tcPr>
                <w:p>
                  <w:pPr>
                    <w:snapToGrid w:val="0"/>
                    <w:jc w:val="center"/>
                    <w:rPr>
                      <w:rFonts w:hint="default" w:ascii="Times New Roman" w:hAnsi="Times New Roman" w:cs="Times New Roman"/>
                      <w:color w:val="000000"/>
                      <w:spacing w:val="6"/>
                      <w:kern w:val="0"/>
                      <w:szCs w:val="21"/>
                      <w:highlight w:val="yellow"/>
                    </w:rPr>
                  </w:pPr>
                  <w:r>
                    <w:rPr>
                      <w:rFonts w:hint="default" w:ascii="Times New Roman" w:hAnsi="Times New Roman" w:cs="Times New Roman"/>
                      <w:color w:val="000000"/>
                    </w:rPr>
                    <w:t>危险废物暂存间地面</w:t>
                  </w:r>
                  <w:r>
                    <w:rPr>
                      <w:rFonts w:hint="default" w:ascii="Times New Roman" w:hAnsi="Times New Roman" w:cs="Times New Roman"/>
                    </w:rPr>
                    <w:t>下方设置防漏托盘（防漏托盘四周高度约10cm），同时设置空桶收集</w:t>
                  </w:r>
                </w:p>
              </w:tc>
              <w:tc>
                <w:tcPr>
                  <w:tcW w:w="902" w:type="pct"/>
                  <w:tcBorders>
                    <w:top w:val="single" w:color="000000" w:sz="4" w:space="0"/>
                    <w:left w:val="nil"/>
                    <w:right w:val="single" w:color="000000" w:sz="4" w:space="0"/>
                  </w:tcBorders>
                  <w:noWrap w:val="0"/>
                  <w:vAlign w:val="center"/>
                </w:tcPr>
                <w:p>
                  <w:pPr>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计入地下水污染防治措施</w:t>
                  </w:r>
                </w:p>
              </w:tc>
            </w:tr>
            <w:tr>
              <w:tblPrEx>
                <w:tblCellMar>
                  <w:top w:w="0" w:type="dxa"/>
                  <w:left w:w="108" w:type="dxa"/>
                  <w:bottom w:w="0" w:type="dxa"/>
                  <w:right w:w="108" w:type="dxa"/>
                </w:tblCellMar>
              </w:tblPrEx>
              <w:trPr>
                <w:jc w:val="center"/>
              </w:trPr>
              <w:tc>
                <w:tcPr>
                  <w:tcW w:w="4097" w:type="pct"/>
                  <w:gridSpan w:val="2"/>
                  <w:tcBorders>
                    <w:top w:val="single" w:color="000000" w:sz="4" w:space="0"/>
                    <w:left w:val="single" w:color="000000" w:sz="4" w:space="0"/>
                    <w:bottom w:val="single" w:color="000000" w:sz="4" w:space="0"/>
                    <w:right w:val="single" w:color="000000" w:sz="4" w:space="0"/>
                  </w:tcBorders>
                  <w:noWrap w:val="0"/>
                  <w:vAlign w:val="center"/>
                </w:tcPr>
                <w:p>
                  <w:pPr>
                    <w:widowControl/>
                    <w:snapToGrid w:val="0"/>
                    <w:jc w:val="center"/>
                    <w:rPr>
                      <w:rFonts w:hint="default" w:ascii="Times New Roman" w:hAnsi="Times New Roman" w:cs="Times New Roman"/>
                      <w:color w:val="000000"/>
                      <w:spacing w:val="6"/>
                      <w:kern w:val="0"/>
                      <w:szCs w:val="21"/>
                    </w:rPr>
                  </w:pPr>
                  <w:r>
                    <w:rPr>
                      <w:rFonts w:hint="default" w:ascii="Times New Roman" w:hAnsi="Times New Roman" w:cs="Times New Roman"/>
                      <w:color w:val="000000"/>
                      <w:spacing w:val="6"/>
                      <w:kern w:val="0"/>
                      <w:szCs w:val="21"/>
                    </w:rPr>
                    <w:t>总计</w:t>
                  </w:r>
                </w:p>
              </w:tc>
              <w:tc>
                <w:tcPr>
                  <w:tcW w:w="902" w:type="pct"/>
                  <w:tcBorders>
                    <w:top w:val="single" w:color="000000" w:sz="4" w:space="0"/>
                    <w:left w:val="nil"/>
                    <w:bottom w:val="single" w:color="000000" w:sz="4" w:space="0"/>
                    <w:right w:val="single" w:color="000000" w:sz="4" w:space="0"/>
                  </w:tcBorders>
                  <w:noWrap w:val="0"/>
                  <w:vAlign w:val="center"/>
                </w:tcPr>
                <w:p>
                  <w:pPr>
                    <w:widowControl/>
                    <w:snapToGrid w:val="0"/>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2.0</w:t>
                  </w:r>
                </w:p>
              </w:tc>
            </w:tr>
          </w:tbl>
          <w:p>
            <w:pPr>
              <w:spacing w:line="360" w:lineRule="auto"/>
              <w:rPr>
                <w:rFonts w:hint="default" w:ascii="Times New Roman" w:hAnsi="Times New Roman" w:cs="Times New Roman"/>
                <w:b/>
                <w:sz w:val="28"/>
                <w:szCs w:val="28"/>
                <w:lang w:val="zh-CN"/>
              </w:rPr>
            </w:pPr>
            <w:r>
              <w:rPr>
                <w:rFonts w:hint="default" w:ascii="Times New Roman" w:hAnsi="Times New Roman" w:cs="Times New Roman"/>
                <w:b/>
                <w:sz w:val="28"/>
                <w:szCs w:val="28"/>
                <w:lang w:val="zh-CN"/>
              </w:rPr>
              <w:t>六、环保投资估算</w:t>
            </w:r>
          </w:p>
          <w:p>
            <w:pPr>
              <w:spacing w:line="360" w:lineRule="auto"/>
              <w:ind w:firstLine="470" w:firstLineChars="196"/>
              <w:rPr>
                <w:rFonts w:hint="default" w:ascii="Times New Roman" w:hAnsi="Times New Roman" w:cs="Times New Roman"/>
                <w:sz w:val="24"/>
              </w:rPr>
            </w:pPr>
            <w:r>
              <w:rPr>
                <w:rFonts w:hint="default" w:ascii="Times New Roman" w:hAnsi="Times New Roman" w:cs="Times New Roman"/>
                <w:sz w:val="24"/>
              </w:rPr>
              <w:t>拟建工程环保投资为</w:t>
            </w:r>
            <w:r>
              <w:rPr>
                <w:rFonts w:hint="default" w:ascii="Times New Roman" w:hAnsi="Times New Roman" w:cs="Times New Roman"/>
                <w:sz w:val="24"/>
                <w:lang w:val="en-US" w:eastAsia="zh-CN"/>
              </w:rPr>
              <w:t>10</w:t>
            </w:r>
            <w:r>
              <w:rPr>
                <w:rFonts w:hint="eastAsia" w:cs="Times New Roman"/>
                <w:sz w:val="24"/>
                <w:lang w:val="en-US" w:eastAsia="zh-CN"/>
              </w:rPr>
              <w:t>0</w:t>
            </w:r>
            <w:r>
              <w:rPr>
                <w:rFonts w:hint="default" w:ascii="Times New Roman" w:hAnsi="Times New Roman" w:cs="Times New Roman"/>
                <w:sz w:val="24"/>
                <w:lang w:val="en-US" w:eastAsia="zh-CN"/>
              </w:rPr>
              <w:t>0</w:t>
            </w:r>
            <w:r>
              <w:rPr>
                <w:rFonts w:hint="default" w:ascii="Times New Roman" w:hAnsi="Times New Roman" w:cs="Times New Roman"/>
                <w:sz w:val="24"/>
              </w:rPr>
              <w:t>万元，占工程总投资的</w:t>
            </w:r>
            <w:r>
              <w:rPr>
                <w:rFonts w:hint="default" w:ascii="Times New Roman" w:hAnsi="Times New Roman" w:cs="Times New Roman"/>
                <w:sz w:val="24"/>
                <w:lang w:val="en-US" w:eastAsia="zh-CN"/>
              </w:rPr>
              <w:t>31</w:t>
            </w:r>
            <w:r>
              <w:rPr>
                <w:rFonts w:hint="default" w:ascii="Times New Roman" w:hAnsi="Times New Roman" w:cs="Times New Roman"/>
                <w:sz w:val="24"/>
              </w:rPr>
              <w:t>%。本项目环保措施及投资估算见</w:t>
            </w:r>
            <w:r>
              <w:rPr>
                <w:rFonts w:hint="eastAsia" w:ascii="Times New Roman" w:hAnsi="Times New Roman" w:cs="Times New Roman"/>
                <w:sz w:val="24"/>
                <w:lang w:val="en-US" w:eastAsia="zh-CN"/>
              </w:rPr>
              <w:t>下</w:t>
            </w:r>
            <w:r>
              <w:rPr>
                <w:rFonts w:hint="default" w:ascii="Times New Roman" w:hAnsi="Times New Roman" w:cs="Times New Roman"/>
                <w:sz w:val="24"/>
              </w:rPr>
              <w:t>表。</w:t>
            </w:r>
          </w:p>
          <w:p>
            <w:pPr>
              <w:adjustRightInd w:val="0"/>
              <w:spacing w:line="360" w:lineRule="auto"/>
              <w:jc w:val="center"/>
              <w:textAlignment w:val="baseline"/>
              <w:rPr>
                <w:rFonts w:hint="default" w:ascii="Times New Roman" w:hAnsi="Times New Roman" w:cs="Times New Roman"/>
                <w:b/>
                <w:szCs w:val="21"/>
              </w:rPr>
            </w:pPr>
            <w:r>
              <w:rPr>
                <w:rFonts w:hint="default" w:ascii="Times New Roman" w:hAnsi="Times New Roman" w:cs="Times New Roman"/>
                <w:b/>
                <w:szCs w:val="21"/>
              </w:rPr>
              <w:t>表</w:t>
            </w:r>
            <w:r>
              <w:rPr>
                <w:rFonts w:hint="eastAsia" w:ascii="Times New Roman" w:hAnsi="Times New Roman" w:cs="Times New Roman"/>
                <w:b/>
                <w:szCs w:val="21"/>
                <w:lang w:val="en-US" w:eastAsia="zh-CN"/>
              </w:rPr>
              <w:t>4-18</w:t>
            </w:r>
            <w:r>
              <w:rPr>
                <w:rFonts w:hint="default" w:ascii="Times New Roman" w:hAnsi="Times New Roman" w:cs="Times New Roman"/>
                <w:b/>
                <w:szCs w:val="21"/>
              </w:rPr>
              <w:t xml:space="preserve">   本工程环保总投资估算表     单位：万元</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959"/>
              <w:gridCol w:w="3847"/>
              <w:gridCol w:w="1483"/>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49" w:type="pct"/>
                  <w:gridSpan w:val="2"/>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项目</w:t>
                  </w:r>
                </w:p>
              </w:tc>
              <w:tc>
                <w:tcPr>
                  <w:tcW w:w="2478" w:type="pct"/>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内容</w:t>
                  </w:r>
                </w:p>
              </w:tc>
              <w:tc>
                <w:tcPr>
                  <w:tcW w:w="955" w:type="pct"/>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投资（万元）</w:t>
                  </w:r>
                </w:p>
              </w:tc>
              <w:tc>
                <w:tcPr>
                  <w:tcW w:w="616" w:type="pct"/>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restart"/>
                  <w:tcBorders>
                    <w:right w:val="single" w:color="auto" w:sz="6"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营运期</w:t>
                  </w:r>
                </w:p>
                <w:p>
                  <w:pPr>
                    <w:jc w:val="center"/>
                    <w:rPr>
                      <w:rFonts w:hint="default" w:ascii="Times New Roman" w:hAnsi="Times New Roman" w:cs="Times New Roman"/>
                      <w:szCs w:val="21"/>
                    </w:rPr>
                  </w:pPr>
                </w:p>
                <w:p>
                  <w:pPr>
                    <w:jc w:val="center"/>
                    <w:rPr>
                      <w:rFonts w:hint="default" w:ascii="Times New Roman" w:hAnsi="Times New Roman" w:cs="Times New Roman"/>
                      <w:szCs w:val="21"/>
                    </w:rPr>
                  </w:pPr>
                </w:p>
                <w:p>
                  <w:pPr>
                    <w:jc w:val="center"/>
                    <w:rPr>
                      <w:rFonts w:hint="default" w:ascii="Times New Roman" w:hAnsi="Times New Roman" w:cs="Times New Roman"/>
                      <w:szCs w:val="21"/>
                    </w:rPr>
                  </w:pPr>
                </w:p>
              </w:tc>
              <w:tc>
                <w:tcPr>
                  <w:tcW w:w="617" w:type="pct"/>
                  <w:vMerge w:val="restart"/>
                  <w:tcBorders>
                    <w:left w:val="single" w:color="auto" w:sz="6"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废水治理</w:t>
                  </w:r>
                </w:p>
              </w:tc>
              <w:tc>
                <w:tcPr>
                  <w:tcW w:w="2478" w:type="pct"/>
                  <w:tcBorders>
                    <w:bottom w:val="single" w:color="auto" w:sz="4" w:space="0"/>
                  </w:tcBorders>
                  <w:noWrap w:val="0"/>
                  <w:vAlign w:val="center"/>
                </w:tcPr>
                <w:p>
                  <w:pPr>
                    <w:jc w:val="center"/>
                    <w:rPr>
                      <w:rFonts w:hint="default" w:ascii="Times New Roman" w:hAnsi="Times New Roman" w:cs="Times New Roman"/>
                      <w:b/>
                      <w:szCs w:val="21"/>
                    </w:rPr>
                  </w:pPr>
                  <w:r>
                    <w:rPr>
                      <w:rFonts w:hint="default" w:ascii="Times New Roman" w:hAnsi="Times New Roman" w:cs="Times New Roman"/>
                      <w:szCs w:val="21"/>
                    </w:rPr>
                    <w:t>污水预处理池：</w:t>
                  </w:r>
                  <w:r>
                    <w:rPr>
                      <w:rFonts w:hint="default" w:ascii="Times New Roman" w:hAnsi="Times New Roman" w:cs="Times New Roman"/>
                      <w:color w:val="000000"/>
                      <w:szCs w:val="21"/>
                    </w:rPr>
                    <w:t>依托标准厂房</w:t>
                  </w:r>
                  <w:r>
                    <w:rPr>
                      <w:rFonts w:hint="default" w:ascii="Times New Roman" w:hAnsi="Times New Roman" w:cs="Times New Roman"/>
                      <w:kern w:val="0"/>
                      <w:szCs w:val="21"/>
                    </w:rPr>
                    <w:t>已建的1座</w:t>
                  </w:r>
                  <w:r>
                    <w:rPr>
                      <w:rFonts w:hint="default" w:ascii="Times New Roman" w:hAnsi="Times New Roman" w:cs="Times New Roman"/>
                      <w:color w:val="000000"/>
                      <w:szCs w:val="21"/>
                    </w:rPr>
                    <w:t>化污水预处理池，容积为20m</w:t>
                  </w:r>
                  <w:r>
                    <w:rPr>
                      <w:rFonts w:hint="default" w:ascii="Times New Roman" w:hAnsi="Times New Roman" w:cs="Times New Roman"/>
                      <w:color w:val="000000"/>
                      <w:szCs w:val="21"/>
                      <w:vertAlign w:val="superscript"/>
                    </w:rPr>
                    <w:t>3</w:t>
                  </w:r>
                </w:p>
              </w:tc>
              <w:tc>
                <w:tcPr>
                  <w:tcW w:w="955" w:type="pct"/>
                  <w:tcBorders>
                    <w:bottom w:val="single" w:color="auto" w:sz="4"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6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1" w:type="pct"/>
                  <w:vMerge w:val="continue"/>
                  <w:tcBorders>
                    <w:right w:val="single" w:color="auto" w:sz="6" w:space="0"/>
                  </w:tcBorders>
                  <w:noWrap w:val="0"/>
                  <w:vAlign w:val="center"/>
                </w:tcPr>
                <w:p>
                  <w:pPr>
                    <w:jc w:val="center"/>
                    <w:rPr>
                      <w:rFonts w:hint="default" w:ascii="Times New Roman" w:hAnsi="Times New Roman" w:cs="Times New Roman"/>
                      <w:szCs w:val="21"/>
                    </w:rPr>
                  </w:pPr>
                </w:p>
              </w:tc>
              <w:tc>
                <w:tcPr>
                  <w:tcW w:w="617" w:type="pct"/>
                  <w:vMerge w:val="continue"/>
                  <w:tcBorders>
                    <w:left w:val="single" w:color="auto" w:sz="6" w:space="0"/>
                  </w:tcBorders>
                  <w:noWrap w:val="0"/>
                  <w:vAlign w:val="center"/>
                </w:tcPr>
                <w:p>
                  <w:pPr>
                    <w:jc w:val="center"/>
                    <w:rPr>
                      <w:rFonts w:hint="default" w:ascii="Times New Roman" w:hAnsi="Times New Roman" w:cs="Times New Roman"/>
                      <w:szCs w:val="21"/>
                    </w:rPr>
                  </w:pPr>
                </w:p>
              </w:tc>
              <w:tc>
                <w:tcPr>
                  <w:tcW w:w="2478" w:type="pct"/>
                  <w:tcBorders>
                    <w:bottom w:val="single" w:color="auto" w:sz="4" w:space="0"/>
                  </w:tcBorders>
                  <w:noWrap w:val="0"/>
                  <w:vAlign w:val="center"/>
                </w:tcPr>
                <w:p>
                  <w:pPr>
                    <w:jc w:val="center"/>
                    <w:rPr>
                      <w:rFonts w:hint="default" w:ascii="Times New Roman" w:hAnsi="Times New Roman" w:cs="Times New Roman"/>
                      <w:szCs w:val="21"/>
                    </w:rPr>
                  </w:pPr>
                  <w:r>
                    <w:rPr>
                      <w:rFonts w:hint="eastAsia" w:hAnsi="宋体"/>
                      <w:color w:val="000000"/>
                      <w:szCs w:val="21"/>
                    </w:rPr>
                    <w:t>碱喷淋废水经酸碱中和处理</w:t>
                  </w:r>
                </w:p>
              </w:tc>
              <w:tc>
                <w:tcPr>
                  <w:tcW w:w="955" w:type="pct"/>
                  <w:tcBorders>
                    <w:bottom w:val="single" w:color="auto" w:sz="4" w:space="0"/>
                  </w:tcBorders>
                  <w:noWrap w:val="0"/>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0.5</w:t>
                  </w:r>
                </w:p>
              </w:tc>
              <w:tc>
                <w:tcPr>
                  <w:tcW w:w="6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新</w:t>
                  </w:r>
                  <w:r>
                    <w:rPr>
                      <w:rFonts w:hint="eastAsia" w:cs="Times New Roman"/>
                      <w:szCs w:val="21"/>
                      <w:lang w:val="en-US"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1" w:type="pct"/>
                  <w:vMerge w:val="continue"/>
                  <w:tcBorders>
                    <w:right w:val="single" w:color="auto" w:sz="6" w:space="0"/>
                  </w:tcBorders>
                  <w:noWrap w:val="0"/>
                  <w:vAlign w:val="center"/>
                </w:tcPr>
                <w:p>
                  <w:pPr>
                    <w:jc w:val="center"/>
                    <w:rPr>
                      <w:rFonts w:hint="default" w:ascii="Times New Roman" w:hAnsi="Times New Roman" w:cs="Times New Roman"/>
                      <w:szCs w:val="21"/>
                    </w:rPr>
                  </w:pPr>
                </w:p>
              </w:tc>
              <w:tc>
                <w:tcPr>
                  <w:tcW w:w="617" w:type="pct"/>
                  <w:vMerge w:val="restart"/>
                  <w:tcBorders>
                    <w:left w:val="single" w:color="auto" w:sz="6"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废气治理</w:t>
                  </w:r>
                </w:p>
              </w:tc>
              <w:tc>
                <w:tcPr>
                  <w:tcW w:w="2478" w:type="pct"/>
                  <w:tcBorders>
                    <w:bottom w:val="single" w:color="auto" w:sz="4" w:space="0"/>
                  </w:tcBorders>
                  <w:noWrap w:val="0"/>
                  <w:vAlign w:val="center"/>
                </w:tcPr>
                <w:p>
                  <w:pPr>
                    <w:tabs>
                      <w:tab w:val="left" w:pos="4860"/>
                    </w:tabs>
                    <w:snapToGrid w:val="0"/>
                    <w:ind w:firstLine="420" w:firstLineChars="200"/>
                    <w:rPr>
                      <w:rFonts w:hint="default" w:ascii="Times New Roman" w:hAnsi="Times New Roman" w:cs="Times New Roman"/>
                      <w:szCs w:val="21"/>
                    </w:rPr>
                  </w:pPr>
                  <w:r>
                    <w:rPr>
                      <w:rFonts w:hint="default" w:ascii="Times New Roman" w:hAnsi="Times New Roman" w:cs="Times New Roman"/>
                      <w:color w:val="000000"/>
                      <w:szCs w:val="21"/>
                    </w:rPr>
                    <w:t>有机废气：</w:t>
                  </w:r>
                  <w:r>
                    <w:rPr>
                      <w:rFonts w:hint="default" w:ascii="Times New Roman" w:hAnsi="Times New Roman" w:cs="Times New Roman"/>
                      <w:bCs/>
                      <w:color w:val="000000"/>
                      <w:szCs w:val="21"/>
                      <w:highlight w:val="none"/>
                    </w:rPr>
                    <w:t>在</w:t>
                  </w:r>
                  <w:r>
                    <w:rPr>
                      <w:rFonts w:hint="default" w:ascii="Times New Roman" w:hAnsi="Times New Roman" w:cs="Times New Roman"/>
                      <w:bCs/>
                      <w:color w:val="000000"/>
                      <w:szCs w:val="21"/>
                      <w:highlight w:val="none"/>
                      <w:lang w:val="en-US" w:eastAsia="zh-CN"/>
                    </w:rPr>
                    <w:t>8</w:t>
                  </w:r>
                  <w:r>
                    <w:rPr>
                      <w:rFonts w:hint="default" w:ascii="Times New Roman" w:hAnsi="Times New Roman" w:cs="Times New Roman"/>
                      <w:bCs/>
                      <w:color w:val="000000"/>
                      <w:szCs w:val="21"/>
                      <w:highlight w:val="none"/>
                    </w:rPr>
                    <w:t>套PVC挤塑机挤塑主机出口上方、</w:t>
                  </w:r>
                  <w:r>
                    <w:rPr>
                      <w:rFonts w:hint="default" w:ascii="Times New Roman" w:hAnsi="Times New Roman" w:cs="Times New Roman"/>
                      <w:bCs/>
                      <w:color w:val="000000"/>
                      <w:szCs w:val="21"/>
                      <w:highlight w:val="none"/>
                      <w:lang w:val="en-US" w:eastAsia="zh-CN"/>
                    </w:rPr>
                    <w:t>2套</w:t>
                  </w:r>
                  <w:r>
                    <w:rPr>
                      <w:rFonts w:hint="default" w:ascii="Times New Roman" w:hAnsi="Times New Roman" w:cs="Times New Roman"/>
                      <w:bCs/>
                      <w:color w:val="000000"/>
                      <w:szCs w:val="21"/>
                      <w:highlight w:val="none"/>
                    </w:rPr>
                    <w:t>PPR挤塑机挤塑主机出口上方、</w:t>
                  </w:r>
                  <w:r>
                    <w:rPr>
                      <w:rFonts w:hint="default" w:ascii="Times New Roman" w:hAnsi="Times New Roman" w:cs="Times New Roman"/>
                      <w:bCs/>
                      <w:color w:val="000000"/>
                      <w:szCs w:val="21"/>
                      <w:highlight w:val="none"/>
                      <w:lang w:val="en-US" w:eastAsia="zh-CN"/>
                    </w:rPr>
                    <w:t>3</w:t>
                  </w:r>
                  <w:r>
                    <w:rPr>
                      <w:rFonts w:hint="default" w:ascii="Times New Roman" w:hAnsi="Times New Roman" w:cs="Times New Roman"/>
                      <w:bCs/>
                      <w:color w:val="000000"/>
                      <w:szCs w:val="21"/>
                      <w:highlight w:val="none"/>
                    </w:rPr>
                    <w:t>套PE挤塑机挤塑主机出口上方、</w:t>
                  </w:r>
                  <w:r>
                    <w:rPr>
                      <w:rFonts w:hint="default" w:ascii="Times New Roman" w:hAnsi="Times New Roman" w:cs="Times New Roman"/>
                      <w:bCs/>
                      <w:color w:val="000000"/>
                      <w:szCs w:val="21"/>
                      <w:highlight w:val="none"/>
                      <w:lang w:val="en-US" w:eastAsia="zh-CN"/>
                    </w:rPr>
                    <w:t>10</w:t>
                  </w:r>
                  <w:r>
                    <w:rPr>
                      <w:rFonts w:hint="default" w:ascii="Times New Roman" w:hAnsi="Times New Roman" w:cs="Times New Roman"/>
                      <w:bCs/>
                      <w:color w:val="000000"/>
                      <w:szCs w:val="21"/>
                      <w:highlight w:val="none"/>
                    </w:rPr>
                    <w:t>台注塑机注塑工序上方分别设置集气罩</w:t>
                  </w:r>
                  <w:r>
                    <w:rPr>
                      <w:rFonts w:hint="default" w:ascii="Times New Roman" w:hAnsi="Times New Roman" w:cs="Times New Roman"/>
                      <w:szCs w:val="21"/>
                      <w:highlight w:val="none"/>
                    </w:rPr>
                    <w:t>。有机废气</w:t>
                  </w:r>
                  <w:r>
                    <w:rPr>
                      <w:rFonts w:hint="default" w:ascii="Times New Roman" w:hAnsi="Times New Roman" w:cs="Times New Roman"/>
                      <w:bCs/>
                      <w:szCs w:val="21"/>
                      <w:highlight w:val="none"/>
                    </w:rPr>
                    <w:t>引入一根主管道引至车间外的</w:t>
                  </w:r>
                  <w:r>
                    <w:rPr>
                      <w:rFonts w:hint="default" w:ascii="Times New Roman" w:hAnsi="Times New Roman" w:cs="Times New Roman"/>
                      <w:szCs w:val="21"/>
                      <w:highlight w:val="none"/>
                    </w:rPr>
                    <w:t>1套有机废气处理系统（“UV光解+二级活性炭吸附装置”）处理后通过1根15m排气筒排放（</w:t>
                  </w:r>
                  <w:r>
                    <w:rPr>
                      <w:rFonts w:hint="default" w:ascii="Times New Roman" w:hAnsi="Times New Roman" w:cs="Times New Roman"/>
                      <w:bCs/>
                      <w:color w:val="000000"/>
                      <w:szCs w:val="21"/>
                      <w:highlight w:val="none"/>
                    </w:rPr>
                    <w:t>编号</w:t>
                  </w:r>
                  <w:r>
                    <w:rPr>
                      <w:rFonts w:hint="default" w:ascii="Times New Roman" w:hAnsi="Times New Roman" w:cs="Times New Roman"/>
                      <w:bCs/>
                      <w:color w:val="000000"/>
                      <w:szCs w:val="21"/>
                      <w:highlight w:val="none"/>
                      <w:lang w:val="en-US" w:eastAsia="zh-CN"/>
                    </w:rPr>
                    <w:t>DA00</w:t>
                  </w:r>
                  <w:r>
                    <w:rPr>
                      <w:rFonts w:hint="default" w:ascii="Times New Roman" w:hAnsi="Times New Roman" w:cs="Times New Roman"/>
                      <w:bCs/>
                      <w:color w:val="000000"/>
                      <w:szCs w:val="21"/>
                      <w:highlight w:val="none"/>
                    </w:rPr>
                    <w:t>1</w:t>
                  </w:r>
                  <w:r>
                    <w:rPr>
                      <w:rFonts w:hint="default" w:ascii="Times New Roman" w:hAnsi="Times New Roman" w:cs="Times New Roman"/>
                      <w:szCs w:val="21"/>
                      <w:highlight w:val="none"/>
                    </w:rPr>
                    <w:t>）</w:t>
                  </w:r>
                </w:p>
              </w:tc>
              <w:tc>
                <w:tcPr>
                  <w:tcW w:w="955" w:type="pct"/>
                  <w:noWrap w:val="0"/>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15</w:t>
                  </w:r>
                </w:p>
              </w:tc>
              <w:tc>
                <w:tcPr>
                  <w:tcW w:w="616" w:type="pct"/>
                  <w:noWrap w:val="0"/>
                  <w:vAlign w:val="center"/>
                </w:tcPr>
                <w:p>
                  <w:pPr>
                    <w:jc w:val="center"/>
                    <w:rPr>
                      <w:rFonts w:hint="eastAsia" w:ascii="Times New Roman" w:hAnsi="Times New Roman" w:eastAsia="宋体" w:cs="Times New Roman"/>
                      <w:szCs w:val="21"/>
                      <w:lang w:eastAsia="zh-CN"/>
                    </w:rPr>
                  </w:pPr>
                  <w:r>
                    <w:rPr>
                      <w:rFonts w:hint="default" w:ascii="Times New Roman" w:hAnsi="Times New Roman" w:cs="Times New Roman"/>
                      <w:szCs w:val="21"/>
                    </w:rPr>
                    <w:t>新</w:t>
                  </w:r>
                  <w:r>
                    <w:rPr>
                      <w:rFonts w:hint="eastAsia" w:cs="Times New Roman"/>
                      <w:szCs w:val="21"/>
                      <w:lang w:val="en-US"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continue"/>
                  <w:tcBorders>
                    <w:right w:val="single" w:color="auto" w:sz="6" w:space="0"/>
                  </w:tcBorders>
                  <w:noWrap w:val="0"/>
                  <w:vAlign w:val="center"/>
                </w:tcPr>
                <w:p>
                  <w:pPr>
                    <w:jc w:val="center"/>
                    <w:rPr>
                      <w:rFonts w:hint="default" w:ascii="Times New Roman" w:hAnsi="Times New Roman" w:cs="Times New Roman"/>
                      <w:szCs w:val="21"/>
                    </w:rPr>
                  </w:pPr>
                </w:p>
              </w:tc>
              <w:tc>
                <w:tcPr>
                  <w:tcW w:w="617" w:type="pct"/>
                  <w:vMerge w:val="continue"/>
                  <w:tcBorders>
                    <w:left w:val="single" w:color="auto" w:sz="6" w:space="0"/>
                  </w:tcBorders>
                  <w:noWrap w:val="0"/>
                  <w:vAlign w:val="center"/>
                </w:tcPr>
                <w:p>
                  <w:pPr>
                    <w:jc w:val="center"/>
                    <w:rPr>
                      <w:rFonts w:hint="default" w:ascii="Times New Roman" w:hAnsi="Times New Roman" w:cs="Times New Roman"/>
                      <w:szCs w:val="21"/>
                    </w:rPr>
                  </w:pPr>
                </w:p>
              </w:tc>
              <w:tc>
                <w:tcPr>
                  <w:tcW w:w="2478" w:type="pct"/>
                  <w:noWrap w:val="0"/>
                  <w:vAlign w:val="center"/>
                </w:tcPr>
                <w:p>
                  <w:pPr>
                    <w:snapToGrid w:val="0"/>
                    <w:ind w:firstLine="411" w:firstLineChars="196"/>
                    <w:rPr>
                      <w:rFonts w:hint="default" w:ascii="Times New Roman" w:hAnsi="Times New Roman" w:cs="Times New Roman"/>
                      <w:color w:val="000000"/>
                      <w:szCs w:val="21"/>
                    </w:rPr>
                  </w:pPr>
                  <w:r>
                    <w:rPr>
                      <w:rFonts w:hint="default" w:ascii="Times New Roman" w:hAnsi="Times New Roman" w:cs="Times New Roman"/>
                      <w:color w:val="000000"/>
                      <w:szCs w:val="21"/>
                    </w:rPr>
                    <w:t>破碎粉尘：</w:t>
                  </w:r>
                  <w:r>
                    <w:rPr>
                      <w:rFonts w:hint="default" w:ascii="Times New Roman" w:hAnsi="Times New Roman" w:cs="Times New Roman"/>
                      <w:color w:val="000000"/>
                      <w:szCs w:val="21"/>
                      <w:highlight w:val="none"/>
                    </w:rPr>
                    <w:t>设置密闭破碎房，</w:t>
                  </w:r>
                  <w:r>
                    <w:rPr>
                      <w:rFonts w:hint="default" w:ascii="Times New Roman" w:hAnsi="Times New Roman" w:cs="Times New Roman"/>
                      <w:szCs w:val="21"/>
                      <w:highlight w:val="none"/>
                    </w:rPr>
                    <w:t>在破碎机上方设置集气罩，将破碎粉尘收集后送至布袋除尘器进行处理</w:t>
                  </w:r>
                  <w:r>
                    <w:rPr>
                      <w:rFonts w:hint="default" w:ascii="Times New Roman" w:hAnsi="Times New Roman" w:cs="Times New Roman"/>
                      <w:kern w:val="0"/>
                      <w:szCs w:val="21"/>
                      <w:highlight w:val="none"/>
                    </w:rPr>
                    <w:t>，</w:t>
                  </w:r>
                  <w:r>
                    <w:rPr>
                      <w:rFonts w:hint="default" w:ascii="Times New Roman" w:hAnsi="Times New Roman" w:cs="Times New Roman"/>
                      <w:szCs w:val="21"/>
                      <w:highlight w:val="none"/>
                      <w:lang w:val="en-US" w:eastAsia="zh-CN"/>
                    </w:rPr>
                    <w:t>收集暂存，定期清理回用于生产线</w:t>
                  </w:r>
                </w:p>
              </w:tc>
              <w:tc>
                <w:tcPr>
                  <w:tcW w:w="95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6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新</w:t>
                  </w:r>
                  <w:r>
                    <w:rPr>
                      <w:rFonts w:hint="eastAsia" w:cs="Times New Roman"/>
                      <w:szCs w:val="21"/>
                      <w:lang w:val="en-US"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continue"/>
                  <w:tcBorders>
                    <w:right w:val="single" w:color="auto" w:sz="6" w:space="0"/>
                  </w:tcBorders>
                  <w:noWrap w:val="0"/>
                  <w:vAlign w:val="center"/>
                </w:tcPr>
                <w:p>
                  <w:pPr>
                    <w:jc w:val="center"/>
                    <w:rPr>
                      <w:rFonts w:hint="default" w:ascii="Times New Roman" w:hAnsi="Times New Roman" w:cs="Times New Roman"/>
                      <w:szCs w:val="21"/>
                    </w:rPr>
                  </w:pPr>
                </w:p>
              </w:tc>
              <w:tc>
                <w:tcPr>
                  <w:tcW w:w="617" w:type="pct"/>
                  <w:vMerge w:val="continue"/>
                  <w:tcBorders>
                    <w:left w:val="single" w:color="auto" w:sz="6" w:space="0"/>
                  </w:tcBorders>
                  <w:noWrap w:val="0"/>
                  <w:vAlign w:val="center"/>
                </w:tcPr>
                <w:p>
                  <w:pPr>
                    <w:jc w:val="center"/>
                    <w:rPr>
                      <w:rFonts w:hint="default" w:ascii="Times New Roman" w:hAnsi="Times New Roman" w:cs="Times New Roman"/>
                      <w:szCs w:val="21"/>
                    </w:rPr>
                  </w:pPr>
                </w:p>
              </w:tc>
              <w:tc>
                <w:tcPr>
                  <w:tcW w:w="2478" w:type="pct"/>
                  <w:noWrap w:val="0"/>
                  <w:vAlign w:val="center"/>
                </w:tcPr>
                <w:p>
                  <w:pPr>
                    <w:snapToGrid w:val="0"/>
                    <w:ind w:firstLine="411" w:firstLineChars="196"/>
                    <w:rPr>
                      <w:rFonts w:hint="default" w:ascii="Times New Roman" w:hAnsi="Times New Roman" w:cs="Times New Roman"/>
                      <w:color w:val="000000"/>
                      <w:szCs w:val="21"/>
                    </w:rPr>
                  </w:pPr>
                  <w:r>
                    <w:rPr>
                      <w:rFonts w:hint="eastAsia"/>
                      <w:color w:val="000000"/>
                      <w:szCs w:val="21"/>
                    </w:rPr>
                    <w:t>HCL废气：</w:t>
                  </w:r>
                  <w:r>
                    <w:rPr>
                      <w:rFonts w:hint="eastAsia"/>
                      <w:bCs/>
                      <w:color w:val="000000"/>
                      <w:szCs w:val="21"/>
                    </w:rPr>
                    <w:t>在</w:t>
                  </w:r>
                  <w:r>
                    <w:rPr>
                      <w:rFonts w:hint="eastAsia"/>
                      <w:bCs/>
                      <w:color w:val="000000"/>
                      <w:szCs w:val="21"/>
                      <w:lang w:val="en-US" w:eastAsia="zh-CN"/>
                    </w:rPr>
                    <w:t>8</w:t>
                  </w:r>
                  <w:r>
                    <w:rPr>
                      <w:rFonts w:hint="eastAsia"/>
                      <w:bCs/>
                      <w:color w:val="000000"/>
                      <w:szCs w:val="21"/>
                    </w:rPr>
                    <w:t>套PVC挤塑机挤塑主机出口上方、</w:t>
                  </w:r>
                  <w:r>
                    <w:rPr>
                      <w:rFonts w:hint="eastAsia"/>
                      <w:bCs/>
                      <w:color w:val="000000"/>
                      <w:szCs w:val="21"/>
                      <w:lang w:val="en-US" w:eastAsia="zh-CN"/>
                    </w:rPr>
                    <w:t>7</w:t>
                  </w:r>
                  <w:r>
                    <w:rPr>
                      <w:rFonts w:hint="eastAsia"/>
                      <w:bCs/>
                      <w:color w:val="000000"/>
                      <w:szCs w:val="21"/>
                    </w:rPr>
                    <w:t>台PVC管件注塑机上方分别设置集气罩</w:t>
                  </w:r>
                  <w:r>
                    <w:rPr>
                      <w:rFonts w:hint="eastAsia"/>
                      <w:bCs/>
                      <w:szCs w:val="21"/>
                      <w:lang w:val="de-DE"/>
                    </w:rPr>
                    <w:t>PVC管材及管件生产过程中产生的废气</w:t>
                  </w:r>
                  <w:r>
                    <w:rPr>
                      <w:rFonts w:hint="eastAsia"/>
                      <w:bCs/>
                      <w:color w:val="000000"/>
                      <w:szCs w:val="21"/>
                    </w:rPr>
                    <w:t>经收集后，先通过一套喷淋塔去除氯化氢气体，再由过滤棉去除多余水分后，再进入有机废气处理系统由15高排气筒排放（编号：</w:t>
                  </w:r>
                  <w:r>
                    <w:rPr>
                      <w:rFonts w:hint="eastAsia"/>
                      <w:bCs/>
                      <w:color w:val="000000"/>
                      <w:szCs w:val="21"/>
                      <w:lang w:val="en-US" w:eastAsia="zh-CN"/>
                    </w:rPr>
                    <w:t>DA001</w:t>
                  </w:r>
                  <w:r>
                    <w:rPr>
                      <w:rFonts w:hint="eastAsia"/>
                      <w:bCs/>
                      <w:color w:val="000000"/>
                      <w:szCs w:val="21"/>
                    </w:rPr>
                    <w:t>）。</w:t>
                  </w:r>
                </w:p>
              </w:tc>
              <w:tc>
                <w:tcPr>
                  <w:tcW w:w="955" w:type="pct"/>
                  <w:noWrap w:val="0"/>
                  <w:vAlign w:val="center"/>
                </w:tcPr>
                <w:p>
                  <w:pPr>
                    <w:jc w:val="center"/>
                    <w:rPr>
                      <w:rFonts w:hint="eastAsia" w:ascii="Times New Roman" w:hAnsi="Times New Roman" w:eastAsia="宋体" w:cs="Times New Roman"/>
                      <w:szCs w:val="21"/>
                      <w:lang w:val="en-US" w:eastAsia="zh-CN"/>
                    </w:rPr>
                  </w:pPr>
                  <w:r>
                    <w:rPr>
                      <w:rFonts w:hint="eastAsia" w:cs="Times New Roman"/>
                      <w:szCs w:val="21"/>
                      <w:lang w:val="en-US" w:eastAsia="zh-CN"/>
                    </w:rPr>
                    <w:t>5</w:t>
                  </w:r>
                </w:p>
              </w:tc>
              <w:tc>
                <w:tcPr>
                  <w:tcW w:w="6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新</w:t>
                  </w:r>
                  <w:r>
                    <w:rPr>
                      <w:rFonts w:hint="eastAsia" w:cs="Times New Roman"/>
                      <w:szCs w:val="21"/>
                      <w:lang w:val="en-US"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continue"/>
                  <w:tcBorders>
                    <w:right w:val="single" w:color="auto" w:sz="6" w:space="0"/>
                  </w:tcBorders>
                  <w:noWrap w:val="0"/>
                  <w:vAlign w:val="center"/>
                </w:tcPr>
                <w:p>
                  <w:pPr>
                    <w:jc w:val="center"/>
                    <w:rPr>
                      <w:rFonts w:hint="default" w:ascii="Times New Roman" w:hAnsi="Times New Roman" w:cs="Times New Roman"/>
                      <w:szCs w:val="21"/>
                    </w:rPr>
                  </w:pPr>
                </w:p>
              </w:tc>
              <w:tc>
                <w:tcPr>
                  <w:tcW w:w="617" w:type="pct"/>
                  <w:vMerge w:val="restart"/>
                  <w:tcBorders>
                    <w:left w:val="single" w:color="auto" w:sz="6"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噪声治理</w:t>
                  </w:r>
                </w:p>
              </w:tc>
              <w:tc>
                <w:tcPr>
                  <w:tcW w:w="2478"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生产设备安装时采取台基减振、橡胶减震接头及减震垫等措施</w:t>
                  </w:r>
                </w:p>
              </w:tc>
              <w:tc>
                <w:tcPr>
                  <w:tcW w:w="955" w:type="pct"/>
                  <w:noWrap w:val="0"/>
                  <w:vAlign w:val="center"/>
                </w:tcPr>
                <w:p>
                  <w:pPr>
                    <w:jc w:val="center"/>
                    <w:rPr>
                      <w:rFonts w:hint="default" w:ascii="Times New Roman" w:hAnsi="Times New Roman" w:eastAsia="宋体" w:cs="Times New Roman"/>
                      <w:szCs w:val="21"/>
                      <w:lang w:val="en-US" w:eastAsia="zh-CN"/>
                    </w:rPr>
                  </w:pPr>
                  <w:r>
                    <w:rPr>
                      <w:rFonts w:hint="eastAsia" w:cs="Times New Roman"/>
                      <w:szCs w:val="21"/>
                      <w:lang w:val="en-US" w:eastAsia="zh-CN"/>
                    </w:rPr>
                    <w:t>1.5</w:t>
                  </w:r>
                </w:p>
              </w:tc>
              <w:tc>
                <w:tcPr>
                  <w:tcW w:w="6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新</w:t>
                  </w:r>
                  <w:r>
                    <w:rPr>
                      <w:rFonts w:hint="eastAsia" w:cs="Times New Roman"/>
                      <w:szCs w:val="21"/>
                      <w:lang w:val="en-US"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continue"/>
                  <w:tcBorders>
                    <w:right w:val="single" w:color="auto" w:sz="6" w:space="0"/>
                  </w:tcBorders>
                  <w:noWrap w:val="0"/>
                  <w:vAlign w:val="center"/>
                </w:tcPr>
                <w:p>
                  <w:pPr>
                    <w:jc w:val="center"/>
                    <w:rPr>
                      <w:rFonts w:hint="default" w:ascii="Times New Roman" w:hAnsi="Times New Roman" w:cs="Times New Roman"/>
                      <w:szCs w:val="21"/>
                    </w:rPr>
                  </w:pPr>
                </w:p>
              </w:tc>
              <w:tc>
                <w:tcPr>
                  <w:tcW w:w="617" w:type="pct"/>
                  <w:vMerge w:val="continue"/>
                  <w:tcBorders>
                    <w:left w:val="single" w:color="auto" w:sz="6" w:space="0"/>
                    <w:bottom w:val="single" w:color="auto" w:sz="4" w:space="0"/>
                  </w:tcBorders>
                  <w:noWrap w:val="0"/>
                  <w:vAlign w:val="center"/>
                </w:tcPr>
                <w:p>
                  <w:pPr>
                    <w:jc w:val="center"/>
                    <w:rPr>
                      <w:rFonts w:hint="default" w:ascii="Times New Roman" w:hAnsi="Times New Roman" w:cs="Times New Roman"/>
                      <w:szCs w:val="21"/>
                    </w:rPr>
                  </w:pPr>
                </w:p>
              </w:tc>
              <w:tc>
                <w:tcPr>
                  <w:tcW w:w="2478" w:type="pct"/>
                  <w:tcBorders>
                    <w:bottom w:val="single" w:color="auto" w:sz="4"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color w:val="000000"/>
                      <w:szCs w:val="21"/>
                    </w:rPr>
                    <w:t>车间的隔声降噪</w:t>
                  </w:r>
                </w:p>
              </w:tc>
              <w:tc>
                <w:tcPr>
                  <w:tcW w:w="955" w:type="pct"/>
                  <w:tcBorders>
                    <w:bottom w:val="single" w:color="auto" w:sz="4"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计入主体工程</w:t>
                  </w:r>
                </w:p>
              </w:tc>
              <w:tc>
                <w:tcPr>
                  <w:tcW w:w="616" w:type="pct"/>
                  <w:tcBorders>
                    <w:bottom w:val="single" w:color="auto" w:sz="4"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continue"/>
                  <w:tcBorders>
                    <w:right w:val="single" w:color="auto" w:sz="6" w:space="0"/>
                  </w:tcBorders>
                  <w:noWrap w:val="0"/>
                  <w:vAlign w:val="center"/>
                </w:tcPr>
                <w:p>
                  <w:pPr>
                    <w:jc w:val="center"/>
                    <w:rPr>
                      <w:rFonts w:hint="default" w:ascii="Times New Roman" w:hAnsi="Times New Roman" w:cs="Times New Roman"/>
                      <w:szCs w:val="21"/>
                    </w:rPr>
                  </w:pPr>
                </w:p>
              </w:tc>
              <w:tc>
                <w:tcPr>
                  <w:tcW w:w="617" w:type="pct"/>
                  <w:vMerge w:val="restart"/>
                  <w:tcBorders>
                    <w:left w:val="single" w:color="auto" w:sz="6"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固废处置</w:t>
                  </w:r>
                </w:p>
              </w:tc>
              <w:tc>
                <w:tcPr>
                  <w:tcW w:w="2478"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废边角料暂存区：设置车间内设一处废边角料暂存区，主要用于管材生产过程中产生废边角料的暂存和堆放，定期交由废品回收站处理。</w:t>
                  </w:r>
                </w:p>
              </w:tc>
              <w:tc>
                <w:tcPr>
                  <w:tcW w:w="95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616" w:type="pct"/>
                  <w:tcBorders>
                    <w:bottom w:val="single" w:color="auto" w:sz="6"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新</w:t>
                  </w:r>
                  <w:r>
                    <w:rPr>
                      <w:rFonts w:hint="eastAsia" w:cs="Times New Roman"/>
                      <w:szCs w:val="21"/>
                      <w:lang w:val="en-US"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1" w:type="pct"/>
                  <w:vMerge w:val="continue"/>
                  <w:tcBorders>
                    <w:right w:val="single" w:color="auto" w:sz="6" w:space="0"/>
                  </w:tcBorders>
                  <w:noWrap w:val="0"/>
                  <w:vAlign w:val="center"/>
                </w:tcPr>
                <w:p>
                  <w:pPr>
                    <w:jc w:val="center"/>
                    <w:rPr>
                      <w:rFonts w:hint="default" w:ascii="Times New Roman" w:hAnsi="Times New Roman" w:cs="Times New Roman"/>
                      <w:szCs w:val="21"/>
                    </w:rPr>
                  </w:pPr>
                </w:p>
              </w:tc>
              <w:tc>
                <w:tcPr>
                  <w:tcW w:w="617" w:type="pct"/>
                  <w:vMerge w:val="continue"/>
                  <w:tcBorders>
                    <w:left w:val="single" w:color="auto" w:sz="6" w:space="0"/>
                  </w:tcBorders>
                  <w:noWrap w:val="0"/>
                  <w:vAlign w:val="center"/>
                </w:tcPr>
                <w:p>
                  <w:pPr>
                    <w:jc w:val="center"/>
                    <w:rPr>
                      <w:rFonts w:hint="default" w:ascii="Times New Roman" w:hAnsi="Times New Roman" w:cs="Times New Roman"/>
                      <w:szCs w:val="21"/>
                    </w:rPr>
                  </w:pPr>
                </w:p>
              </w:tc>
              <w:tc>
                <w:tcPr>
                  <w:tcW w:w="2478"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废包装材料外收废品回收站</w:t>
                  </w:r>
                </w:p>
              </w:tc>
              <w:tc>
                <w:tcPr>
                  <w:tcW w:w="95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616" w:type="pct"/>
                  <w:vMerge w:val="restart"/>
                  <w:tcBorders>
                    <w:top w:val="single" w:color="auto" w:sz="6"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continue"/>
                  <w:tcBorders>
                    <w:right w:val="single" w:color="auto" w:sz="6" w:space="0"/>
                  </w:tcBorders>
                  <w:noWrap w:val="0"/>
                  <w:vAlign w:val="center"/>
                </w:tcPr>
                <w:p>
                  <w:pPr>
                    <w:jc w:val="center"/>
                    <w:rPr>
                      <w:rFonts w:hint="default" w:ascii="Times New Roman" w:hAnsi="Times New Roman" w:cs="Times New Roman"/>
                      <w:szCs w:val="21"/>
                    </w:rPr>
                  </w:pPr>
                </w:p>
              </w:tc>
              <w:tc>
                <w:tcPr>
                  <w:tcW w:w="617" w:type="pct"/>
                  <w:vMerge w:val="continue"/>
                  <w:tcBorders>
                    <w:left w:val="single" w:color="auto" w:sz="6" w:space="0"/>
                  </w:tcBorders>
                  <w:noWrap w:val="0"/>
                  <w:vAlign w:val="center"/>
                </w:tcPr>
                <w:p>
                  <w:pPr>
                    <w:jc w:val="center"/>
                    <w:rPr>
                      <w:rFonts w:hint="default" w:ascii="Times New Roman" w:hAnsi="Times New Roman" w:cs="Times New Roman"/>
                      <w:szCs w:val="21"/>
                    </w:rPr>
                  </w:pPr>
                </w:p>
              </w:tc>
              <w:tc>
                <w:tcPr>
                  <w:tcW w:w="2478"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生活垃圾交由环卫部门统一处理</w:t>
                  </w:r>
                </w:p>
              </w:tc>
              <w:tc>
                <w:tcPr>
                  <w:tcW w:w="95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616" w:type="pct"/>
                  <w:vMerge w:val="continue"/>
                  <w:noWrap w:val="0"/>
                  <w:vAlign w:val="center"/>
                </w:tcPr>
                <w:p>
                  <w:pPr>
                    <w:jc w:val="center"/>
                    <w:rPr>
                      <w:rFonts w:hint="default"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331" w:type="pct"/>
                  <w:vMerge w:val="continue"/>
                  <w:tcBorders>
                    <w:right w:val="single" w:color="auto" w:sz="6" w:space="0"/>
                  </w:tcBorders>
                  <w:noWrap w:val="0"/>
                  <w:vAlign w:val="center"/>
                </w:tcPr>
                <w:p>
                  <w:pPr>
                    <w:jc w:val="center"/>
                    <w:rPr>
                      <w:rFonts w:hint="default" w:ascii="Times New Roman" w:hAnsi="Times New Roman" w:cs="Times New Roman"/>
                      <w:szCs w:val="21"/>
                    </w:rPr>
                  </w:pPr>
                </w:p>
              </w:tc>
              <w:tc>
                <w:tcPr>
                  <w:tcW w:w="617" w:type="pct"/>
                  <w:vMerge w:val="continue"/>
                  <w:tcBorders>
                    <w:left w:val="single" w:color="auto" w:sz="6" w:space="0"/>
                  </w:tcBorders>
                  <w:noWrap w:val="0"/>
                  <w:vAlign w:val="center"/>
                </w:tcPr>
                <w:p>
                  <w:pPr>
                    <w:jc w:val="center"/>
                    <w:rPr>
                      <w:rFonts w:hint="default" w:ascii="Times New Roman" w:hAnsi="Times New Roman" w:cs="Times New Roman"/>
                      <w:szCs w:val="21"/>
                    </w:rPr>
                  </w:pPr>
                </w:p>
              </w:tc>
              <w:tc>
                <w:tcPr>
                  <w:tcW w:w="2478" w:type="pct"/>
                  <w:noWrap w:val="0"/>
                  <w:vAlign w:val="center"/>
                </w:tcPr>
                <w:p>
                  <w:pPr>
                    <w:jc w:val="center"/>
                    <w:rPr>
                      <w:rFonts w:hint="default" w:ascii="Times New Roman" w:hAnsi="Times New Roman" w:cs="Times New Roman"/>
                    </w:rPr>
                  </w:pPr>
                  <w:r>
                    <w:rPr>
                      <w:rFonts w:hint="default" w:ascii="Times New Roman" w:hAnsi="Times New Roman" w:cs="Times New Roman"/>
                    </w:rPr>
                    <w:t>危险废物定期交由资质单位处理</w:t>
                  </w:r>
                </w:p>
              </w:tc>
              <w:tc>
                <w:tcPr>
                  <w:tcW w:w="95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1.5</w:t>
                  </w:r>
                </w:p>
              </w:tc>
              <w:tc>
                <w:tcPr>
                  <w:tcW w:w="6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新</w:t>
                  </w:r>
                  <w:r>
                    <w:rPr>
                      <w:rFonts w:hint="eastAsia" w:cs="Times New Roman"/>
                      <w:szCs w:val="21"/>
                      <w:lang w:val="en-US"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continue"/>
                  <w:tcBorders>
                    <w:right w:val="single" w:color="auto" w:sz="6" w:space="0"/>
                  </w:tcBorders>
                  <w:noWrap w:val="0"/>
                  <w:vAlign w:val="center"/>
                </w:tcPr>
                <w:p>
                  <w:pPr>
                    <w:jc w:val="center"/>
                    <w:rPr>
                      <w:rFonts w:hint="default" w:ascii="Times New Roman" w:hAnsi="Times New Roman" w:cs="Times New Roman"/>
                      <w:szCs w:val="21"/>
                    </w:rPr>
                  </w:pPr>
                </w:p>
              </w:tc>
              <w:tc>
                <w:tcPr>
                  <w:tcW w:w="617" w:type="pct"/>
                  <w:vMerge w:val="restart"/>
                  <w:tcBorders>
                    <w:left w:val="single" w:color="auto" w:sz="6"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地下水</w:t>
                  </w:r>
                </w:p>
                <w:p>
                  <w:pPr>
                    <w:jc w:val="center"/>
                    <w:rPr>
                      <w:rFonts w:hint="default" w:ascii="Times New Roman" w:hAnsi="Times New Roman" w:cs="Times New Roman"/>
                      <w:szCs w:val="21"/>
                    </w:rPr>
                  </w:pPr>
                  <w:r>
                    <w:rPr>
                      <w:rFonts w:hint="default" w:ascii="Times New Roman" w:hAnsi="Times New Roman" w:cs="Times New Roman"/>
                      <w:szCs w:val="21"/>
                    </w:rPr>
                    <w:t>环境</w:t>
                  </w:r>
                </w:p>
              </w:tc>
              <w:tc>
                <w:tcPr>
                  <w:tcW w:w="2478"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危险废物暂存间：在车间内设一处危废暂存间，在现有防渗基础上，增设不锈钢金属托盘</w:t>
                  </w:r>
                  <w:r>
                    <w:rPr>
                      <w:rFonts w:hint="default" w:ascii="Times New Roman" w:hAnsi="Times New Roman" w:cs="Times New Roman"/>
                    </w:rPr>
                    <w:t>（防漏托盘四周高度约10cm）</w:t>
                  </w:r>
                  <w:r>
                    <w:rPr>
                      <w:rFonts w:hint="default" w:ascii="Times New Roman" w:hAnsi="Times New Roman" w:cs="Times New Roman"/>
                      <w:szCs w:val="21"/>
                    </w:rPr>
                    <w:t>，使重点污染区各单元防渗层渗透系数≤10</w:t>
                  </w:r>
                  <w:r>
                    <w:rPr>
                      <w:rFonts w:hint="default" w:ascii="Times New Roman" w:hAnsi="Times New Roman" w:cs="Times New Roman"/>
                      <w:szCs w:val="21"/>
                      <w:vertAlign w:val="superscript"/>
                    </w:rPr>
                    <w:t>-10</w:t>
                  </w:r>
                  <w:r>
                    <w:rPr>
                      <w:rFonts w:hint="default" w:ascii="Times New Roman" w:hAnsi="Times New Roman" w:cs="Times New Roman"/>
                      <w:szCs w:val="21"/>
                    </w:rPr>
                    <w:t>cm/s</w:t>
                  </w:r>
                </w:p>
              </w:tc>
              <w:tc>
                <w:tcPr>
                  <w:tcW w:w="95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0.5</w:t>
                  </w:r>
                </w:p>
              </w:tc>
              <w:tc>
                <w:tcPr>
                  <w:tcW w:w="6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新</w:t>
                  </w:r>
                  <w:r>
                    <w:rPr>
                      <w:rFonts w:hint="eastAsia" w:cs="Times New Roman"/>
                      <w:szCs w:val="21"/>
                      <w:lang w:val="en-US"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continue"/>
                  <w:tcBorders>
                    <w:right w:val="single" w:color="auto" w:sz="6" w:space="0"/>
                  </w:tcBorders>
                  <w:noWrap w:val="0"/>
                  <w:vAlign w:val="center"/>
                </w:tcPr>
                <w:p>
                  <w:pPr>
                    <w:jc w:val="center"/>
                    <w:rPr>
                      <w:rFonts w:hint="default" w:ascii="Times New Roman" w:hAnsi="Times New Roman" w:cs="Times New Roman"/>
                      <w:szCs w:val="21"/>
                    </w:rPr>
                  </w:pPr>
                </w:p>
              </w:tc>
              <w:tc>
                <w:tcPr>
                  <w:tcW w:w="617" w:type="pct"/>
                  <w:vMerge w:val="continue"/>
                  <w:tcBorders>
                    <w:left w:val="single" w:color="auto" w:sz="6" w:space="0"/>
                  </w:tcBorders>
                  <w:noWrap w:val="0"/>
                  <w:vAlign w:val="center"/>
                </w:tcPr>
                <w:p>
                  <w:pPr>
                    <w:jc w:val="center"/>
                    <w:rPr>
                      <w:rFonts w:hint="default" w:ascii="Times New Roman" w:hAnsi="Times New Roman" w:cs="Times New Roman"/>
                      <w:szCs w:val="21"/>
                    </w:rPr>
                  </w:pPr>
                </w:p>
              </w:tc>
              <w:tc>
                <w:tcPr>
                  <w:tcW w:w="2478"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车间：防渗混凝土+2mm厚</w:t>
                  </w:r>
                  <w:r>
                    <w:rPr>
                      <w:rFonts w:hint="default" w:ascii="Times New Roman" w:hAnsi="Times New Roman" w:cs="Times New Roman"/>
                      <w:bCs/>
                      <w:color w:val="000000"/>
                      <w:szCs w:val="21"/>
                    </w:rPr>
                    <w:t>环氧树脂</w:t>
                  </w:r>
                </w:p>
              </w:tc>
              <w:tc>
                <w:tcPr>
                  <w:tcW w:w="955"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w:t>
                  </w:r>
                </w:p>
              </w:tc>
              <w:tc>
                <w:tcPr>
                  <w:tcW w:w="6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continue"/>
                  <w:tcBorders>
                    <w:right w:val="single" w:color="auto" w:sz="6" w:space="0"/>
                  </w:tcBorders>
                  <w:noWrap w:val="0"/>
                  <w:vAlign w:val="center"/>
                </w:tcPr>
                <w:p>
                  <w:pPr>
                    <w:jc w:val="center"/>
                    <w:rPr>
                      <w:rFonts w:hint="default" w:ascii="Times New Roman" w:hAnsi="Times New Roman" w:cs="Times New Roman"/>
                      <w:szCs w:val="21"/>
                    </w:rPr>
                  </w:pPr>
                </w:p>
              </w:tc>
              <w:tc>
                <w:tcPr>
                  <w:tcW w:w="617" w:type="pct"/>
                  <w:vMerge w:val="restart"/>
                  <w:tcBorders>
                    <w:left w:val="single" w:color="auto" w:sz="6" w:space="0"/>
                  </w:tcBorders>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风险防范措施</w:t>
                  </w:r>
                </w:p>
              </w:tc>
              <w:tc>
                <w:tcPr>
                  <w:tcW w:w="2478" w:type="pct"/>
                  <w:noWrap w:val="0"/>
                  <w:vAlign w:val="center"/>
                </w:tcPr>
                <w:p>
                  <w:pPr>
                    <w:snapToGrid w:val="0"/>
                    <w:jc w:val="center"/>
                    <w:rPr>
                      <w:rFonts w:hint="default" w:ascii="Times New Roman" w:hAnsi="Times New Roman" w:cs="Times New Roman"/>
                      <w:color w:val="000000"/>
                      <w:kern w:val="0"/>
                      <w:szCs w:val="21"/>
                      <w:highlight w:val="yellow"/>
                    </w:rPr>
                  </w:pPr>
                  <w:r>
                    <w:rPr>
                      <w:rFonts w:hint="default" w:ascii="Times New Roman" w:hAnsi="Times New Roman" w:cs="Times New Roman"/>
                      <w:color w:val="000000"/>
                    </w:rPr>
                    <w:t>在厂房内设置碳酸氢钠干粉灭火器或磷酸铵盐干粉灭火器，备用于液态物质燃烧产生的火灾灭火</w:t>
                  </w:r>
                </w:p>
              </w:tc>
              <w:tc>
                <w:tcPr>
                  <w:tcW w:w="955"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2.0</w:t>
                  </w:r>
                </w:p>
              </w:tc>
              <w:tc>
                <w:tcPr>
                  <w:tcW w:w="6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新</w:t>
                  </w:r>
                  <w:r>
                    <w:rPr>
                      <w:rFonts w:hint="eastAsia" w:cs="Times New Roman"/>
                      <w:szCs w:val="21"/>
                      <w:lang w:val="en-US" w:eastAsia="zh-CN"/>
                    </w:rPr>
                    <w:t>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1" w:type="pct"/>
                  <w:vMerge w:val="continue"/>
                  <w:tcBorders>
                    <w:right w:val="single" w:color="auto" w:sz="6" w:space="0"/>
                  </w:tcBorders>
                  <w:noWrap w:val="0"/>
                  <w:vAlign w:val="center"/>
                </w:tcPr>
                <w:p>
                  <w:pPr>
                    <w:jc w:val="center"/>
                    <w:rPr>
                      <w:rFonts w:hint="default" w:ascii="Times New Roman" w:hAnsi="Times New Roman" w:cs="Times New Roman"/>
                      <w:szCs w:val="21"/>
                    </w:rPr>
                  </w:pPr>
                </w:p>
              </w:tc>
              <w:tc>
                <w:tcPr>
                  <w:tcW w:w="617" w:type="pct"/>
                  <w:vMerge w:val="continue"/>
                  <w:tcBorders>
                    <w:left w:val="single" w:color="auto" w:sz="6" w:space="0"/>
                  </w:tcBorders>
                  <w:noWrap w:val="0"/>
                  <w:vAlign w:val="center"/>
                </w:tcPr>
                <w:p>
                  <w:pPr>
                    <w:jc w:val="center"/>
                    <w:rPr>
                      <w:rFonts w:hint="default" w:ascii="Times New Roman" w:hAnsi="Times New Roman" w:cs="Times New Roman"/>
                      <w:szCs w:val="21"/>
                    </w:rPr>
                  </w:pPr>
                </w:p>
              </w:tc>
              <w:tc>
                <w:tcPr>
                  <w:tcW w:w="2478" w:type="pct"/>
                  <w:noWrap w:val="0"/>
                  <w:vAlign w:val="center"/>
                </w:tcPr>
                <w:p>
                  <w:pPr>
                    <w:pStyle w:val="40"/>
                    <w:ind w:firstLine="420"/>
                    <w:jc w:val="center"/>
                    <w:rPr>
                      <w:rFonts w:hint="default" w:ascii="Times New Roman" w:hAnsi="Times New Roman" w:cs="Times New Roman"/>
                      <w:color w:val="000000"/>
                    </w:rPr>
                  </w:pPr>
                  <w:r>
                    <w:rPr>
                      <w:rFonts w:hint="default" w:ascii="Times New Roman" w:hAnsi="Times New Roman" w:cs="Times New Roman"/>
                      <w:color w:val="000000"/>
                    </w:rPr>
                    <w:t>利用</w:t>
                  </w:r>
                  <w:r>
                    <w:rPr>
                      <w:rFonts w:hint="default" w:ascii="Times New Roman" w:hAnsi="Times New Roman" w:cs="Times New Roman"/>
                      <w:color w:val="000000"/>
                      <w:lang w:eastAsia="zh-CN"/>
                    </w:rPr>
                    <w:t>蓬溪县上游工业园</w:t>
                  </w:r>
                  <w:r>
                    <w:rPr>
                      <w:rFonts w:hint="default" w:ascii="Times New Roman" w:hAnsi="Times New Roman" w:cs="Times New Roman"/>
                      <w:color w:val="000000"/>
                    </w:rPr>
                    <w:t>已有的消防给水管网，保证厂区消防给水</w:t>
                  </w:r>
                </w:p>
              </w:tc>
              <w:tc>
                <w:tcPr>
                  <w:tcW w:w="955"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6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31" w:type="pct"/>
                  <w:vMerge w:val="continue"/>
                  <w:tcBorders>
                    <w:right w:val="single" w:color="auto" w:sz="6" w:space="0"/>
                  </w:tcBorders>
                  <w:noWrap w:val="0"/>
                  <w:vAlign w:val="center"/>
                </w:tcPr>
                <w:p>
                  <w:pPr>
                    <w:jc w:val="center"/>
                    <w:rPr>
                      <w:rFonts w:hint="default" w:ascii="Times New Roman" w:hAnsi="Times New Roman" w:cs="Times New Roman"/>
                      <w:szCs w:val="21"/>
                    </w:rPr>
                  </w:pPr>
                </w:p>
              </w:tc>
              <w:tc>
                <w:tcPr>
                  <w:tcW w:w="617" w:type="pct"/>
                  <w:vMerge w:val="continue"/>
                  <w:tcBorders>
                    <w:left w:val="single" w:color="auto" w:sz="6" w:space="0"/>
                  </w:tcBorders>
                  <w:noWrap w:val="0"/>
                  <w:vAlign w:val="center"/>
                </w:tcPr>
                <w:p>
                  <w:pPr>
                    <w:jc w:val="center"/>
                    <w:rPr>
                      <w:rFonts w:hint="default" w:ascii="Times New Roman" w:hAnsi="Times New Roman" w:cs="Times New Roman"/>
                      <w:szCs w:val="21"/>
                    </w:rPr>
                  </w:pPr>
                </w:p>
              </w:tc>
              <w:tc>
                <w:tcPr>
                  <w:tcW w:w="2478" w:type="pct"/>
                  <w:noWrap w:val="0"/>
                  <w:vAlign w:val="center"/>
                </w:tcPr>
                <w:p>
                  <w:pPr>
                    <w:snapToGrid w:val="0"/>
                    <w:jc w:val="center"/>
                    <w:rPr>
                      <w:rFonts w:hint="default" w:ascii="Times New Roman" w:hAnsi="Times New Roman" w:cs="Times New Roman"/>
                      <w:color w:val="000000"/>
                      <w:spacing w:val="6"/>
                      <w:kern w:val="0"/>
                      <w:szCs w:val="21"/>
                      <w:highlight w:val="yellow"/>
                    </w:rPr>
                  </w:pPr>
                  <w:r>
                    <w:rPr>
                      <w:rFonts w:hint="default" w:ascii="Times New Roman" w:hAnsi="Times New Roman" w:cs="Times New Roman"/>
                      <w:color w:val="000000"/>
                    </w:rPr>
                    <w:t>危险废物暂存间地面</w:t>
                  </w:r>
                  <w:r>
                    <w:rPr>
                      <w:rFonts w:hint="default" w:ascii="Times New Roman" w:hAnsi="Times New Roman" w:cs="Times New Roman"/>
                    </w:rPr>
                    <w:t>下方设置防漏托盘（防漏托盘四周高度约10cm），同时设置空桶收集</w:t>
                  </w:r>
                </w:p>
              </w:tc>
              <w:tc>
                <w:tcPr>
                  <w:tcW w:w="955" w:type="pct"/>
                  <w:noWrap w:val="0"/>
                  <w:vAlign w:val="center"/>
                </w:tcPr>
                <w:p>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计入地下水投资</w:t>
                  </w:r>
                </w:p>
              </w:tc>
              <w:tc>
                <w:tcPr>
                  <w:tcW w:w="616" w:type="pct"/>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428" w:type="pct"/>
                  <w:gridSpan w:val="3"/>
                  <w:noWrap w:val="0"/>
                  <w:vAlign w:val="center"/>
                </w:tcPr>
                <w:p>
                  <w:pPr>
                    <w:jc w:val="center"/>
                    <w:rPr>
                      <w:rFonts w:hint="default" w:ascii="Times New Roman" w:hAnsi="Times New Roman" w:cs="Times New Roman"/>
                      <w:szCs w:val="21"/>
                    </w:rPr>
                  </w:pPr>
                  <w:r>
                    <w:rPr>
                      <w:rFonts w:hint="default" w:ascii="Times New Roman" w:hAnsi="Times New Roman" w:cs="Times New Roman"/>
                      <w:szCs w:val="21"/>
                    </w:rPr>
                    <w:t>环境保护措施投资合计</w:t>
                  </w:r>
                </w:p>
              </w:tc>
              <w:tc>
                <w:tcPr>
                  <w:tcW w:w="1571" w:type="pct"/>
                  <w:gridSpan w:val="2"/>
                  <w:noWrap w:val="0"/>
                  <w:vAlign w:val="center"/>
                </w:tcPr>
                <w:p>
                  <w:pPr>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31</w:t>
                  </w:r>
                </w:p>
              </w:tc>
            </w:tr>
          </w:tbl>
          <w:p>
            <w:pPr>
              <w:adjustRightInd w:val="0"/>
              <w:snapToGrid w:val="0"/>
              <w:textAlignment w:val="baseline"/>
              <w:rPr>
                <w:rFonts w:hint="default" w:ascii="Times New Roman" w:hAnsi="Times New Roman" w:cs="Times New Roman"/>
                <w:sz w:val="24"/>
              </w:rPr>
            </w:pPr>
          </w:p>
          <w:p>
            <w:pPr>
              <w:adjustRightInd w:val="0"/>
              <w:snapToGrid w:val="0"/>
              <w:rPr>
                <w:rFonts w:hint="default" w:ascii="Times New Roman" w:hAnsi="Times New Roman" w:eastAsia="宋体" w:cs="Times New Roman"/>
                <w:bCs/>
                <w:spacing w:val="-10"/>
                <w:szCs w:val="21"/>
                <w:lang w:val="en-US" w:eastAsia="zh-CN"/>
              </w:rPr>
            </w:pPr>
          </w:p>
        </w:tc>
      </w:tr>
    </w:tbl>
    <w:p>
      <w:pPr>
        <w:adjustRightInd w:val="0"/>
        <w:snapToGrid w:val="0"/>
        <w:spacing w:line="360" w:lineRule="auto"/>
        <w:rPr>
          <w:rFonts w:hint="default" w:ascii="Times New Roman" w:hAnsi="Times New Roman" w:cs="Times New Roman"/>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default" w:ascii="Times New Roman" w:hAnsi="Times New Roman" w:eastAsia="黑体" w:cs="Times New Roman"/>
          <w:snapToGrid w:val="0"/>
          <w:sz w:val="30"/>
          <w:szCs w:val="30"/>
        </w:rPr>
      </w:pPr>
      <w:r>
        <w:rPr>
          <w:rFonts w:hint="default" w:ascii="Times New Roman" w:hAnsi="Times New Roman" w:eastAsia="黑体" w:cs="Times New Roman"/>
          <w:snapToGrid w:val="0"/>
          <w:sz w:val="30"/>
          <w:szCs w:val="30"/>
        </w:rPr>
        <w:t>五、</w:t>
      </w:r>
      <w:bookmarkStart w:id="3" w:name="_Hlk54167917"/>
      <w:r>
        <w:rPr>
          <w:rFonts w:hint="default" w:ascii="Times New Roman" w:hAnsi="Times New Roman" w:eastAsia="黑体" w:cs="Times New Roman"/>
          <w:snapToGrid w:val="0"/>
          <w:sz w:val="30"/>
          <w:szCs w:val="30"/>
        </w:rPr>
        <w:t>环境保护措施监督检查清单</w:t>
      </w:r>
      <w:bookmarkEnd w:id="3"/>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540"/>
        <w:gridCol w:w="1836"/>
        <w:gridCol w:w="2028"/>
        <w:gridCol w:w="19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1415" w:type="dxa"/>
            <w:tcBorders>
              <w:tl2br w:val="single" w:color="auto" w:sz="4" w:space="0"/>
            </w:tcBorders>
            <w:noWrap w:val="0"/>
            <w:vAlign w:val="top"/>
          </w:tcPr>
          <w:p>
            <w:pPr>
              <w:adjustRightInd w:val="0"/>
              <w:snapToGrid w:val="0"/>
              <w:spacing w:line="24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内容</w:t>
            </w:r>
          </w:p>
          <w:p>
            <w:pPr>
              <w:adjustRightInd w:val="0"/>
              <w:snapToGrid w:val="0"/>
              <w:spacing w:line="240" w:lineRule="auto"/>
              <w:rPr>
                <w:rFonts w:hint="default" w:ascii="Times New Roman" w:hAnsi="Times New Roman" w:cs="Times New Roman"/>
                <w:sz w:val="24"/>
                <w:szCs w:val="24"/>
              </w:rPr>
            </w:pPr>
            <w:r>
              <w:rPr>
                <w:rFonts w:hint="default" w:ascii="Times New Roman" w:hAnsi="Times New Roman" w:cs="Times New Roman"/>
                <w:sz w:val="24"/>
                <w:szCs w:val="24"/>
              </w:rPr>
              <w:t>要素</w:t>
            </w:r>
          </w:p>
        </w:tc>
        <w:tc>
          <w:tcPr>
            <w:tcW w:w="1540" w:type="dxa"/>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排放口(编号、</w:t>
            </w:r>
          </w:p>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名称</w:t>
            </w:r>
            <w:r>
              <w:rPr>
                <w:rFonts w:hint="default" w:ascii="Times New Roman" w:hAnsi="Times New Roman" w:cs="Times New Roman"/>
                <w:sz w:val="24"/>
                <w:szCs w:val="24"/>
                <w:lang w:eastAsia="zh-CN"/>
              </w:rPr>
              <w:t>）</w:t>
            </w:r>
            <w:r>
              <w:rPr>
                <w:rFonts w:hint="default" w:ascii="Times New Roman" w:hAnsi="Times New Roman" w:cs="Times New Roman"/>
                <w:sz w:val="24"/>
                <w:szCs w:val="24"/>
              </w:rPr>
              <w:t>/污染源</w:t>
            </w:r>
          </w:p>
        </w:tc>
        <w:tc>
          <w:tcPr>
            <w:tcW w:w="1836" w:type="dxa"/>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污染物项目</w:t>
            </w:r>
          </w:p>
        </w:tc>
        <w:tc>
          <w:tcPr>
            <w:tcW w:w="2028" w:type="dxa"/>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环境保护措施</w:t>
            </w:r>
          </w:p>
        </w:tc>
        <w:tc>
          <w:tcPr>
            <w:tcW w:w="1981" w:type="dxa"/>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415" w:type="dxa"/>
            <w:vMerge w:val="restart"/>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大气环境</w:t>
            </w:r>
          </w:p>
        </w:tc>
        <w:tc>
          <w:tcPr>
            <w:tcW w:w="1540"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有机废气</w:t>
            </w:r>
          </w:p>
          <w:p>
            <w:pPr>
              <w:adjustRightInd w:val="0"/>
              <w:snapToGrid w:val="0"/>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排放口</w:t>
            </w:r>
          </w:p>
          <w:p>
            <w:pPr>
              <w:adjustRightInd w:val="0"/>
              <w:snapToGrid w:val="0"/>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（DA00</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p>
        </w:tc>
        <w:tc>
          <w:tcPr>
            <w:tcW w:w="1836"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非甲烷总烃（使用除聚氯乙烯以外的树脂生产塑料制品）</w:t>
            </w:r>
          </w:p>
        </w:tc>
        <w:tc>
          <w:tcPr>
            <w:tcW w:w="2028" w:type="dxa"/>
            <w:vMerge w:val="restart"/>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“UV光解+二级活性炭吸附装置”+15m排气筒</w:t>
            </w:r>
          </w:p>
        </w:tc>
        <w:tc>
          <w:tcPr>
            <w:tcW w:w="1981"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合成树脂工业污染物排放标准》（GB 31572—2015）中表</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415" w:type="dxa"/>
            <w:vMerge w:val="continue"/>
            <w:noWrap w:val="0"/>
            <w:vAlign w:val="center"/>
          </w:tcPr>
          <w:p>
            <w:pPr>
              <w:adjustRightInd w:val="0"/>
              <w:snapToGrid w:val="0"/>
              <w:spacing w:line="240" w:lineRule="auto"/>
              <w:jc w:val="center"/>
            </w:pPr>
          </w:p>
        </w:tc>
        <w:tc>
          <w:tcPr>
            <w:tcW w:w="154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eastAsia="zh-CN"/>
              </w:rPr>
            </w:pPr>
          </w:p>
        </w:tc>
        <w:tc>
          <w:tcPr>
            <w:tcW w:w="1836"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非甲烷总烃（使用聚氯乙烯树脂生产塑料制品）</w:t>
            </w:r>
          </w:p>
        </w:tc>
        <w:tc>
          <w:tcPr>
            <w:tcW w:w="2028"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p>
        </w:tc>
        <w:tc>
          <w:tcPr>
            <w:tcW w:w="1981"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《大气污染物综合排放标准》(GB16297-1996）表2二级标准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415" w:type="dxa"/>
            <w:vMerge w:val="continue"/>
            <w:noWrap w:val="0"/>
            <w:vAlign w:val="center"/>
          </w:tcPr>
          <w:p>
            <w:pPr>
              <w:adjustRightInd w:val="0"/>
              <w:snapToGrid w:val="0"/>
              <w:spacing w:line="240" w:lineRule="auto"/>
              <w:jc w:val="center"/>
              <w:rPr>
                <w:rFonts w:hint="default" w:ascii="Times New Roman" w:hAnsi="Times New Roman" w:eastAsia="宋体" w:cs="Times New Roman"/>
                <w:sz w:val="24"/>
                <w:szCs w:val="24"/>
                <w:lang w:val="en-US" w:eastAsia="zh-CN"/>
              </w:rPr>
            </w:pPr>
          </w:p>
        </w:tc>
        <w:tc>
          <w:tcPr>
            <w:tcW w:w="1540" w:type="dxa"/>
            <w:vMerge w:val="continue"/>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p>
        </w:tc>
        <w:tc>
          <w:tcPr>
            <w:tcW w:w="1836"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HCL</w:t>
            </w:r>
          </w:p>
        </w:tc>
        <w:tc>
          <w:tcPr>
            <w:tcW w:w="2028"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集气罩</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一套喷淋塔去除氯化氢气体，再由过滤棉去除多余水分后，再进入有机废气处理系统</w:t>
            </w:r>
            <w:r>
              <w:rPr>
                <w:rFonts w:hint="default" w:ascii="Times New Roman" w:hAnsi="Times New Roman" w:eastAsia="宋体" w:cs="Times New Roman"/>
                <w:color w:val="auto"/>
                <w:sz w:val="24"/>
                <w:szCs w:val="24"/>
                <w:lang w:val="en-US" w:eastAsia="zh-CN"/>
              </w:rPr>
              <w:t>+15m排气筒</w:t>
            </w:r>
          </w:p>
        </w:tc>
        <w:tc>
          <w:tcPr>
            <w:tcW w:w="1981"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《大气污染物综合排放标准》(GB16297-1996）表2二级标准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地表水环境</w:t>
            </w:r>
          </w:p>
        </w:tc>
        <w:tc>
          <w:tcPr>
            <w:tcW w:w="1540"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废水</w:t>
            </w:r>
            <w:r>
              <w:rPr>
                <w:rFonts w:hint="eastAsia" w:ascii="Times New Roman" w:hAnsi="Times New Roman" w:eastAsia="宋体" w:cs="Times New Roman"/>
                <w:color w:val="auto"/>
                <w:sz w:val="24"/>
                <w:szCs w:val="24"/>
                <w:lang w:val="en-US" w:eastAsia="zh-CN"/>
              </w:rPr>
              <w:t>排放口</w:t>
            </w:r>
          </w:p>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DW001</w:t>
            </w:r>
            <w:r>
              <w:rPr>
                <w:rFonts w:hint="default" w:ascii="Times New Roman" w:hAnsi="Times New Roman" w:eastAsia="宋体" w:cs="Times New Roman"/>
                <w:color w:val="auto"/>
                <w:sz w:val="24"/>
                <w:szCs w:val="24"/>
                <w:lang w:eastAsia="zh-CN"/>
              </w:rPr>
              <w:t>）</w:t>
            </w:r>
          </w:p>
        </w:tc>
        <w:tc>
          <w:tcPr>
            <w:tcW w:w="1836"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COD、BOD5、NH3-N、TP、TN等</w:t>
            </w:r>
          </w:p>
        </w:tc>
        <w:tc>
          <w:tcPr>
            <w:tcW w:w="2028"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碱喷淋废水先经过酸碱中和处理后，再汇同生活污水一起</w:t>
            </w:r>
            <w:r>
              <w:rPr>
                <w:rFonts w:hint="default" w:ascii="Times New Roman" w:hAnsi="Times New Roman" w:eastAsia="宋体" w:cs="Times New Roman"/>
                <w:color w:val="auto"/>
                <w:sz w:val="24"/>
                <w:szCs w:val="24"/>
                <w:lang w:eastAsia="zh-CN"/>
              </w:rPr>
              <w:t>经厂区污水预处理池处理后排入市政污水管网送蓬溪县来龙山污水处理厂处理</w:t>
            </w:r>
            <w:r>
              <w:rPr>
                <w:rFonts w:hint="eastAsia" w:ascii="Times New Roman" w:hAnsi="Times New Roman" w:eastAsia="宋体" w:cs="Times New Roman"/>
                <w:color w:val="auto"/>
                <w:sz w:val="24"/>
                <w:szCs w:val="24"/>
                <w:lang w:eastAsia="zh-CN"/>
              </w:rPr>
              <w:t>；</w:t>
            </w:r>
          </w:p>
        </w:tc>
        <w:tc>
          <w:tcPr>
            <w:tcW w:w="1981" w:type="dxa"/>
            <w:noWrap w:val="0"/>
            <w:vAlign w:val="center"/>
          </w:tcPr>
          <w:p>
            <w:pPr>
              <w:adjustRightInd w:val="0"/>
              <w:snapToGrid w:val="0"/>
              <w:spacing w:line="24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总磷、总氮执行《污水排入城市下水道水质标准》GB/T31962-2015 B级标准其余污染物执行《污水综合排放标准》（GB8978-1996）三级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声环境</w:t>
            </w:r>
          </w:p>
        </w:tc>
        <w:tc>
          <w:tcPr>
            <w:tcW w:w="1540" w:type="dxa"/>
            <w:noWrap w:val="0"/>
            <w:vAlign w:val="center"/>
          </w:tcPr>
          <w:p>
            <w:pPr>
              <w:adjustRightInd w:val="0"/>
              <w:snapToGrid w:val="0"/>
              <w:spacing w:line="240" w:lineRule="auto"/>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生产线设备</w:t>
            </w:r>
          </w:p>
        </w:tc>
        <w:tc>
          <w:tcPr>
            <w:tcW w:w="1836" w:type="dxa"/>
            <w:noWrap w:val="0"/>
            <w:vAlign w:val="center"/>
          </w:tcPr>
          <w:p>
            <w:pPr>
              <w:adjustRightInd w:val="0"/>
              <w:snapToGrid w:val="0"/>
              <w:spacing w:line="240" w:lineRule="auto"/>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设备噪声</w:t>
            </w:r>
          </w:p>
        </w:tc>
        <w:tc>
          <w:tcPr>
            <w:tcW w:w="2028" w:type="dxa"/>
            <w:noWrap w:val="0"/>
            <w:vAlign w:val="center"/>
          </w:tcPr>
          <w:p>
            <w:pPr>
              <w:adjustRightInd w:val="0"/>
              <w:snapToGrid w:val="0"/>
              <w:spacing w:line="240" w:lineRule="auto"/>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建筑结构屏蔽、设置减震设施、距离衰减</w:t>
            </w:r>
          </w:p>
        </w:tc>
        <w:tc>
          <w:tcPr>
            <w:tcW w:w="1981" w:type="dxa"/>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1415" w:type="dxa"/>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电磁辐射</w:t>
            </w:r>
          </w:p>
        </w:tc>
        <w:tc>
          <w:tcPr>
            <w:tcW w:w="7385" w:type="dxa"/>
            <w:gridSpan w:val="4"/>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eastAsia="zh-CN"/>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固体废物</w:t>
            </w:r>
          </w:p>
        </w:tc>
        <w:tc>
          <w:tcPr>
            <w:tcW w:w="7385" w:type="dxa"/>
            <w:gridSpan w:val="4"/>
            <w:noWrap w:val="0"/>
            <w:vAlign w:val="center"/>
          </w:tcPr>
          <w:p>
            <w:pPr>
              <w:pStyle w:val="10"/>
              <w:bidi w:val="0"/>
              <w:spacing w:line="240" w:lineRule="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生活垃圾由环卫部门统一清运；废活性炭、废弃含油抹布、手套等属于危险废物，交由有资质的单位处置。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土壤及地下水</w:t>
            </w:r>
          </w:p>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污染防治措施</w:t>
            </w:r>
          </w:p>
        </w:tc>
        <w:tc>
          <w:tcPr>
            <w:tcW w:w="7385" w:type="dxa"/>
            <w:gridSpan w:val="4"/>
            <w:noWrap w:val="0"/>
            <w:vAlign w:val="center"/>
          </w:tcPr>
          <w:p>
            <w:pPr>
              <w:pStyle w:val="10"/>
              <w:bidi w:val="0"/>
              <w:spacing w:line="240" w:lineRule="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分区防渗。</w:t>
            </w:r>
          </w:p>
          <w:p>
            <w:pPr>
              <w:pStyle w:val="10"/>
              <w:bidi w:val="0"/>
              <w:spacing w:line="240" w:lineRule="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重点防渗区：①沉淀池拟建设为钢筋混凝土现浇结构，沉淀池底部、四侧须做防渗处理（建议采用防渗混凝土层+至少1mmHDPE防渗层），等效黏土防渗层 Mb≥6.0m，防渗系数K≤1×10-7cm/s。②危废暂存间、储油间地面和1.0m高的墙裙须做防渗处理（建议采用防渗混凝土层+至少1mmHDPE防渗层），等效黏土防渗层Mb≥6.0m，防渗系数K≤1×10-7cm/s。</w:t>
            </w:r>
          </w:p>
          <w:p>
            <w:pPr>
              <w:pStyle w:val="10"/>
              <w:bidi w:val="0"/>
              <w:spacing w:line="240" w:lineRule="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一般防渗区：生产车间，等效黏土防渗层Mb≥1.5m，防渗系数K≤1.0×10-7cm/s。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415" w:type="dxa"/>
            <w:noWrap w:val="0"/>
            <w:vAlign w:val="center"/>
          </w:tcPr>
          <w:p>
            <w:pPr>
              <w:adjustRightInd w:val="0"/>
              <w:snapToGrid w:val="0"/>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生态保护措施</w:t>
            </w:r>
          </w:p>
        </w:tc>
        <w:tc>
          <w:tcPr>
            <w:tcW w:w="7385" w:type="dxa"/>
            <w:gridSpan w:val="4"/>
            <w:noWrap w:val="0"/>
            <w:vAlign w:val="center"/>
          </w:tcPr>
          <w:p>
            <w:pPr>
              <w:pStyle w:val="10"/>
              <w:bidi w:val="0"/>
              <w:spacing w:line="240" w:lineRule="auto"/>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pPr>
              <w:adjustRightInd w:val="0"/>
              <w:snapToGrid w:val="0"/>
              <w:spacing w:line="240" w:lineRule="auto"/>
              <w:jc w:val="center"/>
              <w:rPr>
                <w:rFonts w:hint="default" w:ascii="Times New Roman" w:hAnsi="Times New Roman" w:cs="Times New Roman"/>
                <w:spacing w:val="-8"/>
                <w:sz w:val="24"/>
                <w:szCs w:val="24"/>
              </w:rPr>
            </w:pPr>
            <w:r>
              <w:rPr>
                <w:rFonts w:hint="default" w:ascii="Times New Roman" w:hAnsi="Times New Roman" w:cs="Times New Roman"/>
                <w:spacing w:val="-8"/>
                <w:sz w:val="24"/>
                <w:szCs w:val="24"/>
              </w:rPr>
              <w:t>环境风险</w:t>
            </w:r>
          </w:p>
          <w:p>
            <w:pPr>
              <w:adjustRightInd w:val="0"/>
              <w:snapToGrid w:val="0"/>
              <w:spacing w:line="240" w:lineRule="auto"/>
              <w:jc w:val="center"/>
              <w:rPr>
                <w:rFonts w:hint="default" w:ascii="Times New Roman" w:hAnsi="Times New Roman" w:cs="Times New Roman"/>
                <w:spacing w:val="-8"/>
                <w:sz w:val="24"/>
                <w:szCs w:val="24"/>
              </w:rPr>
            </w:pPr>
            <w:r>
              <w:rPr>
                <w:rFonts w:hint="default" w:ascii="Times New Roman" w:hAnsi="Times New Roman" w:cs="Times New Roman"/>
                <w:spacing w:val="-8"/>
                <w:sz w:val="24"/>
                <w:szCs w:val="24"/>
              </w:rPr>
              <w:t>防范措施</w:t>
            </w:r>
          </w:p>
        </w:tc>
        <w:tc>
          <w:tcPr>
            <w:tcW w:w="7385" w:type="dxa"/>
            <w:gridSpan w:val="4"/>
            <w:noWrap w:val="0"/>
            <w:vAlign w:val="center"/>
          </w:tcPr>
          <w:p>
            <w:pPr>
              <w:spacing w:line="24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（1）火灾、爆炸风险防范措施</w:t>
            </w:r>
          </w:p>
          <w:p>
            <w:pPr>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①定期检查油桶存储情况，一旦发现其品质变化、包装破损、渗漏等及时处理; 并定期对员工上岗前开展安全培训，使员工掌握生产技能和安全防护知识。</w:t>
            </w:r>
          </w:p>
          <w:p>
            <w:pPr>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②从建筑物到设备要严格防火，厂房布置要按防火要求设计，安装消防栓和灭火器。</w:t>
            </w:r>
          </w:p>
          <w:p>
            <w:pPr>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③在有明显标志处配备相应的防护用品、装置常用维修工具，以保证事故发生时能及时作现场处理。</w:t>
            </w:r>
          </w:p>
          <w:p>
            <w:pPr>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④整个厂区禁止烟火，设立明显的禁烟禁火标识牌，加强职工安全意识教育，学习消防和安全常识，以预防突发事件。</w:t>
            </w:r>
          </w:p>
          <w:p>
            <w:pPr>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⑤要有专门的人员负责物料的分类贮存管理。</w:t>
            </w:r>
          </w:p>
          <w:p>
            <w:pPr>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⑥加强生产设施的管理和维护，检查各转动装置、及时检查管道渗漏情况等。一旦出现事故排放，企业立即采取应急措施，停产检修，险情排除后方可恢复生产运行。</w:t>
            </w:r>
          </w:p>
          <w:p>
            <w:pPr>
              <w:spacing w:line="240" w:lineRule="auto"/>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（2）泄漏风险防范措施</w:t>
            </w:r>
          </w:p>
          <w:p>
            <w:pPr>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w:t>
            </w:r>
            <w:r>
              <w:rPr>
                <w:rFonts w:hint="default" w:ascii="Times New Roman" w:hAnsi="Times New Roman" w:eastAsia="宋体" w:cs="Times New Roman"/>
                <w:color w:val="auto"/>
                <w:sz w:val="24"/>
                <w:szCs w:val="24"/>
                <w:lang w:val="en-US" w:eastAsia="zh-CN"/>
              </w:rPr>
              <w:t>危废暂存间和油品库房等</w:t>
            </w:r>
            <w:r>
              <w:rPr>
                <w:rFonts w:hint="default" w:ascii="Times New Roman" w:hAnsi="Times New Roman" w:eastAsia="宋体" w:cs="Times New Roman"/>
                <w:color w:val="auto"/>
                <w:sz w:val="24"/>
                <w:szCs w:val="24"/>
              </w:rPr>
              <w:t>应备有泄漏应急处理设备和合适的收容材料。</w:t>
            </w:r>
          </w:p>
          <w:p>
            <w:pPr>
              <w:spacing w:line="240" w:lineRule="auto"/>
              <w:ind w:firstLine="480" w:firstLineChars="200"/>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②如发生小量泄漏，用砂土或其他不燃材料吸收，使用洁净的无火花工具收集吸收材料；如发生大量泄漏，构筑围堤或挖坑收容。用抗溶性泡沫覆盖，减少蒸发。</w:t>
            </w:r>
          </w:p>
          <w:p>
            <w:pPr>
              <w:spacing w:line="240" w:lineRule="auto"/>
              <w:ind w:firstLine="482" w:firstLineChars="200"/>
              <w:rPr>
                <w:rFonts w:hint="default" w:ascii="Times New Roman" w:hAnsi="Times New Roman" w:eastAsia="宋体" w:cs="Times New Roman"/>
                <w:b/>
                <w:color w:val="FF0000"/>
                <w:sz w:val="24"/>
                <w:szCs w:val="24"/>
              </w:rPr>
            </w:pPr>
            <w:r>
              <w:rPr>
                <w:rFonts w:hint="default" w:ascii="Times New Roman" w:hAnsi="Times New Roman" w:eastAsia="宋体" w:cs="Times New Roman"/>
                <w:b/>
                <w:color w:val="auto"/>
                <w:sz w:val="24"/>
                <w:szCs w:val="24"/>
              </w:rPr>
              <w:t>针对油</w:t>
            </w:r>
            <w:r>
              <w:rPr>
                <w:rFonts w:hint="default" w:ascii="Times New Roman" w:hAnsi="Times New Roman" w:eastAsia="宋体" w:cs="Times New Roman"/>
                <w:b/>
                <w:color w:val="auto"/>
                <w:sz w:val="24"/>
                <w:szCs w:val="24"/>
                <w:lang w:val="en-US" w:eastAsia="zh-CN"/>
              </w:rPr>
              <w:t>品</w:t>
            </w:r>
            <w:r>
              <w:rPr>
                <w:rFonts w:hint="default" w:ascii="Times New Roman" w:hAnsi="Times New Roman" w:eastAsia="宋体" w:cs="Times New Roman"/>
                <w:b/>
                <w:color w:val="auto"/>
                <w:sz w:val="24"/>
                <w:szCs w:val="24"/>
              </w:rPr>
              <w:t>存放，环评提出以下风险防范措施：</w:t>
            </w:r>
          </w:p>
          <w:p>
            <w:pPr>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1）厂区油料间区域按有关消防部门的规范要求进行设计和建设，采取密闭管理，落实防雨、防风措施。</w:t>
            </w:r>
          </w:p>
          <w:p>
            <w:pPr>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2）厂区消防通道和建筑物耐火等级均按照消防规范要求进行建设，车间设置有严禁烟火的标志。</w:t>
            </w:r>
          </w:p>
          <w:p>
            <w:pPr>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3）厂区配置一定数量的干粉灭火器等消防器材。</w:t>
            </w:r>
          </w:p>
          <w:p>
            <w:pPr>
              <w:pStyle w:val="41"/>
              <w:keepNext w:val="0"/>
              <w:keepLines w:val="0"/>
              <w:pageBreakBefore w:val="0"/>
              <w:widowControl w:val="0"/>
              <w:kinsoku/>
              <w:wordWrap/>
              <w:overflowPunct/>
              <w:topLinePunct w:val="0"/>
              <w:autoSpaceDE w:val="0"/>
              <w:autoSpaceDN w:val="0"/>
              <w:bidi w:val="0"/>
              <w:adjustRightInd/>
              <w:snapToGrid/>
              <w:spacing w:line="24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（3）运行过程安全管理措施</w:t>
            </w:r>
          </w:p>
          <w:p>
            <w:pPr>
              <w:pStyle w:val="41"/>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1、加强内部安全管理</w:t>
            </w:r>
          </w:p>
          <w:p>
            <w:pPr>
              <w:pStyle w:val="41"/>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建立并完善生产经营单位的安全管理组织机构和人员配置，保证各类安全生产管理制度能认真贯彻执行，各项安全生产责任制能落实到人。明确各级第一负责人为安全生产第一责任人。在落实安全生产管理机构和人员配置后，还需建立各级机构和人员安全生产责任制。</w:t>
            </w:r>
          </w:p>
          <w:p>
            <w:pPr>
              <w:pStyle w:val="41"/>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生产经营单位的主要负责人、安全生产管理人员、特种作业人员和生产一线操作人员，都必须接受相应的安全教育和培训，并且考试合格。</w:t>
            </w:r>
          </w:p>
          <w:p>
            <w:pPr>
              <w:pStyle w:val="41"/>
              <w:spacing w:line="240" w:lineRule="auto"/>
              <w:ind w:firstLine="480" w:firstLineChars="200"/>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（2）安全投入</w:t>
            </w:r>
          </w:p>
          <w:p>
            <w:pPr>
              <w:pStyle w:val="41"/>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建立健全生产经营单位安全生产投入的长效保障机制，从资金和设施装备等物质方面保障安全生产工作正常进行。</w:t>
            </w:r>
          </w:p>
          <w:p>
            <w:pPr>
              <w:pStyle w:val="41"/>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建设项目安全设施，必须与主体工程同时设计、同时施工、同时投入生产和使用。安全设施投资应当纳入建设项目概算。</w:t>
            </w:r>
          </w:p>
          <w:p>
            <w:pPr>
              <w:pStyle w:val="41"/>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建设单位在日常运行过程中应根据国家相关规定提取用于安全生产的专项资金，专款专用，进行安全生产方面的技术改造，增添安全设施和防护设备以及个体防护用品。</w:t>
            </w:r>
          </w:p>
          <w:p>
            <w:pPr>
              <w:pStyle w:val="41"/>
              <w:spacing w:line="240" w:lineRule="auto"/>
              <w:rPr>
                <w:rFonts w:hint="default" w:ascii="Times New Roman" w:hAnsi="Times New Roman" w:eastAsia="宋体" w:cs="Times New Roman"/>
                <w:color w:val="FF0000"/>
                <w:sz w:val="24"/>
                <w:szCs w:val="24"/>
              </w:rPr>
            </w:pPr>
            <w:r>
              <w:rPr>
                <w:rFonts w:hint="default" w:ascii="Times New Roman" w:hAnsi="Times New Roman" w:eastAsia="宋体" w:cs="Times New Roman"/>
                <w:color w:val="auto"/>
                <w:sz w:val="24"/>
                <w:szCs w:val="24"/>
              </w:rPr>
              <w:t>对于可能引发事故的场所、设备设施应制定必要的应急救援措施和配备相应的消防、救援设施。</w:t>
            </w:r>
          </w:p>
          <w:p>
            <w:pPr>
              <w:pStyle w:val="41"/>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、加强火源管理</w:t>
            </w:r>
          </w:p>
          <w:p>
            <w:pPr>
              <w:pStyle w:val="41"/>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（1）应尽量避免在火灾爆炸危险场所内动火，如果必须动火，应按动火级别办理动火许可证，并做好安全措施；在输送、贮存易燃易爆物料管道、设备上动火时，必须办理特殊动火许可证。</w:t>
            </w:r>
          </w:p>
          <w:p>
            <w:pPr>
              <w:pStyle w:val="41"/>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（2）工程机动车、运输机动车、电瓶车等无阻火设施不允许进入厂区。</w:t>
            </w:r>
          </w:p>
          <w:p>
            <w:pPr>
              <w:pStyle w:val="41"/>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各种动机械均能因各种原因产生摩擦与撞击导致火花产生，因此必须加强各种动机械的润滑管理、清垢管理；加强现场管理，禁止穿带钉子鞋进入易燃易爆场所；不能随意在易燃易爆场所抛掷金属物件，撞击设备、管线。</w:t>
            </w:r>
          </w:p>
          <w:p>
            <w:pPr>
              <w:pStyle w:val="41"/>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（4）加强流动火源的管理，生产区严禁吸烟，防止明火和其他激发能源。禁止使用电炉、电钻、火炉、喷灯等一切产生明火、高温的工具与热物体，不得携带火种进入生产区。</w:t>
            </w:r>
          </w:p>
          <w:p>
            <w:pPr>
              <w:pStyle w:val="41"/>
              <w:spacing w:line="24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、加强消防组织与消防设施管理</w:t>
            </w:r>
          </w:p>
          <w:p>
            <w:pPr>
              <w:pStyle w:val="24"/>
              <w:bidi w:val="0"/>
              <w:spacing w:line="240" w:lineRule="auto"/>
              <w:rPr>
                <w:rFonts w:hint="default" w:ascii="Times New Roman" w:hAnsi="Times New Roman" w:cs="Times New Roman"/>
                <w:sz w:val="24"/>
                <w:szCs w:val="24"/>
              </w:rPr>
            </w:pPr>
            <w:r>
              <w:rPr>
                <w:rFonts w:hint="default" w:ascii="Times New Roman" w:hAnsi="Times New Roman" w:eastAsia="宋体" w:cs="Times New Roman"/>
                <w:color w:val="auto"/>
                <w:sz w:val="24"/>
                <w:szCs w:val="24"/>
              </w:rPr>
              <w:t>要积极贯彻“预防为主，防消结合”的消防方针，应根据生产检修情况和季节变化，拟定消防工作计划，进行经常性的消防宣传教育、在训练场地结合事故预想进行演练。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15" w:type="dxa"/>
            <w:noWrap w:val="0"/>
            <w:vAlign w:val="center"/>
          </w:tcPr>
          <w:p>
            <w:pPr>
              <w:adjustRightInd w:val="0"/>
              <w:snapToGrid w:val="0"/>
              <w:spacing w:line="240" w:lineRule="auto"/>
              <w:jc w:val="center"/>
              <w:rPr>
                <w:rFonts w:hint="default" w:ascii="Times New Roman" w:hAnsi="Times New Roman" w:cs="Times New Roman"/>
                <w:spacing w:val="-8"/>
                <w:sz w:val="24"/>
                <w:szCs w:val="24"/>
              </w:rPr>
            </w:pPr>
            <w:r>
              <w:rPr>
                <w:rFonts w:hint="default" w:ascii="Times New Roman" w:hAnsi="Times New Roman" w:cs="Times New Roman"/>
                <w:spacing w:val="-8"/>
                <w:sz w:val="24"/>
                <w:szCs w:val="24"/>
              </w:rPr>
              <w:t>其他环境</w:t>
            </w:r>
          </w:p>
          <w:p>
            <w:pPr>
              <w:adjustRightInd w:val="0"/>
              <w:snapToGrid w:val="0"/>
              <w:spacing w:line="240" w:lineRule="auto"/>
              <w:jc w:val="center"/>
              <w:rPr>
                <w:rFonts w:hint="default" w:ascii="Times New Roman" w:hAnsi="Times New Roman" w:cs="Times New Roman"/>
                <w:spacing w:val="-8"/>
                <w:sz w:val="24"/>
                <w:szCs w:val="24"/>
              </w:rPr>
            </w:pPr>
            <w:r>
              <w:rPr>
                <w:rFonts w:hint="default" w:ascii="Times New Roman" w:hAnsi="Times New Roman" w:cs="Times New Roman"/>
                <w:spacing w:val="-8"/>
                <w:sz w:val="24"/>
                <w:szCs w:val="24"/>
              </w:rPr>
              <w:t>管理要求</w:t>
            </w:r>
          </w:p>
        </w:tc>
        <w:tc>
          <w:tcPr>
            <w:tcW w:w="7385" w:type="dxa"/>
            <w:gridSpan w:val="4"/>
            <w:noWrap w:val="0"/>
            <w:vAlign w:val="center"/>
          </w:tcPr>
          <w:p>
            <w:pPr>
              <w:pStyle w:val="24"/>
              <w:bidi w:val="0"/>
              <w:spacing w:line="240" w:lineRule="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①</w:t>
            </w:r>
            <w:r>
              <w:rPr>
                <w:rFonts w:hint="default" w:ascii="Times New Roman" w:hAnsi="Times New Roman" w:cs="Times New Roman"/>
                <w:sz w:val="24"/>
                <w:szCs w:val="24"/>
              </w:rPr>
              <w:t>项目发生实际排污前，登录全国排污许可证管理信息平台</w:t>
            </w:r>
            <w:r>
              <w:rPr>
                <w:rFonts w:hint="default" w:ascii="Times New Roman" w:hAnsi="Times New Roman" w:cs="Times New Roman"/>
                <w:sz w:val="24"/>
                <w:szCs w:val="24"/>
                <w:lang w:eastAsia="zh-CN"/>
              </w:rPr>
              <w:t>及时申领排污许可证</w:t>
            </w:r>
            <w:r>
              <w:rPr>
                <w:rFonts w:hint="default" w:ascii="Times New Roman" w:hAnsi="Times New Roman" w:cs="Times New Roman"/>
                <w:sz w:val="24"/>
                <w:szCs w:val="24"/>
              </w:rPr>
              <w:t>。</w:t>
            </w:r>
          </w:p>
          <w:p>
            <w:pPr>
              <w:pStyle w:val="24"/>
              <w:bidi w:val="0"/>
              <w:spacing w:line="240" w:lineRule="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②</w:t>
            </w:r>
            <w:r>
              <w:rPr>
                <w:rFonts w:hint="default" w:ascii="Times New Roman" w:hAnsi="Times New Roman" w:cs="Times New Roman"/>
                <w:sz w:val="24"/>
                <w:szCs w:val="24"/>
              </w:rPr>
              <w:t>严格落实本环评提出的各项环保措施，</w:t>
            </w:r>
            <w:r>
              <w:rPr>
                <w:rFonts w:hint="default" w:ascii="Times New Roman" w:hAnsi="Times New Roman" w:cs="Times New Roman"/>
                <w:sz w:val="24"/>
                <w:szCs w:val="24"/>
                <w:lang w:eastAsia="zh-CN"/>
              </w:rPr>
              <w:t>严格落实“三同时”制度</w:t>
            </w:r>
            <w:r>
              <w:rPr>
                <w:rFonts w:hint="default" w:ascii="Times New Roman" w:hAnsi="Times New Roman" w:cs="Times New Roman"/>
                <w:sz w:val="24"/>
                <w:szCs w:val="24"/>
              </w:rPr>
              <w:t>。项目竣工后严格按照国家规定的程序和方式组织竣工验收。</w:t>
            </w:r>
          </w:p>
          <w:p>
            <w:pPr>
              <w:pStyle w:val="24"/>
              <w:bidi w:val="0"/>
              <w:spacing w:line="240" w:lineRule="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③本环评获批后</w:t>
            </w:r>
            <w:r>
              <w:rPr>
                <w:rFonts w:hint="default" w:ascii="Times New Roman" w:hAnsi="Times New Roman" w:cs="Times New Roman"/>
                <w:sz w:val="24"/>
                <w:szCs w:val="24"/>
                <w:lang w:val="en-US" w:eastAsia="zh-CN"/>
              </w:rPr>
              <w:t>5年后动工建设的应重新报原审批部门审查，发生重大变化的应重新报批</w:t>
            </w:r>
            <w:r>
              <w:rPr>
                <w:rFonts w:hint="default" w:ascii="Times New Roman" w:hAnsi="Times New Roman" w:cs="Times New Roman"/>
                <w:sz w:val="24"/>
                <w:szCs w:val="24"/>
              </w:rPr>
              <w:t>。</w:t>
            </w:r>
          </w:p>
          <w:p>
            <w:pPr>
              <w:pStyle w:val="24"/>
              <w:bidi w:val="0"/>
              <w:spacing w:line="240" w:lineRule="auto"/>
              <w:rPr>
                <w:rFonts w:hint="default" w:ascii="Times New Roman" w:hAnsi="Times New Roman" w:cs="Times New Roman"/>
                <w:sz w:val="24"/>
                <w:szCs w:val="24"/>
              </w:rPr>
            </w:pPr>
            <w:r>
              <w:rPr>
                <w:rFonts w:hint="default" w:ascii="Times New Roman" w:hAnsi="Times New Roman" w:cs="Times New Roman"/>
                <w:sz w:val="24"/>
                <w:szCs w:val="24"/>
                <w:lang w:eastAsia="zh-CN"/>
              </w:rPr>
              <w:t>④</w:t>
            </w:r>
            <w:r>
              <w:rPr>
                <w:rFonts w:hint="default" w:ascii="Times New Roman" w:hAnsi="Times New Roman" w:cs="Times New Roman"/>
                <w:sz w:val="24"/>
                <w:szCs w:val="24"/>
              </w:rPr>
              <w:t>定期保养设备，放置设备因保养不适当造成设备异常运行而增加噪声产生量；做好厂房隔声、设备减振，确保厂界噪声达标。</w:t>
            </w:r>
          </w:p>
          <w:p>
            <w:pPr>
              <w:pStyle w:val="24"/>
              <w:bidi w:val="0"/>
              <w:spacing w:line="240" w:lineRule="auto"/>
              <w:rPr>
                <w:rFonts w:hint="default" w:ascii="Times New Roman" w:hAnsi="Times New Roman" w:cs="Times New Roman"/>
                <w:sz w:val="24"/>
                <w:szCs w:val="24"/>
              </w:rPr>
            </w:pPr>
            <w:r>
              <w:rPr>
                <w:rFonts w:hint="default" w:ascii="Times New Roman" w:hAnsi="Times New Roman" w:cs="Times New Roman"/>
                <w:sz w:val="24"/>
                <w:szCs w:val="24"/>
                <w:lang w:eastAsia="zh-CN"/>
              </w:rPr>
              <w:t>⑤</w:t>
            </w:r>
            <w:r>
              <w:rPr>
                <w:rFonts w:hint="default" w:ascii="Times New Roman" w:hAnsi="Times New Roman" w:cs="Times New Roman"/>
                <w:sz w:val="24"/>
                <w:szCs w:val="24"/>
              </w:rPr>
              <w:t>生活垃圾等应每天及时清运，防止夏季恶臭气味的产生，清除蚊蝇和寄生虫卵产生场所。</w:t>
            </w:r>
          </w:p>
          <w:p>
            <w:pPr>
              <w:pStyle w:val="24"/>
              <w:bidi w:val="0"/>
              <w:spacing w:line="240" w:lineRule="auto"/>
              <w:rPr>
                <w:rFonts w:hint="default" w:ascii="Times New Roman" w:hAnsi="Times New Roman" w:cs="Times New Roman"/>
                <w:sz w:val="24"/>
                <w:szCs w:val="24"/>
              </w:rPr>
            </w:pPr>
            <w:r>
              <w:rPr>
                <w:rFonts w:hint="default" w:ascii="Times New Roman" w:hAnsi="Times New Roman" w:cs="Times New Roman"/>
                <w:sz w:val="24"/>
                <w:szCs w:val="24"/>
                <w:lang w:eastAsia="zh-CN"/>
              </w:rPr>
              <w:t>⑥</w:t>
            </w:r>
            <w:r>
              <w:rPr>
                <w:rFonts w:hint="default" w:ascii="Times New Roman" w:hAnsi="Times New Roman" w:cs="Times New Roman"/>
                <w:sz w:val="24"/>
                <w:szCs w:val="24"/>
              </w:rPr>
              <w:t>切实加强各环保设施的日常维护管理，定期检查运行情况，确保处理效果，尽量避环保设施处于“非正常工况”，</w:t>
            </w:r>
            <w:r>
              <w:rPr>
                <w:rFonts w:hint="default" w:ascii="Times New Roman" w:hAnsi="Times New Roman" w:cs="Times New Roman"/>
                <w:sz w:val="24"/>
                <w:szCs w:val="24"/>
                <w:lang w:eastAsia="zh-CN"/>
              </w:rPr>
              <w:t>尽量减少</w:t>
            </w:r>
            <w:r>
              <w:rPr>
                <w:rFonts w:hint="default" w:ascii="Times New Roman" w:hAnsi="Times New Roman" w:cs="Times New Roman"/>
                <w:sz w:val="24"/>
                <w:szCs w:val="24"/>
              </w:rPr>
              <w:t>各类污染物排放，以减轻对环境的影响。加强环境管理，提高职工环保意识，设置专人负责环境管理，落实环境管理制度，确保各项治理设施正常稳定运行。</w:t>
            </w:r>
          </w:p>
          <w:p>
            <w:pPr>
              <w:adjustRightInd w:val="0"/>
              <w:snapToGrid w:val="0"/>
              <w:spacing w:line="240" w:lineRule="auto"/>
              <w:rPr>
                <w:rFonts w:hint="default" w:ascii="Times New Roman" w:hAnsi="Times New Roman" w:cs="Times New Roman"/>
                <w:sz w:val="24"/>
                <w:szCs w:val="24"/>
                <w:lang w:val="en-US" w:eastAsia="zh-CN"/>
              </w:rPr>
            </w:pPr>
          </w:p>
          <w:p>
            <w:pPr>
              <w:adjustRightInd w:val="0"/>
              <w:snapToGrid w:val="0"/>
              <w:spacing w:line="240" w:lineRule="auto"/>
              <w:rPr>
                <w:rFonts w:hint="default" w:ascii="Times New Roman" w:hAnsi="Times New Roman" w:cs="Times New Roman"/>
                <w:sz w:val="24"/>
                <w:szCs w:val="24"/>
                <w:lang w:val="en-US" w:eastAsia="zh-CN"/>
              </w:rPr>
            </w:pPr>
          </w:p>
          <w:p>
            <w:pPr>
              <w:adjustRightInd w:val="0"/>
              <w:snapToGrid w:val="0"/>
              <w:spacing w:line="240" w:lineRule="auto"/>
              <w:rPr>
                <w:rFonts w:hint="default" w:ascii="Times New Roman" w:hAnsi="Times New Roman" w:cs="Times New Roman"/>
                <w:sz w:val="24"/>
                <w:szCs w:val="24"/>
                <w:lang w:val="en-US" w:eastAsia="zh-CN"/>
              </w:rPr>
            </w:pPr>
          </w:p>
          <w:p>
            <w:pPr>
              <w:adjustRightInd w:val="0"/>
              <w:snapToGrid w:val="0"/>
              <w:spacing w:line="240" w:lineRule="auto"/>
              <w:rPr>
                <w:rFonts w:hint="default" w:ascii="Times New Roman" w:hAnsi="Times New Roman" w:cs="Times New Roman"/>
                <w:sz w:val="24"/>
                <w:szCs w:val="24"/>
                <w:lang w:val="en-US" w:eastAsia="zh-CN"/>
              </w:rPr>
            </w:pPr>
          </w:p>
          <w:p>
            <w:pPr>
              <w:adjustRightInd w:val="0"/>
              <w:snapToGrid w:val="0"/>
              <w:spacing w:line="240" w:lineRule="auto"/>
              <w:rPr>
                <w:rFonts w:hint="default" w:ascii="Times New Roman" w:hAnsi="Times New Roman" w:cs="Times New Roman"/>
                <w:sz w:val="24"/>
                <w:szCs w:val="24"/>
                <w:lang w:val="en-US" w:eastAsia="zh-CN"/>
              </w:rPr>
            </w:pPr>
          </w:p>
          <w:p>
            <w:pPr>
              <w:adjustRightInd w:val="0"/>
              <w:snapToGrid w:val="0"/>
              <w:spacing w:line="240" w:lineRule="auto"/>
              <w:rPr>
                <w:rFonts w:hint="default" w:ascii="Times New Roman" w:hAnsi="Times New Roman" w:cs="Times New Roman"/>
                <w:sz w:val="24"/>
                <w:szCs w:val="24"/>
                <w:lang w:val="en-US" w:eastAsia="zh-CN"/>
              </w:rPr>
            </w:pPr>
          </w:p>
          <w:p>
            <w:pPr>
              <w:adjustRightInd w:val="0"/>
              <w:snapToGrid w:val="0"/>
              <w:spacing w:line="240" w:lineRule="auto"/>
              <w:rPr>
                <w:rFonts w:hint="default" w:ascii="Times New Roman" w:hAnsi="Times New Roman" w:eastAsia="宋体" w:cs="Times New Roman"/>
                <w:sz w:val="24"/>
                <w:szCs w:val="24"/>
                <w:lang w:val="en-US" w:eastAsia="zh-CN"/>
              </w:rPr>
            </w:pPr>
          </w:p>
        </w:tc>
      </w:tr>
    </w:tbl>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default" w:ascii="Times New Roman" w:hAnsi="Times New Roman" w:eastAsia="黑体" w:cs="Times New Roman"/>
          <w:snapToGrid w:val="0"/>
          <w:sz w:val="30"/>
          <w:szCs w:val="30"/>
        </w:rPr>
      </w:pPr>
      <w:r>
        <w:rPr>
          <w:rFonts w:hint="default" w:ascii="Times New Roman" w:hAnsi="Times New Roman" w:cs="Times New Roman"/>
          <w:snapToGrid w:val="0"/>
        </w:rPr>
        <w:br w:type="page"/>
      </w:r>
      <w:r>
        <w:rPr>
          <w:rFonts w:hint="default" w:ascii="Times New Roman" w:hAnsi="Times New Roman" w:eastAsia="黑体" w:cs="Times New Roman"/>
          <w:snapToGrid w:val="0"/>
          <w:sz w:val="30"/>
          <w:szCs w:val="30"/>
        </w:rPr>
        <w:t>六、结论</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val="0"/>
              <w:kinsoku/>
              <w:wordWrap/>
              <w:overflowPunct/>
              <w:topLinePunct w:val="0"/>
              <w:autoSpaceDE/>
              <w:autoSpaceDN/>
              <w:bidi w:val="0"/>
              <w:adjustRightInd/>
              <w:snapToGrid/>
              <w:spacing w:before="313" w:beforeLines="100" w:line="420" w:lineRule="auto"/>
              <w:ind w:left="0" w:firstLine="480" w:firstLineChars="200"/>
              <w:jc w:val="both"/>
              <w:textAlignment w:val="auto"/>
              <w:rPr>
                <w:rFonts w:hint="default" w:ascii="Times New Roman" w:hAnsi="Times New Roman" w:eastAsia="宋体" w:cs="Times New Roman"/>
                <w:sz w:val="24"/>
                <w:szCs w:val="20"/>
                <w:lang w:eastAsia="zh-CN"/>
              </w:rPr>
            </w:pPr>
            <w:bookmarkStart w:id="4" w:name="OLE_LINK18"/>
          </w:p>
          <w:p>
            <w:pPr>
              <w:keepNext w:val="0"/>
              <w:keepLines w:val="0"/>
              <w:pageBreakBefore w:val="0"/>
              <w:widowControl w:val="0"/>
              <w:kinsoku/>
              <w:wordWrap/>
              <w:overflowPunct/>
              <w:topLinePunct w:val="0"/>
              <w:autoSpaceDE/>
              <w:autoSpaceDN/>
              <w:bidi w:val="0"/>
              <w:adjustRightInd/>
              <w:snapToGrid/>
              <w:spacing w:before="313" w:beforeLines="100" w:line="420" w:lineRule="auto"/>
              <w:ind w:left="0" w:firstLine="480" w:firstLineChars="200"/>
              <w:jc w:val="both"/>
              <w:textAlignment w:val="auto"/>
              <w:rPr>
                <w:rFonts w:hint="default" w:ascii="Times New Roman" w:hAnsi="Times New Roman" w:eastAsia="宋体" w:cs="Times New Roman"/>
                <w:sz w:val="24"/>
                <w:szCs w:val="20"/>
                <w:lang w:eastAsia="zh-CN"/>
              </w:rPr>
            </w:pPr>
          </w:p>
          <w:p>
            <w:pPr>
              <w:keepNext w:val="0"/>
              <w:keepLines w:val="0"/>
              <w:pageBreakBefore w:val="0"/>
              <w:widowControl w:val="0"/>
              <w:kinsoku/>
              <w:wordWrap/>
              <w:overflowPunct/>
              <w:topLinePunct w:val="0"/>
              <w:autoSpaceDE/>
              <w:autoSpaceDN/>
              <w:bidi w:val="0"/>
              <w:adjustRightInd/>
              <w:snapToGrid/>
              <w:spacing w:before="313" w:beforeLines="100" w:line="420" w:lineRule="auto"/>
              <w:ind w:left="0" w:firstLine="480" w:firstLineChars="200"/>
              <w:jc w:val="both"/>
              <w:textAlignment w:val="auto"/>
              <w:rPr>
                <w:rFonts w:hint="default" w:ascii="Times New Roman" w:hAnsi="Times New Roman" w:eastAsia="宋体" w:cs="Times New Roman"/>
                <w:sz w:val="24"/>
                <w:szCs w:val="20"/>
                <w:lang w:eastAsia="zh-CN"/>
              </w:rPr>
            </w:pPr>
          </w:p>
          <w:p>
            <w:pPr>
              <w:keepNext w:val="0"/>
              <w:keepLines w:val="0"/>
              <w:pageBreakBefore w:val="0"/>
              <w:widowControl w:val="0"/>
              <w:kinsoku/>
              <w:wordWrap/>
              <w:overflowPunct/>
              <w:topLinePunct w:val="0"/>
              <w:autoSpaceDE/>
              <w:autoSpaceDN/>
              <w:bidi w:val="0"/>
              <w:adjustRightInd/>
              <w:snapToGrid/>
              <w:spacing w:before="313" w:beforeLines="100" w:line="420" w:lineRule="auto"/>
              <w:ind w:left="0" w:firstLine="480" w:firstLineChars="200"/>
              <w:jc w:val="both"/>
              <w:textAlignment w:val="auto"/>
              <w:rPr>
                <w:rFonts w:hint="default" w:ascii="Times New Roman" w:hAnsi="Times New Roman" w:eastAsia="宋体" w:cs="Times New Roman"/>
                <w:sz w:val="24"/>
                <w:szCs w:val="20"/>
              </w:rPr>
            </w:pPr>
            <w:r>
              <w:rPr>
                <w:rFonts w:hint="default" w:ascii="Times New Roman" w:hAnsi="Times New Roman" w:eastAsia="宋体" w:cs="Times New Roman"/>
                <w:sz w:val="24"/>
                <w:szCs w:val="20"/>
                <w:lang w:eastAsia="zh-CN"/>
              </w:rPr>
              <w:t>根据分析</w:t>
            </w:r>
            <w:r>
              <w:rPr>
                <w:rFonts w:hint="default" w:ascii="Times New Roman" w:hAnsi="Times New Roman" w:eastAsia="宋体" w:cs="Times New Roman"/>
                <w:sz w:val="24"/>
                <w:szCs w:val="20"/>
              </w:rPr>
              <w:t>，本项目的建设符合国家产业政策，符合</w:t>
            </w:r>
            <w:r>
              <w:rPr>
                <w:rFonts w:hint="default" w:ascii="Times New Roman" w:hAnsi="Times New Roman" w:eastAsia="宋体" w:cs="Times New Roman"/>
                <w:sz w:val="24"/>
                <w:szCs w:val="24"/>
                <w:lang w:eastAsia="zh-CN"/>
              </w:rPr>
              <w:t>蓬溪县</w:t>
            </w:r>
            <w:r>
              <w:rPr>
                <w:rFonts w:hint="default" w:ascii="Times New Roman" w:hAnsi="Times New Roman" w:eastAsia="宋体" w:cs="Times New Roman"/>
                <w:sz w:val="24"/>
                <w:szCs w:val="24"/>
              </w:rPr>
              <w:t>的相关规划。</w:t>
            </w:r>
            <w:r>
              <w:rPr>
                <w:rFonts w:hint="default" w:ascii="Times New Roman" w:hAnsi="Times New Roman" w:eastAsia="宋体" w:cs="Times New Roman"/>
                <w:sz w:val="24"/>
                <w:szCs w:val="20"/>
              </w:rPr>
              <w:t>环保措施具有可行性，项目的建设和营运不会对区域环境质量造成明显影响。因此本评价认为，项目在落实本环评提出的环保措施后，施工期和运营期产生的负面影响是可以得到有效控制的，并能为环境所接受。因此，从</w:t>
            </w:r>
            <w:r>
              <w:rPr>
                <w:rFonts w:hint="default" w:ascii="Times New Roman" w:hAnsi="Times New Roman" w:eastAsia="宋体" w:cs="Times New Roman"/>
                <w:sz w:val="24"/>
                <w:szCs w:val="20"/>
                <w:lang w:eastAsia="zh-CN"/>
              </w:rPr>
              <w:t>环境影响评价</w:t>
            </w:r>
            <w:r>
              <w:rPr>
                <w:rFonts w:hint="default" w:ascii="Times New Roman" w:hAnsi="Times New Roman" w:eastAsia="宋体" w:cs="Times New Roman"/>
                <w:sz w:val="24"/>
                <w:szCs w:val="20"/>
              </w:rPr>
              <w:t>角度来说，本项目的建设是可行的。</w:t>
            </w:r>
            <w:bookmarkEnd w:id="4"/>
          </w:p>
          <w:p>
            <w:pPr>
              <w:pStyle w:val="24"/>
              <w:bidi w:val="0"/>
              <w:ind w:left="0" w:leftChars="0" w:firstLine="480" w:firstLineChars="200"/>
              <w:rPr>
                <w:rFonts w:hint="default" w:ascii="Times New Roman" w:hAnsi="Times New Roman" w:cs="Times New Roman"/>
              </w:rPr>
            </w:pPr>
            <w:r>
              <w:rPr>
                <w:rFonts w:hint="default" w:ascii="Times New Roman" w:hAnsi="Times New Roman" w:cs="Times New Roman"/>
              </w:rPr>
              <w:t>本次评价结论是在业主单位提供的建设内容和规模的基础上得出的，若建设单位改变相关的建设内容和规模，业主单位应</w:t>
            </w:r>
            <w:r>
              <w:rPr>
                <w:rFonts w:hint="default" w:ascii="Times New Roman" w:hAnsi="Times New Roman" w:cs="Times New Roman"/>
                <w:lang w:eastAsia="zh-CN"/>
              </w:rPr>
              <w:t>按照</w:t>
            </w:r>
            <w:r>
              <w:rPr>
                <w:rFonts w:hint="default" w:ascii="Times New Roman" w:hAnsi="Times New Roman" w:cs="Times New Roman"/>
              </w:rPr>
              <w:t>环保部门的有关要求另行申报。</w:t>
            </w:r>
          </w:p>
          <w:p>
            <w:pPr>
              <w:keepNext w:val="0"/>
              <w:keepLines w:val="0"/>
              <w:pageBreakBefore w:val="0"/>
              <w:widowControl w:val="0"/>
              <w:kinsoku/>
              <w:wordWrap/>
              <w:overflowPunct/>
              <w:topLinePunct w:val="0"/>
              <w:autoSpaceDE/>
              <w:autoSpaceDN/>
              <w:bidi w:val="0"/>
              <w:adjustRightInd/>
              <w:snapToGrid/>
              <w:spacing w:before="313" w:beforeLines="100" w:line="420" w:lineRule="auto"/>
              <w:ind w:left="0" w:firstLine="480" w:firstLineChars="200"/>
              <w:jc w:val="both"/>
              <w:textAlignment w:val="auto"/>
              <w:rPr>
                <w:rFonts w:hint="default" w:ascii="Times New Roman" w:hAnsi="Times New Roman" w:eastAsia="宋体" w:cs="Times New Roman"/>
                <w:sz w:val="24"/>
                <w:szCs w:val="20"/>
                <w:lang w:val="en-US" w:eastAsia="zh-CN"/>
              </w:rPr>
            </w:pPr>
          </w:p>
          <w:p>
            <w:pPr>
              <w:spacing w:line="360" w:lineRule="auto"/>
              <w:jc w:val="both"/>
              <w:rPr>
                <w:rFonts w:hint="default" w:ascii="Times New Roman" w:hAnsi="Times New Roman" w:cs="Times New Roman"/>
                <w:sz w:val="24"/>
              </w:rPr>
            </w:pPr>
          </w:p>
        </w:tc>
      </w:tr>
    </w:tbl>
    <w:p>
      <w:pPr>
        <w:rPr>
          <w:rFonts w:hint="default" w:ascii="Times New Roman" w:hAnsi="Times New Roman" w:cs="Times New Roman"/>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黑体" w:cs="Times New Roman"/>
          <w:snapToGrid w:val="0"/>
          <w:sz w:val="32"/>
          <w:szCs w:val="32"/>
        </w:rPr>
      </w:pPr>
      <w:r>
        <w:rPr>
          <w:rFonts w:hint="default" w:ascii="Times New Roman" w:hAnsi="Times New Roman" w:eastAsia="黑体" w:cs="Times New Roman"/>
          <w:snapToGrid w:val="0"/>
          <w:sz w:val="32"/>
          <w:szCs w:val="32"/>
        </w:rPr>
        <w:t>附表</w:t>
      </w:r>
    </w:p>
    <w:p>
      <w:pPr>
        <w:pStyle w:val="14"/>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方正小标宋_GBK" w:cs="Times New Roman"/>
          <w:snapToGrid w:val="0"/>
          <w:sz w:val="38"/>
          <w:szCs w:val="38"/>
        </w:rPr>
      </w:pPr>
      <w:r>
        <w:rPr>
          <w:rFonts w:hint="default" w:ascii="Times New Roman" w:hAnsi="Times New Roman" w:eastAsia="方正小标宋_GBK" w:cs="Times New Roman"/>
          <w:snapToGrid w:val="0"/>
          <w:sz w:val="38"/>
          <w:szCs w:val="38"/>
        </w:rPr>
        <w:t>建设项目污染物排放量汇总表</w:t>
      </w:r>
    </w:p>
    <w:tbl>
      <w:tblPr>
        <w:tblStyle w:val="1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jc w:val="right"/>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项目</w:t>
            </w:r>
          </w:p>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firstLine="188" w:firstLineChars="100"/>
              <w:jc w:val="left"/>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分类</w:t>
            </w:r>
          </w:p>
        </w:tc>
        <w:tc>
          <w:tcPr>
            <w:tcW w:w="1417" w:type="dxa"/>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污染物名称</w:t>
            </w:r>
          </w:p>
        </w:tc>
        <w:tc>
          <w:tcPr>
            <w:tcW w:w="1701" w:type="dxa"/>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w:t>
            </w:r>
          </w:p>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1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①</w:t>
            </w:r>
            <w:r>
              <w:rPr>
                <w:rFonts w:hint="default" w:ascii="Times New Roman" w:hAnsi="Times New Roman" w:eastAsia="黑体" w:cs="Times New Roman"/>
                <w:snapToGrid w:val="0"/>
                <w:color w:val="000000"/>
                <w:spacing w:val="-6"/>
                <w:kern w:val="21"/>
                <w:szCs w:val="21"/>
              </w:rPr>
              <w:fldChar w:fldCharType="end"/>
            </w:r>
          </w:p>
        </w:tc>
        <w:tc>
          <w:tcPr>
            <w:tcW w:w="1276" w:type="dxa"/>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现有工程</w:t>
            </w:r>
          </w:p>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许可排放量</w:t>
            </w:r>
          </w:p>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2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snapToGrid w:val="0"/>
                <w:color w:val="000000"/>
                <w:spacing w:val="-6"/>
                <w:kern w:val="21"/>
                <w:szCs w:val="21"/>
              </w:rPr>
              <w:t>②</w:t>
            </w:r>
            <w:r>
              <w:rPr>
                <w:rFonts w:hint="default" w:ascii="Times New Roman" w:hAnsi="Times New Roman" w:eastAsia="黑体" w:cs="Times New Roman"/>
                <w:snapToGrid w:val="0"/>
                <w:color w:val="000000"/>
                <w:spacing w:val="-6"/>
                <w:kern w:val="21"/>
                <w:szCs w:val="21"/>
              </w:rPr>
              <w:fldChar w:fldCharType="end"/>
            </w:r>
          </w:p>
        </w:tc>
        <w:tc>
          <w:tcPr>
            <w:tcW w:w="1701" w:type="dxa"/>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在建工程</w:t>
            </w:r>
          </w:p>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3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③</w:t>
            </w:r>
            <w:r>
              <w:rPr>
                <w:rFonts w:hint="default" w:ascii="Times New Roman" w:hAnsi="Times New Roman" w:eastAsia="黑体" w:cs="Times New Roman"/>
                <w:snapToGrid w:val="0"/>
                <w:color w:val="000000"/>
                <w:spacing w:val="-6"/>
                <w:kern w:val="21"/>
                <w:szCs w:val="21"/>
              </w:rPr>
              <w:fldChar w:fldCharType="end"/>
            </w:r>
          </w:p>
        </w:tc>
        <w:tc>
          <w:tcPr>
            <w:tcW w:w="1559" w:type="dxa"/>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本项目</w:t>
            </w:r>
          </w:p>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排放量（固体废物产生量）</w:t>
            </w: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4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④</w:t>
            </w:r>
            <w:r>
              <w:rPr>
                <w:rFonts w:hint="default" w:ascii="Times New Roman" w:hAnsi="Times New Roman" w:eastAsia="黑体" w:cs="Times New Roman"/>
                <w:snapToGrid w:val="0"/>
                <w:color w:val="000000"/>
                <w:spacing w:val="-6"/>
                <w:kern w:val="21"/>
                <w:szCs w:val="21"/>
              </w:rPr>
              <w:fldChar w:fldCharType="end"/>
            </w:r>
          </w:p>
        </w:tc>
        <w:tc>
          <w:tcPr>
            <w:tcW w:w="1761" w:type="dxa"/>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以新带老削减量</w:t>
            </w:r>
          </w:p>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（新建项目不填）</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5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kern w:val="2"/>
                <w:szCs w:val="21"/>
              </w:rPr>
              <w:t>⑤</w:t>
            </w:r>
            <w:r>
              <w:rPr>
                <w:rFonts w:hint="default" w:ascii="Times New Roman" w:hAnsi="Times New Roman" w:eastAsia="黑体" w:cs="Times New Roman"/>
                <w:snapToGrid w:val="0"/>
                <w:color w:val="000000"/>
                <w:spacing w:val="-16"/>
                <w:kern w:val="21"/>
                <w:szCs w:val="21"/>
              </w:rPr>
              <w:fldChar w:fldCharType="end"/>
            </w:r>
          </w:p>
        </w:tc>
        <w:tc>
          <w:tcPr>
            <w:tcW w:w="1959" w:type="dxa"/>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本项目建成后</w:t>
            </w:r>
          </w:p>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黑体" w:cs="Times New Roman"/>
                <w:snapToGrid w:val="0"/>
                <w:color w:val="000000"/>
                <w:spacing w:val="-16"/>
                <w:kern w:val="21"/>
                <w:szCs w:val="21"/>
              </w:rPr>
            </w:pPr>
            <w:r>
              <w:rPr>
                <w:rFonts w:hint="default" w:ascii="Times New Roman" w:hAnsi="Times New Roman" w:eastAsia="黑体" w:cs="Times New Roman"/>
                <w:snapToGrid w:val="0"/>
                <w:color w:val="000000"/>
                <w:spacing w:val="-16"/>
                <w:kern w:val="21"/>
                <w:szCs w:val="21"/>
              </w:rPr>
              <w:t>全厂排放量（固体废物产生量）</w:t>
            </w:r>
            <w:r>
              <w:rPr>
                <w:rFonts w:hint="default" w:ascii="Times New Roman" w:hAnsi="Times New Roman" w:eastAsia="黑体" w:cs="Times New Roman"/>
                <w:snapToGrid w:val="0"/>
                <w:color w:val="000000"/>
                <w:spacing w:val="-16"/>
                <w:kern w:val="21"/>
                <w:szCs w:val="21"/>
              </w:rPr>
              <w:fldChar w:fldCharType="begin"/>
            </w:r>
            <w:r>
              <w:rPr>
                <w:rFonts w:hint="default" w:ascii="Times New Roman" w:hAnsi="Times New Roman" w:eastAsia="黑体" w:cs="Times New Roman"/>
                <w:snapToGrid w:val="0"/>
                <w:color w:val="000000"/>
                <w:spacing w:val="-16"/>
                <w:kern w:val="21"/>
                <w:szCs w:val="21"/>
              </w:rPr>
              <w:instrText xml:space="preserve"> = 6 \* GB3 \* MERGEFORMAT </w:instrText>
            </w:r>
            <w:r>
              <w:rPr>
                <w:rFonts w:hint="default" w:ascii="Times New Roman" w:hAnsi="Times New Roman" w:eastAsia="黑体" w:cs="Times New Roman"/>
                <w:snapToGrid w:val="0"/>
                <w:color w:val="000000"/>
                <w:spacing w:val="-16"/>
                <w:kern w:val="21"/>
                <w:szCs w:val="21"/>
              </w:rPr>
              <w:fldChar w:fldCharType="separate"/>
            </w:r>
            <w:r>
              <w:rPr>
                <w:rFonts w:hint="default" w:ascii="Times New Roman" w:hAnsi="Times New Roman" w:eastAsia="黑体" w:cs="Times New Roman"/>
                <w:kern w:val="2"/>
                <w:szCs w:val="21"/>
              </w:rPr>
              <w:t>⑥</w:t>
            </w:r>
            <w:r>
              <w:rPr>
                <w:rFonts w:hint="default" w:ascii="Times New Roman" w:hAnsi="Times New Roman" w:eastAsia="黑体" w:cs="Times New Roman"/>
                <w:snapToGrid w:val="0"/>
                <w:color w:val="000000"/>
                <w:spacing w:val="-16"/>
                <w:kern w:val="21"/>
                <w:szCs w:val="21"/>
              </w:rPr>
              <w:fldChar w:fldCharType="end"/>
            </w:r>
          </w:p>
        </w:tc>
        <w:tc>
          <w:tcPr>
            <w:tcW w:w="826" w:type="dxa"/>
            <w:noWrap w:val="0"/>
            <w:tcMar>
              <w:left w:w="28" w:type="dxa"/>
              <w:right w:w="28" w:type="dxa"/>
            </w:tcMar>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t>变化量</w:t>
            </w:r>
          </w:p>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黑体" w:cs="Times New Roman"/>
                <w:snapToGrid w:val="0"/>
                <w:color w:val="000000"/>
                <w:spacing w:val="-6"/>
                <w:kern w:val="21"/>
                <w:szCs w:val="21"/>
              </w:rPr>
            </w:pPr>
            <w:r>
              <w:rPr>
                <w:rFonts w:hint="default" w:ascii="Times New Roman" w:hAnsi="Times New Roman" w:eastAsia="黑体" w:cs="Times New Roman"/>
                <w:snapToGrid w:val="0"/>
                <w:color w:val="000000"/>
                <w:spacing w:val="-6"/>
                <w:kern w:val="21"/>
                <w:szCs w:val="21"/>
              </w:rPr>
              <w:fldChar w:fldCharType="begin"/>
            </w:r>
            <w:r>
              <w:rPr>
                <w:rFonts w:hint="default" w:ascii="Times New Roman" w:hAnsi="Times New Roman" w:eastAsia="黑体" w:cs="Times New Roman"/>
                <w:snapToGrid w:val="0"/>
                <w:color w:val="000000"/>
                <w:spacing w:val="-6"/>
                <w:kern w:val="21"/>
                <w:szCs w:val="21"/>
              </w:rPr>
              <w:instrText xml:space="preserve"> = 7 \* GB3 \* MERGEFORMAT </w:instrText>
            </w:r>
            <w:r>
              <w:rPr>
                <w:rFonts w:hint="default" w:ascii="Times New Roman" w:hAnsi="Times New Roman" w:eastAsia="黑体" w:cs="Times New Roman"/>
                <w:snapToGrid w:val="0"/>
                <w:color w:val="000000"/>
                <w:spacing w:val="-6"/>
                <w:kern w:val="21"/>
                <w:szCs w:val="21"/>
              </w:rPr>
              <w:fldChar w:fldCharType="separate"/>
            </w:r>
            <w:r>
              <w:rPr>
                <w:rFonts w:hint="default" w:ascii="Times New Roman" w:hAnsi="Times New Roman" w:eastAsia="黑体" w:cs="Times New Roman"/>
                <w:kern w:val="2"/>
                <w:szCs w:val="21"/>
              </w:rPr>
              <w:t>⑦</w:t>
            </w:r>
            <w:r>
              <w:rPr>
                <w:rFonts w:hint="default" w:ascii="Times New Roman" w:hAnsi="Times New Roman" w:eastAsia="黑体" w:cs="Times New Roman"/>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88" w:type="dxa"/>
            <w:vMerge w:val="restar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废气</w:t>
            </w:r>
          </w:p>
        </w:tc>
        <w:tc>
          <w:tcPr>
            <w:tcW w:w="1417"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挥发性有机物</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27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5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0.638t/a</w:t>
            </w:r>
          </w:p>
        </w:tc>
        <w:tc>
          <w:tcPr>
            <w:tcW w:w="176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9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0.638t/a</w:t>
            </w:r>
          </w:p>
        </w:tc>
        <w:tc>
          <w:tcPr>
            <w:tcW w:w="82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588" w:type="dxa"/>
            <w:vMerge w:val="continue"/>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cs="Times New Roman"/>
                <w:snapToGrid w:val="0"/>
                <w:color w:val="000000"/>
                <w:kern w:val="21"/>
                <w:szCs w:val="21"/>
              </w:rPr>
            </w:pPr>
          </w:p>
        </w:tc>
        <w:tc>
          <w:tcPr>
            <w:tcW w:w="1417"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HCL</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w:t>
            </w:r>
          </w:p>
        </w:tc>
        <w:tc>
          <w:tcPr>
            <w:tcW w:w="127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w:t>
            </w:r>
          </w:p>
        </w:tc>
        <w:tc>
          <w:tcPr>
            <w:tcW w:w="15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0.038</w:t>
            </w:r>
            <w:r>
              <w:rPr>
                <w:rFonts w:hint="default" w:ascii="Times New Roman" w:hAnsi="Times New Roman" w:cs="Times New Roman"/>
                <w:snapToGrid w:val="0"/>
                <w:color w:val="000000"/>
                <w:kern w:val="21"/>
                <w:szCs w:val="21"/>
                <w:lang w:val="en-US" w:eastAsia="zh-CN"/>
              </w:rPr>
              <w:t>t</w:t>
            </w:r>
            <w:r>
              <w:rPr>
                <w:rFonts w:hint="default" w:ascii="Times New Roman" w:hAnsi="Times New Roman" w:eastAsia="宋体" w:cs="Times New Roman"/>
                <w:snapToGrid w:val="0"/>
                <w:color w:val="000000"/>
                <w:kern w:val="21"/>
                <w:szCs w:val="21"/>
                <w:lang w:val="en-US" w:eastAsia="zh-CN"/>
              </w:rPr>
              <w:t>/a</w:t>
            </w:r>
          </w:p>
        </w:tc>
        <w:tc>
          <w:tcPr>
            <w:tcW w:w="176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9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0.038t/a</w:t>
            </w:r>
          </w:p>
        </w:tc>
        <w:tc>
          <w:tcPr>
            <w:tcW w:w="82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588" w:type="dxa"/>
            <w:vMerge w:val="restar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废水</w:t>
            </w:r>
          </w:p>
        </w:tc>
        <w:tc>
          <w:tcPr>
            <w:tcW w:w="1417"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COD</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27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5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0.2525t/a</w:t>
            </w:r>
          </w:p>
        </w:tc>
        <w:tc>
          <w:tcPr>
            <w:tcW w:w="176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9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0.2525t/a</w:t>
            </w:r>
          </w:p>
        </w:tc>
        <w:tc>
          <w:tcPr>
            <w:tcW w:w="82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588" w:type="dxa"/>
            <w:vMerge w:val="continue"/>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cs="Times New Roman"/>
                <w:snapToGrid w:val="0"/>
                <w:color w:val="000000"/>
                <w:kern w:val="21"/>
                <w:szCs w:val="21"/>
              </w:rPr>
            </w:pPr>
          </w:p>
        </w:tc>
        <w:tc>
          <w:tcPr>
            <w:tcW w:w="1417"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氨氮</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27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5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0.0227t/a</w:t>
            </w:r>
          </w:p>
        </w:tc>
        <w:tc>
          <w:tcPr>
            <w:tcW w:w="176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9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0.0227t/a</w:t>
            </w:r>
          </w:p>
        </w:tc>
        <w:tc>
          <w:tcPr>
            <w:tcW w:w="82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588" w:type="dxa"/>
            <w:vMerge w:val="continue"/>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cs="Times New Roman"/>
                <w:snapToGrid w:val="0"/>
                <w:color w:val="000000"/>
                <w:kern w:val="21"/>
                <w:szCs w:val="21"/>
              </w:rPr>
            </w:pPr>
          </w:p>
        </w:tc>
        <w:tc>
          <w:tcPr>
            <w:tcW w:w="1417"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总磷</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w:t>
            </w:r>
          </w:p>
        </w:tc>
        <w:tc>
          <w:tcPr>
            <w:tcW w:w="127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w:t>
            </w:r>
          </w:p>
        </w:tc>
        <w:tc>
          <w:tcPr>
            <w:tcW w:w="15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0.00404t/a</w:t>
            </w:r>
          </w:p>
        </w:tc>
        <w:tc>
          <w:tcPr>
            <w:tcW w:w="176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w:t>
            </w:r>
          </w:p>
        </w:tc>
        <w:tc>
          <w:tcPr>
            <w:tcW w:w="19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0.00404t/a</w:t>
            </w:r>
          </w:p>
        </w:tc>
        <w:tc>
          <w:tcPr>
            <w:tcW w:w="82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588" w:type="dxa"/>
            <w:vMerge w:val="restar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一般工业</w:t>
            </w:r>
          </w:p>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固体废物</w:t>
            </w:r>
          </w:p>
        </w:tc>
        <w:tc>
          <w:tcPr>
            <w:tcW w:w="1417"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生活垃圾</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w:t>
            </w:r>
          </w:p>
        </w:tc>
        <w:tc>
          <w:tcPr>
            <w:tcW w:w="127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5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5.775</w:t>
            </w:r>
            <w:r>
              <w:rPr>
                <w:rFonts w:hint="default" w:ascii="Times New Roman" w:hAnsi="Times New Roman" w:eastAsia="宋体" w:cs="Times New Roman"/>
                <w:snapToGrid w:val="0"/>
                <w:color w:val="000000"/>
                <w:kern w:val="21"/>
                <w:szCs w:val="21"/>
                <w:lang w:val="en-US" w:eastAsia="zh-CN"/>
              </w:rPr>
              <w:t>t/a</w:t>
            </w:r>
          </w:p>
        </w:tc>
        <w:tc>
          <w:tcPr>
            <w:tcW w:w="176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9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Cs w:val="21"/>
                <w:highlight w:val="yellow"/>
                <w:lang w:val="en-US" w:eastAsia="zh-CN"/>
              </w:rPr>
            </w:pPr>
            <w:r>
              <w:rPr>
                <w:rFonts w:hint="eastAsia" w:ascii="Times New Roman" w:cs="Times New Roman"/>
                <w:snapToGrid w:val="0"/>
                <w:color w:val="000000"/>
                <w:kern w:val="21"/>
                <w:szCs w:val="21"/>
                <w:lang w:val="en-US" w:eastAsia="zh-CN"/>
              </w:rPr>
              <w:t>5.775</w:t>
            </w:r>
            <w:r>
              <w:rPr>
                <w:rFonts w:hint="default" w:ascii="Times New Roman" w:hAnsi="Times New Roman" w:eastAsia="宋体" w:cs="Times New Roman"/>
                <w:snapToGrid w:val="0"/>
                <w:color w:val="000000"/>
                <w:kern w:val="21"/>
                <w:szCs w:val="21"/>
                <w:lang w:val="en-US" w:eastAsia="zh-CN"/>
              </w:rPr>
              <w:t>t/a</w:t>
            </w:r>
          </w:p>
        </w:tc>
        <w:tc>
          <w:tcPr>
            <w:tcW w:w="82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588" w:type="dxa"/>
            <w:vMerge w:val="continue"/>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cs="Times New Roman"/>
                <w:snapToGrid w:val="0"/>
                <w:color w:val="000000"/>
                <w:kern w:val="21"/>
                <w:szCs w:val="21"/>
              </w:rPr>
            </w:pPr>
          </w:p>
        </w:tc>
        <w:tc>
          <w:tcPr>
            <w:tcW w:w="1417"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边角料和废品</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w:t>
            </w:r>
          </w:p>
        </w:tc>
        <w:tc>
          <w:tcPr>
            <w:tcW w:w="127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5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50</w:t>
            </w:r>
            <w:r>
              <w:rPr>
                <w:rFonts w:hint="default" w:ascii="Times New Roman" w:hAnsi="Times New Roman" w:eastAsia="宋体" w:cs="Times New Roman"/>
                <w:snapToGrid w:val="0"/>
                <w:color w:val="000000"/>
                <w:kern w:val="21"/>
                <w:szCs w:val="21"/>
                <w:lang w:val="en-US" w:eastAsia="zh-CN"/>
              </w:rPr>
              <w:t>t/a</w:t>
            </w:r>
          </w:p>
        </w:tc>
        <w:tc>
          <w:tcPr>
            <w:tcW w:w="176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9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cs="Times New Roman"/>
                <w:snapToGrid w:val="0"/>
                <w:color w:val="000000"/>
                <w:kern w:val="21"/>
                <w:szCs w:val="21"/>
                <w:highlight w:val="yellow"/>
              </w:rPr>
            </w:pPr>
            <w:r>
              <w:rPr>
                <w:rFonts w:hint="default" w:ascii="Times New Roman" w:hAnsi="Times New Roman" w:cs="Times New Roman"/>
                <w:snapToGrid w:val="0"/>
                <w:color w:val="000000"/>
                <w:kern w:val="21"/>
                <w:szCs w:val="21"/>
                <w:lang w:val="en-US" w:eastAsia="zh-CN"/>
              </w:rPr>
              <w:t>50</w:t>
            </w:r>
            <w:r>
              <w:rPr>
                <w:rFonts w:hint="default" w:ascii="Times New Roman" w:hAnsi="Times New Roman" w:eastAsia="宋体" w:cs="Times New Roman"/>
                <w:snapToGrid w:val="0"/>
                <w:color w:val="000000"/>
                <w:kern w:val="21"/>
                <w:szCs w:val="21"/>
                <w:lang w:val="en-US" w:eastAsia="zh-CN"/>
              </w:rPr>
              <w:t>t/a</w:t>
            </w:r>
          </w:p>
        </w:tc>
        <w:tc>
          <w:tcPr>
            <w:tcW w:w="82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588" w:type="dxa"/>
            <w:vMerge w:val="continue"/>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cs="Times New Roman"/>
                <w:snapToGrid w:val="0"/>
                <w:color w:val="000000"/>
                <w:kern w:val="21"/>
                <w:szCs w:val="21"/>
              </w:rPr>
            </w:pPr>
          </w:p>
        </w:tc>
        <w:tc>
          <w:tcPr>
            <w:tcW w:w="1417"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废包装袋</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w:t>
            </w:r>
          </w:p>
        </w:tc>
        <w:tc>
          <w:tcPr>
            <w:tcW w:w="127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5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cs="Times New Roman"/>
                <w:snapToGrid w:val="0"/>
                <w:color w:val="000000"/>
                <w:kern w:val="21"/>
                <w:szCs w:val="21"/>
                <w:lang w:val="en-US" w:eastAsia="zh-CN"/>
              </w:rPr>
              <w:t>2</w:t>
            </w:r>
            <w:r>
              <w:rPr>
                <w:rFonts w:hint="default" w:ascii="Times New Roman" w:hAnsi="Times New Roman" w:eastAsia="宋体" w:cs="Times New Roman"/>
                <w:snapToGrid w:val="0"/>
                <w:color w:val="000000"/>
                <w:kern w:val="21"/>
                <w:szCs w:val="21"/>
                <w:lang w:val="en-US" w:eastAsia="zh-CN"/>
              </w:rPr>
              <w:t>t/a</w:t>
            </w:r>
          </w:p>
        </w:tc>
        <w:tc>
          <w:tcPr>
            <w:tcW w:w="176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9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cs="Times New Roman"/>
                <w:snapToGrid w:val="0"/>
                <w:color w:val="000000"/>
                <w:kern w:val="21"/>
                <w:szCs w:val="21"/>
                <w:highlight w:val="yellow"/>
              </w:rPr>
            </w:pPr>
            <w:r>
              <w:rPr>
                <w:rFonts w:hint="default" w:ascii="Times New Roman" w:hAnsi="Times New Roman" w:cs="Times New Roman"/>
                <w:snapToGrid w:val="0"/>
                <w:color w:val="000000"/>
                <w:kern w:val="21"/>
                <w:szCs w:val="21"/>
                <w:lang w:val="en-US" w:eastAsia="zh-CN"/>
              </w:rPr>
              <w:t>2</w:t>
            </w:r>
            <w:r>
              <w:rPr>
                <w:rFonts w:hint="default" w:ascii="Times New Roman" w:hAnsi="Times New Roman" w:eastAsia="宋体" w:cs="Times New Roman"/>
                <w:snapToGrid w:val="0"/>
                <w:color w:val="000000"/>
                <w:kern w:val="21"/>
                <w:szCs w:val="21"/>
                <w:lang w:val="en-US" w:eastAsia="zh-CN"/>
              </w:rPr>
              <w:t>t/a</w:t>
            </w:r>
          </w:p>
        </w:tc>
        <w:tc>
          <w:tcPr>
            <w:tcW w:w="82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危险废物</w:t>
            </w:r>
          </w:p>
        </w:tc>
        <w:tc>
          <w:tcPr>
            <w:tcW w:w="1417"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废机油</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w:t>
            </w:r>
          </w:p>
        </w:tc>
        <w:tc>
          <w:tcPr>
            <w:tcW w:w="127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5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w:t>
            </w:r>
            <w:r>
              <w:rPr>
                <w:rFonts w:hint="default" w:ascii="Times New Roman" w:hAnsi="Times New Roman" w:cs="Times New Roman"/>
                <w:snapToGrid w:val="0"/>
                <w:color w:val="000000"/>
                <w:kern w:val="21"/>
                <w:szCs w:val="21"/>
                <w:lang w:val="en-US" w:eastAsia="zh-CN"/>
              </w:rPr>
              <w:t>5</w:t>
            </w:r>
            <w:r>
              <w:rPr>
                <w:rFonts w:hint="default" w:ascii="Times New Roman" w:hAnsi="Times New Roman" w:eastAsia="宋体" w:cs="Times New Roman"/>
                <w:snapToGrid w:val="0"/>
                <w:color w:val="000000"/>
                <w:kern w:val="21"/>
                <w:szCs w:val="21"/>
                <w:lang w:val="en-US" w:eastAsia="zh-CN"/>
              </w:rPr>
              <w:t>t/a</w:t>
            </w:r>
          </w:p>
        </w:tc>
        <w:tc>
          <w:tcPr>
            <w:tcW w:w="176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9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cs="Times New Roman"/>
                <w:snapToGrid w:val="0"/>
                <w:color w:val="000000"/>
                <w:kern w:val="21"/>
                <w:szCs w:val="21"/>
                <w:highlight w:val="yellow"/>
              </w:rPr>
            </w:pPr>
            <w:r>
              <w:rPr>
                <w:rFonts w:hint="default" w:ascii="Times New Roman" w:hAnsi="Times New Roman" w:eastAsia="宋体" w:cs="Times New Roman"/>
                <w:snapToGrid w:val="0"/>
                <w:color w:val="000000"/>
                <w:kern w:val="21"/>
                <w:szCs w:val="21"/>
                <w:lang w:val="en-US" w:eastAsia="zh-CN"/>
              </w:rPr>
              <w:t>0.</w:t>
            </w:r>
            <w:r>
              <w:rPr>
                <w:rFonts w:hint="default" w:ascii="Times New Roman" w:hAnsi="Times New Roman" w:cs="Times New Roman"/>
                <w:snapToGrid w:val="0"/>
                <w:color w:val="000000"/>
                <w:kern w:val="21"/>
                <w:szCs w:val="21"/>
                <w:lang w:val="en-US" w:eastAsia="zh-CN"/>
              </w:rPr>
              <w:t>5</w:t>
            </w:r>
            <w:r>
              <w:rPr>
                <w:rFonts w:hint="default" w:ascii="Times New Roman" w:hAnsi="Times New Roman" w:eastAsia="宋体" w:cs="Times New Roman"/>
                <w:snapToGrid w:val="0"/>
                <w:color w:val="000000"/>
                <w:kern w:val="21"/>
                <w:szCs w:val="21"/>
                <w:lang w:val="en-US" w:eastAsia="zh-CN"/>
              </w:rPr>
              <w:t>t/a</w:t>
            </w:r>
          </w:p>
        </w:tc>
        <w:tc>
          <w:tcPr>
            <w:tcW w:w="82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cs="Times New Roman"/>
                <w:snapToGrid w:val="0"/>
                <w:color w:val="000000"/>
                <w:kern w:val="21"/>
                <w:szCs w:val="21"/>
              </w:rPr>
            </w:pPr>
          </w:p>
        </w:tc>
        <w:tc>
          <w:tcPr>
            <w:tcW w:w="1417"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废活性炭</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w:t>
            </w:r>
          </w:p>
        </w:tc>
        <w:tc>
          <w:tcPr>
            <w:tcW w:w="127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5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eastAsia" w:ascii="Times New Roman" w:cs="Times New Roman"/>
                <w:snapToGrid w:val="0"/>
                <w:color w:val="000000"/>
                <w:kern w:val="21"/>
                <w:szCs w:val="21"/>
                <w:lang w:val="en-US" w:eastAsia="zh-CN"/>
              </w:rPr>
              <w:t>60.1425</w:t>
            </w:r>
            <w:r>
              <w:rPr>
                <w:rFonts w:hint="default" w:ascii="Times New Roman" w:hAnsi="Times New Roman" w:eastAsia="宋体" w:cs="Times New Roman"/>
                <w:snapToGrid w:val="0"/>
                <w:color w:val="000000"/>
                <w:kern w:val="21"/>
                <w:szCs w:val="21"/>
                <w:lang w:val="en-US" w:eastAsia="zh-CN"/>
              </w:rPr>
              <w:t>t/a</w:t>
            </w:r>
          </w:p>
        </w:tc>
        <w:tc>
          <w:tcPr>
            <w:tcW w:w="176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9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cs="Times New Roman"/>
                <w:snapToGrid w:val="0"/>
                <w:color w:val="000000"/>
                <w:kern w:val="21"/>
                <w:szCs w:val="21"/>
                <w:highlight w:val="yellow"/>
              </w:rPr>
            </w:pPr>
            <w:r>
              <w:rPr>
                <w:rFonts w:hint="eastAsia" w:ascii="Times New Roman" w:cs="Times New Roman"/>
                <w:snapToGrid w:val="0"/>
                <w:color w:val="000000"/>
                <w:kern w:val="21"/>
                <w:szCs w:val="21"/>
                <w:lang w:val="en-US" w:eastAsia="zh-CN"/>
              </w:rPr>
              <w:t>60.1425</w:t>
            </w:r>
            <w:r>
              <w:rPr>
                <w:rFonts w:hint="default" w:ascii="Times New Roman" w:hAnsi="Times New Roman" w:eastAsia="宋体" w:cs="Times New Roman"/>
                <w:snapToGrid w:val="0"/>
                <w:color w:val="000000"/>
                <w:kern w:val="21"/>
                <w:szCs w:val="21"/>
                <w:lang w:val="en-US" w:eastAsia="zh-CN"/>
              </w:rPr>
              <w:t>t/a</w:t>
            </w:r>
          </w:p>
        </w:tc>
        <w:tc>
          <w:tcPr>
            <w:tcW w:w="82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cs="Times New Roman"/>
                <w:snapToGrid w:val="0"/>
                <w:color w:val="000000"/>
                <w:kern w:val="21"/>
                <w:szCs w:val="21"/>
              </w:rPr>
            </w:pPr>
          </w:p>
        </w:tc>
        <w:tc>
          <w:tcPr>
            <w:tcW w:w="1417"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废含油抹布、手套</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w:t>
            </w:r>
          </w:p>
        </w:tc>
        <w:tc>
          <w:tcPr>
            <w:tcW w:w="127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70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5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textAlignment w:val="auto"/>
              <w:rPr>
                <w:rFonts w:hint="default" w:ascii="Times New Roman" w:hAnsi="Times New Roman" w:eastAsia="宋体" w:cs="Times New Roman"/>
                <w:snapToGrid w:val="0"/>
                <w:color w:val="000000"/>
                <w:kern w:val="21"/>
                <w:szCs w:val="21"/>
                <w:lang w:val="en-US" w:eastAsia="zh-CN"/>
              </w:rPr>
            </w:pPr>
            <w:r>
              <w:rPr>
                <w:rFonts w:hint="default" w:ascii="Times New Roman" w:hAnsi="Times New Roman" w:eastAsia="宋体" w:cs="Times New Roman"/>
                <w:snapToGrid w:val="0"/>
                <w:color w:val="000000"/>
                <w:kern w:val="21"/>
                <w:szCs w:val="21"/>
                <w:lang w:val="en-US" w:eastAsia="zh-CN"/>
              </w:rPr>
              <w:t>0.0</w:t>
            </w:r>
            <w:r>
              <w:rPr>
                <w:rFonts w:hint="default" w:ascii="Times New Roman" w:hAnsi="Times New Roman" w:cs="Times New Roman"/>
                <w:snapToGrid w:val="0"/>
                <w:color w:val="000000"/>
                <w:kern w:val="21"/>
                <w:szCs w:val="21"/>
                <w:lang w:val="en-US" w:eastAsia="zh-CN"/>
              </w:rPr>
              <w:t>1</w:t>
            </w:r>
            <w:r>
              <w:rPr>
                <w:rFonts w:hint="default" w:ascii="Times New Roman" w:hAnsi="Times New Roman" w:eastAsia="宋体" w:cs="Times New Roman"/>
                <w:snapToGrid w:val="0"/>
                <w:color w:val="000000"/>
                <w:kern w:val="21"/>
                <w:szCs w:val="21"/>
                <w:lang w:val="en-US" w:eastAsia="zh-CN"/>
              </w:rPr>
              <w:t>t/a</w:t>
            </w:r>
          </w:p>
        </w:tc>
        <w:tc>
          <w:tcPr>
            <w:tcW w:w="1761"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c>
          <w:tcPr>
            <w:tcW w:w="1959"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cs="Times New Roman"/>
                <w:snapToGrid w:val="0"/>
                <w:color w:val="000000"/>
                <w:kern w:val="21"/>
                <w:szCs w:val="21"/>
                <w:highlight w:val="yellow"/>
              </w:rPr>
            </w:pPr>
            <w:r>
              <w:rPr>
                <w:rFonts w:hint="default" w:ascii="Times New Roman" w:hAnsi="Times New Roman" w:eastAsia="宋体" w:cs="Times New Roman"/>
                <w:snapToGrid w:val="0"/>
                <w:color w:val="000000"/>
                <w:kern w:val="21"/>
                <w:szCs w:val="21"/>
                <w:lang w:val="en-US" w:eastAsia="zh-CN"/>
              </w:rPr>
              <w:t>0.0</w:t>
            </w:r>
            <w:r>
              <w:rPr>
                <w:rFonts w:hint="default" w:ascii="Times New Roman" w:hAnsi="Times New Roman" w:cs="Times New Roman"/>
                <w:snapToGrid w:val="0"/>
                <w:color w:val="000000"/>
                <w:kern w:val="21"/>
                <w:szCs w:val="21"/>
                <w:lang w:val="en-US" w:eastAsia="zh-CN"/>
              </w:rPr>
              <w:t>1</w:t>
            </w:r>
            <w:r>
              <w:rPr>
                <w:rFonts w:hint="default" w:ascii="Times New Roman" w:hAnsi="Times New Roman" w:eastAsia="宋体" w:cs="Times New Roman"/>
                <w:snapToGrid w:val="0"/>
                <w:color w:val="000000"/>
                <w:kern w:val="21"/>
                <w:szCs w:val="21"/>
                <w:lang w:val="en-US" w:eastAsia="zh-CN"/>
              </w:rPr>
              <w:t>t/a</w:t>
            </w:r>
          </w:p>
        </w:tc>
        <w:tc>
          <w:tcPr>
            <w:tcW w:w="826" w:type="dxa"/>
            <w:noWrap w:val="0"/>
            <w:vAlign w:val="center"/>
          </w:tcPr>
          <w:p>
            <w:pPr>
              <w:pStyle w:val="3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ind w:left="0" w:leftChars="0" w:right="0" w:rightChars="0"/>
              <w:textAlignment w:val="auto"/>
              <w:rPr>
                <w:rFonts w:hint="default" w:ascii="Times New Roman" w:hAnsi="Times New Roman" w:eastAsia="宋体" w:cs="Times New Roman"/>
                <w:snapToGrid w:val="0"/>
                <w:color w:val="000000"/>
                <w:kern w:val="21"/>
                <w:sz w:val="20"/>
                <w:szCs w:val="21"/>
                <w:lang w:val="en-US" w:eastAsia="zh-CN" w:bidi="ar-SA"/>
              </w:rPr>
            </w:pPr>
            <w:r>
              <w:rPr>
                <w:rFonts w:hint="default" w:ascii="Times New Roman" w:hAnsi="Times New Roman" w:eastAsia="宋体" w:cs="Times New Roman"/>
                <w:snapToGrid w:val="0"/>
                <w:color w:val="000000"/>
                <w:kern w:val="21"/>
                <w:szCs w:val="21"/>
                <w:lang w:val="en-US" w:eastAsia="zh-CN"/>
              </w:rPr>
              <w:t>0</w:t>
            </w:r>
          </w:p>
        </w:tc>
      </w:tr>
    </w:tbl>
    <w:p>
      <w:pPr>
        <w:bidi w:val="0"/>
        <w:rPr>
          <w:rFonts w:hint="default" w:ascii="Times New Roman" w:hAnsi="Times New Roman" w:eastAsia="黑体" w:cs="Times New Roman"/>
        </w:rPr>
      </w:pPr>
      <w:r>
        <w:rPr>
          <w:rFonts w:hint="default" w:ascii="Times New Roman" w:hAnsi="Times New Roman" w:eastAsia="宋体" w:cs="Times New Roman"/>
        </w:rPr>
        <w:t>注：</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6 \* GB3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⑥</w:t>
      </w:r>
      <w:r>
        <w:rPr>
          <w:rFonts w:hint="default" w:ascii="Times New Roman" w:hAnsi="Times New Roman" w:eastAsia="宋体" w:cs="Times New Roman"/>
        </w:rPr>
        <w:fldChar w:fldCharType="end"/>
      </w:r>
      <w:r>
        <w:rPr>
          <w:rFonts w:hint="default" w:ascii="Times New Roman" w:hAnsi="Times New Roman" w:eastAsia="宋体" w:cs="Times New Roman"/>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1 \* GB3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①</w:t>
      </w:r>
      <w:r>
        <w:rPr>
          <w:rFonts w:hint="default" w:ascii="Times New Roman" w:hAnsi="Times New Roman" w:eastAsia="宋体" w:cs="Times New Roman"/>
        </w:rPr>
        <w:fldChar w:fldCharType="end"/>
      </w:r>
      <w:r>
        <w:rPr>
          <w:rFonts w:hint="default" w:ascii="Times New Roman" w:hAnsi="Times New Roman" w:eastAsia="宋体" w:cs="Times New Roman"/>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3 \* GB3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③</w:t>
      </w:r>
      <w:r>
        <w:rPr>
          <w:rFonts w:hint="default" w:ascii="Times New Roman" w:hAnsi="Times New Roman" w:eastAsia="宋体" w:cs="Times New Roman"/>
        </w:rPr>
        <w:fldChar w:fldCharType="end"/>
      </w:r>
      <w:r>
        <w:rPr>
          <w:rFonts w:hint="default" w:ascii="Times New Roman" w:hAnsi="Times New Roman" w:eastAsia="宋体" w:cs="Times New Roman"/>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4 \* GB3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④</w:t>
      </w:r>
      <w:r>
        <w:rPr>
          <w:rFonts w:hint="default" w:ascii="Times New Roman" w:hAnsi="Times New Roman" w:eastAsia="宋体" w:cs="Times New Roman"/>
        </w:rPr>
        <w:fldChar w:fldCharType="end"/>
      </w:r>
      <w:r>
        <w:rPr>
          <w:rFonts w:hint="default" w:ascii="Times New Roman" w:hAnsi="Times New Roman" w:eastAsia="宋体" w:cs="Times New Roman"/>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5 \* GB3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⑤</w:t>
      </w:r>
      <w:r>
        <w:rPr>
          <w:rFonts w:hint="default" w:ascii="Times New Roman" w:hAnsi="Times New Roman" w:eastAsia="宋体" w:cs="Times New Roman"/>
        </w:rPr>
        <w:fldChar w:fldCharType="end"/>
      </w:r>
      <w:r>
        <w:rPr>
          <w:rFonts w:hint="default" w:ascii="Times New Roman" w:hAnsi="Times New Roman" w:eastAsia="宋体" w:cs="Times New Roman"/>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7 \* GB3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⑦</w:t>
      </w:r>
      <w:r>
        <w:rPr>
          <w:rFonts w:hint="default" w:ascii="Times New Roman" w:hAnsi="Times New Roman" w:eastAsia="宋体" w:cs="Times New Roman"/>
        </w:rPr>
        <w:fldChar w:fldCharType="end"/>
      </w:r>
      <w:r>
        <w:rPr>
          <w:rFonts w:hint="default" w:ascii="Times New Roman" w:hAnsi="Times New Roman" w:eastAsia="宋体" w:cs="Times New Roman"/>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6 \* GB3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⑥</w:t>
      </w:r>
      <w:r>
        <w:rPr>
          <w:rFonts w:hint="default" w:ascii="Times New Roman" w:hAnsi="Times New Roman" w:eastAsia="宋体" w:cs="Times New Roman"/>
        </w:rPr>
        <w:fldChar w:fldCharType="end"/>
      </w:r>
      <w:r>
        <w:rPr>
          <w:rFonts w:hint="default" w:ascii="Times New Roman" w:hAnsi="Times New Roman" w:eastAsia="宋体" w:cs="Times New Roman"/>
        </w:rPr>
        <w:t>-</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 1 \* GB3 \* MERGEFORMAT </w:instrText>
      </w:r>
      <w:r>
        <w:rPr>
          <w:rFonts w:hint="default" w:ascii="Times New Roman" w:hAnsi="Times New Roman" w:eastAsia="宋体" w:cs="Times New Roman"/>
        </w:rPr>
        <w:fldChar w:fldCharType="separate"/>
      </w:r>
      <w:r>
        <w:rPr>
          <w:rFonts w:hint="default" w:ascii="Times New Roman" w:hAnsi="Times New Roman" w:eastAsia="宋体" w:cs="Times New Roman"/>
        </w:rPr>
        <w:t>①</w:t>
      </w:r>
      <w:r>
        <w:rPr>
          <w:rFonts w:hint="default" w:ascii="Times New Roman" w:hAnsi="Times New Roman" w:eastAsia="宋体" w:cs="Times New Roman"/>
        </w:rPr>
        <w:fldChar w:fldCharType="end"/>
      </w:r>
    </w:p>
    <w:p>
      <w:pPr>
        <w:rPr>
          <w:rFonts w:hint="default" w:ascii="Times New Roman" w:hAnsi="Times New Roman" w:cs="Times New Roman"/>
        </w:rPr>
      </w:pP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FangSong_GB2312">
    <w:altName w:val="仿宋_GB2312"/>
    <w:panose1 w:val="02010609060101010101"/>
    <w:charset w:val="86"/>
    <w:family w:val="modern"/>
    <w:pitch w:val="default"/>
    <w:sig w:usb0="00000000" w:usb1="00000000"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auto"/>
    <w:pitch w:val="default"/>
    <w:sig w:usb0="00000000" w:usb1="00000000" w:usb2="00000000" w:usb3="00000000" w:csb0="80000000" w:csb1="00000000"/>
  </w:font>
  <w:font w:name="方正小标宋_GBK">
    <w:altName w:val="微软雅黑"/>
    <w:panose1 w:val="02000000000000000000"/>
    <w:charset w:val="86"/>
    <w:family w:val="script"/>
    <w:pitch w:val="default"/>
    <w:sig w:usb0="00000000" w:usb1="00000000" w:usb2="00082016" w:usb3="00000000" w:csb0="00040001" w:csb1="00000000"/>
  </w:font>
  <w:font w:name="Wingdings">
    <w:panose1 w:val="05000000000000000000"/>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19"/>
      </w:rPr>
    </w:pPr>
    <w:r>
      <w:fldChar w:fldCharType="begin"/>
    </w:r>
    <w:r>
      <w:rPr>
        <w:rStyle w:val="19"/>
      </w:rPr>
      <w:instrText xml:space="preserve">PAGE  </w:instrText>
    </w:r>
    <w:r>
      <w:fldChar w:fldCharType="end"/>
    </w:r>
  </w:p>
  <w:p>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4</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pPr>
                          <w:r>
                            <w:fldChar w:fldCharType="begin"/>
                          </w:r>
                          <w:r>
                            <w:instrText xml:space="preserve"> PAGE  \* MERGEFORMAT </w:instrText>
                          </w:r>
                          <w:r>
                            <w:fldChar w:fldCharType="separate"/>
                          </w:r>
                          <w:r>
                            <w:t>15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3DA221"/>
    <w:multiLevelType w:val="singleLevel"/>
    <w:tmpl w:val="0D3DA221"/>
    <w:lvl w:ilvl="0" w:tentative="0">
      <w:start w:val="1"/>
      <w:numFmt w:val="decimal"/>
      <w:suff w:val="nothing"/>
      <w:lvlText w:val="%1、"/>
      <w:lvlJc w:val="left"/>
    </w:lvl>
  </w:abstractNum>
  <w:abstractNum w:abstractNumId="1">
    <w:nsid w:val="17B02B94"/>
    <w:multiLevelType w:val="singleLevel"/>
    <w:tmpl w:val="17B02B94"/>
    <w:lvl w:ilvl="0" w:tentative="0">
      <w:start w:val="6"/>
      <w:numFmt w:val="decimal"/>
      <w:suff w:val="nothing"/>
      <w:lvlText w:val="%1、"/>
      <w:lvlJc w:val="left"/>
    </w:lvl>
  </w:abstractNum>
  <w:abstractNum w:abstractNumId="2">
    <w:nsid w:val="1C5931DC"/>
    <w:multiLevelType w:val="multilevel"/>
    <w:tmpl w:val="1C5931DC"/>
    <w:lvl w:ilvl="0" w:tentative="0">
      <w:start w:val="1"/>
      <w:numFmt w:val="decimal"/>
      <w:pStyle w:val="35"/>
      <w:lvlText w:val="表2-%1  "/>
      <w:lvlJc w:val="left"/>
      <w:pPr>
        <w:ind w:left="3114" w:hanging="420"/>
      </w:pPr>
      <w:rPr>
        <w:rFonts w:hint="eastAsia"/>
        <w:color w:val="auto"/>
      </w:rPr>
    </w:lvl>
    <w:lvl w:ilvl="1" w:tentative="0">
      <w:start w:val="1"/>
      <w:numFmt w:val="lowerLetter"/>
      <w:lvlText w:val="%2)"/>
      <w:lvlJc w:val="left"/>
      <w:pPr>
        <w:ind w:left="3534" w:hanging="420"/>
      </w:pPr>
    </w:lvl>
    <w:lvl w:ilvl="2" w:tentative="0">
      <w:start w:val="1"/>
      <w:numFmt w:val="lowerRoman"/>
      <w:lvlText w:val="%3."/>
      <w:lvlJc w:val="right"/>
      <w:pPr>
        <w:ind w:left="3954" w:hanging="420"/>
      </w:pPr>
    </w:lvl>
    <w:lvl w:ilvl="3" w:tentative="0">
      <w:start w:val="1"/>
      <w:numFmt w:val="decimal"/>
      <w:lvlText w:val="%4."/>
      <w:lvlJc w:val="left"/>
      <w:pPr>
        <w:ind w:left="4374" w:hanging="420"/>
      </w:pPr>
    </w:lvl>
    <w:lvl w:ilvl="4" w:tentative="0">
      <w:start w:val="1"/>
      <w:numFmt w:val="lowerLetter"/>
      <w:lvlText w:val="%5)"/>
      <w:lvlJc w:val="left"/>
      <w:pPr>
        <w:ind w:left="4794" w:hanging="420"/>
      </w:pPr>
    </w:lvl>
    <w:lvl w:ilvl="5" w:tentative="0">
      <w:start w:val="1"/>
      <w:numFmt w:val="lowerRoman"/>
      <w:lvlText w:val="%6."/>
      <w:lvlJc w:val="right"/>
      <w:pPr>
        <w:ind w:left="5214" w:hanging="420"/>
      </w:pPr>
    </w:lvl>
    <w:lvl w:ilvl="6" w:tentative="0">
      <w:start w:val="1"/>
      <w:numFmt w:val="decimal"/>
      <w:lvlText w:val="%7."/>
      <w:lvlJc w:val="left"/>
      <w:pPr>
        <w:ind w:left="5634" w:hanging="420"/>
      </w:pPr>
    </w:lvl>
    <w:lvl w:ilvl="7" w:tentative="0">
      <w:start w:val="1"/>
      <w:numFmt w:val="lowerLetter"/>
      <w:lvlText w:val="%8)"/>
      <w:lvlJc w:val="left"/>
      <w:pPr>
        <w:ind w:left="6054" w:hanging="420"/>
      </w:pPr>
    </w:lvl>
    <w:lvl w:ilvl="8" w:tentative="0">
      <w:start w:val="1"/>
      <w:numFmt w:val="lowerRoman"/>
      <w:lvlText w:val="%9."/>
      <w:lvlJc w:val="right"/>
      <w:pPr>
        <w:ind w:left="6474" w:hanging="420"/>
      </w:pPr>
    </w:lvl>
  </w:abstractNum>
  <w:abstractNum w:abstractNumId="3">
    <w:nsid w:val="217CDFEB"/>
    <w:multiLevelType w:val="singleLevel"/>
    <w:tmpl w:val="217CDFEB"/>
    <w:lvl w:ilvl="0" w:tentative="0">
      <w:start w:val="2"/>
      <w:numFmt w:val="decimal"/>
      <w:suff w:val="nothing"/>
      <w:lvlText w:val="（%1）"/>
      <w:lvlJc w:val="left"/>
    </w:lvl>
  </w:abstractNum>
  <w:abstractNum w:abstractNumId="4">
    <w:nsid w:val="56627525"/>
    <w:multiLevelType w:val="singleLevel"/>
    <w:tmpl w:val="56627525"/>
    <w:lvl w:ilvl="0" w:tentative="0">
      <w:start w:val="2"/>
      <w:numFmt w:val="decimal"/>
      <w:suff w:val="nothing"/>
      <w:lvlText w:val="%1）"/>
      <w:lvlJc w:val="left"/>
    </w:lvl>
  </w:abstractNum>
  <w:abstractNum w:abstractNumId="5">
    <w:nsid w:val="625B0C2A"/>
    <w:multiLevelType w:val="multilevel"/>
    <w:tmpl w:val="625B0C2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66CC9DB0"/>
    <w:multiLevelType w:val="singleLevel"/>
    <w:tmpl w:val="66CC9DB0"/>
    <w:lvl w:ilvl="0" w:tentative="0">
      <w:start w:val="1"/>
      <w:numFmt w:val="decimal"/>
      <w:suff w:val="nothing"/>
      <w:lvlText w:val="%1、"/>
      <w:lvlJc w:val="left"/>
    </w:lvl>
  </w:abstractNum>
  <w:abstractNum w:abstractNumId="7">
    <w:nsid w:val="68DFB3C6"/>
    <w:multiLevelType w:val="singleLevel"/>
    <w:tmpl w:val="68DFB3C6"/>
    <w:lvl w:ilvl="0" w:tentative="0">
      <w:start w:val="2"/>
      <w:numFmt w:val="decimal"/>
      <w:suff w:val="nothing"/>
      <w:lvlText w:val="%1）"/>
      <w:lvlJc w:val="left"/>
    </w:lvl>
  </w:abstractNum>
  <w:num w:numId="1">
    <w:abstractNumId w:val="2"/>
  </w:num>
  <w:num w:numId="2">
    <w:abstractNumId w:val="6"/>
  </w:num>
  <w:num w:numId="3">
    <w:abstractNumId w:val="3"/>
  </w:num>
  <w:num w:numId="4">
    <w:abstractNumId w:val="0"/>
  </w:num>
  <w:num w:numId="5">
    <w:abstractNumId w:val="5"/>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iZjhmMDZlNWE1ZTIzNmY0N2FiYWQzNGRiMjI4ODMifQ=="/>
  </w:docVars>
  <w:rsids>
    <w:rsidRoot w:val="00172A27"/>
    <w:rsid w:val="00036EE3"/>
    <w:rsid w:val="00097CB1"/>
    <w:rsid w:val="001D62DB"/>
    <w:rsid w:val="00616384"/>
    <w:rsid w:val="00680CE8"/>
    <w:rsid w:val="0084169D"/>
    <w:rsid w:val="00853927"/>
    <w:rsid w:val="00910755"/>
    <w:rsid w:val="00AB6C9F"/>
    <w:rsid w:val="00CD2E1F"/>
    <w:rsid w:val="01122757"/>
    <w:rsid w:val="01374961"/>
    <w:rsid w:val="01433A5D"/>
    <w:rsid w:val="01670119"/>
    <w:rsid w:val="01685178"/>
    <w:rsid w:val="01831E8C"/>
    <w:rsid w:val="019728A3"/>
    <w:rsid w:val="01A84DF2"/>
    <w:rsid w:val="01C77738"/>
    <w:rsid w:val="01C8599D"/>
    <w:rsid w:val="01E15F08"/>
    <w:rsid w:val="029A1159"/>
    <w:rsid w:val="02D93E16"/>
    <w:rsid w:val="0337445C"/>
    <w:rsid w:val="035B6ACB"/>
    <w:rsid w:val="037407D4"/>
    <w:rsid w:val="039E4179"/>
    <w:rsid w:val="03D120B8"/>
    <w:rsid w:val="043C702B"/>
    <w:rsid w:val="047C73B8"/>
    <w:rsid w:val="047F197E"/>
    <w:rsid w:val="04B57F4E"/>
    <w:rsid w:val="04B85246"/>
    <w:rsid w:val="04E97739"/>
    <w:rsid w:val="04EB018B"/>
    <w:rsid w:val="04EF224B"/>
    <w:rsid w:val="05112181"/>
    <w:rsid w:val="051F53E0"/>
    <w:rsid w:val="053D0C6A"/>
    <w:rsid w:val="058C4FCC"/>
    <w:rsid w:val="05E11AFF"/>
    <w:rsid w:val="05E7524C"/>
    <w:rsid w:val="05F01DFD"/>
    <w:rsid w:val="06362E85"/>
    <w:rsid w:val="063E1921"/>
    <w:rsid w:val="066F5CA6"/>
    <w:rsid w:val="06784437"/>
    <w:rsid w:val="06A922E6"/>
    <w:rsid w:val="06A95C07"/>
    <w:rsid w:val="06F931B5"/>
    <w:rsid w:val="06FF364F"/>
    <w:rsid w:val="070B1BDF"/>
    <w:rsid w:val="072C50EA"/>
    <w:rsid w:val="074616F6"/>
    <w:rsid w:val="07A810EC"/>
    <w:rsid w:val="07B91169"/>
    <w:rsid w:val="07CE3246"/>
    <w:rsid w:val="08451548"/>
    <w:rsid w:val="0856477B"/>
    <w:rsid w:val="08620E82"/>
    <w:rsid w:val="08942C1D"/>
    <w:rsid w:val="08971508"/>
    <w:rsid w:val="08DE7901"/>
    <w:rsid w:val="090B5F44"/>
    <w:rsid w:val="090E684D"/>
    <w:rsid w:val="09211380"/>
    <w:rsid w:val="095667A0"/>
    <w:rsid w:val="097578BD"/>
    <w:rsid w:val="09793730"/>
    <w:rsid w:val="099323A5"/>
    <w:rsid w:val="099510F3"/>
    <w:rsid w:val="09D933F9"/>
    <w:rsid w:val="0A172057"/>
    <w:rsid w:val="0A546376"/>
    <w:rsid w:val="0A63687A"/>
    <w:rsid w:val="0A655429"/>
    <w:rsid w:val="0A9041A4"/>
    <w:rsid w:val="0AFD1DC8"/>
    <w:rsid w:val="0B0634E0"/>
    <w:rsid w:val="0B1769DD"/>
    <w:rsid w:val="0B1D2669"/>
    <w:rsid w:val="0B376E66"/>
    <w:rsid w:val="0B39421F"/>
    <w:rsid w:val="0B947737"/>
    <w:rsid w:val="0BBA1A89"/>
    <w:rsid w:val="0C2B56EA"/>
    <w:rsid w:val="0C5B1961"/>
    <w:rsid w:val="0C6177B8"/>
    <w:rsid w:val="0C9A6190"/>
    <w:rsid w:val="0CB65CF9"/>
    <w:rsid w:val="0CD90E70"/>
    <w:rsid w:val="0CF57391"/>
    <w:rsid w:val="0D1A429D"/>
    <w:rsid w:val="0D3208DA"/>
    <w:rsid w:val="0D675F35"/>
    <w:rsid w:val="0D8021AC"/>
    <w:rsid w:val="0D9B181F"/>
    <w:rsid w:val="0DC90124"/>
    <w:rsid w:val="0DD27290"/>
    <w:rsid w:val="0E511393"/>
    <w:rsid w:val="0E564D6E"/>
    <w:rsid w:val="0E7A6A2B"/>
    <w:rsid w:val="0EB011C2"/>
    <w:rsid w:val="0EBE50FD"/>
    <w:rsid w:val="0EDC2B74"/>
    <w:rsid w:val="0EE808F3"/>
    <w:rsid w:val="0F0A7786"/>
    <w:rsid w:val="0F2B48C7"/>
    <w:rsid w:val="0F6766AC"/>
    <w:rsid w:val="0FF20B32"/>
    <w:rsid w:val="101964CB"/>
    <w:rsid w:val="102B3509"/>
    <w:rsid w:val="102F249D"/>
    <w:rsid w:val="105A2308"/>
    <w:rsid w:val="10AC4740"/>
    <w:rsid w:val="10B52133"/>
    <w:rsid w:val="10F361FB"/>
    <w:rsid w:val="110E07B6"/>
    <w:rsid w:val="11146861"/>
    <w:rsid w:val="119E4EA0"/>
    <w:rsid w:val="11A067B7"/>
    <w:rsid w:val="11FC1BDD"/>
    <w:rsid w:val="12817F7D"/>
    <w:rsid w:val="12AC5DFA"/>
    <w:rsid w:val="12D363FF"/>
    <w:rsid w:val="12D63ED1"/>
    <w:rsid w:val="12F36193"/>
    <w:rsid w:val="13AD38B5"/>
    <w:rsid w:val="13FC4DD5"/>
    <w:rsid w:val="14180F20"/>
    <w:rsid w:val="141D2551"/>
    <w:rsid w:val="14235C7D"/>
    <w:rsid w:val="143F63C4"/>
    <w:rsid w:val="144219BC"/>
    <w:rsid w:val="14527718"/>
    <w:rsid w:val="1458317C"/>
    <w:rsid w:val="147F12B0"/>
    <w:rsid w:val="148956AC"/>
    <w:rsid w:val="14DC2B78"/>
    <w:rsid w:val="14E97B0C"/>
    <w:rsid w:val="14ED26E7"/>
    <w:rsid w:val="14EE0DE3"/>
    <w:rsid w:val="15041EFF"/>
    <w:rsid w:val="154C53BC"/>
    <w:rsid w:val="15503C45"/>
    <w:rsid w:val="15680E6B"/>
    <w:rsid w:val="156E2F7A"/>
    <w:rsid w:val="15844FF8"/>
    <w:rsid w:val="158509BC"/>
    <w:rsid w:val="159D12E5"/>
    <w:rsid w:val="15C0543C"/>
    <w:rsid w:val="15CD2147"/>
    <w:rsid w:val="15FE5AD1"/>
    <w:rsid w:val="16486D47"/>
    <w:rsid w:val="164E2D84"/>
    <w:rsid w:val="166F46E9"/>
    <w:rsid w:val="16823DA5"/>
    <w:rsid w:val="16877214"/>
    <w:rsid w:val="171B2B48"/>
    <w:rsid w:val="17611F35"/>
    <w:rsid w:val="17704EA1"/>
    <w:rsid w:val="1771681F"/>
    <w:rsid w:val="1784114C"/>
    <w:rsid w:val="17DF1459"/>
    <w:rsid w:val="17E11DF2"/>
    <w:rsid w:val="17E754C4"/>
    <w:rsid w:val="18233B75"/>
    <w:rsid w:val="18657E8B"/>
    <w:rsid w:val="187B5B63"/>
    <w:rsid w:val="187C282C"/>
    <w:rsid w:val="189A2460"/>
    <w:rsid w:val="18CF588A"/>
    <w:rsid w:val="18DB5161"/>
    <w:rsid w:val="18E303BF"/>
    <w:rsid w:val="197531FF"/>
    <w:rsid w:val="197C6176"/>
    <w:rsid w:val="197D23B8"/>
    <w:rsid w:val="19844425"/>
    <w:rsid w:val="19BC3652"/>
    <w:rsid w:val="1A010C01"/>
    <w:rsid w:val="1A050E8D"/>
    <w:rsid w:val="1A2F6ED3"/>
    <w:rsid w:val="1A342258"/>
    <w:rsid w:val="1A3F401F"/>
    <w:rsid w:val="1A4429C4"/>
    <w:rsid w:val="1A732754"/>
    <w:rsid w:val="1A807EA6"/>
    <w:rsid w:val="1A831716"/>
    <w:rsid w:val="1AA34A52"/>
    <w:rsid w:val="1AB439D7"/>
    <w:rsid w:val="1AC0752E"/>
    <w:rsid w:val="1ADF0BD0"/>
    <w:rsid w:val="1AF239CE"/>
    <w:rsid w:val="1B951AE2"/>
    <w:rsid w:val="1BAB1F8A"/>
    <w:rsid w:val="1BD97786"/>
    <w:rsid w:val="1BFD2030"/>
    <w:rsid w:val="1C0D45E4"/>
    <w:rsid w:val="1C382654"/>
    <w:rsid w:val="1C4001E0"/>
    <w:rsid w:val="1C49719D"/>
    <w:rsid w:val="1C665739"/>
    <w:rsid w:val="1C6B1CA8"/>
    <w:rsid w:val="1C782291"/>
    <w:rsid w:val="1C8E1080"/>
    <w:rsid w:val="1CD34F5B"/>
    <w:rsid w:val="1CE84129"/>
    <w:rsid w:val="1CF762EC"/>
    <w:rsid w:val="1D4A761F"/>
    <w:rsid w:val="1D7E3170"/>
    <w:rsid w:val="1D8F2639"/>
    <w:rsid w:val="1DB65C95"/>
    <w:rsid w:val="1DCD453C"/>
    <w:rsid w:val="1DEA3B7E"/>
    <w:rsid w:val="1E2556A6"/>
    <w:rsid w:val="1E7E4252"/>
    <w:rsid w:val="1E825940"/>
    <w:rsid w:val="1E8E5BC6"/>
    <w:rsid w:val="1EA75E57"/>
    <w:rsid w:val="1ECF109C"/>
    <w:rsid w:val="1ED1139E"/>
    <w:rsid w:val="1ED8348D"/>
    <w:rsid w:val="1EE50066"/>
    <w:rsid w:val="1EF113C6"/>
    <w:rsid w:val="1F1C6E77"/>
    <w:rsid w:val="1F304C79"/>
    <w:rsid w:val="1F8176E9"/>
    <w:rsid w:val="1F8562C1"/>
    <w:rsid w:val="1F995651"/>
    <w:rsid w:val="1F9A2F01"/>
    <w:rsid w:val="1F9F0724"/>
    <w:rsid w:val="1FA5591D"/>
    <w:rsid w:val="1FE34B88"/>
    <w:rsid w:val="1FE8299B"/>
    <w:rsid w:val="1FFB1706"/>
    <w:rsid w:val="1FFC301D"/>
    <w:rsid w:val="2028607B"/>
    <w:rsid w:val="20A70F17"/>
    <w:rsid w:val="20BF509B"/>
    <w:rsid w:val="20C41FC1"/>
    <w:rsid w:val="20E344DE"/>
    <w:rsid w:val="210F5744"/>
    <w:rsid w:val="211B63A8"/>
    <w:rsid w:val="216012A1"/>
    <w:rsid w:val="21634707"/>
    <w:rsid w:val="21760821"/>
    <w:rsid w:val="21B42412"/>
    <w:rsid w:val="21B52748"/>
    <w:rsid w:val="21E11756"/>
    <w:rsid w:val="21F86232"/>
    <w:rsid w:val="222476A0"/>
    <w:rsid w:val="22330442"/>
    <w:rsid w:val="22485664"/>
    <w:rsid w:val="22581750"/>
    <w:rsid w:val="229C1CD6"/>
    <w:rsid w:val="22BB36FC"/>
    <w:rsid w:val="22CC2FDC"/>
    <w:rsid w:val="22F7087F"/>
    <w:rsid w:val="23080F83"/>
    <w:rsid w:val="230A26F1"/>
    <w:rsid w:val="233978A8"/>
    <w:rsid w:val="234B2D7D"/>
    <w:rsid w:val="23514EFE"/>
    <w:rsid w:val="23556010"/>
    <w:rsid w:val="23F740DC"/>
    <w:rsid w:val="2407162E"/>
    <w:rsid w:val="247E098D"/>
    <w:rsid w:val="24B5703D"/>
    <w:rsid w:val="24CA1087"/>
    <w:rsid w:val="24D01E32"/>
    <w:rsid w:val="24F3071B"/>
    <w:rsid w:val="25073671"/>
    <w:rsid w:val="25191395"/>
    <w:rsid w:val="25343DB2"/>
    <w:rsid w:val="25781549"/>
    <w:rsid w:val="25862390"/>
    <w:rsid w:val="25935F35"/>
    <w:rsid w:val="25C020CD"/>
    <w:rsid w:val="25D5456F"/>
    <w:rsid w:val="25E1345C"/>
    <w:rsid w:val="260976CB"/>
    <w:rsid w:val="26366D30"/>
    <w:rsid w:val="26415C26"/>
    <w:rsid w:val="267C03C4"/>
    <w:rsid w:val="26860B36"/>
    <w:rsid w:val="26A77DD8"/>
    <w:rsid w:val="270A0A5E"/>
    <w:rsid w:val="276C061D"/>
    <w:rsid w:val="28104D0D"/>
    <w:rsid w:val="2817412A"/>
    <w:rsid w:val="281B3BB5"/>
    <w:rsid w:val="28233A5A"/>
    <w:rsid w:val="285332D2"/>
    <w:rsid w:val="28941BCC"/>
    <w:rsid w:val="28C05680"/>
    <w:rsid w:val="290B7AD1"/>
    <w:rsid w:val="29295B3F"/>
    <w:rsid w:val="292D1924"/>
    <w:rsid w:val="29451659"/>
    <w:rsid w:val="295B784E"/>
    <w:rsid w:val="29715BEA"/>
    <w:rsid w:val="29733DE0"/>
    <w:rsid w:val="29B947A2"/>
    <w:rsid w:val="29CB2D67"/>
    <w:rsid w:val="2A0240FE"/>
    <w:rsid w:val="2A3F451F"/>
    <w:rsid w:val="2A4064C3"/>
    <w:rsid w:val="2A684F3D"/>
    <w:rsid w:val="2A782D5C"/>
    <w:rsid w:val="2A7D4D41"/>
    <w:rsid w:val="2A87438D"/>
    <w:rsid w:val="2A9337BF"/>
    <w:rsid w:val="2A9739D4"/>
    <w:rsid w:val="2AC30FE8"/>
    <w:rsid w:val="2B2032A9"/>
    <w:rsid w:val="2B5F708A"/>
    <w:rsid w:val="2B645DEA"/>
    <w:rsid w:val="2BA577D9"/>
    <w:rsid w:val="2BBF0661"/>
    <w:rsid w:val="2BCA3348"/>
    <w:rsid w:val="2BDD5AED"/>
    <w:rsid w:val="2BF31987"/>
    <w:rsid w:val="2C003E8B"/>
    <w:rsid w:val="2C046E18"/>
    <w:rsid w:val="2C1859A6"/>
    <w:rsid w:val="2C5179B1"/>
    <w:rsid w:val="2C61379B"/>
    <w:rsid w:val="2C991894"/>
    <w:rsid w:val="2CBD3DDB"/>
    <w:rsid w:val="2CDD7601"/>
    <w:rsid w:val="2CFB2430"/>
    <w:rsid w:val="2D1C4ED9"/>
    <w:rsid w:val="2D3B0D86"/>
    <w:rsid w:val="2D8B0B8F"/>
    <w:rsid w:val="2DCB2195"/>
    <w:rsid w:val="2DF1448F"/>
    <w:rsid w:val="2DF25859"/>
    <w:rsid w:val="2DF96658"/>
    <w:rsid w:val="2E2E117D"/>
    <w:rsid w:val="2E3553DF"/>
    <w:rsid w:val="2E4F68A0"/>
    <w:rsid w:val="2E873DC4"/>
    <w:rsid w:val="2E9B38EE"/>
    <w:rsid w:val="2EAD5C97"/>
    <w:rsid w:val="2ED108CE"/>
    <w:rsid w:val="2EF43F46"/>
    <w:rsid w:val="2F173FC1"/>
    <w:rsid w:val="2F290D61"/>
    <w:rsid w:val="2F3B5DA8"/>
    <w:rsid w:val="2F910C44"/>
    <w:rsid w:val="2FC670AF"/>
    <w:rsid w:val="2FC9374F"/>
    <w:rsid w:val="3017042C"/>
    <w:rsid w:val="3052221C"/>
    <w:rsid w:val="30B9218A"/>
    <w:rsid w:val="30BD0D03"/>
    <w:rsid w:val="318B4191"/>
    <w:rsid w:val="31C02913"/>
    <w:rsid w:val="322B11AA"/>
    <w:rsid w:val="32603145"/>
    <w:rsid w:val="32950920"/>
    <w:rsid w:val="32BD6B5C"/>
    <w:rsid w:val="32C2383A"/>
    <w:rsid w:val="32E27490"/>
    <w:rsid w:val="32F04BF6"/>
    <w:rsid w:val="330E1320"/>
    <w:rsid w:val="332F277F"/>
    <w:rsid w:val="333D79E7"/>
    <w:rsid w:val="338E048B"/>
    <w:rsid w:val="33EE3962"/>
    <w:rsid w:val="33F00BC3"/>
    <w:rsid w:val="34073A25"/>
    <w:rsid w:val="34090245"/>
    <w:rsid w:val="34640459"/>
    <w:rsid w:val="34B46EC9"/>
    <w:rsid w:val="34BB072F"/>
    <w:rsid w:val="34E26C92"/>
    <w:rsid w:val="352D7FEF"/>
    <w:rsid w:val="353E5375"/>
    <w:rsid w:val="354932E2"/>
    <w:rsid w:val="356B2823"/>
    <w:rsid w:val="35841AAF"/>
    <w:rsid w:val="358A1E87"/>
    <w:rsid w:val="35A0698C"/>
    <w:rsid w:val="35E20B3C"/>
    <w:rsid w:val="3611069E"/>
    <w:rsid w:val="36232BDF"/>
    <w:rsid w:val="36556F4F"/>
    <w:rsid w:val="366F594F"/>
    <w:rsid w:val="367A6B1D"/>
    <w:rsid w:val="368255FD"/>
    <w:rsid w:val="36900121"/>
    <w:rsid w:val="36B677D5"/>
    <w:rsid w:val="36EC0BEF"/>
    <w:rsid w:val="37303C64"/>
    <w:rsid w:val="377B061D"/>
    <w:rsid w:val="37930E15"/>
    <w:rsid w:val="379C7DB9"/>
    <w:rsid w:val="379F79A5"/>
    <w:rsid w:val="37A143A6"/>
    <w:rsid w:val="37A25437"/>
    <w:rsid w:val="37AE2DDE"/>
    <w:rsid w:val="38133A57"/>
    <w:rsid w:val="3843770F"/>
    <w:rsid w:val="384A5EDA"/>
    <w:rsid w:val="38914CFC"/>
    <w:rsid w:val="38AA4365"/>
    <w:rsid w:val="38E45D00"/>
    <w:rsid w:val="38E60A2C"/>
    <w:rsid w:val="38E926B6"/>
    <w:rsid w:val="38F36CF9"/>
    <w:rsid w:val="38F4420A"/>
    <w:rsid w:val="39183EC0"/>
    <w:rsid w:val="393031FE"/>
    <w:rsid w:val="39336857"/>
    <w:rsid w:val="39480E8F"/>
    <w:rsid w:val="39526E68"/>
    <w:rsid w:val="39565F3C"/>
    <w:rsid w:val="39645312"/>
    <w:rsid w:val="39951379"/>
    <w:rsid w:val="39CA5E52"/>
    <w:rsid w:val="39CD43D7"/>
    <w:rsid w:val="39CF6878"/>
    <w:rsid w:val="3A103B77"/>
    <w:rsid w:val="3A5E1C9A"/>
    <w:rsid w:val="3A8A7D44"/>
    <w:rsid w:val="3AAB47B5"/>
    <w:rsid w:val="3AB54BB5"/>
    <w:rsid w:val="3AC43EEC"/>
    <w:rsid w:val="3ACE14D0"/>
    <w:rsid w:val="3B0F541C"/>
    <w:rsid w:val="3B35037D"/>
    <w:rsid w:val="3B711ECB"/>
    <w:rsid w:val="3B754AC9"/>
    <w:rsid w:val="3B847E08"/>
    <w:rsid w:val="3B902F07"/>
    <w:rsid w:val="3BA43523"/>
    <w:rsid w:val="3BCA3E38"/>
    <w:rsid w:val="3BE20B90"/>
    <w:rsid w:val="3BE619BF"/>
    <w:rsid w:val="3BF03D2F"/>
    <w:rsid w:val="3BF971B7"/>
    <w:rsid w:val="3C2714EB"/>
    <w:rsid w:val="3C5D1DE9"/>
    <w:rsid w:val="3C7D0672"/>
    <w:rsid w:val="3D0B5594"/>
    <w:rsid w:val="3D55640D"/>
    <w:rsid w:val="3D5B7D41"/>
    <w:rsid w:val="3D6F0079"/>
    <w:rsid w:val="3D7C402B"/>
    <w:rsid w:val="3DD07EC5"/>
    <w:rsid w:val="3DF50633"/>
    <w:rsid w:val="3E0475D2"/>
    <w:rsid w:val="3E194E2A"/>
    <w:rsid w:val="3E413209"/>
    <w:rsid w:val="3E445CD7"/>
    <w:rsid w:val="3E6E33A7"/>
    <w:rsid w:val="3E8B7997"/>
    <w:rsid w:val="3E972F89"/>
    <w:rsid w:val="3ECB0A5B"/>
    <w:rsid w:val="3ED02EE5"/>
    <w:rsid w:val="3ED1686E"/>
    <w:rsid w:val="3EDD4C9C"/>
    <w:rsid w:val="3EDF5C17"/>
    <w:rsid w:val="3F070754"/>
    <w:rsid w:val="3F987F15"/>
    <w:rsid w:val="3FF01072"/>
    <w:rsid w:val="400432FF"/>
    <w:rsid w:val="400603B5"/>
    <w:rsid w:val="40231C1A"/>
    <w:rsid w:val="40473B53"/>
    <w:rsid w:val="40570E0E"/>
    <w:rsid w:val="40BC79FB"/>
    <w:rsid w:val="40BD6CA8"/>
    <w:rsid w:val="40C072A5"/>
    <w:rsid w:val="40C3364E"/>
    <w:rsid w:val="40CB0BE6"/>
    <w:rsid w:val="40DB030D"/>
    <w:rsid w:val="40DB12F8"/>
    <w:rsid w:val="41050E9A"/>
    <w:rsid w:val="41320CB6"/>
    <w:rsid w:val="41362FA4"/>
    <w:rsid w:val="41532AC2"/>
    <w:rsid w:val="415849E2"/>
    <w:rsid w:val="41A73D1C"/>
    <w:rsid w:val="41A832EF"/>
    <w:rsid w:val="41AF38FD"/>
    <w:rsid w:val="41F275E3"/>
    <w:rsid w:val="41F64655"/>
    <w:rsid w:val="41F655D9"/>
    <w:rsid w:val="42AE1470"/>
    <w:rsid w:val="42CC02C4"/>
    <w:rsid w:val="42F01BA2"/>
    <w:rsid w:val="43025315"/>
    <w:rsid w:val="431656FF"/>
    <w:rsid w:val="431B7089"/>
    <w:rsid w:val="43422868"/>
    <w:rsid w:val="43492CAA"/>
    <w:rsid w:val="43661D1D"/>
    <w:rsid w:val="43EA4338"/>
    <w:rsid w:val="43F135AB"/>
    <w:rsid w:val="43FB6786"/>
    <w:rsid w:val="44853831"/>
    <w:rsid w:val="44AA5E7C"/>
    <w:rsid w:val="44B737A3"/>
    <w:rsid w:val="44BA5507"/>
    <w:rsid w:val="44CD5A35"/>
    <w:rsid w:val="44F73CB9"/>
    <w:rsid w:val="453C0DE6"/>
    <w:rsid w:val="453F277C"/>
    <w:rsid w:val="4545567E"/>
    <w:rsid w:val="45C60395"/>
    <w:rsid w:val="45C802C6"/>
    <w:rsid w:val="45F33992"/>
    <w:rsid w:val="45F77582"/>
    <w:rsid w:val="46105BDD"/>
    <w:rsid w:val="463D4DF0"/>
    <w:rsid w:val="467E4504"/>
    <w:rsid w:val="46CD0BEF"/>
    <w:rsid w:val="46E0174B"/>
    <w:rsid w:val="473E3028"/>
    <w:rsid w:val="4763485A"/>
    <w:rsid w:val="4775429A"/>
    <w:rsid w:val="47953B1A"/>
    <w:rsid w:val="47C86F66"/>
    <w:rsid w:val="47E01BFE"/>
    <w:rsid w:val="480937AD"/>
    <w:rsid w:val="485113C3"/>
    <w:rsid w:val="487D5EF4"/>
    <w:rsid w:val="48A5133A"/>
    <w:rsid w:val="48D13A12"/>
    <w:rsid w:val="48D2394B"/>
    <w:rsid w:val="48E21883"/>
    <w:rsid w:val="48F01762"/>
    <w:rsid w:val="49AE51E3"/>
    <w:rsid w:val="49F7280C"/>
    <w:rsid w:val="4A1A5B0E"/>
    <w:rsid w:val="4A430024"/>
    <w:rsid w:val="4A47282E"/>
    <w:rsid w:val="4A51339C"/>
    <w:rsid w:val="4A5D6A77"/>
    <w:rsid w:val="4A607EC6"/>
    <w:rsid w:val="4AC72A78"/>
    <w:rsid w:val="4ACC31F8"/>
    <w:rsid w:val="4B246441"/>
    <w:rsid w:val="4B507E04"/>
    <w:rsid w:val="4B551DCA"/>
    <w:rsid w:val="4B5D1E2A"/>
    <w:rsid w:val="4B8E5A55"/>
    <w:rsid w:val="4B933310"/>
    <w:rsid w:val="4B9E36EC"/>
    <w:rsid w:val="4BCD753B"/>
    <w:rsid w:val="4BDD2AA1"/>
    <w:rsid w:val="4C056AD1"/>
    <w:rsid w:val="4C3D6B4C"/>
    <w:rsid w:val="4C745B90"/>
    <w:rsid w:val="4C8C19F3"/>
    <w:rsid w:val="4CB16967"/>
    <w:rsid w:val="4CB32E30"/>
    <w:rsid w:val="4CB36743"/>
    <w:rsid w:val="4CB97685"/>
    <w:rsid w:val="4CE53F9A"/>
    <w:rsid w:val="4CF83358"/>
    <w:rsid w:val="4D0F2E7A"/>
    <w:rsid w:val="4D2D53A1"/>
    <w:rsid w:val="4D7F21FD"/>
    <w:rsid w:val="4D870170"/>
    <w:rsid w:val="4DE43C9A"/>
    <w:rsid w:val="4E035F4A"/>
    <w:rsid w:val="4E2E53F9"/>
    <w:rsid w:val="4E40266B"/>
    <w:rsid w:val="4E4A20F8"/>
    <w:rsid w:val="4E9E32A0"/>
    <w:rsid w:val="4EC636FA"/>
    <w:rsid w:val="4F1E7895"/>
    <w:rsid w:val="4F657E5F"/>
    <w:rsid w:val="4FC47570"/>
    <w:rsid w:val="4FD12F91"/>
    <w:rsid w:val="4FE34E22"/>
    <w:rsid w:val="506770AF"/>
    <w:rsid w:val="50AC0E84"/>
    <w:rsid w:val="50D220F9"/>
    <w:rsid w:val="50D92F6D"/>
    <w:rsid w:val="51400E15"/>
    <w:rsid w:val="51527934"/>
    <w:rsid w:val="51642CBA"/>
    <w:rsid w:val="516925AB"/>
    <w:rsid w:val="51883815"/>
    <w:rsid w:val="518B36FF"/>
    <w:rsid w:val="51A122E6"/>
    <w:rsid w:val="51BF6F83"/>
    <w:rsid w:val="51E47ACE"/>
    <w:rsid w:val="52312623"/>
    <w:rsid w:val="523C128E"/>
    <w:rsid w:val="524E16F6"/>
    <w:rsid w:val="528E794B"/>
    <w:rsid w:val="52AC4179"/>
    <w:rsid w:val="52DC7494"/>
    <w:rsid w:val="52F11618"/>
    <w:rsid w:val="533F14DA"/>
    <w:rsid w:val="5389421F"/>
    <w:rsid w:val="538A1D5A"/>
    <w:rsid w:val="53A951AA"/>
    <w:rsid w:val="546624DE"/>
    <w:rsid w:val="547A10BD"/>
    <w:rsid w:val="5480106D"/>
    <w:rsid w:val="54A04D97"/>
    <w:rsid w:val="54BA2399"/>
    <w:rsid w:val="54D83932"/>
    <w:rsid w:val="54FE0F15"/>
    <w:rsid w:val="55043CE0"/>
    <w:rsid w:val="550D1ABF"/>
    <w:rsid w:val="55110DB9"/>
    <w:rsid w:val="5512566F"/>
    <w:rsid w:val="55164CE4"/>
    <w:rsid w:val="55820CD9"/>
    <w:rsid w:val="55B52419"/>
    <w:rsid w:val="55B74BF3"/>
    <w:rsid w:val="55ED1211"/>
    <w:rsid w:val="55FE2A30"/>
    <w:rsid w:val="56096551"/>
    <w:rsid w:val="565504F2"/>
    <w:rsid w:val="565F0F3C"/>
    <w:rsid w:val="566E5507"/>
    <w:rsid w:val="569B09FA"/>
    <w:rsid w:val="569B5E1C"/>
    <w:rsid w:val="56F738BC"/>
    <w:rsid w:val="57134D7E"/>
    <w:rsid w:val="574E544B"/>
    <w:rsid w:val="575B2F5D"/>
    <w:rsid w:val="579047F4"/>
    <w:rsid w:val="579230D8"/>
    <w:rsid w:val="57C25E04"/>
    <w:rsid w:val="57C67A5C"/>
    <w:rsid w:val="57CA3CFD"/>
    <w:rsid w:val="57E67956"/>
    <w:rsid w:val="581666AD"/>
    <w:rsid w:val="582C4CD5"/>
    <w:rsid w:val="584220A0"/>
    <w:rsid w:val="586660A3"/>
    <w:rsid w:val="587F1C2C"/>
    <w:rsid w:val="588F07FB"/>
    <w:rsid w:val="58AD57BE"/>
    <w:rsid w:val="58C1659B"/>
    <w:rsid w:val="58E50B2A"/>
    <w:rsid w:val="59046BD6"/>
    <w:rsid w:val="59433392"/>
    <w:rsid w:val="59544D73"/>
    <w:rsid w:val="597E00DD"/>
    <w:rsid w:val="599C1AE8"/>
    <w:rsid w:val="599D2D3E"/>
    <w:rsid w:val="59D7283D"/>
    <w:rsid w:val="59D83AB9"/>
    <w:rsid w:val="59D83E3D"/>
    <w:rsid w:val="59E110B2"/>
    <w:rsid w:val="5A3A3F22"/>
    <w:rsid w:val="5A546E8B"/>
    <w:rsid w:val="5A92474A"/>
    <w:rsid w:val="5A9C75B4"/>
    <w:rsid w:val="5AB2514E"/>
    <w:rsid w:val="5AD15C12"/>
    <w:rsid w:val="5ADD11E2"/>
    <w:rsid w:val="5B7D20D2"/>
    <w:rsid w:val="5B8E0DED"/>
    <w:rsid w:val="5B9362A9"/>
    <w:rsid w:val="5B9C3F23"/>
    <w:rsid w:val="5BEA6E66"/>
    <w:rsid w:val="5BEF3986"/>
    <w:rsid w:val="5C0E3C32"/>
    <w:rsid w:val="5C3437AE"/>
    <w:rsid w:val="5C3745CE"/>
    <w:rsid w:val="5C5C5D41"/>
    <w:rsid w:val="5C72359B"/>
    <w:rsid w:val="5C7527B4"/>
    <w:rsid w:val="5CF12B3F"/>
    <w:rsid w:val="5D0A2549"/>
    <w:rsid w:val="5D263CF5"/>
    <w:rsid w:val="5D327A53"/>
    <w:rsid w:val="5D5A23F4"/>
    <w:rsid w:val="5D7F2A0C"/>
    <w:rsid w:val="5D9B2F35"/>
    <w:rsid w:val="5DA54402"/>
    <w:rsid w:val="5E357E25"/>
    <w:rsid w:val="5E562C1A"/>
    <w:rsid w:val="5E604863"/>
    <w:rsid w:val="5E66300F"/>
    <w:rsid w:val="5E730EB3"/>
    <w:rsid w:val="5E7C20BD"/>
    <w:rsid w:val="5E9A38F3"/>
    <w:rsid w:val="5EC8063C"/>
    <w:rsid w:val="5EEC073C"/>
    <w:rsid w:val="5EFD7DB3"/>
    <w:rsid w:val="5F097E60"/>
    <w:rsid w:val="5F0E7C7B"/>
    <w:rsid w:val="5F673017"/>
    <w:rsid w:val="60475D5C"/>
    <w:rsid w:val="60651D1B"/>
    <w:rsid w:val="607213DE"/>
    <w:rsid w:val="607A4BF7"/>
    <w:rsid w:val="60AF04C7"/>
    <w:rsid w:val="60E12267"/>
    <w:rsid w:val="60EC20E2"/>
    <w:rsid w:val="61167856"/>
    <w:rsid w:val="61455621"/>
    <w:rsid w:val="6152417C"/>
    <w:rsid w:val="617B1F75"/>
    <w:rsid w:val="61911109"/>
    <w:rsid w:val="61990C06"/>
    <w:rsid w:val="61BE6AA7"/>
    <w:rsid w:val="61D4173E"/>
    <w:rsid w:val="61E54DBF"/>
    <w:rsid w:val="61E57931"/>
    <w:rsid w:val="6203051D"/>
    <w:rsid w:val="624A4E53"/>
    <w:rsid w:val="629558C7"/>
    <w:rsid w:val="62FD728A"/>
    <w:rsid w:val="636F79AE"/>
    <w:rsid w:val="63841469"/>
    <w:rsid w:val="63BF2FD2"/>
    <w:rsid w:val="63E15C2C"/>
    <w:rsid w:val="64281392"/>
    <w:rsid w:val="646B57A3"/>
    <w:rsid w:val="647E4A3C"/>
    <w:rsid w:val="64881CEE"/>
    <w:rsid w:val="648B5386"/>
    <w:rsid w:val="64B06DAC"/>
    <w:rsid w:val="64B659AC"/>
    <w:rsid w:val="64E6663A"/>
    <w:rsid w:val="64F7369F"/>
    <w:rsid w:val="651507AD"/>
    <w:rsid w:val="6519752D"/>
    <w:rsid w:val="655650C1"/>
    <w:rsid w:val="65904CC4"/>
    <w:rsid w:val="65A16E10"/>
    <w:rsid w:val="65CF7859"/>
    <w:rsid w:val="65DF2F16"/>
    <w:rsid w:val="65F16986"/>
    <w:rsid w:val="663A5DE2"/>
    <w:rsid w:val="666A02A2"/>
    <w:rsid w:val="666A6F86"/>
    <w:rsid w:val="66701DCE"/>
    <w:rsid w:val="667D3F93"/>
    <w:rsid w:val="66830236"/>
    <w:rsid w:val="668F617F"/>
    <w:rsid w:val="66A74870"/>
    <w:rsid w:val="66AF732C"/>
    <w:rsid w:val="66C02F73"/>
    <w:rsid w:val="66C4773B"/>
    <w:rsid w:val="66DA7BBA"/>
    <w:rsid w:val="66E30051"/>
    <w:rsid w:val="66E31864"/>
    <w:rsid w:val="66F360C2"/>
    <w:rsid w:val="67007697"/>
    <w:rsid w:val="676228C3"/>
    <w:rsid w:val="67A9612A"/>
    <w:rsid w:val="67AC0833"/>
    <w:rsid w:val="67AC0B39"/>
    <w:rsid w:val="67E4341A"/>
    <w:rsid w:val="67F152EE"/>
    <w:rsid w:val="68095CB5"/>
    <w:rsid w:val="680F2991"/>
    <w:rsid w:val="683B03A3"/>
    <w:rsid w:val="68543353"/>
    <w:rsid w:val="6867750E"/>
    <w:rsid w:val="69123DB8"/>
    <w:rsid w:val="692445AE"/>
    <w:rsid w:val="69532319"/>
    <w:rsid w:val="6955207A"/>
    <w:rsid w:val="69A850A0"/>
    <w:rsid w:val="69C15100"/>
    <w:rsid w:val="69CE28F4"/>
    <w:rsid w:val="69DE4301"/>
    <w:rsid w:val="6A44405D"/>
    <w:rsid w:val="6A7A7495"/>
    <w:rsid w:val="6A86247C"/>
    <w:rsid w:val="6AA3706E"/>
    <w:rsid w:val="6AE80BCB"/>
    <w:rsid w:val="6B0762D9"/>
    <w:rsid w:val="6B2624DB"/>
    <w:rsid w:val="6B4E0E3E"/>
    <w:rsid w:val="6B501327"/>
    <w:rsid w:val="6B626D76"/>
    <w:rsid w:val="6B681841"/>
    <w:rsid w:val="6BAE40DE"/>
    <w:rsid w:val="6C6B79E0"/>
    <w:rsid w:val="6C822741"/>
    <w:rsid w:val="6C894A85"/>
    <w:rsid w:val="6C9B1DF1"/>
    <w:rsid w:val="6C9E063C"/>
    <w:rsid w:val="6CB22E69"/>
    <w:rsid w:val="6CC24B51"/>
    <w:rsid w:val="6CEB4AA1"/>
    <w:rsid w:val="6CF26973"/>
    <w:rsid w:val="6D0B57D1"/>
    <w:rsid w:val="6D166161"/>
    <w:rsid w:val="6D1E648D"/>
    <w:rsid w:val="6D245DFC"/>
    <w:rsid w:val="6D250164"/>
    <w:rsid w:val="6D466795"/>
    <w:rsid w:val="6D627FB0"/>
    <w:rsid w:val="6D65014B"/>
    <w:rsid w:val="6D660314"/>
    <w:rsid w:val="6D683A83"/>
    <w:rsid w:val="6D6C3A37"/>
    <w:rsid w:val="6D74370F"/>
    <w:rsid w:val="6D804D88"/>
    <w:rsid w:val="6D8212BB"/>
    <w:rsid w:val="6D894047"/>
    <w:rsid w:val="6D8D1E3F"/>
    <w:rsid w:val="6DAA499B"/>
    <w:rsid w:val="6DFB62B2"/>
    <w:rsid w:val="6E0674E7"/>
    <w:rsid w:val="6E3F1B99"/>
    <w:rsid w:val="6E4E6B30"/>
    <w:rsid w:val="6E973C73"/>
    <w:rsid w:val="6EBF1A8D"/>
    <w:rsid w:val="6ED5228E"/>
    <w:rsid w:val="6EE6337D"/>
    <w:rsid w:val="6F284418"/>
    <w:rsid w:val="6F5347E2"/>
    <w:rsid w:val="6F5D0201"/>
    <w:rsid w:val="6F977353"/>
    <w:rsid w:val="6FAB6365"/>
    <w:rsid w:val="6FBE1F9F"/>
    <w:rsid w:val="7024095F"/>
    <w:rsid w:val="704A0E37"/>
    <w:rsid w:val="70A65CB5"/>
    <w:rsid w:val="70BC4E99"/>
    <w:rsid w:val="71094983"/>
    <w:rsid w:val="7117599B"/>
    <w:rsid w:val="71341515"/>
    <w:rsid w:val="71426715"/>
    <w:rsid w:val="71675270"/>
    <w:rsid w:val="71A0391E"/>
    <w:rsid w:val="71B0247F"/>
    <w:rsid w:val="71F76102"/>
    <w:rsid w:val="720170A6"/>
    <w:rsid w:val="7213109F"/>
    <w:rsid w:val="725225BC"/>
    <w:rsid w:val="72631D3E"/>
    <w:rsid w:val="72E863FB"/>
    <w:rsid w:val="732409B7"/>
    <w:rsid w:val="735C0FDB"/>
    <w:rsid w:val="735E7C32"/>
    <w:rsid w:val="73664BBF"/>
    <w:rsid w:val="73992091"/>
    <w:rsid w:val="73A10265"/>
    <w:rsid w:val="73F613CE"/>
    <w:rsid w:val="74002CDB"/>
    <w:rsid w:val="740C7F15"/>
    <w:rsid w:val="741C017F"/>
    <w:rsid w:val="746E4F88"/>
    <w:rsid w:val="74935C03"/>
    <w:rsid w:val="74E50AC5"/>
    <w:rsid w:val="74EC6992"/>
    <w:rsid w:val="74F20DD7"/>
    <w:rsid w:val="754A405D"/>
    <w:rsid w:val="759364B8"/>
    <w:rsid w:val="75941ABD"/>
    <w:rsid w:val="7597393A"/>
    <w:rsid w:val="75A21B5B"/>
    <w:rsid w:val="75B23B9B"/>
    <w:rsid w:val="75D523B2"/>
    <w:rsid w:val="764A0896"/>
    <w:rsid w:val="766A458C"/>
    <w:rsid w:val="769727B7"/>
    <w:rsid w:val="76D67696"/>
    <w:rsid w:val="771B6C31"/>
    <w:rsid w:val="773B77A9"/>
    <w:rsid w:val="77857CF2"/>
    <w:rsid w:val="77B60B99"/>
    <w:rsid w:val="77C87C3C"/>
    <w:rsid w:val="77CD7F07"/>
    <w:rsid w:val="77CF6CF1"/>
    <w:rsid w:val="7839460F"/>
    <w:rsid w:val="78871BB3"/>
    <w:rsid w:val="7894003F"/>
    <w:rsid w:val="79405C47"/>
    <w:rsid w:val="7943029B"/>
    <w:rsid w:val="796D2DC3"/>
    <w:rsid w:val="79881D9C"/>
    <w:rsid w:val="79B6261F"/>
    <w:rsid w:val="79B964C8"/>
    <w:rsid w:val="79F30928"/>
    <w:rsid w:val="7A1E710E"/>
    <w:rsid w:val="7A324735"/>
    <w:rsid w:val="7A3C6975"/>
    <w:rsid w:val="7A550C17"/>
    <w:rsid w:val="7B195728"/>
    <w:rsid w:val="7B9A1034"/>
    <w:rsid w:val="7BB81D81"/>
    <w:rsid w:val="7BE21E40"/>
    <w:rsid w:val="7BE85A27"/>
    <w:rsid w:val="7BEA6CA9"/>
    <w:rsid w:val="7BF11AD9"/>
    <w:rsid w:val="7C050E00"/>
    <w:rsid w:val="7C1B4E25"/>
    <w:rsid w:val="7C3E14EF"/>
    <w:rsid w:val="7C456A6F"/>
    <w:rsid w:val="7C481363"/>
    <w:rsid w:val="7C8B0104"/>
    <w:rsid w:val="7C967CE7"/>
    <w:rsid w:val="7C976384"/>
    <w:rsid w:val="7CA75349"/>
    <w:rsid w:val="7CA763F8"/>
    <w:rsid w:val="7CBE6978"/>
    <w:rsid w:val="7CDC2B86"/>
    <w:rsid w:val="7D315E9F"/>
    <w:rsid w:val="7D6C4D40"/>
    <w:rsid w:val="7D9802C2"/>
    <w:rsid w:val="7D9C3B16"/>
    <w:rsid w:val="7DAE2B8F"/>
    <w:rsid w:val="7DAF14EE"/>
    <w:rsid w:val="7DB238A0"/>
    <w:rsid w:val="7DE04A9E"/>
    <w:rsid w:val="7E342E80"/>
    <w:rsid w:val="7E3E3F99"/>
    <w:rsid w:val="7E584975"/>
    <w:rsid w:val="7EB221F7"/>
    <w:rsid w:val="7EC6151A"/>
    <w:rsid w:val="7EE06187"/>
    <w:rsid w:val="7EE601F6"/>
    <w:rsid w:val="7EFE7A59"/>
    <w:rsid w:val="7F1577F5"/>
    <w:rsid w:val="7F405349"/>
    <w:rsid w:val="7F716E84"/>
    <w:rsid w:val="7F965B08"/>
    <w:rsid w:val="7FBA3D3C"/>
    <w:rsid w:val="7FDA224B"/>
    <w:rsid w:val="7FF824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widowControl w:val="0"/>
      <w:ind w:firstLine="420"/>
      <w:jc w:val="both"/>
    </w:pPr>
    <w:rPr>
      <w:kern w:val="0"/>
      <w:sz w:val="28"/>
      <w:szCs w:val="20"/>
    </w:rPr>
  </w:style>
  <w:style w:type="paragraph" w:styleId="4">
    <w:name w:val="caption"/>
    <w:basedOn w:val="1"/>
    <w:next w:val="1"/>
    <w:qFormat/>
    <w:uiPriority w:val="0"/>
    <w:pPr>
      <w:spacing w:before="120" w:after="60"/>
      <w:jc w:val="center"/>
    </w:pPr>
    <w:rPr>
      <w:rFonts w:cs="Arial"/>
      <w:b/>
      <w:szCs w:val="20"/>
    </w:rPr>
  </w:style>
  <w:style w:type="paragraph" w:styleId="5">
    <w:name w:val="annotation text"/>
    <w:basedOn w:val="1"/>
    <w:qFormat/>
    <w:uiPriority w:val="0"/>
    <w:pPr>
      <w:jc w:val="left"/>
    </w:pPr>
  </w:style>
  <w:style w:type="paragraph" w:styleId="6">
    <w:name w:val="index 6"/>
    <w:basedOn w:val="1"/>
    <w:next w:val="1"/>
    <w:qFormat/>
    <w:uiPriority w:val="0"/>
    <w:pPr>
      <w:ind w:left="2100"/>
    </w:pPr>
    <w:rPr>
      <w:rFonts w:ascii="黑体" w:eastAsia="黑体"/>
      <w:szCs w:val="24"/>
    </w:rPr>
  </w:style>
  <w:style w:type="paragraph" w:styleId="7">
    <w:name w:val="Body Text"/>
    <w:basedOn w:val="1"/>
    <w:next w:val="1"/>
    <w:qFormat/>
    <w:uiPriority w:val="0"/>
    <w:pPr>
      <w:widowControl/>
      <w:snapToGrid w:val="0"/>
      <w:spacing w:before="60" w:after="160" w:line="259" w:lineRule="auto"/>
      <w:ind w:right="113"/>
    </w:pPr>
    <w:rPr>
      <w:kern w:val="0"/>
      <w:sz w:val="18"/>
      <w:szCs w:val="20"/>
    </w:rPr>
  </w:style>
  <w:style w:type="paragraph" w:styleId="8">
    <w:name w:val="Body Text Indent"/>
    <w:basedOn w:val="1"/>
    <w:qFormat/>
    <w:uiPriority w:val="0"/>
    <w:pPr>
      <w:spacing w:after="120"/>
      <w:ind w:left="420" w:leftChars="200"/>
    </w:pPr>
    <w:rPr>
      <w:kern w:val="0"/>
      <w:sz w:val="24"/>
      <w:szCs w:val="20"/>
    </w:rPr>
  </w:style>
  <w:style w:type="paragraph" w:styleId="9">
    <w:name w:val="Plain Text"/>
    <w:basedOn w:val="1"/>
    <w:qFormat/>
    <w:uiPriority w:val="0"/>
    <w:rPr>
      <w:rFonts w:ascii="宋体" w:hAnsi="Courier New"/>
      <w:szCs w:val="20"/>
    </w:rPr>
  </w:style>
  <w:style w:type="paragraph" w:styleId="10">
    <w:name w:val="Body Text Indent 2"/>
    <w:basedOn w:val="1"/>
    <w:qFormat/>
    <w:uiPriority w:val="0"/>
    <w:pPr>
      <w:spacing w:line="420" w:lineRule="auto"/>
    </w:pPr>
  </w:style>
  <w:style w:type="paragraph" w:styleId="11">
    <w:name w:val="footer"/>
    <w:basedOn w:val="1"/>
    <w:qFormat/>
    <w:uiPriority w:val="99"/>
    <w:pPr>
      <w:tabs>
        <w:tab w:val="center" w:pos="4153"/>
        <w:tab w:val="right" w:pos="8306"/>
      </w:tabs>
      <w:snapToGrid w:val="0"/>
      <w:jc w:val="left"/>
    </w:pPr>
    <w:rPr>
      <w:kern w:val="0"/>
      <w:sz w:val="18"/>
      <w:szCs w:val="20"/>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able of figures"/>
    <w:basedOn w:val="1"/>
    <w:next w:val="1"/>
    <w:unhideWhenUsed/>
    <w:qFormat/>
    <w:uiPriority w:val="99"/>
    <w:pPr>
      <w:ind w:left="200" w:leftChars="200" w:hanging="200" w:hangingChars="200"/>
    </w:pPr>
  </w:style>
  <w:style w:type="paragraph" w:styleId="1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5">
    <w:name w:val="Body Text First Indent 2"/>
    <w:basedOn w:val="8"/>
    <w:next w:val="1"/>
    <w:qFormat/>
    <w:uiPriority w:val="0"/>
    <w:pPr>
      <w:ind w:firstLine="420"/>
    </w:pPr>
  </w:style>
  <w:style w:type="table" w:styleId="17">
    <w:name w:val="Table Grid"/>
    <w:basedOn w:val="1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annotation reference"/>
    <w:semiHidden/>
    <w:qFormat/>
    <w:uiPriority w:val="0"/>
    <w:rPr>
      <w:sz w:val="21"/>
    </w:rPr>
  </w:style>
  <w:style w:type="paragraph" w:customStyle="1" w:styleId="21">
    <w:name w:val="Default"/>
    <w:basedOn w:val="22"/>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2">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2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rPr>
  </w:style>
  <w:style w:type="paragraph" w:customStyle="1" w:styleId="24">
    <w:name w:val="环评正文"/>
    <w:basedOn w:val="1"/>
    <w:link w:val="30"/>
    <w:qFormat/>
    <w:uiPriority w:val="0"/>
    <w:pPr>
      <w:adjustRightInd w:val="0"/>
      <w:snapToGrid w:val="0"/>
      <w:spacing w:line="420" w:lineRule="auto"/>
      <w:ind w:firstLine="720" w:firstLineChars="200"/>
      <w:jc w:val="left"/>
    </w:pPr>
    <w:rPr>
      <w:rFonts w:hint="eastAsia" w:ascii="宋体" w:hAnsi="宋体" w:eastAsia="宋体" w:cs="宋体"/>
      <w:sz w:val="24"/>
      <w:szCs w:val="21"/>
    </w:rPr>
  </w:style>
  <w:style w:type="paragraph" w:customStyle="1" w:styleId="25">
    <w:name w:val="环评表头"/>
    <w:basedOn w:val="1"/>
    <w:qFormat/>
    <w:uiPriority w:val="0"/>
    <w:pPr>
      <w:spacing w:line="360" w:lineRule="auto"/>
      <w:ind w:firstLine="0"/>
      <w:jc w:val="center"/>
    </w:pPr>
    <w:rPr>
      <w:rFonts w:hint="eastAsia" w:ascii="宋体" w:hAnsi="宋体" w:eastAsia="宋体"/>
      <w:b/>
      <w:bCs/>
      <w:sz w:val="24"/>
    </w:rPr>
  </w:style>
  <w:style w:type="paragraph" w:customStyle="1" w:styleId="26">
    <w:name w:val="正文-欣欣"/>
    <w:basedOn w:val="1"/>
    <w:qFormat/>
    <w:uiPriority w:val="0"/>
    <w:pPr>
      <w:ind w:firstLine="200"/>
    </w:pPr>
    <w:rPr>
      <w:szCs w:val="30"/>
    </w:rPr>
  </w:style>
  <w:style w:type="paragraph" w:customStyle="1" w:styleId="27">
    <w:name w:val="表格标题"/>
    <w:basedOn w:val="1"/>
    <w:qFormat/>
    <w:uiPriority w:val="0"/>
    <w:pPr>
      <w:spacing w:line="360" w:lineRule="auto"/>
      <w:jc w:val="center"/>
    </w:pPr>
    <w:rPr>
      <w:rFonts w:ascii="黑体" w:eastAsia="黑体"/>
    </w:rPr>
  </w:style>
  <w:style w:type="character" w:customStyle="1" w:styleId="28">
    <w:name w:val="font21"/>
    <w:basedOn w:val="18"/>
    <w:qFormat/>
    <w:uiPriority w:val="0"/>
    <w:rPr>
      <w:rFonts w:hint="eastAsia" w:ascii="宋体" w:hAnsi="宋体" w:eastAsia="宋体" w:cs="宋体"/>
      <w:b/>
      <w:bCs/>
      <w:color w:val="000000"/>
      <w:sz w:val="24"/>
      <w:szCs w:val="24"/>
      <w:u w:val="none"/>
    </w:rPr>
  </w:style>
  <w:style w:type="character" w:customStyle="1" w:styleId="29">
    <w:name w:val="font11"/>
    <w:basedOn w:val="18"/>
    <w:qFormat/>
    <w:uiPriority w:val="0"/>
    <w:rPr>
      <w:rFonts w:hint="eastAsia" w:ascii="宋体" w:hAnsi="宋体" w:eastAsia="宋体" w:cs="宋体"/>
      <w:b/>
      <w:bCs/>
      <w:color w:val="000000"/>
      <w:sz w:val="24"/>
      <w:szCs w:val="24"/>
      <w:u w:val="none"/>
    </w:rPr>
  </w:style>
  <w:style w:type="character" w:customStyle="1" w:styleId="30">
    <w:name w:val="环评正文 Char"/>
    <w:link w:val="24"/>
    <w:qFormat/>
    <w:uiPriority w:val="0"/>
    <w:rPr>
      <w:rFonts w:hint="eastAsia" w:ascii="宋体" w:hAnsi="宋体" w:eastAsia="宋体" w:cs="宋体"/>
      <w:sz w:val="24"/>
      <w:szCs w:val="21"/>
    </w:rPr>
  </w:style>
  <w:style w:type="paragraph" w:customStyle="1" w:styleId="31">
    <w:name w:val="环评表格"/>
    <w:basedOn w:val="1"/>
    <w:next w:val="1"/>
    <w:qFormat/>
    <w:uiPriority w:val="0"/>
    <w:pPr>
      <w:adjustRightInd w:val="0"/>
      <w:snapToGrid w:val="0"/>
      <w:spacing w:line="360" w:lineRule="auto"/>
      <w:jc w:val="center"/>
    </w:pPr>
    <w:rPr>
      <w:rFonts w:ascii="宋体" w:hAnsi="宋体" w:eastAsia="宋体"/>
      <w:kern w:val="0"/>
      <w:szCs w:val="20"/>
    </w:rPr>
  </w:style>
  <w:style w:type="paragraph" w:customStyle="1" w:styleId="32">
    <w:name w:val="应填表格"/>
    <w:basedOn w:val="1"/>
    <w:qFormat/>
    <w:uiPriority w:val="0"/>
    <w:pPr>
      <w:adjustRightInd w:val="0"/>
      <w:spacing w:before="40" w:after="40"/>
      <w:jc w:val="left"/>
      <w:textAlignment w:val="baseline"/>
    </w:pPr>
    <w:rPr>
      <w:kern w:val="0"/>
      <w:sz w:val="24"/>
      <w:szCs w:val="20"/>
    </w:rPr>
  </w:style>
  <w:style w:type="paragraph" w:customStyle="1" w:styleId="33">
    <w:name w:val="表头"/>
    <w:basedOn w:val="34"/>
    <w:qFormat/>
    <w:uiPriority w:val="0"/>
    <w:pPr>
      <w:spacing w:line="240" w:lineRule="auto"/>
      <w:ind w:firstLine="0" w:firstLineChars="0"/>
    </w:pPr>
    <w:rPr>
      <w:rFonts w:eastAsia="宋体"/>
      <w:b/>
      <w:sz w:val="21"/>
      <w:szCs w:val="24"/>
    </w:rPr>
  </w:style>
  <w:style w:type="paragraph" w:customStyle="1" w:styleId="34">
    <w:name w:val="表文"/>
    <w:basedOn w:val="7"/>
    <w:next w:val="3"/>
    <w:qFormat/>
    <w:uiPriority w:val="0"/>
    <w:pPr>
      <w:widowControl w:val="0"/>
      <w:spacing w:after="0" w:afterLines="0" w:line="360" w:lineRule="auto"/>
      <w:jc w:val="center"/>
    </w:pPr>
    <w:rPr>
      <w:rFonts w:eastAsia="FangSong_GB2312"/>
      <w:sz w:val="24"/>
    </w:rPr>
  </w:style>
  <w:style w:type="paragraph" w:customStyle="1" w:styleId="35">
    <w:name w:val="表头-2章"/>
    <w:basedOn w:val="33"/>
    <w:qFormat/>
    <w:uiPriority w:val="0"/>
    <w:pPr>
      <w:numPr>
        <w:ilvl w:val="0"/>
        <w:numId w:val="1"/>
      </w:numPr>
      <w:ind w:left="0" w:firstLine="0"/>
    </w:pPr>
  </w:style>
  <w:style w:type="paragraph" w:customStyle="1" w:styleId="36">
    <w:name w:val="表格"/>
    <w:basedOn w:val="37"/>
    <w:next w:val="1"/>
    <w:qFormat/>
    <w:uiPriority w:val="0"/>
    <w:pPr>
      <w:adjustRightInd w:val="0"/>
      <w:snapToGrid w:val="0"/>
      <w:spacing w:beforeLines="10" w:afterLines="10" w:line="259" w:lineRule="auto"/>
      <w:jc w:val="center"/>
    </w:pPr>
    <w:rPr>
      <w:rFonts w:ascii="宋体"/>
      <w:kern w:val="0"/>
      <w:szCs w:val="20"/>
    </w:rPr>
  </w:style>
  <w:style w:type="paragraph" w:customStyle="1" w:styleId="37">
    <w:name w:val="表格文字"/>
    <w:basedOn w:val="7"/>
    <w:next w:val="7"/>
    <w:qFormat/>
    <w:uiPriority w:val="0"/>
    <w:pPr>
      <w:widowControl w:val="0"/>
      <w:adjustRightInd w:val="0"/>
      <w:snapToGrid w:val="0"/>
      <w:spacing w:line="360" w:lineRule="exact"/>
      <w:ind w:left="-106" w:leftChars="-44"/>
      <w:jc w:val="center"/>
    </w:pPr>
    <w:rPr>
      <w:sz w:val="20"/>
      <w:szCs w:val="20"/>
    </w:rPr>
  </w:style>
  <w:style w:type="paragraph" w:customStyle="1" w:styleId="38">
    <w:name w:val="Table Paragraph"/>
    <w:basedOn w:val="1"/>
    <w:qFormat/>
    <w:uiPriority w:val="1"/>
    <w:pPr>
      <w:jc w:val="center"/>
    </w:pPr>
    <w:rPr>
      <w:rFonts w:ascii="宋体" w:hAnsi="宋体" w:eastAsia="宋体" w:cs="宋体"/>
      <w:lang w:val="zh-CN" w:eastAsia="zh-CN" w:bidi="zh-CN"/>
    </w:rPr>
  </w:style>
  <w:style w:type="paragraph" w:customStyle="1" w:styleId="39">
    <w:name w:val="报告表格"/>
    <w:basedOn w:val="1"/>
    <w:qFormat/>
    <w:uiPriority w:val="0"/>
    <w:pPr>
      <w:autoSpaceDE w:val="0"/>
      <w:autoSpaceDN w:val="0"/>
      <w:adjustRightInd w:val="0"/>
      <w:spacing w:before="40" w:after="40"/>
      <w:jc w:val="center"/>
    </w:pPr>
    <w:rPr>
      <w:kern w:val="0"/>
      <w:szCs w:val="20"/>
    </w:rPr>
  </w:style>
  <w:style w:type="paragraph" w:customStyle="1" w:styleId="40">
    <w:name w:val="p0"/>
    <w:basedOn w:val="1"/>
    <w:qFormat/>
    <w:uiPriority w:val="0"/>
    <w:pPr>
      <w:widowControl/>
    </w:pPr>
    <w:rPr>
      <w:kern w:val="0"/>
      <w:szCs w:val="21"/>
    </w:rPr>
  </w:style>
  <w:style w:type="paragraph" w:customStyle="1" w:styleId="41">
    <w:name w:val="Default1"/>
    <w:unhideWhenUsed/>
    <w:qFormat/>
    <w:uiPriority w:val="0"/>
    <w:pPr>
      <w:widowControl w:val="0"/>
      <w:autoSpaceDE w:val="0"/>
      <w:autoSpaceDN w:val="0"/>
      <w:adjustRightInd w:val="0"/>
    </w:pPr>
    <w:rPr>
      <w:rFonts w:hint="eastAsia" w:ascii="宋体" w:hAnsi="Times New Roman" w:eastAsia="宋体" w:cs="Times New Roman"/>
      <w:color w:val="000000"/>
      <w:sz w:val="24"/>
      <w:szCs w:val="22"/>
      <w:lang w:val="en-US" w:eastAsia="zh-CN" w:bidi="ar-SA"/>
    </w:rPr>
  </w:style>
  <w:style w:type="paragraph" w:customStyle="1" w:styleId="42">
    <w:name w:val="页末正文"/>
    <w:basedOn w:val="1"/>
    <w:qFormat/>
    <w:uiPriority w:val="0"/>
    <w:pPr>
      <w:spacing w:after="240" w:line="480" w:lineRule="exact"/>
      <w:ind w:firstLine="560" w:firstLineChars="200"/>
    </w:pPr>
    <w:rPr>
      <w:rFonts w:eastAsia="楷体_GB2312"/>
      <w:color w:val="000000"/>
      <w:sz w:val="28"/>
      <w:szCs w:val="20"/>
    </w:rPr>
  </w:style>
  <w:style w:type="paragraph" w:customStyle="1" w:styleId="43">
    <w:name w:val="报告"/>
    <w:basedOn w:val="1"/>
    <w:qFormat/>
    <w:uiPriority w:val="0"/>
    <w:pPr>
      <w:adjustRightInd w:val="0"/>
      <w:spacing w:line="360" w:lineRule="auto"/>
      <w:ind w:firstLine="505"/>
      <w:jc w:val="left"/>
      <w:textAlignment w:val="baseline"/>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wmf"/><Relationship Id="rId21" Type="http://schemas.openxmlformats.org/officeDocument/2006/relationships/oleObject" Target="embeddings/oleObject1.bin"/><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34879</Words>
  <Characters>40008</Characters>
  <Lines>0</Lines>
  <Paragraphs>0</Paragraphs>
  <TotalTime>0</TotalTime>
  <ScaleCrop>false</ScaleCrop>
  <LinksUpToDate>false</LinksUpToDate>
  <CharactersWithSpaces>40281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2021-06-01T07:19:00Z</dcterms:created>
  <dc:creator>asus</dc:creator>
  <cp:lastModifiedBy>哈哈*^o^*</cp:lastModifiedBy>
  <dcterms:modified xsi:type="dcterms:W3CDTF">2023-06-01T02:23:55Z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667E98F6564E41D8811AE1A0610A44A6</vt:lpwstr>
  </property>
</Properties>
</file>