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40"/>
        </w:tabs>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pPr>
        <w:pStyle w:val="2"/>
        <w:rPr>
          <w:rFonts w:hint="default"/>
          <w:lang w:val="en-US" w:eastAsia="zh-CN"/>
        </w:rPr>
      </w:pPr>
    </w:p>
    <w:p>
      <w:pPr>
        <w:pStyle w:val="11"/>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蓬溪县民政局2021年度中央安排财政彩票公益金的支出绩效自评报告</w:t>
      </w:r>
    </w:p>
    <w:p>
      <w:pPr>
        <w:pStyle w:val="11"/>
        <w:spacing w:line="560" w:lineRule="exact"/>
        <w:jc w:val="center"/>
        <w:rPr>
          <w:rFonts w:hint="eastAsia" w:ascii="楷体_GB2312" w:hAnsi="楷体_GB2312" w:eastAsia="楷体_GB2312" w:cs="楷体_GB2312"/>
          <w:color w:val="auto"/>
          <w:kern w:val="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养老服务发展定向财力转移支付</w:t>
      </w:r>
      <w:r>
        <w:rPr>
          <w:rFonts w:hint="eastAsia" w:ascii="楷体_GB2312" w:hAnsi="楷体_GB2312" w:eastAsia="楷体_GB2312" w:cs="楷体_GB2312"/>
          <w:sz w:val="32"/>
          <w:szCs w:val="32"/>
          <w:lang w:eastAsia="zh-CN"/>
        </w:rPr>
        <w:t>项目）</w:t>
      </w:r>
    </w:p>
    <w:p>
      <w:pPr>
        <w:pStyle w:val="11"/>
        <w:spacing w:line="560" w:lineRule="exact"/>
        <w:ind w:firstLine="640"/>
        <w:jc w:val="center"/>
        <w:rPr>
          <w:rFonts w:ascii="宋体" w:hAnsi="宋体"/>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color w:val="000000" w:themeColor="text1"/>
          <w14:textFill>
            <w14:solidFill>
              <w14:schemeClr w14:val="tx1"/>
            </w14:solidFill>
          </w14:textFill>
        </w:rPr>
      </w:pPr>
      <w:r>
        <w:rPr>
          <w:rFonts w:hint="eastAsia" w:ascii="楷体_GB2312" w:hAnsi="宋体" w:eastAsia="楷体_GB2312"/>
          <w:b w:val="0"/>
          <w:bCs/>
          <w:lang w:val="zh-CN"/>
        </w:rPr>
        <w:t>（一）项目资金申报及批复情况。</w:t>
      </w:r>
      <w:r>
        <w:rPr>
          <w:rFonts w:hint="eastAsia" w:ascii="仿宋_GB2312"/>
          <w:color w:val="000000" w:themeColor="text1"/>
          <w14:textFill>
            <w14:solidFill>
              <w14:schemeClr w14:val="tx1"/>
            </w14:solidFill>
          </w14:textFill>
        </w:rPr>
        <w:t>一直以来，我局把养老服务体系建设作为养老服务工作的重中之重，积极向上级争取项目和资金，力争为我县老人提供</w:t>
      </w:r>
      <w:bookmarkStart w:id="2" w:name="_GoBack"/>
      <w:bookmarkEnd w:id="2"/>
      <w:r>
        <w:rPr>
          <w:rFonts w:hint="eastAsia" w:ascii="仿宋_GB2312"/>
          <w:color w:val="000000" w:themeColor="text1"/>
          <w14:textFill>
            <w14:solidFill>
              <w14:schemeClr w14:val="tx1"/>
            </w14:solidFill>
          </w14:textFill>
        </w:rPr>
        <w:t>更好</w:t>
      </w:r>
      <w:r>
        <w:rPr>
          <w:rFonts w:hint="eastAsia" w:ascii="仿宋_GB2312"/>
          <w:color w:val="000000" w:themeColor="text1"/>
          <w:lang w:val="en-US" w:eastAsia="zh-CN"/>
          <w14:textFill>
            <w14:solidFill>
              <w14:schemeClr w14:val="tx1"/>
            </w14:solidFill>
          </w14:textFill>
        </w:rPr>
        <w:t>地</w:t>
      </w:r>
      <w:r>
        <w:rPr>
          <w:rFonts w:hint="eastAsia" w:ascii="仿宋_GB2312"/>
          <w:color w:val="000000" w:themeColor="text1"/>
          <w14:textFill>
            <w14:solidFill>
              <w14:schemeClr w14:val="tx1"/>
            </w14:solidFill>
          </w14:textFill>
        </w:rPr>
        <w:t>为老服务，为改善民生、构建和谐作出积极贡献。2021年，上级给予我县养老服务发展定向财力转移支付福彩公益金32万元。我局严格按照《中央集中彩票公益金支持社会福利事业资金使用管理办法》（财社〔2017〕237号）、《四川省民政厅福利彩票公益金使用管理办法（川民发〔2021〕102号）等文件要求，用于我县养老服务体系发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color w:val="000000" w:themeColor="text1"/>
          <w14:textFill>
            <w14:solidFill>
              <w14:schemeClr w14:val="tx1"/>
            </w14:solidFill>
          </w14:textFill>
        </w:rPr>
      </w:pPr>
      <w:r>
        <w:rPr>
          <w:rFonts w:hint="eastAsia" w:ascii="楷体_GB2312" w:hAnsi="宋体" w:eastAsia="楷体_GB2312"/>
          <w:b w:val="0"/>
          <w:bCs/>
          <w:lang w:val="zh-CN"/>
        </w:rPr>
        <w:t>（二）项目绩效目标。</w:t>
      </w:r>
      <w:r>
        <w:rPr>
          <w:rFonts w:hint="eastAsia" w:ascii="仿宋_GB2312"/>
          <w:color w:val="000000" w:themeColor="text1"/>
          <w14:textFill>
            <w14:solidFill>
              <w14:schemeClr w14:val="tx1"/>
            </w14:solidFill>
          </w14:textFill>
        </w:rPr>
        <w:t>2021年9月，我县采取政府购买服务的方式，在国家法定工作日内为全县所有养老机构提供精神文化生活服务及安全管理、内务整理、环境卫生、健康养生等管理指导，提升全县所有运行养老机构管理服务水平，丰富养老机构老人的精神文化生活，提高他们的幸福指数。项目实施完成90%，还未结项。</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bCs/>
          <w:color w:val="000000" w:themeColor="text1"/>
          <w14:textFill>
            <w14:solidFill>
              <w14:schemeClr w14:val="tx1"/>
            </w14:solidFill>
          </w14:textFill>
        </w:rPr>
      </w:pPr>
      <w:r>
        <w:rPr>
          <w:rFonts w:hint="eastAsia" w:ascii="楷体_GB2312" w:hAnsi="宋体" w:eastAsia="楷体_GB2312"/>
          <w:b w:val="0"/>
          <w:bCs/>
          <w:lang w:val="zh-CN"/>
        </w:rPr>
        <w:t>（三）项目资金申报相符性。</w:t>
      </w:r>
      <w:r>
        <w:rPr>
          <w:bCs/>
          <w:color w:val="000000" w:themeColor="text1"/>
          <w14:textFill>
            <w14:solidFill>
              <w14:schemeClr w14:val="tx1"/>
            </w14:solidFill>
          </w14:textFill>
        </w:rPr>
        <w:t>项目</w:t>
      </w:r>
      <w:r>
        <w:rPr>
          <w:rFonts w:hint="eastAsia"/>
          <w:bCs/>
          <w:color w:val="000000" w:themeColor="text1"/>
          <w14:textFill>
            <w14:solidFill>
              <w14:schemeClr w14:val="tx1"/>
            </w14:solidFill>
          </w14:textFill>
        </w:rPr>
        <w:t>主要是为全县养老机构特别是敬老院老人开展养老服务，符合</w:t>
      </w:r>
      <w:r>
        <w:rPr>
          <w:rFonts w:hint="eastAsia" w:ascii="仿宋_GB2312"/>
          <w:color w:val="000000" w:themeColor="text1"/>
          <w14:textFill>
            <w14:solidFill>
              <w14:schemeClr w14:val="tx1"/>
            </w14:solidFill>
          </w14:textFill>
        </w:rPr>
        <w:t>《中央集中彩票公益金支持社会福利事业资金使用管理办法》（财社〔2017〕237号）、《四川省民政厅福利彩票公益金使用管理办法（川民发〔2021〕102号）等文件要求，</w:t>
      </w:r>
      <w:r>
        <w:rPr>
          <w:bCs/>
          <w:color w:val="000000" w:themeColor="text1"/>
          <w14:textFill>
            <w14:solidFill>
              <w14:schemeClr w14:val="tx1"/>
            </w14:solidFill>
          </w14:textFill>
        </w:rPr>
        <w:t>申报内容与具体实施内容相一致，申报目标合理可行。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rPr>
      </w:pPr>
      <w:r>
        <w:rPr>
          <w:rFonts w:hint="eastAsia" w:ascii="黑体" w:hAnsi="宋体" w:eastAsia="黑体"/>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lang w:val="zh-CN"/>
        </w:rPr>
      </w:pPr>
      <w:r>
        <w:rPr>
          <w:rFonts w:hint="eastAsia" w:ascii="楷体_GB2312" w:hAnsi="宋体" w:eastAsia="楷体_GB2312"/>
          <w:b w:val="0"/>
          <w:bCs/>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rPr>
      </w:pPr>
      <w:r>
        <w:rPr>
          <w:rFonts w:hint="eastAsia" w:ascii="仿宋_GB2312" w:hAnsi="仿宋_GB2312" w:eastAsia="仿宋_GB2312" w:cs="仿宋_GB2312"/>
          <w:lang w:val="zh-CN"/>
        </w:rPr>
        <w:t>1</w:t>
      </w:r>
      <w:r>
        <w:rPr>
          <w:rFonts w:hint="eastAsia" w:ascii="仿宋_GB2312" w:hAnsi="仿宋_GB2312" w:cs="仿宋_GB2312"/>
          <w:lang w:val="en-US" w:eastAsia="zh-CN"/>
        </w:rPr>
        <w:t>.</w:t>
      </w:r>
      <w:r>
        <w:rPr>
          <w:rFonts w:hint="eastAsia" w:ascii="仿宋_GB2312" w:hAnsi="仿宋_GB2312" w:eastAsia="仿宋_GB2312" w:cs="仿宋_GB2312"/>
          <w:lang w:val="zh-CN"/>
        </w:rPr>
        <w:t>资金计划及到位。</w:t>
      </w:r>
      <w:r>
        <w:rPr>
          <w:rFonts w:hint="eastAsia" w:ascii="仿宋_GB2312" w:hAnsi="仿宋_GB2312" w:eastAsia="仿宋_GB2312" w:cs="仿宋_GB2312"/>
        </w:rPr>
        <w:t>2021年，我县计划安排养老服务发展定向财力转移支付福彩公益金32万元，通过政府购买服务的方式，为全县所有运行养老机构提供精神文化生活服务及安全管理、内务整理、环境卫生、健康养生等管理指导，项目资金均及时拨付到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2</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rPr>
        <w:t>资金使用。按照招标文件和合同要求，资金分三次拨付，截至目前，</w:t>
      </w:r>
      <w:r>
        <w:rPr>
          <w:rFonts w:hint="eastAsia" w:ascii="仿宋_GB2312" w:hAnsi="仿宋_GB2312" w:eastAsia="仿宋_GB2312" w:cs="仿宋_GB2312"/>
        </w:rPr>
        <w:t>项目资金已拨付二次，支出27.72万元，资金全部用于项目，项目资金使用安全、规范，资金支付范围、支付标准、支付进度、支付依据合规合法，与预算相符，做到了项目资金使用效率最大化。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lang w:val="zh-CN"/>
        </w:rPr>
      </w:pPr>
      <w:r>
        <w:rPr>
          <w:rFonts w:hint="eastAsia" w:ascii="楷体_GB2312" w:hAnsi="宋体" w:eastAsia="楷体_GB2312"/>
          <w:b w:val="0"/>
          <w:bCs/>
          <w:lang w:val="zh-CN"/>
        </w:rPr>
        <w:t>（二）项目财务管理情况。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按照《中央集中彩票公益金支持社会福利事业资金使用管理办法》（财社〔2017〕237号）、《四川省民政厅福利彩票公益金使用管理办法（川民发〔2021〕102号）等文件要求，明确了资金拨付下达的流程和职责责任，让建设资金能够及时准确拨付下达到项目实施地。项目实施单位健全了财务管理制度，</w:t>
      </w:r>
      <w:r>
        <w:rPr>
          <w:rFonts w:hint="eastAsia" w:ascii="仿宋_GB2312" w:hAnsi="宋体"/>
          <w:color w:val="000000" w:themeColor="text1"/>
          <w:lang w:val="zh-CN"/>
          <w14:textFill>
            <w14:solidFill>
              <w14:schemeClr w14:val="tx1"/>
            </w14:solidFill>
          </w14:textFill>
        </w:rPr>
        <w:t>财务处理是否及时、会计核算是否规范，</w:t>
      </w:r>
      <w:r>
        <w:rPr>
          <w:rFonts w:hint="eastAsia" w:ascii="仿宋_GB2312"/>
          <w:color w:val="000000" w:themeColor="text1"/>
          <w14:textFill>
            <w14:solidFill>
              <w14:schemeClr w14:val="tx1"/>
            </w14:solidFill>
          </w14:textFill>
        </w:rPr>
        <w:t>项目资金实行专款专用，专人负责管理，项目建设公开透明，做到了项目资金使用效率最大化。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lang w:val="zh-CN"/>
        </w:rPr>
      </w:pPr>
      <w:r>
        <w:rPr>
          <w:rFonts w:hint="eastAsia" w:ascii="楷体_GB2312" w:hAnsi="宋体" w:eastAsia="楷体_GB2312"/>
          <w:b w:val="0"/>
          <w:bCs/>
          <w:lang w:val="zh-CN"/>
        </w:rPr>
        <w:t>（三）项目组织实施情况。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color w:val="000000" w:themeColor="text1"/>
          <w14:textFill>
            <w14:solidFill>
              <w14:schemeClr w14:val="tx1"/>
            </w14:solidFill>
          </w14:textFill>
        </w:rPr>
      </w:pPr>
      <w:r>
        <w:rPr>
          <w:rFonts w:hint="eastAsia" w:ascii="仿宋_GB2312"/>
          <w:color w:val="000000" w:themeColor="text1"/>
          <w14:textFill>
            <w14:solidFill>
              <w14:schemeClr w14:val="tx1"/>
            </w14:solidFill>
          </w14:textFill>
        </w:rPr>
        <w:t>项目严格按照政府采购法律法规要求，按照流程办理，项目由县财政局、县民政局牵头，中标的社会组织负责实施。县民政局成立了项目建设领导小组，明确了责任人，加强项目实施的监管，确保项目能够公开透明运行。项目均严格按照项目管理制度推进，按照程序开展了政府采购等，无违规操作行为。由县民政局牵头，乡镇政府、民政办、养老机构协助，采取现场查看、调查调研、满意度测评等方式进行项目监管，项目稳步推进，实施质量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宋体"/>
          <w:lang w:val="zh-CN"/>
        </w:rPr>
      </w:pPr>
      <w:r>
        <w:rPr>
          <w:rFonts w:hint="eastAsia" w:ascii="黑体" w:hAnsi="宋体" w:eastAsia="黑体"/>
          <w:lang w:val="en-US" w:eastAsia="zh-CN"/>
        </w:rPr>
        <w:t>三、</w:t>
      </w:r>
      <w:r>
        <w:rPr>
          <w:rFonts w:hint="eastAsia" w:ascii="黑体" w:hAnsi="宋体" w:eastAsia="黑体"/>
        </w:rPr>
        <w:t>项目绩效情况</w:t>
      </w:r>
      <w:r>
        <w:rPr>
          <w:rFonts w:hint="eastAsia" w:ascii="仿宋_GB2312" w:hAnsi="宋体"/>
          <w:lang w:val="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textAlignment w:val="auto"/>
        <w:rPr>
          <w:rFonts w:hint="eastAsia" w:ascii="仿宋_GB2312"/>
          <w:color w:val="000000" w:themeColor="text1"/>
          <w14:textFill>
            <w14:solidFill>
              <w14:schemeClr w14:val="tx1"/>
            </w14:solidFill>
          </w14:textFill>
        </w:rPr>
      </w:pPr>
      <w:r>
        <w:rPr>
          <w:rFonts w:hint="eastAsia" w:ascii="楷体_GB2312" w:hAnsi="宋体" w:eastAsia="楷体_GB2312"/>
          <w:b w:val="0"/>
          <w:bCs/>
          <w:lang w:val="zh-CN"/>
        </w:rPr>
        <w:t>（一）项目完成情况。</w:t>
      </w:r>
      <w:r>
        <w:rPr>
          <w:rFonts w:hint="eastAsia" w:ascii="仿宋_GB2312"/>
          <w:color w:val="000000" w:themeColor="text1"/>
          <w14:textFill>
            <w14:solidFill>
              <w14:schemeClr w14:val="tx1"/>
            </w14:solidFill>
          </w14:textFill>
        </w:rPr>
        <w:t>项目按照时间节点推进，严把服务质量关，</w:t>
      </w:r>
      <w:r>
        <w:rPr>
          <w:rFonts w:hint="eastAsia" w:ascii="仿宋_GB2312" w:hAnsi="宋体"/>
          <w:color w:val="000000" w:themeColor="text1"/>
          <w:lang w:val="zh-CN"/>
          <w14:textFill>
            <w14:solidFill>
              <w14:schemeClr w14:val="tx1"/>
            </w14:solidFill>
          </w14:textFill>
        </w:rPr>
        <w:t>截至目前，项目已完成90%</w:t>
      </w:r>
      <w:r>
        <w:rPr>
          <w:rFonts w:hint="eastAsia" w:ascii="仿宋_GB2312"/>
          <w:color w:val="000000" w:themeColor="text1"/>
          <w14:textFill>
            <w14:solidFill>
              <w14:schemeClr w14:val="tx1"/>
            </w14:solidFill>
          </w14:textFill>
        </w:rPr>
        <w:t>。整个项目实施过程中，做到了民主决策，民主管理、严格监管，项目完成质量好，效果明显，提升了老人的生活质量和幸福指数。</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rPr>
      </w:pPr>
      <w:r>
        <w:rPr>
          <w:rFonts w:hint="eastAsia" w:ascii="楷体_GB2312" w:hAnsi="宋体" w:eastAsia="楷体_GB2312"/>
          <w:b w:val="0"/>
          <w:bCs/>
          <w:lang w:val="zh-CN"/>
        </w:rPr>
        <w:t>（二）项目效益情况。</w:t>
      </w:r>
      <w:r>
        <w:rPr>
          <w:rFonts w:hint="eastAsia" w:ascii="仿宋_GB2312"/>
        </w:rPr>
        <w:t>项目实现了经济效益最大化，在国家法定工作日内为全县所有养老机构提供精神文化生活服务及安全管理、内务整理、环境卫生、健康养生等管理指导，提升全县所有运行养老机构管理服务水平，丰富养老机构老人的精神文化生活，改变了养老院氛围，使养老院老人实现了“快乐养老”，大大提升了困难老人的生活质量和幸福指数，促进了社会和谐，得到社会各界和老人的一致好评。</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rPr>
      </w:pPr>
      <w:r>
        <w:rPr>
          <w:rFonts w:hint="eastAsia" w:ascii="黑体" w:hAnsi="宋体" w:eastAsia="黑体"/>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color w:val="000000" w:themeColor="text1"/>
          <w14:textFill>
            <w14:solidFill>
              <w14:schemeClr w14:val="tx1"/>
            </w14:solidFill>
          </w14:textFill>
        </w:rPr>
      </w:pPr>
      <w:r>
        <w:rPr>
          <w:rFonts w:hint="eastAsia" w:ascii="楷体_GB2312" w:hAnsi="宋体" w:eastAsia="楷体_GB2312"/>
          <w:b w:val="0"/>
          <w:bCs/>
          <w:lang w:val="zh-CN"/>
        </w:rPr>
        <w:t>（一）存在的问题。</w:t>
      </w:r>
      <w:r>
        <w:rPr>
          <w:rFonts w:hint="eastAsia" w:ascii="仿宋_GB2312"/>
          <w:color w:val="000000" w:themeColor="text1"/>
          <w14:textFill>
            <w14:solidFill>
              <w14:schemeClr w14:val="tx1"/>
            </w14:solidFill>
          </w14:textFill>
        </w:rPr>
        <w:t>疫情防控养老机构封闭式管理期间，社会组织不能深入养老机构内开展活动，我县财政困难，公办养老机构消防提升和维修维护资金缺乏，项目实施受影响。</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color w:val="000000" w:themeColor="text1"/>
          <w14:textFill>
            <w14:solidFill>
              <w14:schemeClr w14:val="tx1"/>
            </w14:solidFill>
          </w14:textFill>
        </w:rPr>
      </w:pPr>
      <w:r>
        <w:rPr>
          <w:rFonts w:hint="eastAsia" w:ascii="楷体_GB2312" w:hAnsi="宋体" w:eastAsia="楷体_GB2312"/>
          <w:b w:val="0"/>
          <w:bCs/>
          <w:lang w:val="zh-CN"/>
        </w:rPr>
        <w:t>（二）相关建议。</w:t>
      </w:r>
      <w:r>
        <w:rPr>
          <w:rFonts w:hint="eastAsia" w:ascii="仿宋_GB2312"/>
          <w:color w:val="000000" w:themeColor="text1"/>
          <w14:textFill>
            <w14:solidFill>
              <w14:schemeClr w14:val="tx1"/>
            </w14:solidFill>
          </w14:textFill>
        </w:rPr>
        <w:t>建议上级加大福彩公益金专项支持，用于我县公办养老机消防提升和维修维护及其他养老服务项目。</w:t>
      </w: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color w:val="000000" w:themeColor="text1"/>
          <w:lang w:val="en-US" w:eastAsia="zh-CN"/>
          <w14:textFill>
            <w14:solidFill>
              <w14:schemeClr w14:val="tx1"/>
            </w14:solidFill>
          </w14:textFill>
        </w:rPr>
      </w:pP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lang w:val="en-US" w:eastAsia="zh-CN"/>
        </w:rPr>
      </w:pPr>
    </w:p>
    <w:p>
      <w:pPr>
        <w:pStyle w:val="2"/>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仿宋_GB2312"/>
          <w:lang w:val="en-US" w:eastAsia="zh-CN"/>
        </w:rPr>
      </w:pPr>
    </w:p>
    <w:p>
      <w:pPr>
        <w:pStyle w:val="2"/>
        <w:rPr>
          <w:rFonts w:hint="eastAsia" w:ascii="仿宋_GB2312"/>
          <w:lang w:val="en-US" w:eastAsia="zh-CN"/>
        </w:rPr>
      </w:pPr>
    </w:p>
    <w:p>
      <w:pPr>
        <w:pStyle w:val="2"/>
        <w:rPr>
          <w:rFonts w:hint="eastAsia" w:ascii="仿宋_GB2312"/>
          <w:lang w:val="en-US" w:eastAsia="zh-CN"/>
        </w:rPr>
      </w:pPr>
    </w:p>
    <w:p>
      <w:pPr>
        <w:pStyle w:val="2"/>
        <w:rPr>
          <w:rFonts w:hint="eastAsia" w:ascii="仿宋_GB2312"/>
          <w:lang w:val="en-US" w:eastAsia="zh-CN"/>
        </w:rPr>
      </w:pPr>
    </w:p>
    <w:p>
      <w:pPr>
        <w:pStyle w:val="2"/>
        <w:rPr>
          <w:rFonts w:hint="eastAsia" w:ascii="仿宋_GB2312"/>
          <w:lang w:val="en-US" w:eastAsia="zh-CN"/>
        </w:rPr>
      </w:pPr>
    </w:p>
    <w:p>
      <w:pPr>
        <w:pStyle w:val="2"/>
        <w:rPr>
          <w:rFonts w:hint="eastAsia" w:ascii="仿宋_GB2312"/>
          <w:lang w:val="en-US" w:eastAsia="zh-CN"/>
        </w:rPr>
      </w:pPr>
    </w:p>
    <w:p>
      <w:pPr>
        <w:rPr>
          <w:rFonts w:hint="eastAsia" w:ascii="仿宋_GB2312"/>
          <w:lang w:val="en-US" w:eastAsia="zh-CN"/>
        </w:rPr>
      </w:pPr>
    </w:p>
    <w:p>
      <w:pPr>
        <w:pStyle w:val="2"/>
        <w:rPr>
          <w:rFonts w:hint="eastAsia" w:ascii="仿宋_GB2312"/>
          <w:lang w:val="en-US" w:eastAsia="zh-CN"/>
        </w:rPr>
      </w:pPr>
    </w:p>
    <w:p>
      <w:pPr>
        <w:rPr>
          <w:rFonts w:hint="eastAsia"/>
          <w:lang w:val="en-US" w:eastAsia="zh-CN"/>
        </w:rPr>
      </w:pPr>
    </w:p>
    <w:p>
      <w:pPr>
        <w:pStyle w:val="2"/>
        <w:rPr>
          <w:rFonts w:hint="eastAsia" w:ascii="仿宋_GB2312"/>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720"/>
        <w:jc w:val="center"/>
        <w:textAlignment w:val="auto"/>
        <w:rPr>
          <w:rFonts w:hint="eastAsia" w:ascii="方正小标宋简体" w:hAnsi="宋体" w:eastAsia="方正小标宋简体" w:cs="Times New Roman"/>
          <w:color w:val="000000"/>
          <w:kern w:val="0"/>
          <w:sz w:val="44"/>
          <w:szCs w:val="44"/>
          <w:lang w:val="en-US" w:eastAsia="zh-CN" w:bidi="ar-SA"/>
        </w:rPr>
      </w:pPr>
      <w:r>
        <w:rPr>
          <w:rFonts w:hint="eastAsia" w:ascii="方正小标宋简体" w:hAnsi="宋体" w:eastAsia="方正小标宋简体" w:cs="Times New Roman"/>
          <w:color w:val="000000"/>
          <w:kern w:val="0"/>
          <w:sz w:val="44"/>
          <w:szCs w:val="44"/>
          <w:lang w:val="en-US" w:eastAsia="zh-CN" w:bidi="ar-SA"/>
        </w:rPr>
        <w:t>（殡仪专用车购置项目）</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lang w:val="zh-CN"/>
        </w:rPr>
      </w:pPr>
      <w:r>
        <w:rPr>
          <w:rFonts w:hint="eastAsia" w:ascii="黑体" w:hAnsi="宋体" w:eastAsia="黑体"/>
        </w:rPr>
        <w:t>一、</w:t>
      </w:r>
      <w:r>
        <w:rPr>
          <w:rFonts w:hint="eastAsia" w:ascii="黑体" w:hAnsi="宋体" w:eastAsia="黑体"/>
          <w:lang w:val="zh-CN"/>
        </w:rPr>
        <w:t>项目概况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lang w:val="zh-CN"/>
        </w:rPr>
      </w:pPr>
      <w:r>
        <w:rPr>
          <w:rFonts w:hint="eastAsia" w:ascii="楷体_GB2312" w:hAnsi="宋体" w:eastAsia="楷体_GB2312"/>
          <w:b w:val="0"/>
          <w:bCs/>
          <w:lang w:val="zh-CN"/>
        </w:rPr>
        <w:t>（一）项目资金申报及批复情况。</w:t>
      </w:r>
      <w:r>
        <w:rPr>
          <w:rFonts w:hint="eastAsia" w:ascii="仿宋_GB2312" w:hAnsi="宋体"/>
          <w:lang w:val="en-US" w:eastAsia="zh-CN"/>
        </w:rPr>
        <w:t>项目资金由省民政厅拨付15万元用于蓬溪县殡仪馆购置殡仪车辆，拨付文件为：《</w:t>
      </w:r>
      <w:r>
        <w:rPr>
          <w:rFonts w:hint="eastAsia" w:ascii="仿宋_GB2312" w:hAnsi="宋体"/>
          <w:lang w:val="zh-CN"/>
        </w:rPr>
        <w:t>关于下达2021年中央财政福彩公益金的通知</w:t>
      </w:r>
      <w:r>
        <w:rPr>
          <w:rFonts w:hint="eastAsia" w:ascii="仿宋_GB2312" w:hAnsi="宋体"/>
          <w:lang w:val="en-US" w:eastAsia="zh-CN"/>
        </w:rPr>
        <w:t>》（</w:t>
      </w:r>
      <w:r>
        <w:rPr>
          <w:rFonts w:hint="eastAsia" w:ascii="仿宋_GB2312" w:hAnsi="宋体"/>
          <w:lang w:val="zh-CN"/>
        </w:rPr>
        <w:t>川财社</w:t>
      </w:r>
      <w:r>
        <w:rPr>
          <w:rFonts w:hint="eastAsia" w:ascii="仿宋_GB2312" w:hAnsi="仿宋_GB2312" w:eastAsia="仿宋_GB2312" w:cs="仿宋_GB2312"/>
          <w:color w:val="000000"/>
          <w:spacing w:val="6"/>
          <w:sz w:val="32"/>
          <w:szCs w:val="32"/>
        </w:rPr>
        <w:t>〔20</w:t>
      </w:r>
      <w:r>
        <w:rPr>
          <w:rFonts w:hint="eastAsia" w:ascii="仿宋_GB2312" w:hAnsi="仿宋_GB2312" w:eastAsia="仿宋_GB2312" w:cs="仿宋_GB2312"/>
          <w:color w:val="000000"/>
          <w:spacing w:val="6"/>
          <w:sz w:val="32"/>
          <w:szCs w:val="32"/>
          <w:lang w:val="en-US" w:eastAsia="zh-CN"/>
        </w:rPr>
        <w:t>2</w:t>
      </w:r>
      <w:r>
        <w:rPr>
          <w:rFonts w:hint="eastAsia" w:ascii="仿宋_GB2312" w:hAnsi="仿宋_GB2312" w:cs="仿宋_GB2312"/>
          <w:color w:val="000000"/>
          <w:spacing w:val="6"/>
          <w:sz w:val="32"/>
          <w:szCs w:val="32"/>
          <w:lang w:val="en-US" w:eastAsia="zh-CN"/>
        </w:rPr>
        <w:t>1</w:t>
      </w:r>
      <w:r>
        <w:rPr>
          <w:rFonts w:hint="eastAsia" w:ascii="仿宋_GB2312" w:hAnsi="仿宋_GB2312" w:eastAsia="仿宋_GB2312" w:cs="仿宋_GB2312"/>
          <w:color w:val="000000"/>
          <w:spacing w:val="6"/>
          <w:sz w:val="32"/>
          <w:szCs w:val="32"/>
        </w:rPr>
        <w:t>〕</w:t>
      </w:r>
      <w:r>
        <w:rPr>
          <w:rFonts w:hint="eastAsia" w:ascii="仿宋_GB2312" w:hAnsi="宋体"/>
          <w:lang w:val="zh-CN"/>
        </w:rPr>
        <w:t>73号</w:t>
      </w:r>
      <w:r>
        <w:rPr>
          <w:rFonts w:hint="eastAsia" w:ascii="仿宋_GB2312" w:hAnsi="宋体"/>
          <w:lang w:val="en-US" w:eastAsia="zh-CN"/>
        </w:rPr>
        <w:t>）</w:t>
      </w:r>
      <w:r>
        <w:rPr>
          <w:rFonts w:hint="eastAsia" w:ascii="仿宋_GB2312" w:hAnsi="宋体"/>
          <w:lang w:val="zh-CN"/>
        </w:rPr>
        <w:t>，符合资金管理办法等相关规定。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lang w:val="zh-CN"/>
        </w:rPr>
      </w:pPr>
      <w:r>
        <w:rPr>
          <w:rFonts w:hint="eastAsia" w:ascii="楷体_GB2312" w:hAnsi="宋体" w:eastAsia="楷体_GB2312"/>
          <w:b w:val="0"/>
          <w:bCs/>
          <w:lang w:val="zh-CN"/>
        </w:rPr>
        <w:t>（二）项目绩效目标。</w:t>
      </w:r>
      <w:r>
        <w:rPr>
          <w:rFonts w:hint="eastAsia" w:ascii="仿宋_GB2312" w:hAnsi="宋体"/>
          <w:lang w:val="en-US" w:eastAsia="zh-CN"/>
        </w:rPr>
        <w:t>2021年蓬溪县殡仪馆特种车辆采购项目通过招投标方式，由四川远眺项目管理公司代理采购，通过竞争性磋商的方式，与湖北合力特种车辆制造有限公司达成协议，该项目成交价为18.58万元，其中，</w:t>
      </w:r>
      <w:r>
        <w:rPr>
          <w:rFonts w:hint="eastAsia" w:ascii="仿宋_GB2312" w:hAnsi="宋体"/>
          <w:lang w:val="zh-CN"/>
        </w:rPr>
        <w:t>中央财政福彩公益金：</w:t>
      </w:r>
      <w:r>
        <w:rPr>
          <w:rFonts w:hint="eastAsia" w:ascii="仿宋_GB2312" w:hAnsi="宋体"/>
          <w:lang w:val="en-US" w:eastAsia="zh-CN"/>
        </w:rPr>
        <w:t>15万元，自筹资金3.58万元。目前，该项目已全面完成，殡葬车辆投入使用后，切实解决了殡葬车辆紧缺的困难，有效提高了殡葬服务质量，对提高火化率等将起到重要的作用</w:t>
      </w:r>
      <w:r>
        <w:rPr>
          <w:rFonts w:hint="eastAsia" w:ascii="仿宋_GB2312" w:hAnsi="宋体"/>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lang w:val="zh-CN"/>
        </w:rPr>
      </w:pPr>
      <w:r>
        <w:rPr>
          <w:rFonts w:hint="eastAsia" w:ascii="楷体_GB2312" w:hAnsi="宋体" w:eastAsia="楷体_GB2312"/>
          <w:b w:val="0"/>
          <w:bCs/>
          <w:lang w:val="zh-CN"/>
        </w:rPr>
        <w:t>（三）项目资金申报相符性。</w:t>
      </w:r>
      <w:r>
        <w:rPr>
          <w:rFonts w:hint="eastAsia" w:ascii="仿宋_GB2312" w:hAnsi="宋体"/>
          <w:lang w:val="en-US" w:eastAsia="zh-CN"/>
        </w:rPr>
        <w:t>2021年蓬溪县殡仪馆特种车辆采购项目</w:t>
      </w:r>
      <w:r>
        <w:rPr>
          <w:rFonts w:hint="eastAsia" w:ascii="仿宋_GB2312" w:hAnsi="宋体"/>
          <w:lang w:val="zh-CN"/>
        </w:rPr>
        <w:t>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宋体" w:eastAsia="黑体"/>
        </w:rPr>
      </w:pPr>
      <w:r>
        <w:rPr>
          <w:rFonts w:hint="eastAsia" w:ascii="黑体" w:hAnsi="宋体" w:eastAsia="黑体"/>
        </w:rPr>
        <w:t>二、项目实施及管理情况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lang w:val="zh-CN"/>
        </w:rPr>
      </w:pPr>
      <w:r>
        <w:rPr>
          <w:rFonts w:hint="eastAsia" w:ascii="楷体_GB2312" w:hAnsi="宋体" w:eastAsia="楷体_GB2312"/>
          <w:b w:val="0"/>
          <w:bCs/>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zh-CN"/>
        </w:rPr>
        <w:t>1</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rPr>
        <w:t>资金计划及到位。</w:t>
      </w:r>
      <w:r>
        <w:rPr>
          <w:rFonts w:hint="eastAsia" w:ascii="仿宋_GB2312" w:hAnsi="仿宋_GB2312" w:eastAsia="仿宋_GB2312" w:cs="仿宋_GB2312"/>
          <w:lang w:val="en-US" w:eastAsia="zh-CN"/>
        </w:rPr>
        <w:t>2021年蓬溪县殡仪馆特种车辆采购项目资金已全部到位。其中，</w:t>
      </w:r>
      <w:r>
        <w:rPr>
          <w:rFonts w:hint="eastAsia" w:ascii="仿宋_GB2312" w:hAnsi="仿宋_GB2312" w:eastAsia="仿宋_GB2312" w:cs="仿宋_GB2312"/>
          <w:lang w:val="zh-CN"/>
        </w:rPr>
        <w:t>中央财政福彩公益金</w:t>
      </w:r>
      <w:r>
        <w:rPr>
          <w:rFonts w:hint="eastAsia" w:ascii="仿宋_GB2312" w:hAnsi="仿宋_GB2312" w:eastAsia="仿宋_GB2312" w:cs="仿宋_GB2312"/>
          <w:lang w:val="en-US" w:eastAsia="zh-CN"/>
        </w:rPr>
        <w:t>15万元已拨付，蓬溪县殡仪自筹资金3.58万元。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lang w:val="zh-CN"/>
        </w:rPr>
      </w:pPr>
      <w:r>
        <w:rPr>
          <w:rFonts w:hint="eastAsia" w:ascii="仿宋_GB2312" w:hAnsi="仿宋_GB2312" w:eastAsia="仿宋_GB2312" w:cs="仿宋_GB2312"/>
          <w:lang w:val="zh-CN"/>
        </w:rPr>
        <w:t>2</w:t>
      </w:r>
      <w:r>
        <w:rPr>
          <w:rFonts w:hint="eastAsia" w:ascii="仿宋_GB2312" w:hAnsi="仿宋_GB2312" w:eastAsia="仿宋_GB2312" w:cs="仿宋_GB2312"/>
          <w:lang w:val="en-US" w:eastAsia="zh-CN"/>
        </w:rPr>
        <w:t>.</w:t>
      </w:r>
      <w:r>
        <w:rPr>
          <w:rFonts w:hint="eastAsia" w:ascii="仿宋_GB2312" w:hAnsi="仿宋_GB2312" w:eastAsia="仿宋_GB2312" w:cs="仿宋_GB2312"/>
          <w:lang w:val="zh-CN"/>
        </w:rPr>
        <w:t>资金使用。</w:t>
      </w:r>
      <w:r>
        <w:rPr>
          <w:rFonts w:hint="eastAsia" w:ascii="仿宋_GB2312" w:hAnsi="仿宋_GB2312" w:eastAsia="仿宋_GB2312" w:cs="仿宋_GB2312"/>
          <w:lang w:val="en-US" w:eastAsia="zh-CN"/>
        </w:rPr>
        <w:t>截</w:t>
      </w:r>
      <w:r>
        <w:rPr>
          <w:rFonts w:hint="eastAsia" w:ascii="仿宋_GB2312" w:hAnsi="仿宋_GB2312" w:cs="仿宋_GB2312"/>
          <w:lang w:val="en-US" w:eastAsia="zh-CN"/>
        </w:rPr>
        <w:t>至</w:t>
      </w:r>
      <w:r>
        <w:rPr>
          <w:rFonts w:hint="eastAsia" w:ascii="仿宋_GB2312" w:hAnsi="仿宋_GB2312" w:eastAsia="仿宋_GB2312" w:cs="仿宋_GB2312"/>
          <w:lang w:val="en-US" w:eastAsia="zh-CN"/>
        </w:rPr>
        <w:t>目前已实际支付湖北合力特种车制造有限公司18.58万元。该项目</w:t>
      </w:r>
      <w:r>
        <w:rPr>
          <w:rFonts w:hint="eastAsia" w:ascii="仿宋_GB2312" w:hAnsi="仿宋_GB2312" w:eastAsia="仿宋_GB2312" w:cs="仿宋_GB2312"/>
          <w:lang w:val="zh-CN"/>
        </w:rPr>
        <w:t>资金开支范围、标准及支付进度</w:t>
      </w:r>
      <w:r>
        <w:rPr>
          <w:rFonts w:hint="eastAsia" w:ascii="仿宋_GB2312" w:hAnsi="仿宋_GB2312" w:eastAsia="仿宋_GB2312" w:cs="仿宋_GB2312"/>
          <w:lang w:val="en-US" w:eastAsia="zh-CN"/>
        </w:rPr>
        <w:t>和</w:t>
      </w:r>
      <w:r>
        <w:rPr>
          <w:rFonts w:hint="eastAsia" w:ascii="仿宋_GB2312" w:hAnsi="仿宋_GB2312" w:eastAsia="仿宋_GB2312" w:cs="仿宋_GB2312"/>
          <w:lang w:val="zh-CN"/>
        </w:rPr>
        <w:t>支付依据合规合法，与预算相符。</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lang w:val="zh-CN"/>
        </w:rPr>
      </w:pPr>
      <w:r>
        <w:rPr>
          <w:rFonts w:hint="eastAsia" w:ascii="楷体_GB2312" w:hAnsi="宋体" w:eastAsia="楷体_GB2312"/>
          <w:b w:val="0"/>
          <w:bCs/>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仿宋_GB2312" w:hAnsi="宋体"/>
          <w:color w:val="000000" w:themeColor="text1"/>
          <w:lang w:val="zh-CN"/>
          <w14:textFill>
            <w14:solidFill>
              <w14:schemeClr w14:val="tx1"/>
            </w14:solidFill>
          </w14:textFill>
        </w:rPr>
      </w:pPr>
      <w:r>
        <w:rPr>
          <w:rFonts w:hint="eastAsia" w:ascii="仿宋_GB2312" w:hAnsi="宋体"/>
          <w:color w:val="000000" w:themeColor="text1"/>
          <w:lang w:val="en-US" w:eastAsia="zh-CN"/>
          <w14:textFill>
            <w14:solidFill>
              <w14:schemeClr w14:val="tx1"/>
            </w14:solidFill>
          </w14:textFill>
        </w:rPr>
        <w:t>该项目</w:t>
      </w:r>
      <w:r>
        <w:rPr>
          <w:rFonts w:hint="eastAsia" w:ascii="仿宋_GB2312" w:hAnsi="宋体"/>
          <w:color w:val="000000" w:themeColor="text1"/>
          <w:lang w:val="zh-CN"/>
          <w14:textFill>
            <w14:solidFill>
              <w14:schemeClr w14:val="tx1"/>
            </w14:solidFill>
          </w14:textFill>
        </w:rPr>
        <w:t>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val="0"/>
          <w:bCs/>
          <w:lang w:val="zh-CN"/>
        </w:rPr>
      </w:pPr>
      <w:r>
        <w:rPr>
          <w:rFonts w:hint="eastAsia" w:ascii="楷体_GB2312" w:hAnsi="宋体" w:eastAsia="楷体_GB2312"/>
          <w:b w:val="0"/>
          <w:bCs/>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仿宋_GB2312" w:hAnsi="仿宋_GB2312" w:eastAsia="仿宋_GB2312" w:cs="仿宋_GB2312"/>
          <w:lang w:val="zh-CN"/>
        </w:rPr>
      </w:pPr>
      <w:r>
        <w:rPr>
          <w:rFonts w:hint="eastAsia" w:ascii="仿宋_GB2312" w:hAnsi="仿宋_GB2312" w:eastAsia="仿宋_GB2312" w:cs="仿宋_GB2312"/>
          <w:lang w:val="en-US" w:eastAsia="zh-CN"/>
        </w:rPr>
        <w:t>2021年蓬溪县殡仪馆特种车辆采购项目由蓬溪县殡仪馆向县财政局请示《蓬溪县殡仪馆关于采购特种车辆的请示》（蓬殡</w:t>
      </w:r>
      <w:r>
        <w:rPr>
          <w:rFonts w:hint="eastAsia" w:ascii="仿宋_GB2312" w:hAnsi="仿宋_GB2312" w:eastAsia="仿宋_GB2312" w:cs="仿宋_GB2312"/>
          <w:lang w:val="zh-CN"/>
        </w:rPr>
        <w:t>[2021]</w:t>
      </w:r>
      <w:r>
        <w:rPr>
          <w:rFonts w:hint="eastAsia" w:ascii="仿宋_GB2312" w:hAnsi="仿宋_GB2312" w:eastAsia="仿宋_GB2312" w:cs="仿宋_GB2312"/>
          <w:lang w:val="en-US" w:eastAsia="zh-CN"/>
        </w:rPr>
        <w:t>9号），县财政局审核批复《蓬溪县财政局关于同意购置特种用车的批复》（蓬财发</w:t>
      </w:r>
      <w:r>
        <w:rPr>
          <w:rFonts w:hint="eastAsia" w:ascii="仿宋_GB2312" w:hAnsi="仿宋_GB2312" w:eastAsia="仿宋_GB2312" w:cs="仿宋_GB2312"/>
          <w:lang w:val="zh-CN"/>
        </w:rPr>
        <w:t>[2021]</w:t>
      </w:r>
      <w:r>
        <w:rPr>
          <w:rFonts w:hint="eastAsia" w:ascii="仿宋_GB2312" w:hAnsi="仿宋_GB2312" w:eastAsia="仿宋_GB2312" w:cs="仿宋_GB2312"/>
          <w:lang w:val="en-US" w:eastAsia="zh-CN"/>
        </w:rPr>
        <w:t>70号），通过招投标方式，由四川远眺项目管理公司代理采购，通过竞争性磋商的方式，在湖北合力特种车辆制造有限公司采购</w:t>
      </w:r>
      <w:r>
        <w:rPr>
          <w:rFonts w:hint="eastAsia" w:ascii="仿宋_GB2312" w:hAnsi="仿宋_GB2312" w:eastAsia="仿宋_GB2312" w:cs="仿宋_GB231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黑体" w:hAnsi="黑体" w:eastAsia="黑体" w:cs="黑体"/>
          <w:color w:val="000000" w:themeColor="text1"/>
          <w:lang w:val="zh-CN"/>
          <w14:textFill>
            <w14:solidFill>
              <w14:schemeClr w14:val="tx1"/>
            </w14:solidFill>
          </w14:textFill>
        </w:rPr>
      </w:pPr>
      <w:r>
        <w:rPr>
          <w:rFonts w:hint="eastAsia" w:ascii="黑体" w:hAnsi="黑体" w:eastAsia="黑体" w:cs="黑体"/>
          <w:color w:val="000000" w:themeColor="text1"/>
          <w14:textFill>
            <w14:solidFill>
              <w14:schemeClr w14:val="tx1"/>
            </w14:solidFill>
          </w14:textFill>
        </w:rPr>
        <w:t>三、项目绩效情况</w:t>
      </w:r>
      <w:r>
        <w:rPr>
          <w:rFonts w:hint="eastAsia" w:ascii="黑体" w:hAnsi="黑体" w:eastAsia="黑体" w:cs="黑体"/>
          <w:color w:val="000000" w:themeColor="text1"/>
          <w:lang w:val="zh-CN"/>
          <w14:textFill>
            <w14:solidFill>
              <w14:schemeClr w14:val="tx1"/>
            </w14:solidFill>
          </w14:textFill>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lang w:val="zh-CN"/>
        </w:rPr>
      </w:pPr>
      <w:r>
        <w:rPr>
          <w:rFonts w:hint="eastAsia" w:ascii="楷体_GB2312" w:hAnsi="宋体" w:eastAsia="楷体_GB2312"/>
          <w:b w:val="0"/>
          <w:bCs/>
          <w:lang w:val="zh-CN"/>
        </w:rPr>
        <w:t>（一）项目完成情况。</w:t>
      </w:r>
      <w:r>
        <w:rPr>
          <w:rFonts w:hint="eastAsia" w:ascii="仿宋_GB2312" w:hAnsi="宋体"/>
          <w:lang w:val="en-US" w:eastAsia="zh-CN"/>
        </w:rPr>
        <w:t>2021年蓬溪县殡仪馆特种车辆采购项目于2021年12月底完成，目前车辆已投入使用。该项目成交价为：18.58万元，符合县财政局批复预算价格控制在20万元以内的要求</w:t>
      </w:r>
      <w:r>
        <w:rPr>
          <w:rFonts w:hint="eastAsia" w:ascii="仿宋_GB2312" w:hAnsi="宋体"/>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楷体_GB2312" w:hAnsi="宋体" w:eastAsia="楷体_GB2312"/>
          <w:b/>
          <w:lang w:val="zh-CN"/>
        </w:rPr>
      </w:pPr>
      <w:r>
        <w:rPr>
          <w:rFonts w:hint="eastAsia" w:ascii="楷体_GB2312" w:hAnsi="宋体" w:eastAsia="楷体_GB2312"/>
          <w:b w:val="0"/>
          <w:bCs/>
          <w:lang w:val="zh-CN"/>
        </w:rPr>
        <w:t>（二）项目效益情况。</w:t>
      </w:r>
      <w:r>
        <w:rPr>
          <w:rFonts w:hint="eastAsia" w:ascii="仿宋_GB2312" w:hAnsi="宋体"/>
          <w:lang w:val="en-US" w:eastAsia="zh-CN"/>
        </w:rPr>
        <w:t>殡葬车辆投入使用后，切实解决了殡葬车辆紧缺的困难，有效提高了殡葬服务质量，有利于进一步全面实行火葬，制止乱埋乱葬和优化环境等，是保障群众基本殡葬需求的有效途径，对提高火化率等将起到重要的作用</w:t>
      </w:r>
      <w:r>
        <w:rPr>
          <w:rFonts w:hint="eastAsia" w:ascii="仿宋_GB2312" w:hAnsi="宋体"/>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ascii="黑体" w:hAnsi="宋体" w:eastAsia="黑体"/>
        </w:rPr>
      </w:pPr>
      <w:r>
        <w:rPr>
          <w:rFonts w:hint="eastAsia" w:ascii="黑体" w:hAnsi="宋体" w:eastAsia="黑体"/>
        </w:rPr>
        <w:t>四、问题及建议</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rPr>
          <w:rFonts w:hint="eastAsia" w:ascii="楷体_GB2312" w:hAnsi="楷体_GB2312" w:eastAsia="楷体_GB2312" w:cs="楷体_GB2312"/>
          <w:b/>
          <w:lang w:val="en-US" w:eastAsia="zh-CN"/>
        </w:rPr>
      </w:pPr>
      <w:r>
        <w:rPr>
          <w:rFonts w:hint="eastAsia" w:ascii="楷体_GB2312" w:hAnsi="楷体_GB2312" w:eastAsia="楷体_GB2312" w:cs="楷体_GB2312"/>
          <w:b w:val="0"/>
          <w:bCs/>
          <w:lang w:val="zh-CN"/>
        </w:rPr>
        <w:t>（一）存在的问题。</w:t>
      </w:r>
      <w:r>
        <w:rPr>
          <w:rFonts w:hint="eastAsia" w:ascii="楷体_GB2312" w:hAnsi="楷体_GB2312" w:eastAsia="楷体_GB2312" w:cs="楷体_GB2312"/>
          <w:lang w:val="en-US" w:eastAsia="zh-CN"/>
        </w:rPr>
        <w:t>无。</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textAlignment w:val="auto"/>
      </w:pPr>
      <w:r>
        <w:rPr>
          <w:rFonts w:hint="eastAsia" w:ascii="楷体_GB2312" w:hAnsi="楷体_GB2312" w:eastAsia="楷体_GB2312" w:cs="楷体_GB2312"/>
          <w:b w:val="0"/>
          <w:bCs/>
          <w:lang w:val="zh-CN"/>
        </w:rPr>
        <w:t>（二）相关建议。</w:t>
      </w:r>
      <w:r>
        <w:rPr>
          <w:rFonts w:hint="eastAsia" w:ascii="楷体_GB2312" w:hAnsi="楷体_GB2312" w:eastAsia="楷体_GB2312" w:cs="楷体_GB2312"/>
          <w:lang w:val="en-US" w:eastAsia="zh-CN"/>
        </w:rPr>
        <w:t>无</w:t>
      </w:r>
      <w:r>
        <w:rPr>
          <w:rFonts w:hint="eastAsia" w:ascii="楷体_GB2312" w:hAnsi="楷体_GB2312" w:eastAsia="楷体_GB2312" w:cs="楷体_GB2312"/>
          <w:lang w:val="zh-CN" w:eastAsia="zh-CN"/>
        </w:rPr>
        <w:t>。</w:t>
      </w: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ascii="仿宋_GB2312"/>
        </w:rPr>
      </w:pPr>
    </w:p>
    <w:p>
      <w:pPr>
        <w:rPr>
          <w:rFonts w:hint="eastAsia" w:ascii="仿宋_GB2312"/>
        </w:rPr>
      </w:pPr>
    </w:p>
    <w:p>
      <w:pPr>
        <w:pStyle w:val="2"/>
        <w:rPr>
          <w:rFonts w:hint="eastAsia"/>
        </w:rPr>
      </w:pPr>
    </w:p>
    <w:p>
      <w:pPr>
        <w:pStyle w:val="2"/>
        <w:rPr>
          <w:rFonts w:hint="eastAsia" w:ascii="仿宋_GB2312"/>
        </w:rPr>
      </w:pPr>
    </w:p>
    <w:p>
      <w:pPr>
        <w:pStyle w:val="11"/>
        <w:spacing w:line="560" w:lineRule="exact"/>
        <w:jc w:val="center"/>
        <w:rPr>
          <w:rFonts w:hint="eastAsia" w:ascii="方正小标宋简体" w:hAnsi="宋体" w:eastAsia="方正小标宋简体"/>
          <w:sz w:val="44"/>
          <w:szCs w:val="44"/>
          <w:lang w:eastAsia="zh-CN"/>
        </w:rPr>
      </w:pPr>
      <w:bookmarkStart w:id="0" w:name="_Hlk62477570"/>
      <w:bookmarkStart w:id="1" w:name="_Toc87952513"/>
      <w:r>
        <w:rPr>
          <w:rFonts w:hint="eastAsia" w:ascii="方正小标宋简体" w:hAnsi="宋体" w:eastAsia="方正小标宋简体"/>
          <w:sz w:val="44"/>
          <w:szCs w:val="44"/>
          <w:lang w:val="en-US" w:eastAsia="zh-CN"/>
        </w:rPr>
        <w:t>（孤儿助学工程</w:t>
      </w:r>
      <w:r>
        <w:rPr>
          <w:rFonts w:hint="eastAsia" w:ascii="方正小标宋简体" w:hAnsi="宋体" w:eastAsia="方正小标宋简体"/>
          <w:sz w:val="44"/>
          <w:szCs w:val="44"/>
          <w:lang w:eastAsia="zh-CN"/>
        </w:rPr>
        <w:t>项目）</w:t>
      </w:r>
    </w:p>
    <w:p>
      <w:pPr>
        <w:ind w:firstLine="883" w:firstLineChars="200"/>
        <w:rPr>
          <w:rFonts w:hint="eastAsia" w:ascii="仿宋" w:hAnsi="仿宋" w:eastAsia="仿宋"/>
          <w:b/>
          <w:sz w:val="44"/>
          <w:szCs w:val="44"/>
        </w:rPr>
      </w:pPr>
    </w:p>
    <w:p>
      <w:pPr>
        <w:pStyle w:val="3"/>
        <w:pageBreakBefore w:val="0"/>
        <w:widowControl w:val="0"/>
        <w:numPr>
          <w:ilvl w:val="0"/>
          <w:numId w:val="0"/>
        </w:numPr>
        <w:kinsoku/>
        <w:wordWrap/>
        <w:overflowPunct/>
        <w:topLinePunct w:val="0"/>
        <w:autoSpaceDE/>
        <w:autoSpaceDN/>
        <w:bidi w:val="0"/>
        <w:snapToGrid/>
        <w:spacing w:before="0" w:after="0" w:line="576" w:lineRule="exact"/>
        <w:ind w:firstLine="640" w:firstLineChars="200"/>
        <w:textAlignment w:val="auto"/>
        <w:rPr>
          <w:rFonts w:hint="eastAsia" w:ascii="黑体" w:hAnsi="黑体" w:eastAsia="黑体" w:cs="黑体"/>
        </w:rPr>
      </w:pPr>
      <w:r>
        <w:rPr>
          <w:rFonts w:hint="eastAsia" w:ascii="黑体" w:hAnsi="黑体" w:eastAsia="黑体" w:cs="黑体"/>
          <w:lang w:val="en-US" w:eastAsia="zh-CN"/>
        </w:rPr>
        <w:t>一、</w:t>
      </w:r>
      <w:r>
        <w:rPr>
          <w:rFonts w:hint="eastAsia" w:ascii="黑体" w:hAnsi="黑体" w:eastAsia="黑体" w:cs="黑体"/>
        </w:rPr>
        <w:t>项目基本情况</w:t>
      </w:r>
    </w:p>
    <w:p>
      <w:pPr>
        <w:pStyle w:val="5"/>
        <w:pageBreakBefore w:val="0"/>
        <w:widowControl w:val="0"/>
        <w:numPr>
          <w:ilvl w:val="1"/>
          <w:numId w:val="0"/>
        </w:numPr>
        <w:kinsoku/>
        <w:wordWrap/>
        <w:overflowPunct/>
        <w:topLinePunct w:val="0"/>
        <w:autoSpaceDE/>
        <w:autoSpaceDN/>
        <w:bidi w:val="0"/>
        <w:snapToGrid/>
        <w:spacing w:before="0" w:after="0" w:line="576" w:lineRule="exact"/>
        <w:ind w:firstLine="640" w:firstLineChars="200"/>
        <w:textAlignment w:val="auto"/>
        <w:rPr>
          <w:rFonts w:hint="eastAsia" w:ascii="楷体_GB2312" w:hAnsi="楷体_GB2312" w:eastAsia="楷体_GB2312" w:cs="楷体_GB2312"/>
          <w:b w:val="0"/>
          <w:bCs w:val="0"/>
        </w:rPr>
      </w:pP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lang w:val="en-US" w:eastAsia="zh-CN"/>
        </w:rPr>
        <w:t>一</w:t>
      </w:r>
      <w:r>
        <w:rPr>
          <w:rFonts w:hint="eastAsia" w:ascii="楷体_GB2312" w:hAnsi="楷体_GB2312" w:eastAsia="楷体_GB2312" w:cs="楷体_GB2312"/>
          <w:b w:val="0"/>
          <w:bCs w:val="0"/>
          <w:lang w:eastAsia="zh-CN"/>
        </w:rPr>
        <w:t>）</w:t>
      </w:r>
      <w:r>
        <w:rPr>
          <w:rFonts w:hint="eastAsia" w:ascii="楷体_GB2312" w:hAnsi="楷体_GB2312" w:eastAsia="楷体_GB2312" w:cs="楷体_GB2312"/>
          <w:b w:val="0"/>
          <w:bCs w:val="0"/>
        </w:rPr>
        <w:t>项目概况</w:t>
      </w:r>
    </w:p>
    <w:bookmarkEnd w:id="0"/>
    <w:bookmarkEnd w:id="1"/>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lang w:val="en-US" w:eastAsia="zh-CN"/>
        </w:rPr>
        <w:t>1.</w:t>
      </w:r>
      <w:r>
        <w:rPr>
          <w:rFonts w:hint="eastAsia" w:ascii="仿宋_GB2312" w:hAnsi="仿宋_GB2312" w:eastAsia="仿宋_GB2312" w:cs="仿宋_GB2312"/>
        </w:rPr>
        <w:t>项目立项背景及目的。</w:t>
      </w:r>
      <w:r>
        <w:rPr>
          <w:rFonts w:hint="eastAsia" w:ascii="仿宋_GB2312" w:hAnsi="仿宋_GB2312" w:eastAsia="仿宋_GB2312" w:cs="仿宋_GB2312"/>
          <w:kern w:val="0"/>
          <w:sz w:val="32"/>
          <w:szCs w:val="28"/>
          <w:lang w:val="en-US" w:eastAsia="zh-CN" w:bidi="ar-SA"/>
        </w:rPr>
        <w:t>依据民政部办公厅《“福彩圆梦.孤儿助学工程”项目实施暂行办法》、《四川省民政厅办公室关于做好“福彩圆梦.孤儿助学工程”工作的通知》等，对年满18周岁考入全日制本科院校、普通全日制专科院校、高等职业院校等高等院校及在中等职业学校等就读的中专、大专、本科和硕士的孤儿每年提供1万元助学金，直至毕业。</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kern w:val="0"/>
          <w:sz w:val="32"/>
          <w:szCs w:val="28"/>
          <w:lang w:val="en-US" w:eastAsia="zh-CN" w:bidi="ar-SA"/>
        </w:rPr>
      </w:pPr>
      <w:r>
        <w:rPr>
          <w:rFonts w:hint="eastAsia" w:ascii="仿宋_GB2312" w:hAnsi="仿宋_GB2312" w:eastAsia="仿宋_GB2312" w:cs="仿宋_GB2312"/>
          <w:kern w:val="0"/>
          <w:sz w:val="32"/>
          <w:szCs w:val="28"/>
          <w:lang w:val="en-US" w:eastAsia="zh-CN" w:bidi="ar-SA"/>
        </w:rPr>
        <w:t>2.预算资金来源及使用情况。资金来源于2021年福彩公益金中央福彩公益金，用于孤儿助学37万元。</w:t>
      </w:r>
    </w:p>
    <w:p>
      <w:pPr>
        <w:pStyle w:val="2"/>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楷体_GB2312" w:hAnsi="楷体_GB2312" w:eastAsia="楷体_GB2312" w:cs="楷体_GB2312"/>
        </w:rPr>
      </w:pPr>
      <w:r>
        <w:rPr>
          <w:rFonts w:hint="eastAsia" w:ascii="仿宋_GB2312" w:hAnsi="仿宋_GB2312" w:eastAsia="仿宋_GB2312" w:cs="仿宋_GB2312"/>
          <w:kern w:val="0"/>
          <w:sz w:val="32"/>
          <w:szCs w:val="28"/>
          <w:lang w:val="en-US" w:eastAsia="zh-CN" w:bidi="ar-SA"/>
        </w:rPr>
        <w:t>3.项目完成情况。本项目已全面完成。2021年，为37名符合“福彩圆梦.孤儿助学工程”条件的孤儿，按照每人每年1万元标准，按季度打卡发放助学金37万元，资金发放率100%。</w:t>
      </w:r>
      <w:r>
        <w:rPr>
          <w:rFonts w:hint="eastAsia" w:ascii="楷体_GB2312" w:hAnsi="楷体_GB2312" w:eastAsia="楷体_GB2312" w:cs="楷体_GB2312"/>
          <w:lang w:eastAsia="zh-CN"/>
        </w:rPr>
        <w:t>（</w:t>
      </w:r>
      <w:r>
        <w:rPr>
          <w:rFonts w:hint="eastAsia" w:ascii="楷体_GB2312" w:hAnsi="楷体_GB2312" w:eastAsia="楷体_GB2312" w:cs="楷体_GB2312"/>
          <w:lang w:val="en-US" w:eastAsia="zh-CN"/>
        </w:rPr>
        <w:t>二</w:t>
      </w:r>
      <w:r>
        <w:rPr>
          <w:rFonts w:hint="eastAsia" w:ascii="楷体_GB2312" w:hAnsi="楷体_GB2312" w:eastAsia="楷体_GB2312" w:cs="楷体_GB2312"/>
          <w:lang w:eastAsia="zh-CN"/>
        </w:rPr>
        <w:t>）</w:t>
      </w:r>
      <w:r>
        <w:rPr>
          <w:rFonts w:hint="eastAsia" w:ascii="楷体_GB2312" w:hAnsi="楷体_GB2312" w:eastAsia="楷体_GB2312" w:cs="楷体_GB2312"/>
        </w:rPr>
        <w:t>项目政策目标、年度绩效目标简述</w:t>
      </w:r>
    </w:p>
    <w:p>
      <w:pPr>
        <w:pStyle w:val="6"/>
        <w:pageBreakBefore w:val="0"/>
        <w:widowControl w:val="0"/>
        <w:numPr>
          <w:ilvl w:val="2"/>
          <w:numId w:val="0"/>
        </w:numPr>
        <w:kinsoku/>
        <w:wordWrap/>
        <w:overflowPunct/>
        <w:topLinePunct w:val="0"/>
        <w:autoSpaceDE/>
        <w:autoSpaceDN/>
        <w:bidi w:val="0"/>
        <w:snapToGrid/>
        <w:spacing w:before="0" w:after="0" w:line="576"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1.</w:t>
      </w:r>
      <w:r>
        <w:rPr>
          <w:rFonts w:hint="eastAsia" w:ascii="仿宋_GB2312" w:hAnsi="仿宋_GB2312" w:eastAsia="仿宋_GB2312" w:cs="仿宋_GB2312"/>
          <w:b w:val="0"/>
          <w:bCs w:val="0"/>
        </w:rPr>
        <w:t>项目总目标</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绩效目标情况:按照福利彩票“扶老、助残、救孤、济困”的发行宗旨，2021年安排下达的福彩公益金主要用于“福彩圆梦.孤儿助学”工程。</w:t>
      </w:r>
    </w:p>
    <w:p>
      <w:pPr>
        <w:pStyle w:val="6"/>
        <w:pageBreakBefore w:val="0"/>
        <w:widowControl w:val="0"/>
        <w:numPr>
          <w:ilvl w:val="2"/>
          <w:numId w:val="0"/>
        </w:numPr>
        <w:kinsoku/>
        <w:wordWrap/>
        <w:overflowPunct/>
        <w:topLinePunct w:val="0"/>
        <w:autoSpaceDE/>
        <w:autoSpaceDN/>
        <w:bidi w:val="0"/>
        <w:snapToGrid/>
        <w:spacing w:before="0" w:after="0" w:line="576" w:lineRule="exact"/>
        <w:ind w:firstLine="640" w:firstLineChars="200"/>
        <w:textAlignment w:val="auto"/>
        <w:rPr>
          <w:rFonts w:hint="eastAsia" w:ascii="仿宋_GB2312" w:hAnsi="仿宋_GB2312" w:eastAsia="仿宋_GB2312" w:cs="仿宋_GB2312"/>
          <w:b w:val="0"/>
          <w:bCs w:val="0"/>
        </w:rPr>
      </w:pPr>
      <w:r>
        <w:rPr>
          <w:rFonts w:hint="eastAsia" w:ascii="仿宋_GB2312" w:hAnsi="仿宋_GB2312" w:eastAsia="仿宋_GB2312" w:cs="仿宋_GB2312"/>
          <w:b w:val="0"/>
          <w:bCs w:val="0"/>
          <w:lang w:val="en-US" w:eastAsia="zh-CN"/>
        </w:rPr>
        <w:t>2.</w:t>
      </w:r>
      <w:r>
        <w:rPr>
          <w:rFonts w:hint="eastAsia" w:ascii="仿宋_GB2312" w:hAnsi="仿宋_GB2312" w:eastAsia="仿宋_GB2312" w:cs="仿宋_GB2312"/>
          <w:b w:val="0"/>
          <w:bCs w:val="0"/>
        </w:rPr>
        <w:t>年度绩效目标</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2021年我县对在册孤儿中符合申请福彩圆梦的</w:t>
      </w:r>
      <w:r>
        <w:rPr>
          <w:rFonts w:hint="eastAsia" w:ascii="仿宋_GB2312" w:hAnsi="仿宋_GB2312" w:eastAsia="仿宋_GB2312" w:cs="仿宋_GB2312"/>
          <w:b w:val="0"/>
          <w:bCs w:val="0"/>
          <w:lang w:val="en-US" w:eastAsia="zh-CN"/>
        </w:rPr>
        <w:t>37</w:t>
      </w:r>
      <w:r>
        <w:rPr>
          <w:rFonts w:hint="eastAsia" w:ascii="仿宋_GB2312" w:hAnsi="仿宋_GB2312" w:eastAsia="仿宋_GB2312" w:cs="仿宋_GB2312"/>
          <w:b w:val="0"/>
          <w:bCs w:val="0"/>
        </w:rPr>
        <w:t>名孤儿，全部纳入孤儿助学工程，做到了应保尽保，</w:t>
      </w:r>
      <w:r>
        <w:rPr>
          <w:rFonts w:hint="eastAsia" w:ascii="仿宋_GB2312" w:hAnsi="仿宋_GB2312" w:eastAsia="仿宋_GB2312" w:cs="仿宋_GB2312"/>
          <w:b w:val="0"/>
          <w:bCs w:val="0"/>
          <w:lang w:val="en-US" w:eastAsia="zh-CN"/>
        </w:rPr>
        <w:t>孤儿助学工程资金发放100%。</w:t>
      </w:r>
    </w:p>
    <w:p>
      <w:pPr>
        <w:pageBreakBefore w:val="0"/>
        <w:widowControl w:val="0"/>
        <w:kinsoku/>
        <w:wordWrap/>
        <w:overflowPunct/>
        <w:topLinePunct w:val="0"/>
        <w:autoSpaceDE/>
        <w:autoSpaceDN/>
        <w:bidi w:val="0"/>
        <w:snapToGrid/>
        <w:spacing w:line="576" w:lineRule="exact"/>
        <w:ind w:firstLine="640" w:firstLineChars="200"/>
        <w:textAlignment w:val="auto"/>
        <w:rPr>
          <w:rFonts w:hint="eastAsia" w:ascii="黑体" w:hAnsi="黑体" w:eastAsia="黑体" w:cs="黑体"/>
          <w:szCs w:val="32"/>
        </w:rPr>
      </w:pPr>
      <w:r>
        <w:rPr>
          <w:rFonts w:hint="eastAsia" w:ascii="黑体" w:hAnsi="黑体" w:eastAsia="黑体" w:cs="黑体"/>
          <w:szCs w:val="32"/>
        </w:rPr>
        <w:t>二、评价工作开展情况</w:t>
      </w:r>
    </w:p>
    <w:p>
      <w:pPr>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2022年县民政局</w:t>
      </w:r>
      <w:r>
        <w:rPr>
          <w:rFonts w:hint="eastAsia" w:ascii="仿宋_GB2312" w:hAnsi="仿宋_GB2312" w:eastAsia="仿宋_GB2312" w:cs="仿宋_GB2312"/>
          <w:szCs w:val="32"/>
          <w:lang w:val="en-US" w:eastAsia="zh-CN"/>
        </w:rPr>
        <w:t>未保股</w:t>
      </w:r>
      <w:r>
        <w:rPr>
          <w:rFonts w:hint="eastAsia" w:ascii="仿宋_GB2312" w:hAnsi="仿宋_GB2312" w:eastAsia="仿宋_GB2312" w:cs="仿宋_GB2312"/>
          <w:szCs w:val="32"/>
        </w:rPr>
        <w:t>、财务股抽派专门的工作人员组成了2021年部门预算项目支出绩效评价工作组，对</w:t>
      </w:r>
      <w:r>
        <w:rPr>
          <w:rFonts w:hint="eastAsia" w:ascii="仿宋_GB2312" w:hAnsi="仿宋_GB2312" w:eastAsia="仿宋_GB2312" w:cs="仿宋_GB2312"/>
          <w:szCs w:val="32"/>
          <w:lang w:val="en-US" w:eastAsia="zh-CN"/>
        </w:rPr>
        <w:t>孤儿助学工程的</w:t>
      </w:r>
      <w:r>
        <w:rPr>
          <w:rFonts w:hint="eastAsia" w:ascii="仿宋_GB2312" w:hAnsi="仿宋_GB2312" w:eastAsia="仿宋_GB2312" w:cs="仿宋_GB2312"/>
          <w:szCs w:val="32"/>
        </w:rPr>
        <w:t>项目决策、项目管理、项目绩效等内容进行了自评。</w:t>
      </w:r>
    </w:p>
    <w:p>
      <w:pPr>
        <w:pageBreakBefore w:val="0"/>
        <w:widowControl w:val="0"/>
        <w:kinsoku/>
        <w:wordWrap/>
        <w:overflowPunct/>
        <w:topLinePunct w:val="0"/>
        <w:autoSpaceDE/>
        <w:autoSpaceDN/>
        <w:bidi w:val="0"/>
        <w:snapToGrid/>
        <w:spacing w:line="576" w:lineRule="exact"/>
        <w:ind w:firstLine="640" w:firstLineChars="200"/>
        <w:textAlignment w:val="auto"/>
        <w:rPr>
          <w:rFonts w:ascii="黑体" w:hAnsi="黑体" w:eastAsia="黑体"/>
          <w:szCs w:val="32"/>
        </w:rPr>
      </w:pPr>
      <w:r>
        <w:rPr>
          <w:rFonts w:hint="eastAsia" w:ascii="黑体" w:hAnsi="黑体" w:eastAsia="黑体"/>
          <w:szCs w:val="32"/>
        </w:rPr>
        <w:t>三</w:t>
      </w:r>
      <w:r>
        <w:rPr>
          <w:rFonts w:ascii="黑体" w:hAnsi="黑体" w:eastAsia="黑体"/>
          <w:szCs w:val="32"/>
        </w:rPr>
        <w:t>、</w:t>
      </w:r>
      <w:r>
        <w:rPr>
          <w:rFonts w:hint="eastAsia" w:ascii="黑体" w:hAnsi="黑体" w:eastAsia="黑体"/>
          <w:szCs w:val="32"/>
        </w:rPr>
        <w:t>综合评价结论</w:t>
      </w:r>
    </w:p>
    <w:p>
      <w:pPr>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项目绩效评价总体结论：对符合条件的</w:t>
      </w:r>
      <w:r>
        <w:rPr>
          <w:rFonts w:hint="eastAsia" w:ascii="仿宋_GB2312" w:hAnsi="仿宋_GB2312" w:eastAsia="仿宋_GB2312" w:cs="仿宋_GB2312"/>
          <w:szCs w:val="32"/>
          <w:lang w:val="en-US" w:eastAsia="zh-CN"/>
        </w:rPr>
        <w:t>孤儿实施孤儿助学工程救助</w:t>
      </w:r>
      <w:r>
        <w:rPr>
          <w:rFonts w:hint="eastAsia" w:ascii="仿宋_GB2312" w:hAnsi="仿宋_GB2312" w:eastAsia="仿宋_GB2312" w:cs="仿宋_GB2312"/>
          <w:szCs w:val="32"/>
        </w:rPr>
        <w:t>；资金管理使用规范，及时足额打卡发放。 </w:t>
      </w:r>
      <w:r>
        <w:rPr>
          <w:rFonts w:hint="eastAsia" w:ascii="仿宋_GB2312" w:hAnsi="仿宋_GB2312" w:eastAsia="仿宋_GB2312" w:cs="仿宋_GB2312"/>
          <w:szCs w:val="32"/>
          <w:lang w:val="en-US" w:eastAsia="zh-CN"/>
        </w:rPr>
        <w:t>经调查，接受孤儿助学项目资助的孤儿满意度100%。</w:t>
      </w:r>
    </w:p>
    <w:p>
      <w:pPr>
        <w:pageBreakBefore w:val="0"/>
        <w:widowControl w:val="0"/>
        <w:kinsoku/>
        <w:wordWrap/>
        <w:overflowPunct/>
        <w:topLinePunct w:val="0"/>
        <w:autoSpaceDE/>
        <w:autoSpaceDN/>
        <w:bidi w:val="0"/>
        <w:snapToGrid/>
        <w:spacing w:line="576" w:lineRule="exact"/>
        <w:ind w:firstLine="640" w:firstLineChars="200"/>
        <w:textAlignment w:val="auto"/>
        <w:rPr>
          <w:rFonts w:ascii="黑体" w:hAnsi="黑体" w:eastAsia="黑体"/>
          <w:szCs w:val="32"/>
        </w:rPr>
      </w:pPr>
      <w:r>
        <w:rPr>
          <w:rFonts w:hint="eastAsia" w:ascii="黑体" w:hAnsi="黑体" w:eastAsia="黑体"/>
          <w:szCs w:val="32"/>
        </w:rPr>
        <w:t>四、绩效评价分析</w:t>
      </w:r>
    </w:p>
    <w:p>
      <w:pPr>
        <w:pageBreakBefore w:val="0"/>
        <w:widowControl w:val="0"/>
        <w:kinsoku/>
        <w:wordWrap/>
        <w:overflowPunct/>
        <w:topLinePunct w:val="0"/>
        <w:autoSpaceDE/>
        <w:autoSpaceDN/>
        <w:bidi w:val="0"/>
        <w:snapToGrid/>
        <w:spacing w:line="576" w:lineRule="exact"/>
        <w:ind w:firstLine="640" w:firstLineChars="200"/>
        <w:textAlignment w:val="auto"/>
        <w:rPr>
          <w:rFonts w:hint="eastAsia" w:ascii="楷体_GB2312" w:hAnsi="楷体_GB2312" w:eastAsia="楷体_GB2312" w:cs="楷体_GB2312"/>
          <w:szCs w:val="32"/>
        </w:rPr>
      </w:pP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lang w:val="en-US" w:eastAsia="zh-CN"/>
        </w:rPr>
        <w:t>一</w:t>
      </w:r>
      <w:r>
        <w:rPr>
          <w:rFonts w:hint="eastAsia" w:ascii="楷体_GB2312" w:hAnsi="楷体_GB2312" w:eastAsia="楷体_GB2312" w:cs="楷体_GB2312"/>
          <w:szCs w:val="32"/>
          <w:lang w:eastAsia="zh-CN"/>
        </w:rPr>
        <w:t>）</w:t>
      </w:r>
      <w:r>
        <w:rPr>
          <w:rFonts w:hint="eastAsia" w:ascii="楷体_GB2312" w:hAnsi="楷体_GB2312" w:eastAsia="楷体_GB2312" w:cs="楷体_GB2312"/>
          <w:szCs w:val="32"/>
        </w:rPr>
        <w:t>项目决策</w:t>
      </w:r>
    </w:p>
    <w:p>
      <w:pPr>
        <w:pStyle w:val="4"/>
        <w:pageBreakBefore w:val="0"/>
        <w:widowControl w:val="0"/>
        <w:kinsoku/>
        <w:wordWrap/>
        <w:overflowPunct/>
        <w:topLinePunct w:val="0"/>
        <w:autoSpaceDE/>
        <w:autoSpaceDN/>
        <w:bidi w:val="0"/>
        <w:snapToGrid/>
        <w:spacing w:line="576" w:lineRule="exact"/>
        <w:ind w:left="0" w:leftChars="0"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lang w:val="en-US" w:eastAsia="zh-CN"/>
        </w:rPr>
        <w:t>1.</w:t>
      </w:r>
      <w:r>
        <w:rPr>
          <w:rFonts w:hint="eastAsia" w:ascii="仿宋_GB2312" w:hAnsi="仿宋_GB2312" w:eastAsia="仿宋_GB2312" w:cs="仿宋_GB2312"/>
          <w:lang w:val="en-US"/>
        </w:rPr>
        <w:t>程序严密性</w:t>
      </w:r>
      <w:r>
        <w:rPr>
          <w:rFonts w:hint="eastAsia" w:ascii="仿宋_GB2312" w:hAnsi="仿宋_GB2312" w:eastAsia="仿宋_GB2312" w:cs="仿宋_GB2312"/>
          <w:lang w:val="en-US" w:eastAsia="zh-CN"/>
        </w:rPr>
        <w:t>。“福彩圆梦·孤儿助学工程”按照按照申请、审核、审批程序，将符合条件的孤儿纳入助学救助，按照季度打卡发放助学资金。项目资金</w:t>
      </w:r>
      <w:r>
        <w:rPr>
          <w:rFonts w:hint="eastAsia" w:ascii="仿宋_GB2312" w:hAnsi="仿宋_GB2312" w:eastAsia="仿宋_GB2312" w:cs="仿宋_GB2312"/>
          <w:lang w:val="en-US"/>
        </w:rPr>
        <w:t>规划合理</w:t>
      </w:r>
      <w:r>
        <w:rPr>
          <w:rFonts w:hint="eastAsia" w:ascii="仿宋_GB2312" w:hAnsi="仿宋_GB2312" w:eastAsia="仿宋_GB2312" w:cs="仿宋_GB2312"/>
          <w:lang w:val="en-US" w:eastAsia="zh-CN"/>
        </w:rPr>
        <w:t>，</w:t>
      </w:r>
      <w:r>
        <w:rPr>
          <w:rFonts w:hint="eastAsia" w:ascii="仿宋_GB2312" w:hAnsi="仿宋_GB2312" w:eastAsia="仿宋_GB2312" w:cs="仿宋_GB2312"/>
          <w:lang w:val="en-US"/>
        </w:rPr>
        <w:t>制度完备</w:t>
      </w:r>
      <w:r>
        <w:rPr>
          <w:rFonts w:hint="eastAsia" w:ascii="仿宋_GB2312" w:hAnsi="仿宋_GB2312" w:eastAsia="仿宋_GB2312" w:cs="仿宋_GB2312"/>
          <w:lang w:val="en-US" w:eastAsia="zh-CN"/>
        </w:rPr>
        <w:t>。</w:t>
      </w:r>
    </w:p>
    <w:p>
      <w:pPr>
        <w:pageBreakBefore w:val="0"/>
        <w:widowControl w:val="0"/>
        <w:kinsoku/>
        <w:wordWrap/>
        <w:overflowPunct/>
        <w:topLinePunct w:val="0"/>
        <w:autoSpaceDE/>
        <w:autoSpaceDN/>
        <w:bidi w:val="0"/>
        <w:snapToGrid/>
        <w:spacing w:line="576" w:lineRule="exact"/>
        <w:ind w:firstLine="640" w:firstLineChars="200"/>
        <w:jc w:val="both"/>
        <w:textAlignment w:val="auto"/>
        <w:rPr>
          <w:rFonts w:hint="eastAsia" w:ascii="仿宋_GB2312" w:hAnsi="仿宋_GB2312" w:eastAsia="仿宋_GB2312" w:cs="仿宋_GB2312"/>
          <w:color w:val="auto"/>
          <w:szCs w:val="32"/>
          <w:highlight w:val="none"/>
          <w:lang w:eastAsia="zh-CN"/>
        </w:rPr>
      </w:pPr>
      <w:r>
        <w:rPr>
          <w:rFonts w:hint="eastAsia" w:ascii="仿宋_GB2312" w:hAnsi="仿宋_GB2312" w:eastAsia="仿宋_GB2312" w:cs="仿宋_GB2312"/>
          <w:szCs w:val="32"/>
        </w:rPr>
        <w:t>2</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项目管理</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2021年中央下达福彩公益金</w:t>
      </w:r>
      <w:r>
        <w:rPr>
          <w:rFonts w:hint="eastAsia" w:ascii="仿宋_GB2312" w:hAnsi="仿宋_GB2312" w:eastAsia="仿宋_GB2312" w:cs="仿宋_GB2312"/>
          <w:szCs w:val="32"/>
          <w:lang w:eastAsia="zh-CN"/>
        </w:rPr>
        <w:t>，用于孤儿助学工程</w:t>
      </w:r>
      <w:r>
        <w:rPr>
          <w:rFonts w:hint="eastAsia" w:ascii="仿宋_GB2312" w:hAnsi="仿宋_GB2312" w:eastAsia="仿宋_GB2312" w:cs="仿宋_GB2312"/>
          <w:color w:val="auto"/>
          <w:szCs w:val="32"/>
          <w:highlight w:val="none"/>
          <w:lang w:val="en-US" w:eastAsia="zh-CN"/>
        </w:rPr>
        <w:t>37</w:t>
      </w:r>
      <w:r>
        <w:rPr>
          <w:rFonts w:hint="eastAsia" w:ascii="仿宋_GB2312" w:hAnsi="仿宋_GB2312" w:eastAsia="仿宋_GB2312" w:cs="仿宋_GB2312"/>
          <w:color w:val="auto"/>
          <w:szCs w:val="32"/>
          <w:highlight w:val="none"/>
        </w:rPr>
        <w:t>万元</w:t>
      </w:r>
      <w:r>
        <w:rPr>
          <w:rFonts w:hint="eastAsia" w:ascii="仿宋_GB2312" w:hAnsi="仿宋_GB2312" w:eastAsia="仿宋_GB2312" w:cs="仿宋_GB2312"/>
          <w:color w:val="auto"/>
          <w:szCs w:val="32"/>
          <w:highlight w:val="none"/>
          <w:lang w:eastAsia="zh-CN"/>
        </w:rPr>
        <w:t>。</w:t>
      </w:r>
    </w:p>
    <w:p>
      <w:pPr>
        <w:pageBreakBefore w:val="0"/>
        <w:widowControl w:val="0"/>
        <w:kinsoku/>
        <w:wordWrap/>
        <w:overflowPunct/>
        <w:topLinePunct w:val="0"/>
        <w:autoSpaceDE/>
        <w:autoSpaceDN/>
        <w:bidi w:val="0"/>
        <w:snapToGrid/>
        <w:spacing w:line="576" w:lineRule="exact"/>
        <w:ind w:firstLine="640" w:firstLineChars="200"/>
        <w:jc w:val="both"/>
        <w:textAlignment w:val="auto"/>
        <w:rPr>
          <w:rFonts w:hint="eastAsia" w:ascii="仿宋_GB2312" w:hAnsi="仿宋_GB2312" w:eastAsia="仿宋_GB2312" w:cs="仿宋_GB2312"/>
          <w:szCs w:val="32"/>
          <w:lang w:eastAsia="zh-CN"/>
        </w:rPr>
      </w:pPr>
      <w:r>
        <w:rPr>
          <w:rFonts w:hint="eastAsia" w:ascii="仿宋_GB2312" w:hAnsi="仿宋_GB2312" w:eastAsia="仿宋_GB2312" w:cs="仿宋_GB2312"/>
          <w:szCs w:val="32"/>
        </w:rPr>
        <w:t>3</w:t>
      </w:r>
      <w:r>
        <w:rPr>
          <w:rFonts w:hint="eastAsia" w:ascii="仿宋_GB2312" w:hAnsi="仿宋_GB2312" w:eastAsia="仿宋_GB2312" w:cs="仿宋_GB2312"/>
          <w:szCs w:val="32"/>
          <w:lang w:val="en-US" w:eastAsia="zh-CN"/>
        </w:rPr>
        <w:t>.</w:t>
      </w:r>
      <w:r>
        <w:rPr>
          <w:rFonts w:hint="eastAsia" w:ascii="仿宋_GB2312" w:hAnsi="仿宋_GB2312" w:eastAsia="仿宋_GB2312" w:cs="仿宋_GB2312"/>
          <w:szCs w:val="32"/>
        </w:rPr>
        <w:t>项目绩效</w:t>
      </w:r>
      <w:r>
        <w:rPr>
          <w:rFonts w:hint="eastAsia" w:ascii="仿宋_GB2312" w:hAnsi="仿宋_GB2312" w:eastAsia="仿宋_GB2312" w:cs="仿宋_GB2312"/>
          <w:szCs w:val="32"/>
          <w:lang w:eastAsia="zh-CN"/>
        </w:rPr>
        <w:t>。</w:t>
      </w:r>
      <w:r>
        <w:rPr>
          <w:rFonts w:hint="eastAsia" w:ascii="仿宋_GB2312" w:hAnsi="仿宋_GB2312" w:eastAsia="仿宋_GB2312" w:cs="仿宋_GB2312"/>
          <w:szCs w:val="32"/>
        </w:rPr>
        <w:t>项目资金实行专款专用，专人负责管理，项目建设公开透明，做到了项目资金使用效率最大化。带动儿童福利事业发展，解决了家庭条件较困难的孤儿大学生上大学的问题，提高了社会对政府的认同感，促进社会稳定</w:t>
      </w:r>
      <w:r>
        <w:rPr>
          <w:rFonts w:hint="eastAsia" w:ascii="仿宋_GB2312" w:hAnsi="仿宋_GB2312" w:eastAsia="仿宋_GB2312" w:cs="仿宋_GB2312"/>
          <w:szCs w:val="32"/>
          <w:lang w:eastAsia="zh-CN"/>
        </w:rPr>
        <w:t>。</w:t>
      </w:r>
    </w:p>
    <w:p>
      <w:pPr>
        <w:pStyle w:val="3"/>
        <w:pageBreakBefore w:val="0"/>
        <w:widowControl w:val="0"/>
        <w:numPr>
          <w:ilvl w:val="0"/>
          <w:numId w:val="0"/>
        </w:numPr>
        <w:kinsoku/>
        <w:wordWrap/>
        <w:overflowPunct/>
        <w:topLinePunct w:val="0"/>
        <w:autoSpaceDE/>
        <w:autoSpaceDN/>
        <w:bidi w:val="0"/>
        <w:snapToGrid/>
        <w:spacing w:before="0" w:after="0" w:line="576" w:lineRule="exact"/>
        <w:ind w:firstLine="640" w:firstLineChars="200"/>
        <w:textAlignment w:val="auto"/>
        <w:rPr>
          <w:rFonts w:ascii="Times New Roman" w:hAnsi="Times New Roman"/>
        </w:rPr>
      </w:pPr>
      <w:r>
        <w:rPr>
          <w:rFonts w:hint="eastAsia" w:ascii="黑体" w:hAnsi="黑体" w:eastAsia="黑体"/>
          <w:szCs w:val="32"/>
        </w:rPr>
        <w:t>五、</w:t>
      </w:r>
      <w:r>
        <w:rPr>
          <w:rFonts w:ascii="Times New Roman" w:hAnsi="Times New Roman"/>
        </w:rPr>
        <w:t>相关</w:t>
      </w:r>
      <w:r>
        <w:rPr>
          <w:rFonts w:hint="eastAsia" w:ascii="Times New Roman" w:hAnsi="Times New Roman"/>
        </w:rPr>
        <w:t>改进</w:t>
      </w:r>
      <w:r>
        <w:rPr>
          <w:rFonts w:ascii="Times New Roman" w:hAnsi="Times New Roman"/>
        </w:rPr>
        <w:t>措施</w:t>
      </w:r>
    </w:p>
    <w:p>
      <w:pPr>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_GB2312" w:hAnsi="仿宋_GB2312" w:eastAsia="仿宋_GB2312" w:cs="仿宋_GB2312"/>
          <w:szCs w:val="32"/>
        </w:rPr>
      </w:pPr>
      <w:r>
        <w:rPr>
          <w:rFonts w:hint="eastAsia" w:ascii="仿宋_GB2312" w:hAnsi="仿宋_GB2312" w:eastAsia="仿宋_GB2312" w:cs="仿宋_GB2312"/>
          <w:szCs w:val="32"/>
        </w:rPr>
        <w:t>一是继续做好孤儿助学项目，完善工作指引，统一申请材料，严格落实受助孤儿一人一档，实行申请材料档案电子化，对纳入“助学工程”的孤儿信息进行动态管理，全力助力孤儿完成求学梦。二是将继续加强资金管理，提高资金使用率，确保“福彩圆梦·孤儿助学工程”项目发挥实际作用效益。</w:t>
      </w:r>
      <w:r>
        <w:rPr>
          <w:rFonts w:hint="eastAsia" w:ascii="仿宋_GB2312" w:hAnsi="仿宋_GB2312" w:eastAsia="仿宋_GB2312" w:cs="仿宋_GB2312"/>
          <w:szCs w:val="32"/>
          <w:lang w:val="en-US" w:eastAsia="zh-CN"/>
        </w:rPr>
        <w:t>三是</w:t>
      </w:r>
      <w:r>
        <w:rPr>
          <w:rFonts w:hint="eastAsia" w:ascii="仿宋_GB2312" w:hAnsi="仿宋_GB2312" w:eastAsia="仿宋_GB2312" w:cs="仿宋_GB2312"/>
          <w:szCs w:val="32"/>
        </w:rPr>
        <w:t>继续深入开展政策宣传，发挥儿童督导员、儿童主任作用，利用家庭巡访等时机，把政策宣传到位，确保孤儿及其监护人对</w:t>
      </w:r>
      <w:r>
        <w:rPr>
          <w:rFonts w:hint="eastAsia" w:ascii="仿宋_GB2312" w:hAnsi="仿宋_GB2312" w:eastAsia="仿宋_GB2312" w:cs="仿宋_GB2312"/>
          <w:szCs w:val="32"/>
          <w:lang w:val="en-US" w:eastAsia="zh-CN"/>
        </w:rPr>
        <w:t>孤儿助学工程</w:t>
      </w:r>
      <w:r>
        <w:rPr>
          <w:rFonts w:hint="eastAsia" w:ascii="仿宋_GB2312" w:hAnsi="仿宋_GB2312" w:eastAsia="仿宋_GB2312" w:cs="仿宋_GB2312"/>
          <w:szCs w:val="32"/>
        </w:rPr>
        <w:t>熟知率达到100%。</w:t>
      </w:r>
    </w:p>
    <w:p>
      <w:pPr>
        <w:pageBreakBefore w:val="0"/>
        <w:widowControl w:val="0"/>
        <w:kinsoku/>
        <w:wordWrap/>
        <w:overflowPunct/>
        <w:topLinePunct w:val="0"/>
        <w:autoSpaceDE/>
        <w:autoSpaceDN/>
        <w:bidi w:val="0"/>
        <w:snapToGrid/>
        <w:spacing w:line="576" w:lineRule="exact"/>
        <w:ind w:firstLine="640" w:firstLineChars="200"/>
        <w:textAlignment w:val="auto"/>
        <w:rPr>
          <w:rFonts w:ascii="仿宋" w:hAnsi="仿宋" w:eastAsia="仿宋"/>
          <w:szCs w:val="32"/>
        </w:rPr>
      </w:pPr>
    </w:p>
    <w:p>
      <w:pPr>
        <w:pageBreakBefore w:val="0"/>
        <w:widowControl w:val="0"/>
        <w:kinsoku/>
        <w:wordWrap/>
        <w:overflowPunct/>
        <w:topLinePunct w:val="0"/>
        <w:autoSpaceDE/>
        <w:autoSpaceDN/>
        <w:bidi w:val="0"/>
        <w:snapToGrid/>
        <w:spacing w:line="576" w:lineRule="exact"/>
        <w:ind w:firstLine="640" w:firstLineChars="200"/>
        <w:textAlignment w:val="auto"/>
        <w:rPr>
          <w:rFonts w:hint="eastAsia" w:ascii="仿宋" w:hAnsi="仿宋" w:eastAsia="仿宋"/>
          <w:szCs w:val="32"/>
        </w:rPr>
      </w:pPr>
    </w:p>
    <w:p>
      <w:pPr>
        <w:pageBreakBefore w:val="0"/>
        <w:widowControl w:val="0"/>
        <w:kinsoku/>
        <w:wordWrap/>
        <w:overflowPunct/>
        <w:topLinePunct w:val="0"/>
        <w:autoSpaceDE/>
        <w:autoSpaceDN/>
        <w:bidi w:val="0"/>
        <w:spacing w:line="570" w:lineRule="exact"/>
        <w:ind w:firstLine="640" w:firstLineChars="200"/>
        <w:jc w:val="right"/>
        <w:textAlignment w:val="auto"/>
        <w:rPr>
          <w:rFonts w:hint="eastAsia" w:ascii="仿宋" w:hAnsi="仿宋" w:eastAsia="仿宋"/>
          <w:szCs w:val="32"/>
        </w:rPr>
      </w:pPr>
    </w:p>
    <w:p>
      <w:pPr>
        <w:pageBreakBefore w:val="0"/>
        <w:widowControl w:val="0"/>
        <w:kinsoku/>
        <w:wordWrap/>
        <w:overflowPunct/>
        <w:topLinePunct w:val="0"/>
        <w:autoSpaceDE/>
        <w:autoSpaceDN/>
        <w:bidi w:val="0"/>
        <w:spacing w:line="570" w:lineRule="exact"/>
        <w:ind w:firstLine="640" w:firstLineChars="200"/>
        <w:jc w:val="right"/>
        <w:textAlignment w:val="auto"/>
        <w:rPr>
          <w:rFonts w:hint="eastAsia" w:ascii="仿宋" w:hAnsi="仿宋" w:eastAsia="仿宋"/>
          <w:szCs w:val="32"/>
        </w:rPr>
      </w:pPr>
    </w:p>
    <w:p>
      <w:pPr>
        <w:pageBreakBefore w:val="0"/>
        <w:widowControl w:val="0"/>
        <w:kinsoku/>
        <w:wordWrap/>
        <w:overflowPunct/>
        <w:topLinePunct w:val="0"/>
        <w:autoSpaceDE/>
        <w:autoSpaceDN/>
        <w:bidi w:val="0"/>
        <w:spacing w:line="570" w:lineRule="exact"/>
        <w:ind w:firstLine="640" w:firstLineChars="200"/>
        <w:jc w:val="right"/>
        <w:textAlignment w:val="auto"/>
        <w:rPr>
          <w:rFonts w:hint="eastAsia" w:ascii="仿宋" w:hAnsi="仿宋" w:eastAsia="仿宋"/>
          <w:szCs w:val="32"/>
        </w:rPr>
      </w:pPr>
    </w:p>
    <w:p>
      <w:pPr>
        <w:pStyle w:val="2"/>
        <w:rPr>
          <w:rFonts w:hint="eastAsia" w:ascii="仿宋_GB2312"/>
        </w:rPr>
      </w:pP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- 29 -</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- 29 -</w:t>
                    </w:r>
                    <w:r>
                      <w:rPr>
                        <w:rFonts w:hint="eastAsia" w:ascii="仿宋_GB2312" w:hAnsi="仿宋_GB2312" w:eastAsia="仿宋_GB2312" w:cs="仿宋_GB2312"/>
                        <w:sz w:val="32"/>
                        <w:szCs w:val="32"/>
                      </w:rP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仿宋_GB2312" w:hAnsi="仿宋_GB2312" w:eastAsia="仿宋_GB2312" w:cs="仿宋_GB2312"/>
                              <w:sz w:val="32"/>
                              <w:szCs w:val="32"/>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仿宋_GB2312" w:hAnsi="仿宋_GB2312" w:eastAsia="仿宋_GB2312" w:cs="仿宋_GB2312"/>
                        <w:sz w:val="32"/>
                        <w:szCs w:val="32"/>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0671B8"/>
    <w:multiLevelType w:val="multilevel"/>
    <w:tmpl w:val="610671B8"/>
    <w:lvl w:ilvl="0" w:tentative="0">
      <w:start w:val="1"/>
      <w:numFmt w:val="chineseCountingThousand"/>
      <w:pStyle w:val="3"/>
      <w:suff w:val="nothing"/>
      <w:lvlText w:val="%1、"/>
      <w:lvlJc w:val="left"/>
      <w:pPr>
        <w:ind w:left="425" w:hanging="425"/>
      </w:pPr>
      <w:rPr>
        <w:rFonts w:hint="eastAsia"/>
      </w:rPr>
    </w:lvl>
    <w:lvl w:ilvl="1" w:tentative="0">
      <w:start w:val="1"/>
      <w:numFmt w:val="chineseCountingThousand"/>
      <w:pStyle w:val="5"/>
      <w:suff w:val="nothing"/>
      <w:lvlText w:val="（%2）"/>
      <w:lvlJc w:val="left"/>
      <w:pPr>
        <w:ind w:left="992" w:hanging="567"/>
      </w:pPr>
      <w:rPr>
        <w:rFonts w:hint="eastAsia"/>
      </w:rPr>
    </w:lvl>
    <w:lvl w:ilvl="2" w:tentative="0">
      <w:start w:val="1"/>
      <w:numFmt w:val="decimal"/>
      <w:pStyle w:val="6"/>
      <w:suff w:val="nothing"/>
      <w:lvlText w:val="%3."/>
      <w:lvlJc w:val="left"/>
      <w:pPr>
        <w:ind w:left="7229" w:hanging="567"/>
      </w:pPr>
      <w:rPr>
        <w:rFonts w:hint="eastAsia"/>
      </w:rPr>
    </w:lvl>
    <w:lvl w:ilvl="3" w:tentative="0">
      <w:start w:val="1"/>
      <w:numFmt w:val="decimal"/>
      <w:suff w:val="nothing"/>
      <w:lvlText w:val="（%4）"/>
      <w:lvlJc w:val="left"/>
      <w:pPr>
        <w:ind w:left="979" w:hanging="425"/>
      </w:pPr>
      <w:rPr>
        <w:rFonts w:hint="eastAsia"/>
      </w:rPr>
    </w:lvl>
    <w:lvl w:ilvl="4" w:tentative="0">
      <w:start w:val="1"/>
      <w:numFmt w:val="decimal"/>
      <w:suff w:val="nothing"/>
      <w:lvlText w:val="%5）"/>
      <w:lvlJc w:val="left"/>
      <w:pPr>
        <w:ind w:left="992" w:hanging="113"/>
      </w:pPr>
      <w:rPr>
        <w:rFonts w:hint="eastAsia"/>
      </w:rPr>
    </w:lvl>
    <w:lvl w:ilvl="5" w:tentative="0">
      <w:start w:val="1"/>
      <w:numFmt w:val="decimal"/>
      <w:suff w:val="nothing"/>
      <w:lvlText w:val="附件%6 "/>
      <w:lvlJc w:val="left"/>
      <w:pPr>
        <w:ind w:left="0" w:firstLine="0"/>
      </w:pPr>
      <w:rPr>
        <w:rFonts w:hint="eastAsia"/>
      </w:rPr>
    </w:lvl>
    <w:lvl w:ilvl="6" w:tentative="0">
      <w:start w:val="1"/>
      <w:numFmt w:val="chineseCountingThousand"/>
      <w:suff w:val="nothing"/>
      <w:lvlText w:val="%7、"/>
      <w:lvlJc w:val="left"/>
      <w:pPr>
        <w:ind w:left="992" w:hanging="567"/>
      </w:pPr>
      <w:rPr>
        <w:rFonts w:hint="eastAsia"/>
      </w:rPr>
    </w:lvl>
    <w:lvl w:ilvl="7" w:tentative="0">
      <w:start w:val="1"/>
      <w:numFmt w:val="chineseCountingThousand"/>
      <w:suff w:val="nothing"/>
      <w:lvlText w:val="（%8）"/>
      <w:lvlJc w:val="left"/>
      <w:pPr>
        <w:ind w:left="992" w:hanging="567"/>
      </w:pPr>
      <w:rPr>
        <w:rFonts w:hint="eastAsia"/>
      </w:rPr>
    </w:lvl>
    <w:lvl w:ilvl="8" w:tentative="0">
      <w:start w:val="1"/>
      <w:numFmt w:val="decimal"/>
      <w:suff w:val="nothing"/>
      <w:lvlText w:val="%9. "/>
      <w:lvlJc w:val="left"/>
      <w:pPr>
        <w:ind w:left="992" w:hanging="56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MDIxZmVjZjk0ODEyZTEzYjk4MzIxOTJiMDMxMGYifQ=="/>
  </w:docVars>
  <w:rsids>
    <w:rsidRoot w:val="291C455A"/>
    <w:rsid w:val="00114B38"/>
    <w:rsid w:val="001A2318"/>
    <w:rsid w:val="004035F8"/>
    <w:rsid w:val="008263C8"/>
    <w:rsid w:val="009B40B3"/>
    <w:rsid w:val="00A92BFC"/>
    <w:rsid w:val="00BC7024"/>
    <w:rsid w:val="00CC7B3D"/>
    <w:rsid w:val="00CD0EF1"/>
    <w:rsid w:val="00D81AC3"/>
    <w:rsid w:val="00DC2773"/>
    <w:rsid w:val="00E25EBA"/>
    <w:rsid w:val="00E76AED"/>
    <w:rsid w:val="00F85B02"/>
    <w:rsid w:val="0EDB478C"/>
    <w:rsid w:val="11B8359E"/>
    <w:rsid w:val="25FD519E"/>
    <w:rsid w:val="291C455A"/>
    <w:rsid w:val="30347495"/>
    <w:rsid w:val="36926D0C"/>
    <w:rsid w:val="4CD616C3"/>
    <w:rsid w:val="4DAF2BCF"/>
    <w:rsid w:val="4DDB6F66"/>
    <w:rsid w:val="61B14452"/>
    <w:rsid w:val="6AEF89AE"/>
    <w:rsid w:val="7442350C"/>
    <w:rsid w:val="74D8278D"/>
    <w:rsid w:val="753D6A36"/>
    <w:rsid w:val="758060EA"/>
    <w:rsid w:val="792F2AEE"/>
    <w:rsid w:val="7F9F944A"/>
    <w:rsid w:val="BFFE83F2"/>
    <w:rsid w:val="D7FDD7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4"/>
    <w:next w:val="4"/>
    <w:qFormat/>
    <w:uiPriority w:val="0"/>
    <w:pPr>
      <w:numPr>
        <w:ilvl w:val="0"/>
        <w:numId w:val="1"/>
      </w:numPr>
      <w:spacing w:before="120" w:after="60"/>
      <w:ind w:firstLine="0" w:firstLineChars="0"/>
      <w:jc w:val="left"/>
      <w:outlineLvl w:val="0"/>
    </w:pPr>
    <w:rPr>
      <w:rFonts w:eastAsia="黑体"/>
      <w:bCs/>
      <w:kern w:val="44"/>
      <w:szCs w:val="44"/>
    </w:rPr>
  </w:style>
  <w:style w:type="paragraph" w:styleId="5">
    <w:name w:val="heading 2"/>
    <w:basedOn w:val="4"/>
    <w:next w:val="4"/>
    <w:qFormat/>
    <w:uiPriority w:val="1"/>
    <w:pPr>
      <w:keepNext/>
      <w:keepLines/>
      <w:numPr>
        <w:ilvl w:val="1"/>
        <w:numId w:val="1"/>
      </w:numPr>
      <w:adjustRightInd w:val="0"/>
      <w:spacing w:before="120" w:after="60"/>
      <w:ind w:firstLine="0" w:firstLineChars="0"/>
      <w:outlineLvl w:val="1"/>
    </w:pPr>
    <w:rPr>
      <w:rFonts w:eastAsia="楷体" w:cstheme="majorBidi"/>
      <w:b/>
      <w:bCs/>
      <w:szCs w:val="32"/>
    </w:rPr>
  </w:style>
  <w:style w:type="paragraph" w:styleId="6">
    <w:name w:val="heading 3"/>
    <w:basedOn w:val="4"/>
    <w:next w:val="4"/>
    <w:qFormat/>
    <w:uiPriority w:val="0"/>
    <w:pPr>
      <w:keepNext/>
      <w:keepLines/>
      <w:numPr>
        <w:ilvl w:val="2"/>
        <w:numId w:val="1"/>
      </w:numPr>
      <w:adjustRightInd w:val="0"/>
      <w:spacing w:before="120" w:after="60"/>
      <w:ind w:firstLine="0" w:firstLineChars="0"/>
      <w:outlineLvl w:val="2"/>
    </w:pPr>
    <w:rPr>
      <w:b/>
      <w:bCs/>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customStyle="1" w:styleId="4">
    <w:name w:val="汇政正文"/>
    <w:basedOn w:val="1"/>
    <w:qFormat/>
    <w:uiPriority w:val="3"/>
    <w:pPr>
      <w:spacing w:line="360" w:lineRule="auto"/>
      <w:ind w:firstLine="200" w:firstLineChars="200"/>
    </w:pPr>
    <w:rPr>
      <w:rFonts w:ascii="仿宋" w:hAnsi="仿宋" w:eastAsia="仿宋" w:cs="Times New Roman"/>
      <w:kern w:val="0"/>
      <w:sz w:val="32"/>
      <w:szCs w:val="28"/>
      <w:lang w:val="zh-CN"/>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1">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3612</Words>
  <Characters>3776</Characters>
  <Lines>12</Lines>
  <Paragraphs>3</Paragraphs>
  <TotalTime>10</TotalTime>
  <ScaleCrop>false</ScaleCrop>
  <LinksUpToDate>false</LinksUpToDate>
  <CharactersWithSpaces>3779</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2022-08-12T03:50:00Z</dcterms:created>
  <dc:creator>Administrator</dc:creator>
  <cp:lastModifiedBy>小李飞花</cp:lastModifiedBy>
  <cp:lastPrinted>2022-08-15T06:53:00Z</cp:lastPrinted>
  <dcterms:modified xsi:type="dcterms:W3CDTF">2022-08-15T09:50:31Z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0698C28CB7AD4EA19F7A2A0502A735AB</vt:lpwstr>
  </property>
</Properties>
</file>