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县商务</w:t>
      </w:r>
      <w:r>
        <w:rPr>
          <w:rFonts w:hint="eastAsia" w:ascii="方正小标宋简体" w:hAnsi="方正小标宋简体" w:eastAsia="方正小标宋简体" w:cs="方正小标宋简体"/>
          <w:color w:val="auto"/>
          <w:sz w:val="44"/>
          <w:szCs w:val="44"/>
          <w:highlight w:val="none"/>
          <w:lang w:val="en-US" w:eastAsia="zh-CN"/>
        </w:rPr>
        <w:t>经合</w:t>
      </w:r>
      <w:r>
        <w:rPr>
          <w:rFonts w:hint="eastAsia" w:ascii="方正小标宋简体" w:hAnsi="方正小标宋简体" w:eastAsia="方正小标宋简体" w:cs="方正小标宋简体"/>
          <w:color w:val="auto"/>
          <w:sz w:val="44"/>
          <w:szCs w:val="44"/>
          <w:highlight w:val="none"/>
        </w:rPr>
        <w:t>局</w:t>
      </w:r>
      <w:r>
        <w:rPr>
          <w:rFonts w:hint="eastAsia" w:ascii="方正小标宋简体" w:hAnsi="方正小标宋简体" w:eastAsia="方正小标宋简体" w:cs="方正小标宋简体"/>
          <w:bCs/>
          <w:sz w:val="44"/>
          <w:szCs w:val="44"/>
        </w:rPr>
        <w:t>行政权力</w:t>
      </w:r>
      <w:r>
        <w:rPr>
          <w:rFonts w:hint="eastAsia" w:ascii="方正小标宋简体" w:hAnsi="方正小标宋简体" w:eastAsia="方正小标宋简体" w:cs="方正小标宋简体"/>
          <w:color w:val="auto"/>
          <w:sz w:val="44"/>
          <w:szCs w:val="44"/>
          <w:highlight w:val="none"/>
        </w:rPr>
        <w:t>责任清单</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主体责任表</w:t>
      </w:r>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trPr>
        <w:tc>
          <w:tcPr>
            <w:tcW w:w="2025" w:type="dxa"/>
            <w:vAlign w:val="center"/>
          </w:tcPr>
          <w:p>
            <w:pPr>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主体责任</w:t>
            </w:r>
          </w:p>
        </w:tc>
        <w:tc>
          <w:tcPr>
            <w:tcW w:w="7035" w:type="dxa"/>
          </w:tcPr>
          <w:p>
            <w:pPr>
              <w:spacing w:line="300" w:lineRule="exact"/>
              <w:ind w:firstLine="210" w:firstLineChars="1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（一）负责推进投资促进有关领域的经济合作（以下简称“经济合作”）。拟订并组织实施全县经济合作的政策规定、中长期规划和年度计划。</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统筹指导全县投资促进工作。拟订并组织实施全县投资促进政策、中长期规划和年度计划。负责全县投资环境推介工作。统筹组织县级重大投资促进活动。牵头全县重大招商引资项目的促进和落实。组织和参与全县重点产业、重大项目的策划、包装、储备、推介、洽谈和服务工作。负责投资者的信访、投诉接待工作，协调乡镇、园区和县直相关部门做好项目后续跟踪及服务工作。推进投资促进和管理服务网络体系建设。负责全县投资促进工作的信息搜集和对外宣传工作，建立和完善投资促进信息网络。</w:t>
            </w:r>
            <w:bookmarkStart w:id="0" w:name="_GoBack"/>
            <w:bookmarkEnd w:id="0"/>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承担全县服务业发展工作的牵头协调职责，建立公开、平等、规范的服务业市场准入制度，全面落实税收优惠政策，加强政策性资金对服务业发展的支持，积极引导信贷资金和社会资本投入服务业，建立合理的服务业价格收费标准体系，加大服务业对外开放力度，加强服务业市场监督。</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（四）负责全县物流产业推进和牵头做好综合协调工作，拟订和组织贯彻落实现代物流业发展政策，推进物流产业结构调整，加快第三方物流发展。</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贯彻落实国家、省、市、县有关国内外贸易、外商投资和国际经济合作的法律、法规和方针、政策，拟订全县国内外贸易、外商投资和对外经济合作的相关政策、规范性文件和实施细则，拟订全县商务发展规划、年度计划并组织实施。</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（六）指导全县外商投资促进和管理工作。参与拟订外商投资政策和改革方案并组织实施。统计分析全县外商投资情况。依法监督检查外商投资企业执行有关法律法规规章、合同章程的情况并协调解决有关问题。</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（七）指导流通企业改革、商贸服务业和社区商业发展，提出促进商贸企业发展的政策建议，推动流通标准化和连锁经营、商业特许经营、物流配送、电子商务等现代流通方式的发展。</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（八）拟订规范市场运行和流通秩序的政策，组织编制大宗商品批发市场规划，指导城市商业网点规划和商业体系建设工作，推进农村市场体系建设，组织实施农村现代流通网络工程，促进城乡市场一体化发展。</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牵头协调全县整顿和规范市场经济秩序工作，部署、指导和综合协调专项整治行动，督查督办涉及市场经济秩序重大案件的查处工作，定期检查各地区、相关部门的工作进展情况，对市场经济活动中的重大问题进行调研，拟订规范市场运行和流通秩序的政策，推动商务领域信用体系建设，指导商业企业开展信用销售，建立市场诚信公共服务平台。按有关规定对特殊流通行业、药品流通行业进行监督管理。</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拟订促进转变外贸增长方式的政策措施，指导对外贸易行业执行国家进出口商品、加工贸易管理办法和进出口管理商品、技术目录，推进进出口贸易标准化工作，加强发展服务贸易相关工作，推进服务外包发展，指导贸易促进活动和外贸促进体系建设。</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（十二）拟订商务经济合作的对策措施，加强各区域的商贸合作，推进贸易和投资便利化。</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（十三）参与推进我县与国（境）内外相关区域合作。承担我县与国（境）内外相关区域经济合作活动的有关具体工作，承担推动我县与港澳台地区经贸合作有关工作。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承担组织协调反倾销、反补贴、保障措施和技术性贸易壁垒等与进出口公平贸易相关工作的责任，建立进出口公平贸易预警机制，开展对外贸易调查和产业损害调查，指导协调产业安全应对和国外对我县出口商品的反倾销、反补贴、保障措施的应诉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指导全县外商投资促进和管理工作，参与拟订外商投资政策和改革方案并组织实施，统计分析全县外商投资情况，依法监督检查外商投资企业执行有关法律法规规章、合同章程的情况并协调解决有关问题，指导协调县内省级经济技术开发区的有关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六）负责全县对外经济合作工作，拟订并执行对外经济合作政策，依法管理和监督对外承包工程、对外劳务合作和出境就业等，承担境外投资管理的责任，牵头负责外派劳务和赴境外就业人员的权益保护工作，执行国家、省、市、县对外援助任务。</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（十七）负责我县各种商品交易会和经贸推介活动。指导管理以蓬溪名义在境内举办的各种商贸交易会、展览会、展销会等活动。</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（十八）规划全县商务系统电子政务、公共商务信息服务体系建设并组织实施，推动电子商务发展。</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（十九）负责职责范围内的安全生产和职业健康、生态环境保护、审批服务便民化等工作。</w:t>
            </w:r>
          </w:p>
          <w:p>
            <w:pPr>
              <w:spacing w:line="300" w:lineRule="exact"/>
              <w:ind w:firstLine="4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（二十）完成县委和县政府交办的其他任务。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2025" w:type="dxa"/>
            <w:vAlign w:val="center"/>
          </w:tcPr>
          <w:p>
            <w:pPr>
              <w:spacing w:line="3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职责边界</w:t>
            </w:r>
          </w:p>
        </w:tc>
        <w:tc>
          <w:tcPr>
            <w:tcW w:w="7035" w:type="dxa"/>
          </w:tcPr>
          <w:p>
            <w:pPr>
              <w:spacing w:line="3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与县发展和改革局的有关职责分工。外商投资管理，县发展和改革局会同县商务经合局等部门结合实际提出关于《外商投资产业指导目录》和《中西部地区外商投资优势产业目录》的相关意见。县发展和改革局按规定权限负责对外商投资项目进行核准、备案。县商务经合局按规定权限负责对外商投资企业设立及变更备案。并购安全审查，县发展和改革局、县商务经合局按照各自职责，分别配合国家、省、市、县发展改革、商务和经济合作部门开展外国投资者并购县内企业安全审查的相关工作。县发展和改革局负责编制重要工业品、原材料和重要农产品的进出口总量计划，县商务经合局在确定的总量计划内组织实施。粮食、棉花、煤炭由县发展和改革局同县商务经合局在进出口总量计划内进行分配并协调相关政策。</w:t>
            </w:r>
          </w:p>
          <w:p>
            <w:pPr>
              <w:spacing w:line="3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与县市场监督管理局的有关职责分工。县市场监督管理局在药品监督管理工作中，配合执行药品流通发展规划和政策。县商务经合局负责贯彻落实国家、省、市药品流通发展规划和政策并制定县级规划和政策措施。</w:t>
            </w:r>
          </w:p>
        </w:tc>
      </w:tr>
    </w:tbl>
    <w:p>
      <w:pPr>
        <w:spacing w:line="300" w:lineRule="exact"/>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表2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具体责任表</w:t>
      </w:r>
    </w:p>
    <w:p>
      <w:pPr>
        <w:spacing w:line="400" w:lineRule="exact"/>
        <w:rPr>
          <w:rFonts w:ascii="黑体" w:hAnsi="黑体" w:eastAsia="黑体" w:cs="黑体"/>
          <w:sz w:val="32"/>
          <w:szCs w:val="32"/>
        </w:rPr>
      </w:pPr>
    </w:p>
    <w:tbl>
      <w:tblPr>
        <w:tblStyle w:val="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293"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对取得报废机动车回收资质认定的企业不再具备相关规定条件的处罚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遂宁市商务稽查支队（委托执法）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293" w:type="dxa"/>
            <w:vAlign w:val="center"/>
          </w:tcPr>
          <w:p>
            <w:pPr>
              <w:spacing w:line="380" w:lineRule="exact"/>
              <w:rPr>
                <w:rFonts w:ascii="宋体" w:cs="仿宋_GB2312"/>
                <w:szCs w:val="21"/>
              </w:rPr>
            </w:pPr>
            <w:r>
              <w:rPr>
                <w:rFonts w:ascii="宋体" w:hAnsi="宋体" w:cs="宋体"/>
                <w:szCs w:val="21"/>
              </w:rPr>
              <w:t xml:space="preserve"> </w:t>
            </w: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293"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293" w:type="dxa"/>
            <w:vAlign w:val="center"/>
          </w:tcPr>
          <w:p>
            <w:pPr>
              <w:spacing w:line="380" w:lineRule="exact"/>
              <w:jc w:val="center"/>
              <w:rPr>
                <w:rFonts w:hint="default" w:ascii="宋体" w:eastAsia="宋体" w:cs="仿宋_GB2312"/>
                <w:szCs w:val="21"/>
                <w:lang w:val="en-US"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仿宋" w:eastAsia="仿宋"/>
          <w:szCs w:val="21"/>
        </w:rPr>
      </w:pPr>
    </w:p>
    <w:p>
      <w:pPr>
        <w:spacing w:line="400" w:lineRule="exact"/>
        <w:rPr>
          <w:rFonts w:ascii="仿宋" w:eastAsia="仿宋"/>
          <w:szCs w:val="21"/>
        </w:rPr>
      </w:pPr>
    </w:p>
    <w:p>
      <w:pPr>
        <w:spacing w:line="400" w:lineRule="exact"/>
        <w:rPr>
          <w:rFonts w:ascii="仿宋" w:eastAsia="仿宋"/>
          <w:szCs w:val="21"/>
        </w:rPr>
      </w:pPr>
    </w:p>
    <w:p>
      <w:pPr>
        <w:spacing w:line="400" w:lineRule="exact"/>
        <w:rPr>
          <w:rFonts w:hint="eastAsia" w:ascii="黑体" w:hAnsi="黑体" w:eastAsia="黑体" w:cs="黑体"/>
          <w:sz w:val="32"/>
          <w:szCs w:val="32"/>
          <w:lang w:eastAsia="zh-CN"/>
        </w:rPr>
      </w:pPr>
      <w:r>
        <w:rPr>
          <w:rFonts w:hint="eastAsia" w:ascii="黑体" w:hAnsi="黑体" w:eastAsia="黑体" w:cs="黑体"/>
          <w:sz w:val="32"/>
          <w:szCs w:val="32"/>
        </w:rPr>
        <w:t>表</w:t>
      </w:r>
      <w:r>
        <w:rPr>
          <w:rFonts w:ascii="黑体" w:hAnsi="黑体" w:eastAsia="黑体" w:cs="黑体"/>
          <w:sz w:val="32"/>
          <w:szCs w:val="32"/>
        </w:rPr>
        <w:t>2-4</w:t>
      </w:r>
      <w:r>
        <w:rPr>
          <w:rFonts w:hint="eastAsia" w:ascii="黑体" w:hAnsi="黑体" w:eastAsia="黑体" w:cs="黑体"/>
          <w:sz w:val="32"/>
          <w:szCs w:val="32"/>
          <w:lang w:val="en-US" w:eastAsia="zh-CN"/>
        </w:rPr>
        <w:t>8</w:t>
      </w:r>
    </w:p>
    <w:p>
      <w:pPr>
        <w:spacing w:line="400" w:lineRule="exact"/>
        <w:rPr>
          <w:rFonts w:ascii="黑体" w:hAnsi="黑体" w:eastAsia="黑体" w:cs="黑体"/>
          <w:sz w:val="32"/>
          <w:szCs w:val="32"/>
        </w:rPr>
      </w:pPr>
    </w:p>
    <w:tbl>
      <w:tblPr>
        <w:tblStyle w:val="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293"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对未取得资质认定，擅自从事报废机动车回收拆解活动的处罚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293" w:type="dxa"/>
            <w:vAlign w:val="center"/>
          </w:tcPr>
          <w:p>
            <w:pPr>
              <w:spacing w:line="380" w:lineRule="exact"/>
              <w:jc w:val="center"/>
              <w:rPr>
                <w:rFonts w:hint="eastAsia" w:ascii="宋体" w:eastAsia="仿宋_GB2312" w:cs="仿宋_GB2312"/>
                <w:szCs w:val="21"/>
                <w:lang w:eastAsia="zh-CN"/>
              </w:rPr>
            </w:pPr>
            <w:r>
              <w:rPr>
                <w:rFonts w:hint="eastAsia" w:asci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1"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293"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ind w:firstLine="640" w:firstLineChars="200"/>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293"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293" w:type="dxa"/>
            <w:vAlign w:val="center"/>
          </w:tcPr>
          <w:p>
            <w:pPr>
              <w:spacing w:line="380" w:lineRule="exact"/>
              <w:jc w:val="center"/>
              <w:rPr>
                <w:rFonts w:hint="default" w:ascii="宋体" w:eastAsia="宋体" w:cs="仿宋_GB2312"/>
                <w:szCs w:val="21"/>
                <w:lang w:val="en-US"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仿宋" w:eastAsia="仿宋"/>
          <w:szCs w:val="21"/>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3</w:t>
      </w:r>
    </w:p>
    <w:p>
      <w:pPr>
        <w:spacing w:line="400" w:lineRule="exact"/>
        <w:rPr>
          <w:rFonts w:hint="eastAsia" w:ascii="黑体" w:hAnsi="黑体" w:eastAsia="黑体" w:cs="黑体"/>
          <w:sz w:val="32"/>
          <w:szCs w:val="32"/>
          <w:lang w:val="en-US" w:eastAsia="zh-CN"/>
        </w:rPr>
      </w:pPr>
    </w:p>
    <w:tbl>
      <w:tblPr>
        <w:tblStyle w:val="8"/>
        <w:tblW w:w="90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88"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428"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对回收拆解企业涂改、出租、出借或者以其他形式非法转让《资质认定书》的处罚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428" w:type="dxa"/>
            <w:vAlign w:val="center"/>
          </w:tcPr>
          <w:p>
            <w:pPr>
              <w:spacing w:line="380" w:lineRule="exact"/>
              <w:jc w:val="center"/>
              <w:rPr>
                <w:rFonts w:hint="eastAsia" w:ascii="宋体" w:eastAsia="仿宋_GB2312" w:cs="仿宋_GB2312"/>
                <w:szCs w:val="21"/>
                <w:lang w:eastAsia="zh-CN"/>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1" w:hRule="atLeast"/>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428"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ind w:firstLine="640" w:firstLineChars="200"/>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rPr>
        <w:tc>
          <w:tcPr>
            <w:tcW w:w="1588"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428"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88"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428"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ascii="仿宋" w:eastAsia="仿宋"/>
          <w:szCs w:val="21"/>
        </w:rPr>
      </w:pPr>
    </w:p>
    <w:p>
      <w:pPr>
        <w:spacing w:line="400" w:lineRule="exact"/>
        <w:rPr>
          <w:rFonts w:ascii="仿宋" w:eastAsia="仿宋"/>
          <w:szCs w:val="21"/>
        </w:rPr>
      </w:pPr>
    </w:p>
    <w:p>
      <w:pPr>
        <w:spacing w:line="400" w:lineRule="exact"/>
        <w:rPr>
          <w:rFonts w:ascii="仿宋" w:eastAsia="仿宋"/>
          <w:szCs w:val="21"/>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4</w:t>
      </w:r>
    </w:p>
    <w:p>
      <w:pPr>
        <w:spacing w:line="400" w:lineRule="exact"/>
        <w:rPr>
          <w:rFonts w:hint="default" w:ascii="黑体" w:hAnsi="黑体" w:eastAsia="黑体" w:cs="黑体"/>
          <w:sz w:val="32"/>
          <w:szCs w:val="32"/>
          <w:lang w:val="en-US" w:eastAsia="zh-CN"/>
        </w:rPr>
      </w:pPr>
    </w:p>
    <w:tbl>
      <w:tblPr>
        <w:tblStyle w:val="8"/>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56"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279"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56"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279"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56"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279" w:type="dxa"/>
            <w:vAlign w:val="center"/>
          </w:tcPr>
          <w:p>
            <w:pPr>
              <w:spacing w:line="380" w:lineRule="exact"/>
              <w:jc w:val="center"/>
              <w:rPr>
                <w:rFonts w:ascii="宋体" w:cs="仿宋_GB2312"/>
                <w:szCs w:val="21"/>
              </w:rPr>
            </w:pPr>
            <w:r>
              <w:rPr>
                <w:rFonts w:hint="eastAsia" w:ascii="宋体" w:hAnsi="宋体" w:cs="仿宋_GB2312"/>
                <w:szCs w:val="21"/>
              </w:rPr>
              <w:t>对回收拆解企业未按照要求备案分支机构、回收拆解企业的分支机构拆解报废机动车的处罚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56"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279"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4" w:hRule="atLeast"/>
          <w:jc w:val="center"/>
        </w:trPr>
        <w:tc>
          <w:tcPr>
            <w:tcW w:w="1556"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279"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ind w:firstLine="640" w:firstLineChars="200"/>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56"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279"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56"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279"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2-5</w:t>
      </w:r>
    </w:p>
    <w:p>
      <w:pPr>
        <w:spacing w:line="400" w:lineRule="exact"/>
        <w:rPr>
          <w:rFonts w:hint="eastAsia" w:ascii="黑体" w:hAnsi="黑体" w:eastAsia="黑体" w:cs="黑体"/>
          <w:sz w:val="32"/>
          <w:szCs w:val="32"/>
          <w:lang w:val="en-US" w:eastAsia="zh-CN"/>
        </w:rPr>
      </w:pPr>
    </w:p>
    <w:tbl>
      <w:tblPr>
        <w:tblStyle w:val="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293" w:type="dxa"/>
            <w:vAlign w:val="center"/>
          </w:tcPr>
          <w:p>
            <w:pPr>
              <w:spacing w:line="380" w:lineRule="exact"/>
              <w:jc w:val="center"/>
              <w:rPr>
                <w:rFonts w:hint="default" w:ascii="宋体" w:eastAsia="宋体" w:cs="仿宋_GB2312"/>
                <w:szCs w:val="21"/>
                <w:lang w:val="en-US" w:eastAsia="zh-CN"/>
              </w:rPr>
            </w:pPr>
            <w:r>
              <w:rPr>
                <w:rFonts w:hint="eastAsia" w:ascii="宋体" w:cs="仿宋_GB2312"/>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对回收拆解企业违规开具或者发放《报废机动车回收证明》，或者未按规定对已出具《报废机动车回收证明》的报废机动车进行拆解的处罚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293"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0"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293"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ind w:firstLine="640" w:firstLineChars="200"/>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293"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293"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6</w:t>
      </w:r>
    </w:p>
    <w:p>
      <w:pPr>
        <w:spacing w:line="400" w:lineRule="exact"/>
        <w:rPr>
          <w:rFonts w:hint="eastAsia" w:ascii="黑体" w:hAnsi="黑体" w:eastAsia="黑体" w:cs="黑体"/>
          <w:sz w:val="32"/>
          <w:szCs w:val="32"/>
          <w:lang w:val="en-US" w:eastAsia="zh-CN"/>
        </w:rPr>
      </w:pPr>
    </w:p>
    <w:tbl>
      <w:tblPr>
        <w:tblStyle w:val="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428"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对回收拆解企业未按照国家有关规定及时向公安机关交通管理部门办理机动车注销登记，并将注销证明转交机动车所有人的处罚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428"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7"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428"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ind w:firstLine="640" w:firstLineChars="200"/>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428"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428"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7</w:t>
      </w:r>
    </w:p>
    <w:p>
      <w:pPr>
        <w:spacing w:line="400" w:lineRule="exact"/>
        <w:rPr>
          <w:rFonts w:hint="eastAsia" w:ascii="黑体" w:hAnsi="黑体" w:eastAsia="黑体" w:cs="黑体"/>
          <w:sz w:val="32"/>
          <w:szCs w:val="32"/>
          <w:lang w:val="en-US" w:eastAsia="zh-CN"/>
        </w:rPr>
      </w:pPr>
    </w:p>
    <w:tbl>
      <w:tblPr>
        <w:tblStyle w:val="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428"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对回收拆解企业未在其资质认定的拆解经营场地内对回收的报废机动车予以拆解，或者交易报废机动车整车、拼装车的处罚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428"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5"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428"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ind w:firstLine="640" w:firstLineChars="200"/>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428"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428"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8</w:t>
      </w:r>
    </w:p>
    <w:p>
      <w:pPr>
        <w:spacing w:line="400" w:lineRule="exact"/>
        <w:rPr>
          <w:rFonts w:hint="eastAsia" w:ascii="黑体" w:hAnsi="黑体" w:eastAsia="黑体" w:cs="黑体"/>
          <w:sz w:val="32"/>
          <w:szCs w:val="32"/>
          <w:lang w:val="en-US" w:eastAsia="zh-CN"/>
        </w:rPr>
      </w:pPr>
    </w:p>
    <w:tbl>
      <w:tblPr>
        <w:tblStyle w:val="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293"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293" w:type="dxa"/>
            <w:vAlign w:val="center"/>
          </w:tcPr>
          <w:p>
            <w:pPr>
              <w:spacing w:line="380" w:lineRule="exact"/>
              <w:jc w:val="center"/>
              <w:rPr>
                <w:rFonts w:ascii="宋体" w:cs="仿宋_GB2312"/>
                <w:szCs w:val="21"/>
              </w:rPr>
            </w:pPr>
            <w:r>
              <w:rPr>
                <w:rFonts w:hint="eastAsia" w:ascii="宋体" w:hAnsi="宋体" w:cs="仿宋_GB2312"/>
                <w:szCs w:val="21"/>
              </w:rPr>
              <w:t>对回收拆解企业未建立生产经营全覆盖的电子监控系统，或者录像保存不足</w:t>
            </w:r>
            <w:r>
              <w:rPr>
                <w:rFonts w:ascii="宋体" w:hAnsi="宋体" w:cs="仿宋_GB2312"/>
                <w:szCs w:val="21"/>
              </w:rPr>
              <w:t>1</w:t>
            </w:r>
            <w:r>
              <w:rPr>
                <w:rFonts w:hint="eastAsia" w:ascii="宋体" w:hAnsi="宋体" w:cs="仿宋_GB2312"/>
                <w:szCs w:val="21"/>
              </w:rPr>
              <w:t>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293"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0"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293"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ind w:firstLine="640" w:firstLineChars="200"/>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293"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59"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293"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hint="eastAsia"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9</w:t>
      </w:r>
    </w:p>
    <w:p>
      <w:pPr>
        <w:spacing w:line="400" w:lineRule="exact"/>
        <w:rPr>
          <w:rFonts w:hint="eastAsia" w:ascii="黑体" w:hAnsi="黑体" w:eastAsia="黑体" w:cs="黑体"/>
          <w:sz w:val="32"/>
          <w:szCs w:val="32"/>
          <w:lang w:val="en-US" w:eastAsia="zh-CN"/>
        </w:rPr>
      </w:pPr>
    </w:p>
    <w:tbl>
      <w:tblPr>
        <w:tblStyle w:val="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428"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对回收拆解企业未按照要求建立报废机动车零部件销售台账并如实记录“五大总成”信息并上传信息系统的处罚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428"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4"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428"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ind w:firstLine="640" w:firstLineChars="200"/>
              <w:rPr>
                <w:rFonts w:ascii="宋体" w:cs="仿宋_GB2312"/>
                <w:szCs w:val="21"/>
              </w:rPr>
            </w:pPr>
            <w:r>
              <w:rPr>
                <w:rFonts w:ascii="宋体" w:hAnsi="宋体" w:cs="仿宋_GB2312"/>
                <w:szCs w:val="21"/>
              </w:rPr>
              <w:t xml:space="preserve">    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428"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428"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hint="eastAsia" w:ascii="黑体" w:hAnsi="黑体" w:eastAsia="黑体" w:cs="黑体"/>
          <w:sz w:val="32"/>
          <w:szCs w:val="32"/>
        </w:rPr>
      </w:pPr>
    </w:p>
    <w:p>
      <w:pPr>
        <w:spacing w:line="400" w:lineRule="exact"/>
        <w:rPr>
          <w:rFonts w:hint="default"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10</w:t>
      </w:r>
    </w:p>
    <w:p>
      <w:pPr>
        <w:spacing w:line="400" w:lineRule="exact"/>
        <w:rPr>
          <w:rFonts w:hint="eastAsia" w:ascii="黑体" w:hAnsi="黑体" w:eastAsia="黑体" w:cs="黑体"/>
          <w:sz w:val="32"/>
          <w:szCs w:val="32"/>
          <w:lang w:val="en-US" w:eastAsia="zh-CN"/>
        </w:rPr>
      </w:pPr>
    </w:p>
    <w:tbl>
      <w:tblPr>
        <w:tblStyle w:val="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428"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428"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1"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428"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rPr>
                <w:rFonts w:ascii="宋体" w:cs="仿宋_GB2312"/>
                <w:szCs w:val="21"/>
              </w:rPr>
            </w:pPr>
            <w:r>
              <w:rPr>
                <w:rFonts w:ascii="宋体" w:hAnsi="宋体" w:cs="仿宋_GB2312"/>
                <w:szCs w:val="21"/>
              </w:rPr>
              <w:t xml:space="preserve"> 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rPr>
                <w:rFonts w:ascii="宋体" w:cs="仿宋_GB2312"/>
                <w:szCs w:val="21"/>
              </w:rPr>
            </w:pPr>
            <w:r>
              <w:rPr>
                <w:rFonts w:ascii="宋体" w:hAnsi="宋体" w:cs="仿宋_GB2312"/>
                <w:szCs w:val="21"/>
              </w:rPr>
              <w:t xml:space="preserve"> 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rPr>
                <w:rFonts w:ascii="宋体" w:cs="仿宋_GB2312"/>
                <w:szCs w:val="21"/>
              </w:rPr>
            </w:pPr>
            <w:r>
              <w:rPr>
                <w:rFonts w:ascii="宋体" w:hAnsi="宋体" w:cs="仿宋_GB2312"/>
                <w:szCs w:val="21"/>
              </w:rPr>
              <w:t xml:space="preserve"> 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rPr>
                <w:rFonts w:ascii="宋体" w:cs="仿宋_GB2312"/>
                <w:szCs w:val="21"/>
              </w:rPr>
            </w:pPr>
            <w:r>
              <w:rPr>
                <w:rFonts w:ascii="宋体" w:hAnsi="宋体" w:cs="仿宋_GB2312"/>
                <w:szCs w:val="21"/>
              </w:rPr>
              <w:t xml:space="preserve"> 5.</w:t>
            </w:r>
            <w:r>
              <w:rPr>
                <w:rFonts w:hint="eastAsia" w:ascii="宋体" w:hAnsi="宋体" w:cs="仿宋_GB2312"/>
                <w:szCs w:val="21"/>
              </w:rPr>
              <w:t>决定责任：制作《行政处罚决定书》，载明行政处罚的种类和依据、履行方式和期限、救济途径等内容。</w:t>
            </w:r>
          </w:p>
          <w:p>
            <w:pPr>
              <w:spacing w:line="380" w:lineRule="exact"/>
              <w:rPr>
                <w:rFonts w:ascii="宋体" w:cs="仿宋_GB2312"/>
                <w:szCs w:val="21"/>
              </w:rPr>
            </w:pPr>
            <w:r>
              <w:rPr>
                <w:rFonts w:ascii="宋体" w:hAnsi="宋体" w:cs="仿宋_GB2312"/>
                <w:szCs w:val="21"/>
              </w:rPr>
              <w:t xml:space="preserve"> 6.</w:t>
            </w:r>
            <w:r>
              <w:rPr>
                <w:rFonts w:hint="eastAsia" w:ascii="宋体" w:hAnsi="宋体" w:cs="仿宋_GB2312"/>
                <w:szCs w:val="21"/>
              </w:rPr>
              <w:t>送达责任：行政处罚决定书按照法律规定的方式送达当事人。</w:t>
            </w:r>
          </w:p>
          <w:p>
            <w:pPr>
              <w:spacing w:line="380" w:lineRule="exact"/>
              <w:rPr>
                <w:rFonts w:ascii="宋体" w:cs="仿宋_GB2312"/>
                <w:szCs w:val="21"/>
              </w:rPr>
            </w:pPr>
            <w:r>
              <w:rPr>
                <w:rFonts w:ascii="宋体" w:hAnsi="宋体" w:cs="仿宋_GB2312"/>
                <w:szCs w:val="21"/>
              </w:rPr>
              <w:t xml:space="preserve"> 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rPr>
                <w:rFonts w:ascii="宋体" w:cs="仿宋_GB2312"/>
                <w:szCs w:val="21"/>
              </w:rPr>
            </w:pPr>
            <w:r>
              <w:rPr>
                <w:rFonts w:ascii="宋体" w:hAnsi="宋体" w:cs="仿宋_GB2312"/>
                <w:szCs w:val="21"/>
              </w:rPr>
              <w:t>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428"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428"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hint="default"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11</w:t>
      </w:r>
    </w:p>
    <w:p>
      <w:pPr>
        <w:spacing w:line="400" w:lineRule="exact"/>
        <w:rPr>
          <w:rFonts w:hint="eastAsia" w:ascii="黑体" w:hAnsi="黑体" w:eastAsia="黑体" w:cs="黑体"/>
          <w:sz w:val="32"/>
          <w:szCs w:val="32"/>
          <w:lang w:val="en-US" w:eastAsia="zh-CN"/>
        </w:rPr>
      </w:pPr>
    </w:p>
    <w:tbl>
      <w:tblPr>
        <w:tblStyle w:val="8"/>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428"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428" w:type="dxa"/>
            <w:vAlign w:val="center"/>
          </w:tcPr>
          <w:p>
            <w:pPr>
              <w:spacing w:line="380" w:lineRule="exact"/>
              <w:jc w:val="center"/>
              <w:rPr>
                <w:rFonts w:ascii="宋体" w:cs="仿宋_GB2312"/>
                <w:szCs w:val="21"/>
              </w:rPr>
            </w:pPr>
            <w:r>
              <w:rPr>
                <w:rFonts w:hint="eastAsia" w:ascii="宋体" w:hAnsi="宋体" w:cs="仿宋_GB2312"/>
                <w:szCs w:val="21"/>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428"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428" w:type="dxa"/>
            <w:vAlign w:val="center"/>
          </w:tcPr>
          <w:p>
            <w:pPr>
              <w:spacing w:line="380" w:lineRule="exact"/>
              <w:jc w:val="left"/>
              <w:rPr>
                <w:rFonts w:ascii="宋体" w:cs="仿宋_GB2312"/>
                <w:szCs w:val="21"/>
              </w:rPr>
            </w:pPr>
            <w:r>
              <w:rPr>
                <w:rFonts w:ascii="宋体" w:hAnsi="宋体" w:cs="仿宋_GB2312"/>
                <w:szCs w:val="21"/>
              </w:rPr>
              <w:t>1.</w:t>
            </w:r>
            <w:r>
              <w:rPr>
                <w:rFonts w:hint="eastAsia" w:ascii="宋体" w:hAnsi="宋体" w:cs="仿宋_GB2312"/>
                <w:szCs w:val="21"/>
              </w:rPr>
              <w:t>立案责任：检查中发现或者接到举报或者下级相关单位上报的或其他机关移送的相关违法案件，应及时制止、并予以审查，决定是否立案。</w:t>
            </w:r>
          </w:p>
          <w:p>
            <w:pPr>
              <w:spacing w:line="380" w:lineRule="exact"/>
              <w:jc w:val="left"/>
              <w:rPr>
                <w:rFonts w:ascii="宋体" w:cs="仿宋_GB2312"/>
                <w:szCs w:val="21"/>
              </w:rPr>
            </w:pPr>
            <w:r>
              <w:rPr>
                <w:rFonts w:ascii="宋体" w:hAnsi="宋体" w:cs="仿宋_GB2312"/>
                <w:szCs w:val="21"/>
              </w:rPr>
              <w:t>2.</w:t>
            </w:r>
            <w:r>
              <w:rPr>
                <w:rFonts w:hint="eastAsia" w:ascii="宋体" w:hAnsi="宋体" w:cs="仿宋_GB2312"/>
                <w:szCs w:val="21"/>
              </w:rPr>
              <w:t>调查责任：对立案的案件，指定专人负责，及时组织调查取证，与当事人有直接利害关系的应当回避。执法人员不得少于两人，调查时应出示证件，允许当事人辩解。</w:t>
            </w:r>
          </w:p>
          <w:p>
            <w:pPr>
              <w:spacing w:line="380" w:lineRule="exact"/>
              <w:jc w:val="left"/>
              <w:rPr>
                <w:rFonts w:ascii="宋体" w:cs="仿宋_GB2312"/>
                <w:szCs w:val="21"/>
              </w:rPr>
            </w:pPr>
            <w:r>
              <w:rPr>
                <w:rFonts w:ascii="宋体" w:hAnsi="宋体" w:cs="仿宋_GB2312"/>
                <w:szCs w:val="21"/>
              </w:rPr>
              <w:t>3.</w:t>
            </w:r>
            <w:r>
              <w:rPr>
                <w:rFonts w:hint="eastAsia" w:ascii="宋体" w:hAnsi="宋体" w:cs="仿宋_GB2312"/>
                <w:szCs w:val="21"/>
              </w:rPr>
              <w:t>审查责任：对案件的事实、证据、法定程序、当事人陈述和申辩、法律适用、处罚种类及幅度进行审查，提出处理意见。</w:t>
            </w:r>
          </w:p>
          <w:p>
            <w:pPr>
              <w:spacing w:line="380" w:lineRule="exact"/>
              <w:jc w:val="left"/>
              <w:rPr>
                <w:rFonts w:ascii="宋体" w:cs="仿宋_GB2312"/>
                <w:szCs w:val="21"/>
              </w:rPr>
            </w:pPr>
            <w:r>
              <w:rPr>
                <w:rFonts w:ascii="宋体" w:hAnsi="宋体" w:cs="仿宋_GB2312"/>
                <w:szCs w:val="21"/>
              </w:rPr>
              <w:t>4.</w:t>
            </w:r>
            <w:r>
              <w:rPr>
                <w:rFonts w:hint="eastAsia" w:ascii="宋体" w:hAnsi="宋体" w:cs="仿宋_GB2312"/>
                <w:szCs w:val="21"/>
              </w:rPr>
              <w:t>告知责任：制作《商务行政处罚告知书》，书面告知当事人拟作出行政处罚的事实、理由及依据，并告知当事人依法享有陈述、申辩的权利。</w:t>
            </w:r>
          </w:p>
          <w:p>
            <w:pPr>
              <w:spacing w:line="380" w:lineRule="exact"/>
              <w:jc w:val="left"/>
              <w:rPr>
                <w:rFonts w:ascii="宋体" w:cs="仿宋_GB2312"/>
                <w:szCs w:val="21"/>
              </w:rPr>
            </w:pPr>
            <w:r>
              <w:rPr>
                <w:rFonts w:ascii="宋体" w:hAnsi="宋体" w:cs="仿宋_GB2312"/>
                <w:szCs w:val="21"/>
              </w:rPr>
              <w:t>5.</w:t>
            </w:r>
            <w:r>
              <w:rPr>
                <w:rFonts w:hint="eastAsia" w:ascii="宋体" w:hAnsi="宋体" w:cs="仿宋_GB2312"/>
                <w:szCs w:val="21"/>
              </w:rPr>
              <w:t>决定责任：制作《行政处罚决定书》，载明行政处罚的种类和依据、履行方式和期限、救济途径等内容。</w:t>
            </w:r>
          </w:p>
          <w:p>
            <w:pPr>
              <w:spacing w:line="380" w:lineRule="exact"/>
              <w:jc w:val="left"/>
              <w:rPr>
                <w:rFonts w:ascii="宋体" w:cs="仿宋_GB2312"/>
                <w:szCs w:val="21"/>
              </w:rPr>
            </w:pPr>
            <w:r>
              <w:rPr>
                <w:rFonts w:ascii="宋体" w:hAnsi="宋体" w:cs="仿宋_GB2312"/>
                <w:szCs w:val="21"/>
              </w:rPr>
              <w:t>6.</w:t>
            </w:r>
            <w:r>
              <w:rPr>
                <w:rFonts w:hint="eastAsia" w:ascii="宋体" w:hAnsi="宋体" w:cs="仿宋_GB2312"/>
                <w:szCs w:val="21"/>
              </w:rPr>
              <w:t>送达责任：行政处罚决定书按照法律规定的方式送达当事人。</w:t>
            </w:r>
          </w:p>
          <w:p>
            <w:pPr>
              <w:spacing w:line="380" w:lineRule="exact"/>
              <w:jc w:val="left"/>
              <w:rPr>
                <w:rFonts w:ascii="宋体" w:cs="仿宋_GB2312"/>
                <w:szCs w:val="21"/>
              </w:rPr>
            </w:pPr>
            <w:r>
              <w:rPr>
                <w:rFonts w:ascii="宋体" w:hAnsi="宋体" w:cs="仿宋_GB2312"/>
                <w:szCs w:val="21"/>
              </w:rPr>
              <w:t>7.</w:t>
            </w:r>
            <w:r>
              <w:rPr>
                <w:rFonts w:hint="eastAsia" w:ascii="宋体" w:hAnsi="宋体" w:cs="仿宋_GB2312"/>
                <w:szCs w:val="21"/>
              </w:rPr>
              <w:t>执行责任：当事人应该按期履行行政处罚决定。当事人不按期履行的，商务部可采取法律规定的措施，予以执行。</w:t>
            </w:r>
          </w:p>
          <w:p>
            <w:pPr>
              <w:spacing w:line="380" w:lineRule="exact"/>
              <w:jc w:val="left"/>
              <w:rPr>
                <w:rFonts w:ascii="宋体" w:cs="仿宋_GB2312"/>
                <w:szCs w:val="21"/>
              </w:rPr>
            </w:pPr>
            <w:r>
              <w:rPr>
                <w:rFonts w:ascii="宋体" w:hAnsi="宋体" w:cs="仿宋_GB2312"/>
                <w:szCs w:val="21"/>
              </w:rPr>
              <w:t>8.</w:t>
            </w:r>
            <w:r>
              <w:rPr>
                <w:rFonts w:hint="eastAsia" w:ascii="宋体" w:hAnsi="宋体" w:cs="仿宋_GB2312"/>
                <w:szCs w:val="21"/>
              </w:rPr>
              <w:t>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追责情形</w:t>
            </w:r>
          </w:p>
        </w:tc>
        <w:tc>
          <w:tcPr>
            <w:tcW w:w="7428" w:type="dxa"/>
            <w:vAlign w:val="center"/>
          </w:tcPr>
          <w:p>
            <w:pPr>
              <w:spacing w:line="380" w:lineRule="exact"/>
              <w:ind w:firstLine="640" w:firstLineChars="200"/>
              <w:jc w:val="left"/>
              <w:rPr>
                <w:rFonts w:ascii="宋体" w:cs="仿宋_GB2312"/>
                <w:szCs w:val="21"/>
              </w:rPr>
            </w:pPr>
            <w:r>
              <w:rPr>
                <w:rFonts w:hint="eastAsia" w:ascii="宋体" w:hAnsi="宋体" w:cs="仿宋_GB2312"/>
                <w:szCs w:val="21"/>
              </w:rPr>
              <w:t>对不履行或不正确履行行政职责的行政机关及其工作人员，依据《中华人民共和国监察法》《中华人民共和国行政处罚法》《中华人民共和国行政强制法》《行政机关公务员处分条例》《报废机动车回收管理办法实施细则》《四川省行政执法监督条例》</w:t>
            </w:r>
            <w:r>
              <w:rPr>
                <w:rFonts w:hint="eastAsia" w:ascii="宋体" w:hAnsi="宋体" w:cs="仿宋_GB2312"/>
                <w:szCs w:val="21"/>
                <w:lang w:eastAsia="zh-CN"/>
              </w:rPr>
              <w:t>等</w:t>
            </w:r>
            <w:r>
              <w:rPr>
                <w:rFonts w:hint="eastAsia" w:ascii="宋体" w:hAnsi="宋体" w:cs="仿宋_GB2312"/>
                <w:szCs w:val="21"/>
              </w:rPr>
              <w:t>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588" w:type="dxa"/>
            <w:vAlign w:val="center"/>
          </w:tcPr>
          <w:p>
            <w:pPr>
              <w:spacing w:line="380" w:lineRule="exact"/>
              <w:jc w:val="center"/>
              <w:rPr>
                <w:rFonts w:ascii="宋体" w:cs="仿宋_GB2312"/>
                <w:szCs w:val="21"/>
              </w:rPr>
            </w:pPr>
            <w:r>
              <w:rPr>
                <w:rFonts w:hint="eastAsia" w:ascii="宋体" w:hAnsi="宋体" w:cs="仿宋_GB2312"/>
                <w:szCs w:val="21"/>
              </w:rPr>
              <w:t>监督电话</w:t>
            </w:r>
          </w:p>
        </w:tc>
        <w:tc>
          <w:tcPr>
            <w:tcW w:w="7428" w:type="dxa"/>
            <w:vAlign w:val="center"/>
          </w:tcPr>
          <w:p>
            <w:pPr>
              <w:spacing w:line="380" w:lineRule="exact"/>
              <w:jc w:val="center"/>
              <w:rPr>
                <w:rFonts w:hint="eastAsia" w:ascii="宋体" w:eastAsia="宋体" w:cs="仿宋_GB2312"/>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hint="default" w:ascii="黑体" w:hAnsi="黑体" w:eastAsia="黑体" w:cs="黑体"/>
          <w:sz w:val="32"/>
          <w:szCs w:val="32"/>
          <w:lang w:val="en-US" w:eastAsia="zh-CN"/>
        </w:rPr>
      </w:pPr>
      <w:r>
        <w:rPr>
          <w:rFonts w:hint="eastAsia" w:ascii="黑体" w:hAnsi="黑体" w:eastAsia="黑体" w:cs="黑体"/>
          <w:sz w:val="32"/>
          <w:szCs w:val="32"/>
        </w:rPr>
        <w:t>表</w:t>
      </w:r>
      <w:r>
        <w:rPr>
          <w:rFonts w:ascii="黑体" w:hAnsi="黑体" w:eastAsia="黑体" w:cs="黑体"/>
          <w:sz w:val="32"/>
          <w:szCs w:val="32"/>
        </w:rPr>
        <w:t>2-</w:t>
      </w:r>
      <w:r>
        <w:rPr>
          <w:rFonts w:hint="eastAsia" w:ascii="黑体" w:hAnsi="黑体" w:eastAsia="黑体" w:cs="黑体"/>
          <w:sz w:val="32"/>
          <w:szCs w:val="32"/>
          <w:lang w:val="en-US" w:eastAsia="zh-CN"/>
        </w:rPr>
        <w:t>12</w:t>
      </w:r>
    </w:p>
    <w:p>
      <w:pPr>
        <w:spacing w:line="400" w:lineRule="exact"/>
        <w:rPr>
          <w:rFonts w:ascii="黑体" w:hAnsi="黑体" w:eastAsia="黑体" w:cs="黑体"/>
          <w:sz w:val="32"/>
          <w:szCs w:val="32"/>
        </w:rPr>
      </w:pPr>
    </w:p>
    <w:tbl>
      <w:tblPr>
        <w:tblStyle w:val="8"/>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序号</w:t>
            </w:r>
          </w:p>
        </w:tc>
        <w:tc>
          <w:tcPr>
            <w:tcW w:w="7269" w:type="dxa"/>
            <w:vAlign w:val="center"/>
          </w:tcPr>
          <w:p>
            <w:pPr>
              <w:spacing w:line="380" w:lineRule="exact"/>
              <w:jc w:val="center"/>
              <w:rPr>
                <w:rFonts w:hint="default" w:ascii="宋体" w:eastAsia="宋体" w:cs="仿宋_GB2312"/>
                <w:szCs w:val="21"/>
                <w:lang w:val="en-US" w:eastAsia="zh-CN"/>
              </w:rPr>
            </w:pPr>
            <w:r>
              <w:rPr>
                <w:rFonts w:hint="eastAsia" w:ascii="宋体" w:eastAsia="宋体" w:cs="仿宋_GB2312"/>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权力类型</w:t>
            </w:r>
          </w:p>
        </w:tc>
        <w:tc>
          <w:tcPr>
            <w:tcW w:w="7269" w:type="dxa"/>
            <w:vAlign w:val="center"/>
          </w:tcPr>
          <w:p>
            <w:pPr>
              <w:spacing w:line="380" w:lineRule="exact"/>
              <w:jc w:val="center"/>
              <w:rPr>
                <w:rFonts w:ascii="宋体" w:cs="仿宋_GB2312"/>
                <w:szCs w:val="21"/>
              </w:rPr>
            </w:pPr>
            <w:r>
              <w:rPr>
                <w:rFonts w:hint="eastAsia" w:ascii="宋体" w:hAnsi="宋体" w:cs="仿宋_GB2312"/>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权力项目名称</w:t>
            </w:r>
          </w:p>
        </w:tc>
        <w:tc>
          <w:tcPr>
            <w:tcW w:w="7269" w:type="dxa"/>
            <w:vAlign w:val="center"/>
          </w:tcPr>
          <w:p>
            <w:pPr>
              <w:spacing w:line="380" w:lineRule="exact"/>
              <w:jc w:val="center"/>
              <w:rPr>
                <w:rFonts w:ascii="宋体" w:cs="仿宋_GB2312"/>
                <w:szCs w:val="21"/>
              </w:rPr>
            </w:pPr>
            <w:r>
              <w:rPr>
                <w:rFonts w:hint="eastAsia" w:ascii="宋体" w:hAnsi="宋体" w:cs="仿宋_GB2312"/>
                <w:szCs w:val="21"/>
              </w:rPr>
              <w:t>对报废机动车回收拆解活动实施日常监督检查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责任主体</w:t>
            </w:r>
          </w:p>
        </w:tc>
        <w:tc>
          <w:tcPr>
            <w:tcW w:w="7269" w:type="dxa"/>
            <w:vAlign w:val="center"/>
          </w:tcPr>
          <w:p>
            <w:pPr>
              <w:spacing w:line="380" w:lineRule="exact"/>
              <w:jc w:val="center"/>
              <w:rPr>
                <w:rFonts w:ascii="宋体" w:cs="仿宋_GB2312"/>
                <w:szCs w:val="21"/>
              </w:rPr>
            </w:pPr>
            <w:r>
              <w:rPr>
                <w:rFonts w:hint="eastAsia" w:ascii="宋体" w:hAnsi="宋体" w:cs="仿宋_GB2312"/>
                <w:szCs w:val="21"/>
                <w:lang w:eastAsia="zh-CN"/>
              </w:rPr>
              <w:t>商贸服务市场体系股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jc w:val="center"/>
        </w:trPr>
        <w:tc>
          <w:tcPr>
            <w:tcW w:w="1548" w:type="dxa"/>
            <w:vAlign w:val="center"/>
          </w:tcPr>
          <w:p>
            <w:pPr>
              <w:spacing w:line="380" w:lineRule="exact"/>
              <w:jc w:val="center"/>
              <w:rPr>
                <w:rFonts w:ascii="宋体" w:cs="仿宋_GB2312"/>
                <w:szCs w:val="21"/>
              </w:rPr>
            </w:pPr>
            <w:r>
              <w:rPr>
                <w:rFonts w:hint="eastAsia" w:ascii="宋体" w:hAnsi="宋体" w:cs="仿宋_GB2312"/>
                <w:szCs w:val="21"/>
              </w:rPr>
              <w:t>责任事项</w:t>
            </w:r>
          </w:p>
        </w:tc>
        <w:tc>
          <w:tcPr>
            <w:tcW w:w="7269" w:type="dxa"/>
            <w:vAlign w:val="center"/>
          </w:tcPr>
          <w:p>
            <w:pPr>
              <w:spacing w:line="380" w:lineRule="exact"/>
              <w:rPr>
                <w:rFonts w:ascii="宋体" w:cs="仿宋_GB2312"/>
                <w:szCs w:val="21"/>
              </w:rPr>
            </w:pPr>
            <w:r>
              <w:rPr>
                <w:rFonts w:ascii="宋体" w:hAnsi="宋体" w:cs="仿宋_GB2312"/>
                <w:szCs w:val="21"/>
              </w:rPr>
              <w:t>1.</w:t>
            </w:r>
            <w:r>
              <w:rPr>
                <w:rFonts w:hint="eastAsia" w:ascii="宋体" w:hAnsi="宋体" w:cs="仿宋_GB2312"/>
                <w:szCs w:val="21"/>
              </w:rPr>
              <w:t>告知责任：依据法律法规规定和日常监管需要，制定检查方案，确定目标、对象和方式，公告或通知被检查市场主体（暗访不通知）。</w:t>
            </w:r>
          </w:p>
          <w:p>
            <w:pPr>
              <w:spacing w:line="380" w:lineRule="exact"/>
              <w:rPr>
                <w:rFonts w:ascii="宋体" w:cs="仿宋_GB2312"/>
                <w:szCs w:val="21"/>
              </w:rPr>
            </w:pPr>
            <w:r>
              <w:rPr>
                <w:rFonts w:ascii="宋体" w:hAnsi="宋体" w:cs="仿宋_GB2312"/>
                <w:szCs w:val="21"/>
              </w:rPr>
              <w:t>2.</w:t>
            </w:r>
            <w:r>
              <w:rPr>
                <w:rFonts w:hint="eastAsia" w:ascii="宋体" w:hAnsi="宋体" w:cs="仿宋_GB2312"/>
                <w:szCs w:val="21"/>
              </w:rPr>
              <w:t>检查责任：检查时，执法人员不得少于</w:t>
            </w:r>
            <w:r>
              <w:rPr>
                <w:rFonts w:ascii="宋体" w:hAnsi="宋体" w:cs="仿宋_GB2312"/>
                <w:szCs w:val="21"/>
              </w:rPr>
              <w:t>2</w:t>
            </w:r>
            <w:r>
              <w:rPr>
                <w:rFonts w:hint="eastAsia" w:ascii="宋体" w:hAnsi="宋体" w:cs="仿宋_GB2312"/>
                <w:szCs w:val="21"/>
              </w:rPr>
              <w:t>人，应当持《检查通知书》或相关证件进行检查；检查单位及其工作人员应当有详细的检查记录，严禁弄虚作假。</w:t>
            </w:r>
          </w:p>
          <w:p>
            <w:pPr>
              <w:spacing w:line="380" w:lineRule="exact"/>
              <w:rPr>
                <w:rFonts w:ascii="宋体" w:cs="仿宋_GB2312"/>
                <w:szCs w:val="21"/>
              </w:rPr>
            </w:pPr>
            <w:r>
              <w:rPr>
                <w:rFonts w:ascii="宋体" w:hAnsi="宋体" w:cs="仿宋_GB2312"/>
                <w:szCs w:val="21"/>
              </w:rPr>
              <w:t>3.</w:t>
            </w:r>
            <w:r>
              <w:rPr>
                <w:rFonts w:hint="eastAsia" w:ascii="宋体" w:hAnsi="宋体" w:cs="仿宋_GB2312"/>
                <w:szCs w:val="21"/>
              </w:rPr>
              <w:t>处理责任：检查单位对检查的财物负有妥善保管的义务，不得损害及遗失；</w:t>
            </w:r>
            <w:r>
              <w:rPr>
                <w:rFonts w:ascii="宋体" w:hAnsi="宋体" w:cs="仿宋_GB2312"/>
                <w:szCs w:val="21"/>
              </w:rPr>
              <w:t xml:space="preserve"> </w:t>
            </w:r>
            <w:r>
              <w:rPr>
                <w:rFonts w:hint="eastAsia" w:ascii="宋体" w:hAnsi="宋体" w:cs="仿宋_GB2312"/>
                <w:szCs w:val="21"/>
              </w:rPr>
              <w:t>根据法律、法规和规章等规定作出预以警告、责令整改、罚款等相应的处理措施。</w:t>
            </w:r>
          </w:p>
          <w:p>
            <w:pPr>
              <w:spacing w:line="380" w:lineRule="exact"/>
              <w:rPr>
                <w:rFonts w:ascii="宋体" w:cs="仿宋_GB2312"/>
                <w:szCs w:val="21"/>
              </w:rPr>
            </w:pPr>
            <w:r>
              <w:rPr>
                <w:rFonts w:ascii="宋体" w:hAnsi="宋体" w:cs="仿宋_GB2312"/>
                <w:szCs w:val="21"/>
              </w:rPr>
              <w:t>4.</w:t>
            </w:r>
            <w:r>
              <w:rPr>
                <w:rFonts w:hint="eastAsia" w:ascii="宋体" w:hAnsi="宋体" w:cs="仿宋_GB2312"/>
                <w:szCs w:val="21"/>
              </w:rPr>
              <w:t>监管责任：对报废汽车回收活动的监管。</w:t>
            </w:r>
          </w:p>
          <w:p>
            <w:pPr>
              <w:spacing w:line="380" w:lineRule="exact"/>
              <w:rPr>
                <w:rFonts w:ascii="宋体" w:cs="仿宋_GB2312"/>
                <w:szCs w:val="21"/>
              </w:rPr>
            </w:pPr>
            <w:r>
              <w:rPr>
                <w:rFonts w:ascii="宋体" w:hAnsi="宋体" w:cs="仿宋_GB2312"/>
                <w:szCs w:val="21"/>
              </w:rPr>
              <w:t>5.</w:t>
            </w:r>
            <w:r>
              <w:rPr>
                <w:rFonts w:hint="eastAsia" w:ascii="宋体" w:hAnsi="宋体" w:cs="仿宋_GB2312"/>
                <w:szCs w:val="21"/>
              </w:rPr>
              <w:t>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jc w:val="center"/>
        </w:trPr>
        <w:tc>
          <w:tcPr>
            <w:tcW w:w="1548" w:type="dxa"/>
            <w:vAlign w:val="center"/>
          </w:tcPr>
          <w:p>
            <w:pPr>
              <w:spacing w:line="380" w:lineRule="exact"/>
              <w:jc w:val="center"/>
              <w:rPr>
                <w:rStyle w:val="11"/>
                <w:rFonts w:ascii="宋体" w:cs="仿宋_GB2312"/>
                <w:b w:val="0"/>
                <w:szCs w:val="21"/>
              </w:rPr>
            </w:pPr>
            <w:r>
              <w:rPr>
                <w:rStyle w:val="11"/>
                <w:rFonts w:hint="eastAsia" w:ascii="宋体" w:hAnsi="宋体" w:cs="仿宋_GB2312"/>
                <w:b w:val="0"/>
                <w:szCs w:val="21"/>
              </w:rPr>
              <w:t>追责情形</w:t>
            </w:r>
          </w:p>
        </w:tc>
        <w:tc>
          <w:tcPr>
            <w:tcW w:w="7269" w:type="dxa"/>
            <w:vAlign w:val="center"/>
          </w:tcPr>
          <w:p>
            <w:pPr>
              <w:spacing w:line="380" w:lineRule="exact"/>
              <w:rPr>
                <w:rFonts w:ascii="宋体" w:cs="仿宋_GB2312"/>
                <w:szCs w:val="21"/>
              </w:rPr>
            </w:pPr>
            <w:r>
              <w:rPr>
                <w:rFonts w:hint="eastAsia" w:ascii="宋体" w:hAnsi="宋体" w:cs="仿宋_GB2312"/>
                <w:szCs w:val="21"/>
              </w:rPr>
              <w:t>对不履行或不正确履行行政职责的行政机关及其工作人员，依据《中华人民共和国监察法》《行政机关公务员处分条例》《四川省行政执法监督条例》《报废机动车回收管理办法实施细则》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48" w:type="dxa"/>
            <w:vAlign w:val="center"/>
          </w:tcPr>
          <w:p>
            <w:pPr>
              <w:spacing w:line="380" w:lineRule="exact"/>
              <w:jc w:val="center"/>
              <w:rPr>
                <w:rStyle w:val="11"/>
                <w:rFonts w:ascii="宋体" w:cs="仿宋_GB2312"/>
                <w:b w:val="0"/>
                <w:szCs w:val="21"/>
              </w:rPr>
            </w:pPr>
            <w:r>
              <w:rPr>
                <w:rStyle w:val="11"/>
                <w:rFonts w:hint="eastAsia" w:ascii="宋体" w:hAnsi="宋体" w:cs="仿宋_GB2312"/>
                <w:b w:val="0"/>
                <w:szCs w:val="21"/>
              </w:rPr>
              <w:t>监督电话</w:t>
            </w:r>
          </w:p>
        </w:tc>
        <w:tc>
          <w:tcPr>
            <w:tcW w:w="7269" w:type="dxa"/>
            <w:vAlign w:val="center"/>
          </w:tcPr>
          <w:p>
            <w:pPr>
              <w:spacing w:line="380" w:lineRule="exact"/>
              <w:jc w:val="center"/>
              <w:rPr>
                <w:rStyle w:val="11"/>
                <w:rFonts w:hint="eastAsia" w:ascii="宋体" w:eastAsia="宋体" w:cs="仿宋_GB2312"/>
                <w:b w:val="0"/>
                <w:szCs w:val="21"/>
                <w:lang w:eastAsia="zh-CN"/>
              </w:rPr>
            </w:pPr>
            <w:r>
              <w:rPr>
                <w:rFonts w:hint="eastAsia" w:ascii="宋体" w:hAnsi="宋体" w:cs="仿宋_GB2312"/>
                <w:szCs w:val="21"/>
                <w:lang w:eastAsia="zh-CN"/>
              </w:rPr>
              <w:t>0825—</w:t>
            </w:r>
            <w:r>
              <w:rPr>
                <w:rFonts w:hint="eastAsia" w:ascii="宋体" w:hAnsi="宋体" w:cs="仿宋_GB2312"/>
                <w:szCs w:val="21"/>
                <w:lang w:val="en-US" w:eastAsia="zh-CN"/>
              </w:rPr>
              <w:t>3201360</w:t>
            </w:r>
          </w:p>
        </w:tc>
      </w:tr>
    </w:tbl>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spacing w:line="400" w:lineRule="exact"/>
        <w:rPr>
          <w:rFonts w:ascii="黑体" w:hAnsi="黑体" w:eastAsia="黑体" w:cs="黑体"/>
          <w:sz w:val="32"/>
          <w:szCs w:val="32"/>
        </w:rPr>
      </w:pPr>
    </w:p>
    <w:p>
      <w:pPr>
        <w:rPr>
          <w:rFonts w:eastAsia="仿宋_GB2312"/>
          <w:sz w:val="32"/>
          <w:szCs w:val="32"/>
        </w:rPr>
      </w:pPr>
    </w:p>
    <w:p>
      <w:pPr>
        <w:rPr>
          <w:rFonts w:hint="eastAsia" w:ascii="宋体" w:hAnsi="宋体" w:eastAsia="宋体" w:cs="宋体"/>
          <w:color w:val="auto"/>
          <w:sz w:val="21"/>
          <w:szCs w:val="21"/>
          <w:highlight w:val="none"/>
        </w:rPr>
      </w:pPr>
    </w:p>
    <w:sectPr>
      <w:footerReference r:id="rId3" w:type="default"/>
      <w:pgSz w:w="11880" w:h="16781" w:orient="landscape"/>
      <w:pgMar w:top="1803" w:right="1440" w:bottom="1803" w:left="1440" w:header="851" w:footer="992" w:gutter="0"/>
      <w:pgNumType w:fmt="numberInDash"/>
      <w:cols w:space="0" w:num="1"/>
      <w:docGrid w:type="lines" w:linePitch="4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76885" cy="247015"/>
              <wp:effectExtent l="0" t="0" r="12065" b="13335"/>
              <wp:wrapNone/>
              <wp:docPr id="1" name="文本框 1"/>
              <wp:cNvGraphicFramePr/>
              <a:graphic xmlns:a="http://schemas.openxmlformats.org/drawingml/2006/main">
                <a:graphicData uri="http://schemas.microsoft.com/office/word/2010/wordprocessingShape">
                  <wps:wsp>
                    <wps:cNvSpPr txBox="1"/>
                    <wps:spPr>
                      <a:xfrm>
                        <a:off x="0" y="0"/>
                        <a:ext cx="476885" cy="247015"/>
                      </a:xfrm>
                      <a:prstGeom prst="rect">
                        <a:avLst/>
                      </a:prstGeom>
                      <a:noFill/>
                      <a:ln w="6350">
                        <a:noFill/>
                      </a:ln>
                    </wps:spPr>
                    <wps:txbx>
                      <w:txbxContent>
                        <w:p>
                          <w:pPr>
                            <w:snapToGrid w:val="0"/>
                            <w:rPr>
                              <w:sz w:val="18"/>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  \* MERGEFORMAT </w:instrText>
                          </w:r>
                          <w:r>
                            <w:rPr>
                              <w:rFonts w:hint="eastAsia" w:ascii="仿宋_GB2312" w:hAnsi="仿宋_GB2312" w:cs="仿宋_GB2312"/>
                              <w:sz w:val="30"/>
                              <w:szCs w:val="30"/>
                            </w:rPr>
                            <w:fldChar w:fldCharType="separate"/>
                          </w:r>
                          <w:r>
                            <w:rPr>
                              <w:rFonts w:ascii="仿宋_GB2312" w:hAnsi="仿宋_GB2312" w:cs="仿宋_GB2312"/>
                              <w:sz w:val="30"/>
                              <w:szCs w:val="30"/>
                            </w:rPr>
                            <w:t>- 1 -</w:t>
                          </w:r>
                          <w:r>
                            <w:rPr>
                              <w:rFonts w:hint="eastAsia" w:ascii="仿宋_GB2312" w:hAnsi="仿宋_GB2312" w:cs="仿宋_GB2312"/>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9.45pt;width:37.55pt;mso-position-horizontal:outside;mso-position-horizontal-relative:margin;mso-wrap-style:none;z-index:251659264;mso-width-relative:page;mso-height-relative:page;" filled="f" stroked="f" coordsize="21600,21600" o:gfxdata="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eusXjTAAAAAwEAAA8AAAAAAAAAAQAgAAAAIgAAAGRycy9kb3ducmV2LnhtbFBLAQIU&#10;ABQAAAAIAIdO4kDRZSZEMQIAAFMEAAAOAAAAAAAAAAEAIAAAACIBAABkcnMvZTJvRG9jLnhtbFBL&#10;BQYAAAAABgAGAFkBAADFBQ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cs="仿宋_GB2312"/>
                        <w:sz w:val="30"/>
                        <w:szCs w:val="30"/>
                      </w:rPr>
                      <w:fldChar w:fldCharType="begin"/>
                    </w:r>
                    <w:r>
                      <w:rPr>
                        <w:rFonts w:hint="eastAsia" w:ascii="仿宋_GB2312" w:hAnsi="仿宋_GB2312" w:cs="仿宋_GB2312"/>
                        <w:sz w:val="30"/>
                        <w:szCs w:val="30"/>
                      </w:rPr>
                      <w:instrText xml:space="preserve"> PAGE  \* MERGEFORMAT </w:instrText>
                    </w:r>
                    <w:r>
                      <w:rPr>
                        <w:rFonts w:hint="eastAsia" w:ascii="仿宋_GB2312" w:hAnsi="仿宋_GB2312" w:cs="仿宋_GB2312"/>
                        <w:sz w:val="30"/>
                        <w:szCs w:val="30"/>
                      </w:rPr>
                      <w:fldChar w:fldCharType="separate"/>
                    </w:r>
                    <w:r>
                      <w:rPr>
                        <w:rFonts w:ascii="仿宋_GB2312" w:hAnsi="仿宋_GB2312" w:cs="仿宋_GB2312"/>
                        <w:sz w:val="30"/>
                        <w:szCs w:val="30"/>
                      </w:rPr>
                      <w:t>- 1 -</w:t>
                    </w:r>
                    <w:r>
                      <w:rPr>
                        <w:rFonts w:hint="eastAsia" w:ascii="仿宋_GB2312" w:hAnsi="仿宋_GB2312" w:cs="仿宋_GB2312"/>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41"/>
    <w:rsid w:val="001166E3"/>
    <w:rsid w:val="00864599"/>
    <w:rsid w:val="0099276A"/>
    <w:rsid w:val="00BF2041"/>
    <w:rsid w:val="00C800D3"/>
    <w:rsid w:val="00E26011"/>
    <w:rsid w:val="01787340"/>
    <w:rsid w:val="083027EB"/>
    <w:rsid w:val="098A2466"/>
    <w:rsid w:val="10794917"/>
    <w:rsid w:val="144A4F93"/>
    <w:rsid w:val="19070F6B"/>
    <w:rsid w:val="1B162AC2"/>
    <w:rsid w:val="1E074E05"/>
    <w:rsid w:val="28642ED8"/>
    <w:rsid w:val="2B5908E5"/>
    <w:rsid w:val="2CBD76E0"/>
    <w:rsid w:val="2F0B1A18"/>
    <w:rsid w:val="332A2257"/>
    <w:rsid w:val="415B0507"/>
    <w:rsid w:val="42280CBD"/>
    <w:rsid w:val="4D3234E8"/>
    <w:rsid w:val="515855A5"/>
    <w:rsid w:val="576C760F"/>
    <w:rsid w:val="59B5727E"/>
    <w:rsid w:val="6DF14108"/>
    <w:rsid w:val="6FAE123D"/>
    <w:rsid w:val="782A24D0"/>
    <w:rsid w:val="7ACB3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32"/>
      <w:lang w:val="en-US" w:eastAsia="zh-CN" w:bidi="ar-SA"/>
    </w:rPr>
  </w:style>
  <w:style w:type="paragraph" w:styleId="3">
    <w:name w:val="heading 3"/>
    <w:next w:val="1"/>
    <w:link w:val="15"/>
    <w:unhideWhenUsed/>
    <w:qFormat/>
    <w:uiPriority w:val="0"/>
    <w:pPr>
      <w:keepNext/>
      <w:keepLines/>
      <w:widowControl w:val="0"/>
      <w:spacing w:before="260" w:after="260" w:line="415" w:lineRule="auto"/>
      <w:jc w:val="both"/>
      <w:outlineLvl w:val="2"/>
    </w:pPr>
    <w:rPr>
      <w:rFonts w:ascii="Times New Roman" w:hAnsi="Times New Roman" w:eastAsia="仿宋_GB2312" w:cstheme="minorBidi"/>
      <w:b/>
      <w:kern w:val="2"/>
      <w:sz w:val="32"/>
      <w:szCs w:val="32"/>
      <w:lang w:val="en-US" w:eastAsia="zh-CN" w:bidi="ar-SA"/>
    </w:rPr>
  </w:style>
  <w:style w:type="paragraph" w:styleId="4">
    <w:name w:val="heading 4"/>
    <w:next w:val="1"/>
    <w:link w:val="16"/>
    <w:unhideWhenUsed/>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qFormat/>
    <w:uiPriority w:val="0"/>
    <w:pPr>
      <w:widowControl w:val="0"/>
      <w:spacing w:before="100" w:beforeAutospacing="1" w:after="100" w:afterAutospacing="1"/>
    </w:pPr>
    <w:rPr>
      <w:rFonts w:ascii="宋体" w:eastAsia="宋体" w:hAnsiTheme="minorHAnsi" w:cstheme="minorBidi"/>
      <w:kern w:val="2"/>
      <w:sz w:val="24"/>
      <w:szCs w:val="21"/>
      <w:lang w:val="en-US" w:eastAsia="zh-CN" w:bidi="ar-SA"/>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styleId="13">
    <w:name w:val="Emphasis"/>
    <w:qFormat/>
    <w:uiPriority w:val="0"/>
  </w:style>
  <w:style w:type="character" w:styleId="14">
    <w:name w:val="Hyperlink"/>
    <w:qFormat/>
    <w:uiPriority w:val="0"/>
    <w:rPr>
      <w:color w:val="07519A"/>
      <w:u w:val="none"/>
    </w:rPr>
  </w:style>
  <w:style w:type="character" w:customStyle="1" w:styleId="15">
    <w:name w:val="标题 3 字符"/>
    <w:basedOn w:val="10"/>
    <w:link w:val="3"/>
    <w:qFormat/>
    <w:uiPriority w:val="0"/>
    <w:rPr>
      <w:rFonts w:ascii="Times New Roman" w:hAnsi="Times New Roman" w:eastAsia="仿宋_GB2312"/>
      <w:b/>
      <w:sz w:val="32"/>
      <w:szCs w:val="32"/>
    </w:rPr>
  </w:style>
  <w:style w:type="character" w:customStyle="1" w:styleId="16">
    <w:name w:val="标题 4 字符"/>
    <w:basedOn w:val="10"/>
    <w:link w:val="4"/>
    <w:qFormat/>
    <w:uiPriority w:val="0"/>
    <w:rPr>
      <w:rFonts w:ascii="Cambria" w:hAnsi="Cambria" w:eastAsia="宋体" w:cs="Times New Roman"/>
      <w:b/>
      <w:bCs/>
      <w:sz w:val="28"/>
      <w:szCs w:val="28"/>
    </w:rPr>
  </w:style>
  <w:style w:type="character" w:customStyle="1" w:styleId="17">
    <w:name w:val="页脚 字符"/>
    <w:basedOn w:val="10"/>
    <w:link w:val="5"/>
    <w:qFormat/>
    <w:uiPriority w:val="0"/>
    <w:rPr>
      <w:rFonts w:ascii="Times New Roman" w:hAnsi="Times New Roman" w:eastAsia="仿宋_GB2312"/>
      <w:sz w:val="18"/>
      <w:szCs w:val="32"/>
    </w:rPr>
  </w:style>
  <w:style w:type="character" w:customStyle="1" w:styleId="18">
    <w:name w:val="页眉 字符"/>
    <w:basedOn w:val="10"/>
    <w:link w:val="6"/>
    <w:qFormat/>
    <w:uiPriority w:val="0"/>
    <w:rPr>
      <w:rFonts w:ascii="Times New Roman" w:hAnsi="Times New Roman" w:eastAsia="仿宋_GB2312"/>
      <w:sz w:val="18"/>
      <w:szCs w:val="32"/>
    </w:rPr>
  </w:style>
  <w:style w:type="paragraph" w:customStyle="1" w:styleId="19">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4165</Words>
  <Characters>23746</Characters>
  <Lines>197</Lines>
  <Paragraphs>55</Paragraphs>
  <TotalTime>0</TotalTime>
  <ScaleCrop>false</ScaleCrop>
  <LinksUpToDate>false</LinksUpToDate>
  <CharactersWithSpaces>27856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2018-07-25T08:13:00Z</dcterms:created>
  <dc:creator>lenovo</dc:creator>
  <cp:lastModifiedBy>爱相随</cp:lastModifiedBy>
  <dcterms:modified xsi:type="dcterms:W3CDTF">2021-04-02T01:15:01Z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148CCE1055144FDF90A10178EC457D7F</vt:lpwstr>
  </property>
</Properties>
</file>