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bCs/>
          <w:color w:val="auto"/>
          <w:spacing w:val="0"/>
          <w:sz w:val="44"/>
          <w:szCs w:val="44"/>
          <w:lang w:val="en-US" w:eastAsia="zh-CN"/>
        </w:rPr>
        <w:t>蓬溪县高升乡</w:t>
      </w:r>
      <w:bookmarkStart w:id="0" w:name="_GoBack"/>
      <w:bookmarkEnd w:id="0"/>
      <w:r>
        <w:rPr>
          <w:rFonts w:hint="eastAsia" w:ascii="方正小标宋简体" w:hAnsi="方正小标宋简体" w:eastAsia="方正小标宋简体" w:cs="方正小标宋简体"/>
          <w:b w:val="0"/>
          <w:bCs/>
          <w:color w:val="auto"/>
          <w:spacing w:val="0"/>
          <w:sz w:val="44"/>
          <w:szCs w:val="44"/>
          <w:lang w:val="en-US" w:eastAsia="zh-CN"/>
        </w:rPr>
        <w:t>法定行政权力事项清单</w:t>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对适龄儿童、少年因身体状况需要延缓入学或者休学的许可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rPr>
      </w:pPr>
    </w:p>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对在村庄、集镇规划区内的街道、广场、市场和车站等场所和道路、河道两旁修建临时建筑物、构筑物和其他设施的许可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对在乡（镇）、村规划区域内使用原有宅基地、村内空闲地进行住宅建设的许可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对开发农民集体所有的荒山、荒地、荒滩从事种植业、林业、畜牧业、渔业生产的许可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对不宜采取家庭承包方式的农村土地由本集体经济组织以外的单位或个人承包的许可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对农村村民住宅用地的许可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pPr w:leftFromText="180" w:rightFromText="180" w:vertAnchor="text" w:horzAnchor="page" w:tblpX="1875" w:tblpY="453"/>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kern w:val="0"/>
                <w:sz w:val="28"/>
                <w:szCs w:val="28"/>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权力事项名称</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对农村的疫区、狂犬病防护带养犬的许可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1.受理责任：公示应当提交的材料，一次性告知补正材料，依法受理或不予受理（不予受理应当告知理由）。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 审查责任：对申请材料进行审查，提出是否同意的审核意见；需要对申请材料的实质内容进行核实的，应当指派两名以上工作人员进行核查。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3.决定责任：在规定时限内，作出准予行政许可或者不予行政许可决定，法定告知（不予许可的应当书面告知理由）。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4.事后监</w:t>
            </w:r>
            <w:r>
              <w:rPr>
                <w:rFonts w:hint="eastAsia" w:ascii="宋体" w:hAnsi="宋体" w:eastAsia="宋体" w:cs="宋体"/>
                <w:b w:val="0"/>
                <w:bCs w:val="0"/>
                <w:sz w:val="28"/>
                <w:szCs w:val="28"/>
                <w:lang w:eastAsia="zh-CN"/>
              </w:rPr>
              <w:t>督</w:t>
            </w:r>
            <w:r>
              <w:rPr>
                <w:rFonts w:hint="eastAsia" w:ascii="宋体" w:hAnsi="宋体" w:eastAsia="宋体" w:cs="宋体"/>
                <w:b w:val="0"/>
                <w:bCs w:val="0"/>
                <w:sz w:val="28"/>
                <w:szCs w:val="28"/>
              </w:rPr>
              <w:t>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对适龄儿童、少年的父母或监护人未按规定送子女或被监护人就学接受义务教育的处罚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对在村庄、集镇规划区内，村民未经批准或者违反村镇规划修建住宅的处罚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对擅自在村庄、集镇规划区内的街道、广场、市场和车站等场所以及道路两旁修建临时建筑物、构筑物和其他设施的处罚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对损坏村庄和集镇的房屋、公共设施；乱堆粪便、垃圾、柴草、杂物，破坏村容镇貌和环境卫生的处罚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对自用船舶所有人拒不进行自用船舶登记或者自用船舶不按照限定区域航行；超载、非法载客和从事营业性运输的处罚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7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10"/>
        <w:gridCol w:w="73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7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权力项目名称</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对单位和个人损坏或者擅自移动有钉螺地带警示标志的处罚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8"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63"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1.立案责任：发现</w:t>
            </w:r>
            <w:r>
              <w:rPr>
                <w:rFonts w:hint="eastAsia" w:ascii="宋体" w:hAnsi="宋体" w:eastAsia="宋体" w:cs="宋体"/>
                <w:b w:val="0"/>
                <w:bCs w:val="0"/>
                <w:sz w:val="28"/>
                <w:szCs w:val="28"/>
                <w:lang w:val="en-US" w:eastAsia="zh-CN"/>
              </w:rPr>
              <w:t>此</w:t>
            </w:r>
            <w:r>
              <w:rPr>
                <w:rFonts w:hint="eastAsia" w:ascii="宋体" w:hAnsi="宋体" w:eastAsia="宋体" w:cs="宋体"/>
                <w:b w:val="0"/>
                <w:bCs w:val="0"/>
                <w:sz w:val="28"/>
                <w:szCs w:val="28"/>
              </w:rPr>
              <w:t>行为，予以审查，并决定是否立案。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2.调查责任：对立案的案件，指定专人负责，与当事人有直接利害关系的应当回避。执法人员不得少于两人，询问或检查时应制作笔录，允许当事人辩解陈述。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4.告知责任：作出行政处罚决定前，应制作《行政处罚告知书》送达当事人，符合听证规定的，制作并送达《行政处罚听证告知书》。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5.决定责任：作出处罚决定，制作《行政处罚决定书》，并载明行政处罚告知、当事人陈述申辩或者听证情况等内容。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6.送达责任：按照法律规定的方式将《行政处罚决定书》送达当事人。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7.执行责任：依照生效的行政处罚决定执行。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中华人民共和国水法》、《中华人民共和国行政处罚法》、《中华人民共和国行政强制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5" w:hRule="atLeast"/>
          <w:jc w:val="center"/>
        </w:trPr>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73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32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对在依法划定的电力设施保护区内修 建建筑物、构筑物或者种植植物、堆放物品，危及电力设施安全的强制拆除、砍伐或者清除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对非法种植毒品原植物的强制制止、铲除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对受到地质灾害威胁且情况紧急时的强制避灾疏散</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对在乡、村庄规划区内未依法取得乡村建设规划许可证或者未按照乡村建设规划许可证的规定进行建设的，逾期不改正的强制拆除</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419" w:type="dxa"/>
        <w:jc w:val="center"/>
        <w:tblLayout w:type="fixed"/>
        <w:tblCellMar>
          <w:top w:w="0" w:type="dxa"/>
          <w:left w:w="108" w:type="dxa"/>
          <w:bottom w:w="0" w:type="dxa"/>
          <w:right w:w="108" w:type="dxa"/>
        </w:tblCellMar>
      </w:tblPr>
      <w:tblGrid>
        <w:gridCol w:w="1461"/>
        <w:gridCol w:w="6958"/>
      </w:tblGrid>
      <w:tr>
        <w:tblPrEx>
          <w:tblCellMar>
            <w:top w:w="0" w:type="dxa"/>
            <w:left w:w="108" w:type="dxa"/>
            <w:bottom w:w="0" w:type="dxa"/>
            <w:right w:w="108" w:type="dxa"/>
          </w:tblCellMar>
        </w:tblPrEx>
        <w:trPr>
          <w:trHeight w:val="70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CellMar>
            <w:top w:w="0" w:type="dxa"/>
            <w:left w:w="108" w:type="dxa"/>
            <w:bottom w:w="0" w:type="dxa"/>
            <w:right w:w="108" w:type="dxa"/>
          </w:tblCellMar>
        </w:tblPrEx>
        <w:trPr>
          <w:trHeight w:val="796"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行政强制</w:t>
            </w:r>
          </w:p>
        </w:tc>
      </w:tr>
      <w:tr>
        <w:tblPrEx>
          <w:tblCellMar>
            <w:top w:w="0" w:type="dxa"/>
            <w:left w:w="108" w:type="dxa"/>
            <w:bottom w:w="0" w:type="dxa"/>
            <w:right w:w="108" w:type="dxa"/>
          </w:tblCellMar>
        </w:tblPrEx>
        <w:trPr>
          <w:trHeight w:val="1855"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行政权力名称</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防汛工作遇到阻拦和拖延时，经批准后，组织强制实施。</w:t>
            </w:r>
          </w:p>
        </w:tc>
      </w:tr>
      <w:tr>
        <w:tblPrEx>
          <w:tblCellMar>
            <w:top w:w="0" w:type="dxa"/>
            <w:left w:w="108" w:type="dxa"/>
            <w:bottom w:w="0" w:type="dxa"/>
            <w:right w:w="108" w:type="dxa"/>
          </w:tblCellMar>
        </w:tblPrEx>
        <w:trPr>
          <w:trHeight w:val="72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502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1.催告</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：行政机关作出强制执行决定前，应当事先催告当事人履行义务。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2.决定</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：采取查封、扣押措施，应当向政府价格主管部门主要负责人书面报告，并经批准。决定实施查封、扣押的，应当履行法定的程序，制作并当场交付查封、扣押决定书和清单。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3.执行</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：查封、扣押限于涉案的场所、设施或者财物，不得查封、扣押与违法行为无关的场所、设施或者财物；不得查封、扣押公民个人及其所扶养家属的生活必需品。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w:t>
            </w:r>
            <w:r>
              <w:rPr>
                <w:rFonts w:hint="eastAsia" w:ascii="宋体" w:hAnsi="宋体" w:eastAsia="宋体" w:cs="宋体"/>
                <w:b w:val="0"/>
                <w:bCs w:val="0"/>
                <w:sz w:val="28"/>
                <w:szCs w:val="28"/>
                <w:lang w:eastAsia="zh-CN"/>
              </w:rPr>
              <w:t>责任</w:t>
            </w:r>
            <w:r>
              <w:rPr>
                <w:rFonts w:hint="eastAsia" w:ascii="宋体" w:hAnsi="宋体" w:eastAsia="宋体" w:cs="宋体"/>
                <w:b w:val="0"/>
                <w:bCs w:val="0"/>
                <w:sz w:val="28"/>
                <w:szCs w:val="28"/>
              </w:rPr>
              <w:t>：行政机关依法作出行政决定后，当事人在行政机关决定的期限内不履行义务的，具有行政强制执行权的行政机关依照法律规定强制执行。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CellMar>
            <w:top w:w="0" w:type="dxa"/>
            <w:left w:w="108" w:type="dxa"/>
            <w:bottom w:w="0" w:type="dxa"/>
            <w:right w:w="108" w:type="dxa"/>
          </w:tblCellMar>
        </w:tblPrEx>
        <w:trPr>
          <w:trHeight w:val="2142"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99"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农村幼儿园举办、停办登记注册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中国内地公民婚姻登记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对公民申请法律援助需要提交的经济困难证明的确认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column"/>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自用船舶登记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食品摊贩登记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sz w:val="28"/>
                <w:szCs w:val="28"/>
              </w:rPr>
            </w:pPr>
            <w:r>
              <w:rPr>
                <w:rFonts w:hint="eastAsia" w:ascii="宋体" w:hAnsi="宋体" w:eastAsia="宋体" w:cs="宋体"/>
                <w:i w:val="0"/>
                <w:color w:val="000000"/>
                <w:kern w:val="0"/>
                <w:sz w:val="28"/>
                <w:szCs w:val="28"/>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val="0"/>
                <w:sz w:val="28"/>
                <w:szCs w:val="28"/>
                <w:lang w:val="en-US"/>
              </w:rPr>
            </w:pPr>
            <w:r>
              <w:rPr>
                <w:rFonts w:hint="eastAsia" w:ascii="宋体" w:hAnsi="宋体" w:eastAsia="宋体" w:cs="宋体"/>
                <w:b w:val="0"/>
                <w:bCs w:val="0"/>
                <w:kern w:val="0"/>
                <w:sz w:val="28"/>
                <w:szCs w:val="28"/>
                <w:lang w:val="en-US" w:eastAsia="zh-CN" w:bidi="ar"/>
              </w:rPr>
              <w:t>劳动者从事个体经营或灵活就业的，办理就业登记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应申请人要求对公示内容予以说明、解释；一次告知申请人需要补正的全部材料内容；应当允许申请人当场更正申请材料错误；初审机关受理或不予受理资质认定申请人的申请，应当出具加盖本行政机关专用印章和注明日期的书面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2．审查责任：公示办理条件、程序以及申请人所需提交的材料；对申请人提交的申请材料及时审查，对申请材料不齐全或者不符合法律规定的，应当在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内告知当事人。申请材料齐全或者符合法律规定的，应当在</w:t>
            </w:r>
            <w:r>
              <w:rPr>
                <w:rFonts w:hint="eastAsia" w:ascii="宋体" w:hAnsi="宋体" w:eastAsia="宋体" w:cs="宋体"/>
                <w:b w:val="0"/>
                <w:bCs w:val="0"/>
                <w:sz w:val="28"/>
                <w:szCs w:val="28"/>
                <w:lang w:eastAsia="zh-CN"/>
              </w:rPr>
              <w:t>规定时间</w:t>
            </w:r>
            <w:r>
              <w:rPr>
                <w:rFonts w:hint="eastAsia" w:ascii="宋体" w:hAnsi="宋体" w:eastAsia="宋体" w:cs="宋体"/>
                <w:b w:val="0"/>
                <w:bCs w:val="0"/>
                <w:sz w:val="28"/>
                <w:szCs w:val="28"/>
              </w:rPr>
              <w:t>内提出审批意见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3．决定责任：法定期限内依法作出准予给予书面决定；依法作出不予审批的书面决定的，应当说明理由；应申请人申请依法对行政确认事项作出是否准予变更或延续的决定。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4．送达责任：作出审批决定</w:t>
            </w:r>
            <w:r>
              <w:rPr>
                <w:rFonts w:hint="eastAsia" w:ascii="宋体" w:hAnsi="宋体" w:eastAsia="宋体" w:cs="宋体"/>
                <w:b w:val="0"/>
                <w:bCs w:val="0"/>
                <w:sz w:val="28"/>
                <w:szCs w:val="28"/>
                <w:lang w:eastAsia="zh-CN"/>
              </w:rPr>
              <w:t>后</w:t>
            </w:r>
            <w:r>
              <w:rPr>
                <w:rFonts w:hint="eastAsia" w:ascii="宋体" w:hAnsi="宋体" w:eastAsia="宋体" w:cs="宋体"/>
                <w:b w:val="0"/>
                <w:bCs w:val="0"/>
                <w:sz w:val="28"/>
                <w:szCs w:val="28"/>
              </w:rPr>
              <w:t>，应当</w:t>
            </w:r>
            <w:r>
              <w:rPr>
                <w:rFonts w:hint="eastAsia" w:ascii="宋体" w:hAnsi="宋体" w:eastAsia="宋体" w:cs="宋体"/>
                <w:b w:val="0"/>
                <w:bCs w:val="0"/>
                <w:sz w:val="28"/>
                <w:szCs w:val="28"/>
                <w:lang w:eastAsia="zh-CN"/>
              </w:rPr>
              <w:t>在规定时间内送达决定</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6.其他法律法规规章规定应履行的责任。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仿宋_GB2312" w:cs="宋体"/>
                <w:sz w:val="28"/>
                <w:szCs w:val="28"/>
                <w:lang w:eastAsia="zh-CN"/>
              </w:rPr>
            </w:pPr>
            <w:r>
              <w:rPr>
                <w:rFonts w:hint="eastAsia" w:ascii="宋体" w:hAnsi="宋体" w:eastAsia="宋体" w:cs="宋体"/>
                <w:color w:val="auto"/>
                <w:sz w:val="28"/>
                <w:szCs w:val="28"/>
                <w:highlight w:val="none"/>
                <w:shd w:val="clear" w:color="auto" w:fill="FFFFFF"/>
                <w:lang w:val="en-US" w:eastAsia="zh-CN"/>
              </w:rPr>
              <w:t>对个人之间、个人与单位之间土地所有权和使用权争议的裁决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宋体"/>
                <w:sz w:val="28"/>
                <w:szCs w:val="28"/>
                <w:lang w:eastAsia="zh-CN"/>
              </w:rPr>
            </w:pPr>
            <w:r>
              <w:rPr>
                <w:rFonts w:hint="eastAsia" w:ascii="宋体" w:hAnsi="宋体" w:eastAsia="宋体" w:cs="宋体"/>
                <w:color w:val="auto"/>
                <w:sz w:val="28"/>
                <w:szCs w:val="28"/>
                <w:highlight w:val="none"/>
                <w:shd w:val="clear" w:color="auto" w:fill="FFFFFF"/>
                <w:lang w:val="en-US" w:eastAsia="zh-CN"/>
              </w:rPr>
              <w:t>对个人之间、个人与单位之间林木所有权、林地使用权争议的裁决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6560"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1.受理责任：公示裁决应当提交的材料，一次性告知补正材料，依法受理或不予受理（不予受理应当告知理由）。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2.审查责任：根据有关规定及规范，对书面申请材料进行审查，提出审查意见。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裁决</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根据事实和法律、法规作出处理意见，报县政府作出处理决定</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制作并向双方当事人送达裁决书。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执行</w:t>
            </w:r>
            <w:r>
              <w:rPr>
                <w:rFonts w:hint="eastAsia" w:ascii="宋体" w:hAnsi="宋体" w:eastAsia="宋体" w:cs="宋体"/>
                <w:b w:val="0"/>
                <w:bCs w:val="0"/>
                <w:sz w:val="28"/>
                <w:szCs w:val="28"/>
              </w:rPr>
              <w:t>责任：裁决生效后，争议双方应当自觉履行。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中华人民共和国防洪法》、《行政机关公务员处分条例》、《中华人民共和国防洪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65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森林病虫害防治费用的适当扶持或补助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对无劳动能力、无生活来源、无赡养人和扶养人，或者其赡养人和扶养人确无赡养能力或者扶养能力的老年人供养或救助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序号</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权力类型</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权力项目名称</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kern w:val="0"/>
                <w:sz w:val="28"/>
                <w:szCs w:val="28"/>
                <w:lang w:val="en-US" w:eastAsia="zh-CN" w:bidi="ar"/>
              </w:rPr>
              <w:t>对蓄滞洪区蓄滞洪后予以补偿或者救助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责任主体</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责任事项</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1.受理责任：依法受理或不予受理，并一次性告之不予受理理由或需补充提供的相关材料。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2.审查责任。审查申报表，核对相关证明材料。由</w:t>
            </w:r>
            <w:r>
              <w:rPr>
                <w:rFonts w:hint="eastAsia" w:ascii="宋体" w:hAnsi="宋体" w:eastAsia="宋体" w:cs="宋体"/>
                <w:b w:val="0"/>
                <w:bCs w:val="0"/>
                <w:sz w:val="28"/>
                <w:szCs w:val="28"/>
                <w:lang w:val="en-US" w:eastAsia="zh-CN"/>
              </w:rPr>
              <w:t>村</w:t>
            </w:r>
            <w:r>
              <w:rPr>
                <w:rFonts w:hint="eastAsia" w:ascii="宋体" w:hAnsi="宋体" w:eastAsia="宋体" w:cs="宋体"/>
                <w:b w:val="0"/>
                <w:bCs w:val="0"/>
                <w:sz w:val="28"/>
                <w:szCs w:val="28"/>
              </w:rPr>
              <w:t>初审、</w:t>
            </w:r>
            <w:r>
              <w:rPr>
                <w:rFonts w:hint="eastAsia" w:ascii="宋体" w:hAnsi="宋体" w:eastAsia="宋体" w:cs="宋体"/>
                <w:b w:val="0"/>
                <w:bCs w:val="0"/>
                <w:sz w:val="28"/>
                <w:szCs w:val="28"/>
                <w:lang w:val="en-US" w:eastAsia="zh-CN"/>
              </w:rPr>
              <w:t>乡</w:t>
            </w:r>
            <w:r>
              <w:rPr>
                <w:rFonts w:hint="eastAsia" w:ascii="宋体" w:hAnsi="宋体" w:eastAsia="宋体" w:cs="宋体"/>
                <w:b w:val="0"/>
                <w:bCs w:val="0"/>
                <w:sz w:val="28"/>
                <w:szCs w:val="28"/>
              </w:rPr>
              <w:t>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决定</w:t>
            </w:r>
            <w:r>
              <w:rPr>
                <w:rFonts w:hint="eastAsia" w:ascii="宋体" w:hAnsi="宋体" w:eastAsia="宋体" w:cs="宋体"/>
                <w:b w:val="0"/>
                <w:bCs w:val="0"/>
                <w:sz w:val="28"/>
                <w:szCs w:val="28"/>
              </w:rPr>
              <w:t>责任：对符合条件的在申请表上签署办理意见。对不符合条件的，解释原因。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事后监管责任:定期或不定期开展评价、检查，相关材料备案保存。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追责情形</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对不履行或不正确履行行政职责的行政机关及其工作人员，依据《中华人民共和国监察法》、《行政机关公务员处分条例》等法律法规规章的相关规定追究相应的责任。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监督电话</w:t>
            </w:r>
          </w:p>
        </w:tc>
        <w:tc>
          <w:tcPr>
            <w:tcW w:w="7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0825-5412015</w:t>
            </w:r>
          </w:p>
        </w:tc>
      </w:tr>
    </w:tbl>
    <w:p>
      <w:r>
        <w:br w:type="page"/>
      </w:r>
    </w:p>
    <w:tbl>
      <w:tblPr>
        <w:tblStyle w:val="4"/>
        <w:tblpPr w:leftFromText="180" w:rightFromText="180" w:vertAnchor="text" w:horzAnchor="page" w:tblpX="1830" w:tblpY="466"/>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lang w:val="en-US" w:eastAsia="zh-CN"/>
              </w:rPr>
              <w:t>为应对突发事件对单位和个人财产的征用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19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对地质灾害险情的检查</w:t>
            </w:r>
          </w:p>
        </w:tc>
      </w:tr>
      <w:tr>
        <w:tblPrEx>
          <w:tblCellMar>
            <w:top w:w="0" w:type="dxa"/>
            <w:left w:w="108" w:type="dxa"/>
            <w:bottom w:w="0" w:type="dxa"/>
            <w:right w:w="108" w:type="dxa"/>
          </w:tblCellMar>
        </w:tblPrEx>
        <w:trPr>
          <w:trHeight w:val="80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地质灾害险情</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对环境保护隐患的检查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环境保护隐患</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对秸秆禁烧区开展秸秆焚烧现场检查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秸秆禁烧区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对乡（镇）、村农村住房建设质量安全的检查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住房建设质量安全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对水上交通安全的监督检查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水上交通安全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对渡口安全的监督检查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渡口安全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对水库大坝的监督检查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水库大坝</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对流动人口用人单位计划生育工作的监督检查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流动人口用人单位计划生育工作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对预防控制狂犬病工作的督促检查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预防控制狂犬病工作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对生产经营单位安全生产状况的监督检查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生产经营单位安全生产状况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对食品安全的监督检查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食品安全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配合开展电信设施建设和保护工作的监督检查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配合开展电信设施建设和保护工作</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2741"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kern w:val="0"/>
                <w:sz w:val="28"/>
                <w:szCs w:val="28"/>
                <w:lang w:val="en-US" w:eastAsia="zh-CN" w:bidi="ar"/>
              </w:rPr>
              <w:t>对消防安全的检查</w:t>
            </w:r>
          </w:p>
        </w:tc>
      </w:tr>
      <w:tr>
        <w:tblPrEx>
          <w:tblCellMar>
            <w:top w:w="0" w:type="dxa"/>
            <w:left w:w="108" w:type="dxa"/>
            <w:bottom w:w="0" w:type="dxa"/>
            <w:right w:w="108" w:type="dxa"/>
          </w:tblCellMar>
        </w:tblPrEx>
        <w:trPr>
          <w:trHeight w:val="1080"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kern w:val="0"/>
                <w:sz w:val="28"/>
                <w:szCs w:val="28"/>
                <w:lang w:val="en-US" w:eastAsia="zh-CN" w:bidi="ar"/>
              </w:rPr>
              <w:t>消防安全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59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3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对有突出贡献的教师的表彰奖励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对在义务教育实施工作中做出突出贡献的社会组织和个人的表彰奖励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对民族团结进步模范的表彰奖励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对维护老年人合法权益和敬老、养老、助老成绩显著的组织、家庭或者个人的表彰奖励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对成绩显著的人民调解委员会和调解委员的表彰奖励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对在地质灾害防治工作中做出突出贡献的单位和个人的奖励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对在保护和开发土地资源、合理利用土地以及进行有关的科学研究等方面成绩显著的单位和个人的奖励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对保护和改善环境有显著成绩的单位和个人的奖励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对执行《四川省村镇规划建设管理条例》成绩显著，在村镇规划、建设、管理工作中成绩显著或检举、控告、查处违法建设行为成绩显著的奖励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对在开发、利用、节约、保护、管理水资源和防治水害等方面成绩显著的单位和个人的奖励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对小流域综合治理成绩显著；在植被保护、土壤保护、水源保护工作中有重大贡献；检举揭发破坏水源涵养保护工程行为，避免重大损失的单位和个人的表彰奖励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对在动物防疫工作、动物防疫科学研究中做出成绩和贡献的单位和个人的奖励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对在增殖和保护渔业资源、发展渔业生产、进行渔业科学技术研究等方面成绩显著的单位和个人的奖励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对预防、控制传染病做出显著成绩和贡献的单位和个人的奖励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对独生子女父母的奖励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对在军人抚恤优待工作中作出显著成绩的单位和个人的表彰奖励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对在改善安全生产条件、防止生产安全事故、参加抢险救援等方面取得显著成绩以及举报生产安全事故、安全生产违法行为和重大安全隐患的有功人员的表彰和奖励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对在退耕还林工作中做出显著成绩的单位和个人的表彰奖励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对在社会主义建设中做出显著成绩的残疾人，对维护残疾人合法权益、发展残疾人事业、为残疾人服务做出显著成绩的单位和个人的表彰奖励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对在未成年人保护工作中做出显著成绩的组织和个人的表彰奖励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val="en-US" w:eastAsia="zh-CN" w:bidi="ar"/>
              </w:rPr>
              <w:t>对在促进就业工作中作出显著成绩的单位和个人的表彰奖励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val="0"/>
                <w:bCs w:val="0"/>
                <w:kern w:val="0"/>
                <w:sz w:val="28"/>
                <w:szCs w:val="28"/>
                <w:lang w:val="en-US" w:eastAsia="zh-CN" w:bidi="ar"/>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4.表彰责任：按照程序报请决定，以省住建厅名义表彰。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r>
        <w:br w:type="page"/>
      </w:r>
    </w:p>
    <w:p>
      <w:pPr>
        <w:pStyle w:val="3"/>
      </w:pPr>
    </w:p>
    <w:p>
      <w:pPr>
        <w:pStyle w:val="3"/>
        <w:jc w:val="both"/>
        <w:rPr>
          <w:rFonts w:hint="default"/>
          <w:lang w:val="en-US"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对适龄儿童、少年的父母或者其他法定监护人无正当理由未依照《中华人民共和国义务教育法》规定送适龄儿童、少年入学接受义务教育的处理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对违反《学校体育工作条例》，侵占、破坏学校体育场地、器材设备的处理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对以暴力、威胁、欺骗、贿赂、伪造选票、虚报选举票数等不正当手段，妨害村民行使选举权、被选举权，破坏村民委员会选举的行为的依法处理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bl>
      <w:tblPr>
        <w:tblStyle w:val="4"/>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69"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
        <w:rPr>
          <w:rFonts w:hint="eastAsia"/>
        </w:rPr>
      </w:pPr>
    </w:p>
    <w:tbl>
      <w:tblPr>
        <w:tblStyle w:val="4"/>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对村民自治章程、村规民约以及村民会议或者村民代表会议的决定与宪法、法律、法规和国家的政策相抵触，侵犯村民的人身权利、民主权利和合法财产权利的内容的依法处理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ascii="宋体" w:hAnsi="宋体" w:eastAsia="宋体" w:cs="宋体"/>
          <w:color w:val="auto"/>
          <w:sz w:val="21"/>
          <w:szCs w:val="21"/>
          <w:highlight w:val="none"/>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对村民委员会不及时公布应当公布的事项或者公布的事项不真实的依法处理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9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村民委员会成员的任期和离任经济责任审计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61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7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村民委员会或者村民委员会成员作出的决定侵害村民合法权益不依照法律、法规的规定履行法定义务的依法处理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5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9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对农村设置公益性墓地的审核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2"/>
        <w:rPr>
          <w:rFonts w:hint="eastAsia"/>
        </w:rPr>
      </w:pPr>
    </w:p>
    <w:p>
      <w:pPr>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对村民委员会或者农村特困人员供养服务机构提供的供养服务不符合要求的依法处理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00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2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对以虚报、隐瞒、伪造等手段骗取享受特困人员供养待遇，不再符合条件不告知管理机关而继续享受特困人员供养待遇的依法处理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3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125"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6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103"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对民间纠纷的处理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8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90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对征用土地补偿费使用的批准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6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29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27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对乡（镇）村公共设施、公益事业建设用地的审核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jc w:val="both"/>
        <w:rPr>
          <w:rFonts w:hint="eastAsia"/>
          <w:lang w:eastAsia="zh-CN"/>
        </w:rPr>
      </w:pPr>
    </w:p>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对在村庄、集镇规划区内，未按规划审批程序批准而取得建设用地批准文件的，责令退回占用的土地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70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对村民住宅建设开工的审查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65"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对村民在村镇区域内进行住宅建设需占用耕地的审核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96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26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对经济适用住房资格申请的审核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56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对业主大会、业主委员会作出的决定违反法律、法规的处理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lang w:eastAsia="zh-CN"/>
        </w:rPr>
      </w:pPr>
    </w:p>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40"/>
        <w:gridCol w:w="6696"/>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对本辖区内物业管理纠纷的调解处理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4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62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临时便民服务摊点设置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425"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4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对业主委员会的备案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4339"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08"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62"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416"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对渡口设置、迁移或者撤销的审查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103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503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7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3841"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0" w:type="dxa"/>
          <w:trHeight w:val="754" w:hRule="atLeast"/>
          <w:jc w:val="center"/>
        </w:trPr>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7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在乡道、村道的出入口规范设置必要的限高、限宽设施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gridSpan w:val="2"/>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lang w:eastAsia="zh-CN"/>
        </w:rPr>
      </w:pPr>
    </w:p>
    <w:p>
      <w:pPr>
        <w:rPr>
          <w:rFonts w:hint="eastAsia"/>
          <w:lang w:eastAsia="zh-CN"/>
        </w:rPr>
      </w:pPr>
      <w:r>
        <w:rPr>
          <w:rFonts w:hint="eastAsia"/>
          <w:lang w:eastAsia="zh-CN"/>
        </w:rPr>
        <w:br w:type="page"/>
      </w:r>
    </w:p>
    <w:p>
      <w:pPr>
        <w:pStyle w:val="3"/>
        <w:rPr>
          <w:rFonts w:hint="eastAsia"/>
          <w:lang w:eastAsia="zh-CN"/>
        </w:rPr>
      </w:pPr>
    </w:p>
    <w:p>
      <w:pPr>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乡道、村道规划及其项目库编制和村道大中修养护工程年度计划的参与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ascii="黑体" w:hAnsi="黑体" w:eastAsia="黑体" w:cs="黑体"/>
          <w:color w:val="auto"/>
          <w:sz w:val="32"/>
          <w:szCs w:val="32"/>
          <w:highlight w:val="none"/>
          <w:lang w:eastAsia="zh-CN"/>
        </w:rPr>
      </w:pPr>
    </w:p>
    <w:p>
      <w:pPr>
        <w:pStyle w:val="2"/>
        <w:rPr>
          <w:rFonts w:hint="eastAsia" w:ascii="黑体" w:hAnsi="黑体" w:eastAsia="黑体" w:cs="黑体"/>
          <w:color w:val="auto"/>
          <w:sz w:val="32"/>
          <w:szCs w:val="32"/>
          <w:highlight w:val="none"/>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对农业机械作业质量争议的调解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r>
        <w:rPr>
          <w:rFonts w:hint="eastAsia"/>
          <w:lang w:eastAsia="zh-CN"/>
        </w:rPr>
        <w:br w:type="page"/>
      </w: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对承包期内，因自然灾害严重毁损承包地等特殊情形对个别农户之间承包的耕地和草地适当调整的批准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对农村土地承包经营权颁证、换发、补发的初审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r>
        <w:rPr>
          <w:rFonts w:hint="eastAsia"/>
          <w:lang w:eastAsia="zh-CN"/>
        </w:rPr>
        <w:br w:type="page"/>
      </w:r>
    </w:p>
    <w:p>
      <w:pPr>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对土地承包经营纠纷的调解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lang w:eastAsia="zh-CN"/>
        </w:rPr>
      </w:pPr>
    </w:p>
    <w:p>
      <w:pPr>
        <w:pStyle w:val="3"/>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对强迫农民以资代劳的责令改正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对动物强制免疫的实施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发生三类动物疫病时组织防治和净化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lang w:eastAsia="zh-CN"/>
        </w:rPr>
      </w:pPr>
    </w:p>
    <w:p>
      <w:pPr>
        <w:pStyle w:val="3"/>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对流动人口未依照《流动人口计划生育工作条例》规定办理婚育证明的处理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r>
        <w:rPr>
          <w:rFonts w:hint="eastAsia"/>
          <w:lang w:eastAsia="zh-CN"/>
        </w:rPr>
        <w:br w:type="page"/>
      </w:r>
    </w:p>
    <w:p>
      <w:pPr>
        <w:pStyle w:val="2"/>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对新生儿在医疗卫生机构以外地点死亡的核查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lang w:eastAsia="zh-CN"/>
        </w:rPr>
      </w:pP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对房屋租赁中介机构、房屋的出租（借人和物业服务企业等有关组织或者个人未按照《流动人口计划生育工作条例》如实提供流动人口信息的处理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lang w:eastAsia="zh-CN"/>
        </w:rPr>
      </w:pPr>
    </w:p>
    <w:p>
      <w:pPr>
        <w:rPr>
          <w:rFonts w:hint="eastAsia"/>
          <w:lang w:eastAsia="zh-CN"/>
        </w:rPr>
      </w:pPr>
      <w:r>
        <w:rPr>
          <w:rFonts w:hint="eastAsia"/>
          <w:lang w:eastAsia="zh-CN"/>
        </w:rPr>
        <w:br w:type="page"/>
      </w:r>
    </w:p>
    <w:p>
      <w:pPr>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对再生育申请的受理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lang w:eastAsia="zh-CN"/>
        </w:rPr>
      </w:pP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对申请病残儿医学鉴定者情况的审核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lang w:eastAsia="zh-CN"/>
        </w:rPr>
      </w:pPr>
    </w:p>
    <w:p>
      <w:pPr>
        <w:rPr>
          <w:rFonts w:hint="eastAsia"/>
          <w:lang w:eastAsia="zh-CN"/>
        </w:rPr>
      </w:pPr>
      <w:r>
        <w:rPr>
          <w:rFonts w:hint="eastAsia"/>
          <w:lang w:eastAsia="zh-CN"/>
        </w:rPr>
        <w:br w:type="page"/>
      </w:r>
    </w:p>
    <w:p>
      <w:pPr>
        <w:pStyle w:val="2"/>
        <w:rPr>
          <w:rFonts w:hint="eastAsia"/>
          <w:lang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对不履行协助计划生育管理义务的处理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jc w:val="both"/>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对违反《四川省安全生产条例》规定的责令限期改正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rPr>
      </w:pPr>
    </w:p>
    <w:p>
      <w:pPr>
        <w:pStyle w:val="3"/>
        <w:rPr>
          <w:rFonts w:hint="eastAsia"/>
        </w:rPr>
      </w:pPr>
      <w:r>
        <w:rPr>
          <w:rFonts w:hint="eastAsia"/>
        </w:rPr>
        <w:br w:type="column"/>
      </w: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紧急情况下，对生产经营单位的责令暂停作业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对因自然灾害受损的居民住房恢复重建补助对象的审核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r>
        <w:rPr>
          <w:rFonts w:hint="eastAsia"/>
        </w:rPr>
        <w:br w:type="page"/>
      </w:r>
    </w:p>
    <w:p>
      <w:pPr>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对食品摊贩经营区域和时段的确定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对乡村集体所有制企业设立的审核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对设立健身气功站点的审核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rPr>
      </w:pPr>
    </w:p>
    <w:p>
      <w:pPr>
        <w:rPr>
          <w:rFonts w:hint="eastAsia"/>
        </w:rPr>
      </w:pPr>
      <w:r>
        <w:rPr>
          <w:rFonts w:hint="eastAsia"/>
        </w:rPr>
        <w:br w:type="page"/>
      </w: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对贫困户、贫困村的审查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对移民安置区的移民生产生活的帮助及矛盾纠纷的调处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rPr>
          <w:rFonts w:hint="eastAsia"/>
        </w:rPr>
      </w:pPr>
      <w:r>
        <w:rPr>
          <w:rFonts w:hint="eastAsia"/>
        </w:rPr>
        <w:br w:type="page"/>
      </w: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对侵害妇女及其配偶、子女在农村集体经济组织中享有权益的调解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捕杀狂犬、野犬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对社区戒毒人员、社区康复人员的监督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对可能引发社会安全事件的矛盾纠纷的调解处理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对畜禽养殖环境污染行为的制止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对拖欠农民工工资矛盾的排查和调处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对不满 16 周岁的未成年人的父母或者其他监护人允许其被用人单位非法招用的处理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对发现违法焚烧秸秆的制止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r>
        <w:rPr>
          <w:rFonts w:hint="eastAsia"/>
        </w:rPr>
        <w:br w:type="page"/>
      </w:r>
    </w:p>
    <w:p>
      <w:pPr>
        <w:pStyle w:val="3"/>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对已登记应征公民的体格检查和相关审查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p>
    <w:p>
      <w:pPr>
        <w:rPr>
          <w:rFonts w:hint="eastAsia"/>
        </w:rPr>
      </w:pPr>
      <w:r>
        <w:rPr>
          <w:rFonts w:hint="eastAsia"/>
        </w:rPr>
        <w:br w:type="page"/>
      </w: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城市生活无着的流浪乞讨人员救助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pStyle w:val="3"/>
        <w:rPr>
          <w:rFonts w:hint="eastAsia"/>
        </w:rPr>
      </w:pPr>
    </w:p>
    <w:p>
      <w:pPr>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有关社会救助的审核(最低生活保障、特困人员供养、住房救助、医疗救助、受灾救助、临时救助)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Pr>
        <w:rPr>
          <w:rFonts w:hint="eastAsia"/>
        </w:rPr>
      </w:pPr>
      <w:r>
        <w:rPr>
          <w:rFonts w:hint="eastAsia"/>
        </w:rPr>
        <w:br w:type="page"/>
      </w:r>
    </w:p>
    <w:p>
      <w:pPr>
        <w:pStyle w:val="3"/>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农村自办宴席管理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6"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0825-5412015</w:t>
            </w:r>
          </w:p>
        </w:tc>
      </w:tr>
    </w:tbl>
    <w:p/>
    <w:p>
      <w:pPr>
        <w:spacing w:line="300" w:lineRule="exact"/>
        <w:jc w:val="both"/>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spacing w:val="-20"/>
          <w:sz w:val="44"/>
          <w:szCs w:val="44"/>
        </w:rPr>
        <w:t>蓬溪县赋予乡镇(街道)县级行政权力事项清单</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1</w:t>
      </w:r>
    </w:p>
    <w:p>
      <w:pPr>
        <w:pStyle w:val="2"/>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b w:val="0"/>
                <w:bCs w:val="0"/>
                <w:sz w:val="28"/>
                <w:szCs w:val="28"/>
                <w:lang w:val="en-US" w:eastAsia="zh-CN"/>
              </w:rPr>
              <w:t>污水处理费的征收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序号</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权力类型</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权力项目名称</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lang w:val="en-US" w:eastAsia="zh-CN"/>
              </w:rPr>
              <w:t>征收建筑垃圾处置费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责任主体</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lang w:val="en-US" w:eastAsia="zh-CN"/>
              </w:rPr>
              <w:t>财政工作办公室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责任事项</w:t>
            </w:r>
          </w:p>
        </w:tc>
        <w:tc>
          <w:tcPr>
            <w:tcW w:w="704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1.受理责任：公示告知收费标准，以及其他应当公示的内容，并按申请人的要求进行相关解释说明。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2.审核责任：依据收费标准，按照建筑面积对收取费用进行核实。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3.决定责任：做出审核决定，开具配套费缴费通知单。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4.事后监管责任：建立实施监督检查的运行机制和管理制度，开展定期和不定期检查，依法采取相关处置措施。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追责情形</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监督电话</w:t>
            </w:r>
          </w:p>
        </w:tc>
        <w:tc>
          <w:tcPr>
            <w:tcW w:w="704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pStyle w:val="2"/>
        <w:jc w:val="both"/>
        <w:rPr>
          <w:rFonts w:hint="eastAsia"/>
          <w:lang w:val="en-US"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2</w:t>
      </w:r>
    </w:p>
    <w:p>
      <w:pPr>
        <w:pStyle w:val="3"/>
        <w:rPr>
          <w:rFonts w:hint="eastAsia"/>
          <w:lang w:val="en-US" w:eastAsia="zh-CN"/>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对养老机构的监督检查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敬老院</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3"/>
        <w:rPr>
          <w:rFonts w:hint="eastAsia"/>
        </w:rPr>
      </w:pPr>
    </w:p>
    <w:p>
      <w:pPr>
        <w:spacing w:line="300" w:lineRule="exact"/>
        <w:jc w:val="both"/>
        <w:rPr>
          <w:rFonts w:hint="eastAsia" w:ascii="黑体" w:hAnsi="黑体" w:eastAsia="黑体" w:cs="黑体"/>
          <w:color w:val="auto"/>
          <w:sz w:val="32"/>
          <w:szCs w:val="32"/>
          <w:highlight w:val="none"/>
        </w:rPr>
      </w:pPr>
    </w:p>
    <w:p>
      <w:pPr>
        <w:pStyle w:val="2"/>
        <w:rPr>
          <w:rFonts w:hint="eastAsia"/>
        </w:rPr>
      </w:pPr>
    </w:p>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对重点排污单位环境信息公开活动的监督检查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对从事可能造成土壤污染活动的企业事业单位和其他生产经营者进行的监督检查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养殖场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对排放污染物的企业事业单位和其他生产经营者的监督检查（不含监测）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污水处理厂、养殖场、餐馆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对房屋和市政工程施工扬尘的监督检查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房屋和市政工程施工现场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对道路运输及相关业务经营场所、客货集散地的监督检查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客运站</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对道路运输车辆的监督检查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color w:val="auto"/>
                <w:sz w:val="28"/>
                <w:szCs w:val="28"/>
                <w:highlight w:val="none"/>
                <w:lang w:val="en-US" w:eastAsia="zh-CN"/>
              </w:rPr>
              <w:t>对道路运输车辆</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对船舶、船员的监督检查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船舶、船员</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对超限运输车辆、公路路产路权的检查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超限运输车辆、公路路产路权</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水土保持监督检查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辖区</w:t>
            </w:r>
            <w:r>
              <w:rPr>
                <w:rFonts w:hint="eastAsia" w:ascii="宋体" w:hAnsi="宋体" w:eastAsia="宋体" w:cs="宋体"/>
                <w:color w:val="auto"/>
                <w:sz w:val="28"/>
                <w:szCs w:val="28"/>
                <w:highlight w:val="none"/>
                <w:lang w:val="en-US" w:eastAsia="zh-CN"/>
              </w:rPr>
              <w:t>水土保持</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检查督促防洪工程设施的建设和水毁工程的修复</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防洪工程设施的建设和水毁工程的修复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监督检查其他有防汛抗洪任务的部门和单位做好本行业和本单位防汛工作的情况</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本辖区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对供用水单位的取水、供水和用水情况进行监督检查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供用水单位的取水、供水和用水情况</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对村民生活自用河砂开采及使用的检查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村民生活自用河砂开采及使用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农村饮水安全检查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农村饮水安全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对农产品质量安全的监督检查(不含监督抽查）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w:t>
            </w:r>
            <w:r>
              <w:rPr>
                <w:rFonts w:hint="eastAsia" w:ascii="宋体" w:hAnsi="宋体" w:eastAsia="宋体" w:cs="宋体"/>
                <w:b w:val="0"/>
                <w:bCs w:val="0"/>
                <w:sz w:val="28"/>
                <w:szCs w:val="28"/>
                <w:lang w:val="en-US" w:eastAsia="zh-CN"/>
              </w:rPr>
              <w:t>对农产品质量安全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对农产品地理标志的地域范围、标志使用的监督检查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农产品地理标志的地域范围、标志使用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r>
      <w:tr>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对农药生产、经营、使用场所进行检查（不含对农药实施抽查检测）</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农药生产、经营、使用场所</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对动物防疫的监督检查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动物防疫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对生猪屠宰活动的监督检查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生猪屠宰活动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对绿色食品及绿色食品标志的监督检查（不含监督抽查）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绿色食品及绿色食品标志</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对农业机械的安全监督检查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农业机械的安全</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对兽药经营企业的监督检查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兽药经营企业</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对渔业及渔业船舶的监督检查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渔业及渔业船舶</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28</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对经营利用水生野生动物及其产品、捕捉国家重点保护的水生野生动物的监督检查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经营利用水生野生动物及其产品、捕捉国家重点保护的水生野生动物</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29</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植物检疫检查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植物检疫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30</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对违反农村宅基地管理法律、法规行为的监督检查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违反农村宅基地管理法律、法规行为</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森林防火检查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color w:val="auto"/>
                <w:sz w:val="28"/>
                <w:szCs w:val="28"/>
                <w:highlight w:val="none"/>
                <w:lang w:val="en-US" w:eastAsia="zh-CN"/>
              </w:rPr>
              <w:t>森林防火</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权力类型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w:t>
            </w:r>
            <w:r>
              <w:rPr>
                <w:rFonts w:hint="eastAsia" w:ascii="宋体" w:hAnsi="宋体" w:eastAsia="宋体" w:cs="宋体"/>
                <w:color w:val="auto"/>
                <w:sz w:val="28"/>
                <w:szCs w:val="28"/>
                <w:highlight w:val="none"/>
                <w:lang w:val="en-US" w:eastAsia="zh-CN"/>
              </w:rPr>
              <w:t>检查</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行政权力名称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320" w:lineRule="exact"/>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b w:val="0"/>
                <w:bCs w:val="0"/>
                <w:sz w:val="28"/>
                <w:szCs w:val="28"/>
                <w:lang w:val="en-US" w:eastAsia="zh-CN"/>
              </w:rPr>
              <w:t>对宗教活动场所内的文物保护单位的行政检查</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1.检查责任：根据本地区的实际情况，对</w:t>
            </w:r>
            <w:r>
              <w:rPr>
                <w:rFonts w:hint="eastAsia" w:ascii="宋体" w:hAnsi="宋体" w:eastAsia="宋体" w:cs="宋体"/>
                <w:b w:val="0"/>
                <w:bCs w:val="0"/>
                <w:sz w:val="28"/>
                <w:szCs w:val="28"/>
                <w:lang w:val="en-US" w:eastAsia="zh-CN"/>
              </w:rPr>
              <w:t>宗教活动场所内的文物保护单位</w:t>
            </w:r>
            <w:r>
              <w:rPr>
                <w:rFonts w:hint="eastAsia" w:ascii="宋体" w:hAnsi="宋体" w:eastAsia="宋体" w:cs="宋体"/>
                <w:b w:val="0"/>
                <w:bCs w:val="0"/>
                <w:sz w:val="28"/>
                <w:szCs w:val="28"/>
              </w:rPr>
              <w:t>进行定期或者不定期监督检查。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2.处置责任：根据检查情况，依法依规采取相应的处置措施，并视违法情节按规定移送或报告有关机构。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3.信息公开责任：按照相关规定办理信息公开事项。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追责形式</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N/>
              <w:bidi w:val="0"/>
              <w:adjustRightInd/>
              <w:snapToGrid/>
              <w:spacing w:beforeAutospacing="0" w:afterAutospacing="0" w:line="3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p>
      <w:pPr>
        <w:spacing w:line="300" w:lineRule="exact"/>
        <w:jc w:val="both"/>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表</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3</w:t>
      </w: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对基本农田保护的奖励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对环境保护工作有重要推动作用的信访人的表扬或者奖励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3"/>
        <w:rPr>
          <w:rFonts w:hint="eastAsia"/>
        </w:rPr>
      </w:pPr>
    </w:p>
    <w:tbl>
      <w:tblPr>
        <w:tblStyle w:val="4"/>
        <w:tblW w:w="8399" w:type="dxa"/>
        <w:tblInd w:w="125" w:type="dxa"/>
        <w:tblLayout w:type="fixed"/>
        <w:tblCellMar>
          <w:top w:w="0" w:type="dxa"/>
          <w:left w:w="108" w:type="dxa"/>
          <w:bottom w:w="0" w:type="dxa"/>
          <w:right w:w="108" w:type="dxa"/>
        </w:tblCellMar>
      </w:tblPr>
      <w:tblGrid>
        <w:gridCol w:w="1416"/>
        <w:gridCol w:w="6983"/>
      </w:tblGrid>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35</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行政奖励</w:t>
            </w:r>
          </w:p>
        </w:tc>
      </w:tr>
      <w:tr>
        <w:tblPrEx>
          <w:tblCellMar>
            <w:top w:w="0" w:type="dxa"/>
            <w:left w:w="108" w:type="dxa"/>
            <w:bottom w:w="0" w:type="dxa"/>
            <w:right w:w="108" w:type="dxa"/>
          </w:tblCellMar>
        </w:tblPrEx>
        <w:trPr>
          <w:trHeight w:val="95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color w:val="auto"/>
                <w:sz w:val="28"/>
                <w:szCs w:val="28"/>
                <w:highlight w:val="none"/>
                <w:lang w:val="en-US" w:eastAsia="zh-CN"/>
              </w:rPr>
              <w:t>对举报违反食品安全规定的行为进行奖励</w:t>
            </w:r>
          </w:p>
        </w:tc>
      </w:tr>
      <w:tr>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CellMar>
            <w:top w:w="0" w:type="dxa"/>
            <w:left w:w="108" w:type="dxa"/>
            <w:bottom w:w="0" w:type="dxa"/>
            <w:right w:w="108" w:type="dxa"/>
          </w:tblCellMar>
        </w:tblPrEx>
        <w:trPr>
          <w:trHeight w:val="2962"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1.制定方案责任：在征求意见基础上，科学制定表彰方案。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2.组织推荐责任：严格按照表彰方案规定的条件、程序，组织推荐工作，对推荐对象进行初审。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4.表彰责任：按照程序报请决定，以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名义表彰。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CellMar>
            <w:top w:w="0" w:type="dxa"/>
            <w:left w:w="108" w:type="dxa"/>
            <w:bottom w:w="0" w:type="dxa"/>
            <w:right w:w="108" w:type="dxa"/>
          </w:tblCellMar>
        </w:tblPrEx>
        <w:trPr>
          <w:trHeight w:val="2368"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CellMar>
            <w:top w:w="0" w:type="dxa"/>
            <w:left w:w="108" w:type="dxa"/>
            <w:bottom w:w="0" w:type="dxa"/>
            <w:right w:w="108" w:type="dxa"/>
          </w:tblCellMar>
        </w:tblPrEx>
        <w:trPr>
          <w:trHeight w:val="51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对应急预案管理工作中做出显著成绩的单位和人员给予奖励（不含表彰）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对在森林病虫害防治工作中做出突出成绩的单位和个人给予奖励（不含表彰）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在森林防火工作中做出突出成绩或在扑救重大、特别重大森林火灾中表现突出的单位和个人给予奖励（不含表彰）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对在森林资源保护管理工作中做出突出成绩的单位和个人给予奖励（不含表彰）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党建工作</w:t>
            </w:r>
            <w:r>
              <w:rPr>
                <w:rFonts w:hint="eastAsia" w:ascii="宋体" w:hAnsi="宋体" w:eastAsia="宋体" w:cs="宋体"/>
                <w:color w:val="auto"/>
                <w:sz w:val="28"/>
                <w:szCs w:val="28"/>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4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1.制定方案责任：在征求意见基础上，科学制定</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2.组织推荐责任：严格按照</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方案规定的条件、程序，组织推荐工作，对推荐对象进行初审。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3.审核公示责任：对符合条件的推荐对象进行审核，报请研究审定，并进行公示。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责任：按照程序报请决定，以</w:t>
            </w:r>
            <w:r>
              <w:rPr>
                <w:rFonts w:hint="eastAsia" w:ascii="宋体" w:hAnsi="宋体" w:eastAsia="宋体" w:cs="宋体"/>
                <w:b w:val="0"/>
                <w:bCs w:val="0"/>
                <w:sz w:val="28"/>
                <w:szCs w:val="28"/>
                <w:lang w:val="en-US" w:eastAsia="zh-CN"/>
              </w:rPr>
              <w:t>乡党委、政府</w:t>
            </w:r>
            <w:r>
              <w:rPr>
                <w:rFonts w:hint="eastAsia" w:ascii="宋体" w:hAnsi="宋体" w:eastAsia="宋体" w:cs="宋体"/>
                <w:b w:val="0"/>
                <w:bCs w:val="0"/>
                <w:sz w:val="28"/>
                <w:szCs w:val="28"/>
              </w:rPr>
              <w:t>名义</w:t>
            </w:r>
            <w:r>
              <w:rPr>
                <w:rFonts w:hint="eastAsia" w:ascii="宋体" w:hAnsi="宋体" w:eastAsia="宋体" w:cs="宋体"/>
                <w:b w:val="0"/>
                <w:bCs w:val="0"/>
                <w:sz w:val="28"/>
                <w:szCs w:val="28"/>
                <w:lang w:val="en-US" w:eastAsia="zh-CN"/>
              </w:rPr>
              <w:t>奖励</w:t>
            </w:r>
            <w:r>
              <w:rPr>
                <w:rFonts w:hint="eastAsia" w:ascii="宋体" w:hAnsi="宋体" w:eastAsia="宋体" w:cs="宋体"/>
                <w:b w:val="0"/>
                <w:bCs w:val="0"/>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1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pStyle w:val="2"/>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3-4</w:t>
      </w:r>
    </w:p>
    <w:p>
      <w:pPr>
        <w:pStyle w:val="3"/>
        <w:rPr>
          <w:rFonts w:hint="default"/>
          <w:lang w:val="en-US" w:eastAsia="zh-CN"/>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对阻挠国家建设征收土地的处理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对被征地当事人依法补偿、安置后拒不搬迁的处理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经济发展和乡村振兴办公室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sz w:val="28"/>
                <w:szCs w:val="28"/>
                <w:lang w:val="en-US" w:eastAsia="zh-CN"/>
              </w:rPr>
              <w:t>食品小作坊、小经营店备案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综合行政执法办公室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对侵占、破坏公共体育设施的处理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tbl>
      <w:tblPr>
        <w:tblStyle w:val="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权利类型</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权利项目名称</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下达森林火灾隐患整改通知书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责任主体</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社会事务和应急管理办公室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责任事项</w:t>
            </w:r>
          </w:p>
        </w:tc>
        <w:tc>
          <w:tcPr>
            <w:tcW w:w="6935"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1.立项责任：核实是否具备立项等前期手续。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2.审查责任：对申请材料的实质内容进行核实。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3.批准责任： 做出审核决定。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4.发布备案责任：建筑工程施工图设计文件审查备案结果进行及时发布，方便公众进行查阅。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5.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追责情形</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监督电话</w:t>
            </w:r>
          </w:p>
        </w:tc>
        <w:tc>
          <w:tcPr>
            <w:tcW w:w="69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shd w:val="clear" w:color="auto" w:fill="FFFFFF"/>
                <w:lang w:val="en-US" w:eastAsia="zh-CN"/>
              </w:rPr>
              <w:t>0825—5412015</w:t>
            </w:r>
          </w:p>
        </w:tc>
      </w:tr>
    </w:tbl>
    <w:p>
      <w:pPr>
        <w:pStyle w:val="3"/>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6BA5"/>
    <w:rsid w:val="04180B9C"/>
    <w:rsid w:val="0D1A38BD"/>
    <w:rsid w:val="13186C5D"/>
    <w:rsid w:val="1343644D"/>
    <w:rsid w:val="162B1D05"/>
    <w:rsid w:val="1D017DCB"/>
    <w:rsid w:val="2B227A9A"/>
    <w:rsid w:val="2B750A0C"/>
    <w:rsid w:val="34BC0EFA"/>
    <w:rsid w:val="37842856"/>
    <w:rsid w:val="37AC391B"/>
    <w:rsid w:val="398836FB"/>
    <w:rsid w:val="402D26B6"/>
    <w:rsid w:val="40BE756E"/>
    <w:rsid w:val="42670826"/>
    <w:rsid w:val="42D40240"/>
    <w:rsid w:val="47487A81"/>
    <w:rsid w:val="49FE6FE2"/>
    <w:rsid w:val="514F4928"/>
    <w:rsid w:val="52575AE4"/>
    <w:rsid w:val="52DE147C"/>
    <w:rsid w:val="60ED7280"/>
    <w:rsid w:val="633E19B0"/>
    <w:rsid w:val="68402487"/>
    <w:rsid w:val="696F50F3"/>
    <w:rsid w:val="6C1208EA"/>
    <w:rsid w:val="74F9413D"/>
    <w:rsid w:val="7CFF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2021-06-01T07:15:00Z</dcterms:created>
  <dc:creator>zq</dc:creator>
  <cp:lastModifiedBy>zq</cp:lastModifiedBy>
  <dcterms:modified xsi:type="dcterms:W3CDTF">2021-06-30T01:57:37Z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6B6376BD76EE4F25B370A14AE5327DCC</vt:lpwstr>
  </property>
</Properties>
</file>