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ind w:left="0" w:right="0"/>
        <w:rPr>
          <w:rFonts w:ascii="Times New Roman" w:hAnsi="Times New Roman" w:cs="Times New Roman"/>
          <w:color w:val="auto"/>
        </w:rPr>
      </w:pPr>
      <w:r>
        <w:rPr>
          <w:rFonts w:ascii="Times New Roman" w:hAnsi="Times New Roman" w:cs="Times New Roman"/>
          <w:color w:val="auto"/>
        </w:rPr>
        <w:t>建设项目环境影响报告表</w:t>
      </w:r>
    </w:p>
    <w:p>
      <w:pPr>
        <w:pStyle w:val="3"/>
        <w:spacing w:before="377"/>
        <w:ind w:left="426"/>
        <w:rPr>
          <w:rFonts w:ascii="Times New Roman" w:hAnsi="Times New Roman" w:cs="Times New Roman"/>
          <w:color w:val="auto"/>
        </w:rPr>
      </w:pPr>
      <w:r>
        <w:rPr>
          <w:rFonts w:ascii="Times New Roman" w:hAnsi="Times New Roman" w:cs="Times New Roman"/>
          <w:color w:val="auto"/>
        </w:rPr>
        <w:t>（</w:t>
      </w:r>
      <w:r>
        <w:rPr>
          <w:rFonts w:hint="default" w:ascii="Times New Roman" w:hAnsi="Times New Roman" w:cs="Times New Roman"/>
          <w:color w:val="auto"/>
        </w:rPr>
        <w:t>污染影响类</w:t>
      </w:r>
      <w:r>
        <w:rPr>
          <w:rFonts w:ascii="Times New Roman" w:hAnsi="Times New Roman" w:cs="Times New Roman"/>
          <w:color w:val="auto"/>
        </w:rPr>
        <w:t>）</w:t>
      </w:r>
    </w:p>
    <w:p>
      <w:pPr>
        <w:pStyle w:val="8"/>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eastAsia="宋体" w:cs="Times New Roman"/>
          <w:color w:val="auto"/>
          <w:sz w:val="32"/>
          <w:lang w:eastAsia="zh-CN"/>
        </w:rPr>
      </w:pPr>
      <w:r>
        <w:rPr>
          <w:rFonts w:hint="eastAsia" w:ascii="Times New Roman" w:hAnsi="Times New Roman" w:cs="Times New Roman"/>
          <w:color w:val="auto"/>
          <w:sz w:val="32"/>
          <w:lang w:eastAsia="zh-CN"/>
        </w:rPr>
        <w:t>（</w:t>
      </w:r>
      <w:r>
        <w:rPr>
          <w:rFonts w:hint="eastAsia" w:ascii="Times New Roman" w:hAnsi="Times New Roman" w:cs="Times New Roman"/>
          <w:color w:val="auto"/>
          <w:sz w:val="32"/>
          <w:lang w:val="en-US" w:eastAsia="zh-CN"/>
        </w:rPr>
        <w:t>公示本</w:t>
      </w:r>
      <w:r>
        <w:rPr>
          <w:rFonts w:hint="eastAsia" w:ascii="Times New Roman" w:hAnsi="Times New Roman" w:cs="Times New Roman"/>
          <w:color w:val="auto"/>
          <w:sz w:val="32"/>
          <w:lang w:eastAsia="zh-CN"/>
        </w:rPr>
        <w:t>）</w:t>
      </w:r>
    </w:p>
    <w:p>
      <w:pPr>
        <w:tabs>
          <w:tab w:val="left" w:pos="638"/>
          <w:tab w:val="left" w:pos="1279"/>
          <w:tab w:val="left" w:pos="1918"/>
        </w:tabs>
        <w:spacing w:before="250"/>
        <w:ind w:right="423"/>
        <w:jc w:val="center"/>
        <w:rPr>
          <w:rFonts w:ascii="Times New Roman" w:hAnsi="Times New Roman" w:cs="Times New Roman"/>
          <w:color w:val="auto"/>
          <w:sz w:val="32"/>
        </w:rPr>
      </w:pPr>
    </w:p>
    <w:p>
      <w:pPr>
        <w:tabs>
          <w:tab w:val="left" w:pos="638"/>
          <w:tab w:val="left" w:pos="1279"/>
          <w:tab w:val="left" w:pos="1918"/>
        </w:tabs>
        <w:spacing w:before="250"/>
        <w:ind w:right="423"/>
        <w:jc w:val="center"/>
        <w:rPr>
          <w:rFonts w:ascii="Times New Roman" w:hAnsi="Times New Roman" w:cs="Times New Roman"/>
          <w:color w:val="auto"/>
          <w:sz w:val="32"/>
        </w:rPr>
      </w:pPr>
    </w:p>
    <w:p>
      <w:pPr>
        <w:tabs>
          <w:tab w:val="left" w:pos="638"/>
          <w:tab w:val="left" w:pos="1279"/>
          <w:tab w:val="left" w:pos="1918"/>
        </w:tabs>
        <w:spacing w:before="250"/>
        <w:ind w:right="423"/>
        <w:jc w:val="center"/>
        <w:rPr>
          <w:rFonts w:ascii="Times New Roman" w:hAnsi="Times New Roman" w:cs="Times New Roman"/>
          <w:color w:val="auto"/>
          <w:sz w:val="32"/>
        </w:rPr>
      </w:pPr>
    </w:p>
    <w:p>
      <w:pPr>
        <w:tabs>
          <w:tab w:val="left" w:pos="6872"/>
        </w:tabs>
        <w:spacing w:before="64" w:line="364" w:lineRule="auto"/>
        <w:ind w:left="4313" w:right="4310"/>
        <w:rPr>
          <w:rFonts w:ascii="Times New Roman" w:hAnsi="Times New Roman" w:cs="Times New Roman"/>
          <w:color w:val="auto"/>
        </w:rPr>
      </w:pPr>
    </w:p>
    <w:p>
      <w:pPr>
        <w:rPr>
          <w:rFonts w:ascii="Times New Roman" w:hAnsi="Times New Roman" w:cs="Times New Roman"/>
          <w:color w:val="auto"/>
        </w:rPr>
      </w:pPr>
    </w:p>
    <w:p>
      <w:pPr>
        <w:pStyle w:val="36"/>
        <w:rPr>
          <w:rFonts w:ascii="Times New Roman" w:hAnsi="Times New Roman" w:cs="Times New Roman"/>
          <w:color w:val="auto"/>
        </w:rPr>
      </w:pPr>
    </w:p>
    <w:p>
      <w:pPr>
        <w:pStyle w:val="36"/>
        <w:rPr>
          <w:rFonts w:ascii="Times New Roman" w:hAnsi="Times New Roman" w:cs="Times New Roman"/>
          <w:color w:val="auto"/>
        </w:rPr>
      </w:pPr>
    </w:p>
    <w:p>
      <w:pPr>
        <w:pStyle w:val="36"/>
        <w:rPr>
          <w:rFonts w:ascii="Times New Roman" w:hAnsi="Times New Roman" w:cs="Times New Roman"/>
          <w:color w:val="auto"/>
        </w:rPr>
      </w:pPr>
      <w:r>
        <w:rPr>
          <w:rFonts w:hint="default" w:ascii="Times New Roman" w:hAnsi="Times New Roman" w:cs="Times New Roman"/>
          <w:color w:val="auto"/>
        </w:rPr>
        <w:t xml:space="preserve">  </w:t>
      </w:r>
    </w:p>
    <w:p>
      <w:pPr>
        <w:pStyle w:val="36"/>
        <w:rPr>
          <w:rFonts w:ascii="Times New Roman" w:hAnsi="Times New Roman" w:cs="Times New Roman"/>
          <w:color w:val="auto"/>
        </w:rPr>
      </w:pPr>
    </w:p>
    <w:p>
      <w:pPr>
        <w:pStyle w:val="36"/>
        <w:rPr>
          <w:rFonts w:ascii="Times New Roman" w:hAnsi="Times New Roman" w:cs="Times New Roman"/>
          <w:color w:val="auto"/>
        </w:rPr>
      </w:pPr>
    </w:p>
    <w:p>
      <w:pPr>
        <w:pStyle w:val="36"/>
        <w:rPr>
          <w:rFonts w:ascii="Times New Roman" w:hAnsi="Times New Roman" w:cs="Times New Roman"/>
          <w:color w:val="auto"/>
        </w:rPr>
      </w:pPr>
    </w:p>
    <w:p>
      <w:pPr>
        <w:pStyle w:val="36"/>
        <w:rPr>
          <w:rFonts w:ascii="Times New Roman" w:hAnsi="Times New Roman" w:cs="Times New Roman"/>
          <w:color w:val="auto"/>
        </w:rPr>
      </w:pPr>
    </w:p>
    <w:p>
      <w:pPr>
        <w:pStyle w:val="4"/>
        <w:spacing w:line="360" w:lineRule="auto"/>
        <w:ind w:firstLine="1960" w:firstLineChars="700"/>
        <w:rPr>
          <w:rFonts w:ascii="Times New Roman" w:hAnsi="Times New Roman" w:cs="Times New Roman"/>
          <w:color w:val="auto"/>
          <w:u w:val="single"/>
        </w:rPr>
      </w:pPr>
      <w:r>
        <w:rPr>
          <w:rFonts w:hint="default" w:ascii="Times New Roman" w:hAnsi="Times New Roman" w:cs="Times New Roman"/>
          <w:color w:val="auto"/>
        </w:rPr>
        <w:t>项目名称：</w:t>
      </w:r>
      <w:r>
        <w:rPr>
          <w:rFonts w:hint="default" w:ascii="Times New Roman" w:hAnsi="Times New Roman" w:cs="Times New Roman"/>
          <w:color w:val="auto"/>
          <w:u w:val="single"/>
        </w:rPr>
        <w:t xml:space="preserve">      </w:t>
      </w:r>
      <w:r>
        <w:rPr>
          <w:rFonts w:hint="eastAsia" w:ascii="Times New Roman" w:hAnsi="Times New Roman" w:cs="Times New Roman"/>
          <w:color w:val="auto"/>
          <w:u w:val="single"/>
          <w:lang w:val="en-US" w:eastAsia="zh-CN"/>
        </w:rPr>
        <w:t xml:space="preserve">      </w:t>
      </w:r>
      <w:r>
        <w:rPr>
          <w:rFonts w:hint="default" w:ascii="Times New Roman" w:hAnsi="Times New Roman" w:cs="Times New Roman"/>
          <w:color w:val="auto"/>
          <w:u w:val="single"/>
          <w:lang w:val="en-US" w:eastAsia="zh-CN"/>
        </w:rPr>
        <w:t>水泥制品技改项目</w:t>
      </w:r>
      <w:r>
        <w:rPr>
          <w:rFonts w:hint="eastAsia" w:ascii="Times New Roman" w:hAnsi="Times New Roman" w:cs="Times New Roman"/>
          <w:color w:val="auto"/>
          <w:u w:val="single"/>
          <w:lang w:val="en-US" w:eastAsia="zh-CN"/>
        </w:rPr>
        <w:t xml:space="preserve">        </w:t>
      </w:r>
      <w:r>
        <w:rPr>
          <w:rFonts w:hint="default" w:ascii="Times New Roman" w:hAnsi="Times New Roman" w:cs="Times New Roman"/>
          <w:color w:val="auto"/>
          <w:u w:val="single"/>
        </w:rPr>
        <w:t xml:space="preserve">      </w:t>
      </w:r>
    </w:p>
    <w:p>
      <w:pPr>
        <w:pStyle w:val="4"/>
        <w:spacing w:line="360" w:lineRule="auto"/>
        <w:ind w:firstLine="1960" w:firstLineChars="700"/>
        <w:rPr>
          <w:rFonts w:ascii="Times New Roman" w:hAnsi="Times New Roman" w:cs="Times New Roman"/>
          <w:color w:val="auto"/>
          <w:u w:val="single"/>
        </w:rPr>
      </w:pPr>
      <w:r>
        <w:rPr>
          <w:rFonts w:hint="default" w:ascii="Times New Roman" w:hAnsi="Times New Roman" w:cs="Times New Roman"/>
          <w:color w:val="auto"/>
        </w:rPr>
        <w:t>建设单位（盖章）：</w:t>
      </w:r>
      <w:r>
        <w:rPr>
          <w:rFonts w:hint="default" w:ascii="Times New Roman" w:hAnsi="Times New Roman" w:cs="Times New Roman"/>
          <w:color w:val="auto"/>
          <w:u w:val="single"/>
        </w:rPr>
        <w:t xml:space="preserve">       四川澳峰橡胶有限公司       </w:t>
      </w:r>
    </w:p>
    <w:p>
      <w:pPr>
        <w:pStyle w:val="4"/>
        <w:spacing w:line="360" w:lineRule="auto"/>
        <w:ind w:firstLine="1960" w:firstLineChars="700"/>
        <w:rPr>
          <w:rFonts w:ascii="Times New Roman" w:hAnsi="Times New Roman" w:cs="Times New Roman"/>
          <w:color w:val="auto"/>
          <w:u w:val="single"/>
        </w:rPr>
      </w:pPr>
      <w:r>
        <w:rPr>
          <w:rFonts w:hint="default" w:ascii="Times New Roman" w:hAnsi="Times New Roman" w:cs="Times New Roman"/>
          <w:color w:val="auto"/>
        </w:rPr>
        <w:t>编制日期：</w:t>
      </w:r>
      <w:r>
        <w:rPr>
          <w:rFonts w:hint="default" w:ascii="Times New Roman" w:hAnsi="Times New Roman" w:cs="Times New Roman"/>
          <w:color w:val="auto"/>
          <w:u w:val="single"/>
        </w:rPr>
        <w:t xml:space="preserve"> </w:t>
      </w:r>
      <w:r>
        <w:rPr>
          <w:rFonts w:ascii="Times New Roman" w:hAnsi="Times New Roman" w:cs="Times New Roman"/>
          <w:color w:val="auto"/>
          <w:u w:val="single"/>
        </w:rPr>
        <w:t xml:space="preserve">   </w:t>
      </w:r>
      <w:r>
        <w:rPr>
          <w:rFonts w:hint="default" w:ascii="Times New Roman" w:hAnsi="Times New Roman" w:cs="Times New Roman"/>
          <w:color w:val="auto"/>
          <w:u w:val="single"/>
        </w:rPr>
        <w:t xml:space="preserve">             2022年</w:t>
      </w:r>
      <w:r>
        <w:rPr>
          <w:rFonts w:hint="default" w:ascii="Times New Roman" w:hAnsi="Times New Roman" w:cs="Times New Roman"/>
          <w:color w:val="auto"/>
          <w:u w:val="single"/>
          <w:lang w:val="en-US" w:eastAsia="zh-CN"/>
        </w:rPr>
        <w:t>1</w:t>
      </w:r>
      <w:r>
        <w:rPr>
          <w:rFonts w:hint="eastAsia" w:ascii="Times New Roman" w:hAnsi="Times New Roman" w:cs="Times New Roman"/>
          <w:color w:val="auto"/>
          <w:u w:val="single"/>
          <w:lang w:val="en-US" w:eastAsia="zh-CN"/>
        </w:rPr>
        <w:t>1</w:t>
      </w:r>
      <w:r>
        <w:rPr>
          <w:rFonts w:hint="default" w:ascii="Times New Roman" w:hAnsi="Times New Roman" w:cs="Times New Roman"/>
          <w:color w:val="auto"/>
          <w:u w:val="single"/>
        </w:rPr>
        <w:t xml:space="preserve">月               </w:t>
      </w:r>
    </w:p>
    <w:p>
      <w:pPr>
        <w:adjustRightInd w:val="0"/>
        <w:snapToGrid w:val="0"/>
        <w:spacing w:line="360" w:lineRule="auto"/>
        <w:ind w:firstLine="1040"/>
        <w:rPr>
          <w:rFonts w:ascii="Times New Roman" w:hAnsi="Times New Roman" w:eastAsia="仿宋_GB2312" w:cs="Times New Roman"/>
          <w:color w:val="auto"/>
          <w:sz w:val="36"/>
          <w:szCs w:val="36"/>
          <w:u w:val="single"/>
        </w:rPr>
      </w:pPr>
      <w:bookmarkStart w:id="0" w:name="_Hlk57884087"/>
    </w:p>
    <w:p>
      <w:pPr>
        <w:adjustRightInd w:val="0"/>
        <w:snapToGrid w:val="0"/>
        <w:spacing w:line="288" w:lineRule="auto"/>
        <w:ind w:firstLine="1040"/>
        <w:rPr>
          <w:rFonts w:ascii="Times New Roman" w:hAnsi="Times New Roman" w:eastAsia="仿宋_GB2312" w:cs="Times New Roman"/>
          <w:color w:val="auto"/>
          <w:sz w:val="36"/>
          <w:szCs w:val="36"/>
        </w:rPr>
      </w:pPr>
    </w:p>
    <w:p>
      <w:pPr>
        <w:adjustRightInd w:val="0"/>
        <w:snapToGrid w:val="0"/>
        <w:spacing w:line="288" w:lineRule="auto"/>
        <w:ind w:firstLine="1040"/>
        <w:rPr>
          <w:rFonts w:ascii="Times New Roman" w:hAnsi="Times New Roman" w:eastAsia="仿宋_GB2312" w:cs="Times New Roman"/>
          <w:color w:val="auto"/>
          <w:sz w:val="36"/>
          <w:szCs w:val="36"/>
        </w:rPr>
      </w:pPr>
    </w:p>
    <w:p>
      <w:pPr>
        <w:adjustRightInd w:val="0"/>
        <w:snapToGrid w:val="0"/>
        <w:spacing w:line="288" w:lineRule="auto"/>
        <w:ind w:firstLine="1040"/>
        <w:rPr>
          <w:rFonts w:ascii="Times New Roman" w:hAnsi="Times New Roman" w:eastAsia="仿宋_GB2312" w:cs="Times New Roman"/>
          <w:color w:val="auto"/>
          <w:sz w:val="36"/>
          <w:szCs w:val="36"/>
        </w:rPr>
      </w:pPr>
    </w:p>
    <w:p>
      <w:pPr>
        <w:adjustRightInd w:val="0"/>
        <w:snapToGrid w:val="0"/>
        <w:spacing w:line="288" w:lineRule="auto"/>
        <w:ind w:firstLine="1040"/>
        <w:rPr>
          <w:rFonts w:ascii="Times New Roman" w:hAnsi="Times New Roman" w:eastAsia="仿宋_GB2312" w:cs="Times New Roman"/>
          <w:color w:val="auto"/>
          <w:sz w:val="36"/>
          <w:szCs w:val="36"/>
        </w:rPr>
      </w:pPr>
    </w:p>
    <w:bookmarkEnd w:id="0"/>
    <w:p>
      <w:pPr>
        <w:pStyle w:val="5"/>
        <w:rPr>
          <w:rFonts w:ascii="Times New Roman" w:hAnsi="Times New Roman" w:cs="Times New Roman"/>
          <w:color w:val="auto"/>
        </w:rPr>
        <w:sectPr>
          <w:footerReference r:id="rId3" w:type="default"/>
          <w:footerReference r:id="rId4" w:type="even"/>
          <w:pgSz w:w="11905" w:h="16838"/>
          <w:pgMar w:top="1417" w:right="0" w:bottom="1400" w:left="0" w:header="851" w:footer="1077" w:gutter="0"/>
          <w:pgNumType w:start="3"/>
          <w:cols w:space="0" w:num="1"/>
          <w:docGrid w:linePitch="312" w:charSpace="0"/>
        </w:sectPr>
      </w:pPr>
      <w:r>
        <w:rPr>
          <w:rFonts w:hint="default" w:ascii="Times New Roman" w:hAnsi="Times New Roman" w:cs="Times New Roman"/>
          <w:color w:val="auto"/>
        </w:rPr>
        <w:t>中华人民共和国生态环境部制</w:t>
      </w:r>
    </w:p>
    <w:p>
      <w:pPr>
        <w:rPr>
          <w:rFonts w:ascii="Times New Roman" w:hAnsi="Times New Roman" w:cs="Times New Roman"/>
          <w:color w:val="auto"/>
        </w:rPr>
      </w:pPr>
    </w:p>
    <w:p>
      <w:pPr>
        <w:adjustRightInd w:val="0"/>
        <w:snapToGrid w:val="0"/>
        <w:spacing w:line="288" w:lineRule="auto"/>
        <w:ind w:firstLine="1040"/>
        <w:rPr>
          <w:rFonts w:ascii="Times New Roman" w:hAnsi="Times New Roman" w:eastAsia="仿宋_GB2312" w:cs="Times New Roman"/>
          <w:color w:val="auto"/>
          <w:sz w:val="36"/>
          <w:szCs w:val="36"/>
        </w:rPr>
        <w:sectPr>
          <w:type w:val="continuous"/>
          <w:pgSz w:w="11905" w:h="16838"/>
          <w:pgMar w:top="1701" w:right="1134" w:bottom="1701" w:left="1134" w:header="851" w:footer="1077" w:gutter="0"/>
          <w:pgNumType w:start="3"/>
          <w:cols w:space="0" w:num="1"/>
          <w:docGrid w:linePitch="312" w:charSpace="0"/>
        </w:sectPr>
      </w:pPr>
    </w:p>
    <w:p>
      <w:pPr>
        <w:pStyle w:val="36"/>
        <w:jc w:val="both"/>
        <w:rPr>
          <w:rFonts w:ascii="Times New Roman" w:hAnsi="Times New Roman" w:cs="Times New Roman"/>
          <w:color w:val="auto"/>
        </w:rPr>
      </w:pPr>
    </w:p>
    <w:p>
      <w:pPr>
        <w:numPr>
          <w:ilvl w:val="0"/>
          <w:numId w:val="3"/>
        </w:numPr>
        <w:spacing w:line="364" w:lineRule="auto"/>
        <w:jc w:val="center"/>
        <w:outlineLvl w:val="0"/>
        <w:rPr>
          <w:rFonts w:ascii="Times New Roman" w:hAnsi="Times New Roman" w:cs="Times New Roman"/>
          <w:color w:val="auto"/>
        </w:rPr>
      </w:pPr>
      <w:r>
        <w:rPr>
          <w:rFonts w:hint="default" w:ascii="Times New Roman" w:hAnsi="Times New Roman" w:eastAsia="黑体" w:cs="Times New Roman"/>
          <w:snapToGrid w:val="0"/>
          <w:color w:val="auto"/>
          <w:sz w:val="32"/>
          <w:szCs w:val="32"/>
          <w:lang w:val="en-US" w:eastAsia="zh-CN"/>
        </w:rPr>
        <w:t xml:space="preserve"> </w:t>
      </w:r>
      <w:r>
        <w:rPr>
          <w:rFonts w:hint="default" w:ascii="Times New Roman" w:hAnsi="Times New Roman" w:eastAsia="黑体" w:cs="Times New Roman"/>
          <w:snapToGrid w:val="0"/>
          <w:color w:val="auto"/>
          <w:sz w:val="32"/>
          <w:szCs w:val="32"/>
        </w:rPr>
        <w:t>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2"/>
        <w:gridCol w:w="2587"/>
        <w:gridCol w:w="1992"/>
        <w:gridCol w:w="3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建设项目名称</w:t>
            </w:r>
          </w:p>
        </w:tc>
        <w:tc>
          <w:tcPr>
            <w:tcW w:w="7773" w:type="dxa"/>
            <w:gridSpan w:val="3"/>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水泥制品技改项目</w:t>
            </w:r>
            <w:r>
              <w:rPr>
                <w:rFonts w:ascii="Times New Roman" w:hAnsi="Times New Roman" w:cs="Times New Roman"/>
                <w:color w:val="auto"/>
                <w:sz w:val="24"/>
                <w:szCs w:val="22"/>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项目代码</w:t>
            </w:r>
          </w:p>
        </w:tc>
        <w:tc>
          <w:tcPr>
            <w:tcW w:w="7773" w:type="dxa"/>
            <w:gridSpan w:val="3"/>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2207-510921-07-02-382103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建设单位联系人</w:t>
            </w:r>
          </w:p>
        </w:tc>
        <w:tc>
          <w:tcPr>
            <w:tcW w:w="258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郭斌</w:t>
            </w:r>
          </w:p>
        </w:tc>
        <w:tc>
          <w:tcPr>
            <w:tcW w:w="1992" w:type="dxa"/>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联系方式</w:t>
            </w:r>
          </w:p>
        </w:tc>
        <w:tc>
          <w:tcPr>
            <w:tcW w:w="3194"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18728546767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建设地点</w:t>
            </w:r>
          </w:p>
        </w:tc>
        <w:tc>
          <w:tcPr>
            <w:tcW w:w="7773" w:type="dxa"/>
            <w:gridSpan w:val="3"/>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四川省遂宁市蓬溪县赤城镇上游工业集中发展区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地理坐标</w:t>
            </w:r>
          </w:p>
        </w:tc>
        <w:tc>
          <w:tcPr>
            <w:tcW w:w="7773" w:type="dxa"/>
            <w:gridSpan w:val="3"/>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w:t>
            </w:r>
            <w:r>
              <w:rPr>
                <w:rFonts w:hint="default" w:ascii="Times New Roman" w:hAnsi="Times New Roman" w:cs="Times New Roman"/>
                <w:color w:val="auto"/>
                <w:sz w:val="24"/>
                <w:szCs w:val="22"/>
              </w:rPr>
              <w:t>105</w:t>
            </w:r>
            <w:r>
              <w:rPr>
                <w:rFonts w:ascii="Times New Roman" w:hAnsi="Times New Roman" w:cs="Times New Roman"/>
                <w:color w:val="auto"/>
                <w:sz w:val="24"/>
                <w:szCs w:val="22"/>
              </w:rPr>
              <w:t>度</w:t>
            </w:r>
            <w:r>
              <w:rPr>
                <w:rFonts w:hint="default" w:ascii="Times New Roman" w:hAnsi="Times New Roman" w:cs="Times New Roman"/>
                <w:color w:val="auto"/>
                <w:sz w:val="24"/>
                <w:szCs w:val="22"/>
              </w:rPr>
              <w:t>41</w:t>
            </w:r>
            <w:r>
              <w:rPr>
                <w:rFonts w:ascii="Times New Roman" w:hAnsi="Times New Roman" w:cs="Times New Roman"/>
                <w:color w:val="auto"/>
                <w:sz w:val="24"/>
                <w:szCs w:val="22"/>
              </w:rPr>
              <w:t>分</w:t>
            </w:r>
            <w:r>
              <w:rPr>
                <w:rFonts w:hint="default" w:ascii="Times New Roman" w:hAnsi="Times New Roman" w:cs="Times New Roman"/>
                <w:color w:val="auto"/>
                <w:sz w:val="24"/>
                <w:szCs w:val="22"/>
              </w:rPr>
              <w:t>26.920</w:t>
            </w:r>
            <w:r>
              <w:rPr>
                <w:rFonts w:ascii="Times New Roman" w:hAnsi="Times New Roman" w:cs="Times New Roman"/>
                <w:color w:val="auto"/>
                <w:sz w:val="24"/>
                <w:szCs w:val="22"/>
              </w:rPr>
              <w:t>秒，</w:t>
            </w:r>
            <w:r>
              <w:rPr>
                <w:rFonts w:hint="default" w:ascii="Times New Roman" w:hAnsi="Times New Roman" w:cs="Times New Roman"/>
                <w:color w:val="auto"/>
                <w:sz w:val="24"/>
                <w:szCs w:val="22"/>
              </w:rPr>
              <w:t>30</w:t>
            </w:r>
            <w:r>
              <w:rPr>
                <w:rFonts w:ascii="Times New Roman" w:hAnsi="Times New Roman" w:cs="Times New Roman"/>
                <w:color w:val="auto"/>
                <w:sz w:val="24"/>
                <w:szCs w:val="22"/>
              </w:rPr>
              <w:t>度</w:t>
            </w:r>
            <w:r>
              <w:rPr>
                <w:rFonts w:hint="default" w:ascii="Times New Roman" w:hAnsi="Times New Roman" w:cs="Times New Roman"/>
                <w:color w:val="auto"/>
                <w:sz w:val="24"/>
                <w:szCs w:val="22"/>
              </w:rPr>
              <w:t>44</w:t>
            </w:r>
            <w:r>
              <w:rPr>
                <w:rFonts w:ascii="Times New Roman" w:hAnsi="Times New Roman" w:cs="Times New Roman"/>
                <w:color w:val="auto"/>
                <w:sz w:val="24"/>
                <w:szCs w:val="22"/>
              </w:rPr>
              <w:t>分</w:t>
            </w:r>
            <w:r>
              <w:rPr>
                <w:rFonts w:hint="default" w:ascii="Times New Roman" w:hAnsi="Times New Roman" w:cs="Times New Roman"/>
                <w:color w:val="auto"/>
                <w:sz w:val="24"/>
                <w:szCs w:val="22"/>
              </w:rPr>
              <w:t>1.579</w:t>
            </w:r>
            <w:r>
              <w:rPr>
                <w:rFonts w:ascii="Times New Roman" w:hAnsi="Times New Roman" w:cs="Times New Roman"/>
                <w:color w:val="auto"/>
                <w:sz w:val="24"/>
                <w:szCs w:val="22"/>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国民经济</w:t>
            </w:r>
          </w:p>
          <w:p>
            <w:pPr>
              <w:pStyle w:val="32"/>
              <w:rPr>
                <w:rFonts w:ascii="Times New Roman" w:hAnsi="Times New Roman" w:cs="Times New Roman"/>
                <w:color w:val="auto"/>
                <w:sz w:val="24"/>
                <w:szCs w:val="22"/>
              </w:rPr>
            </w:pPr>
            <w:r>
              <w:rPr>
                <w:rFonts w:ascii="Times New Roman" w:hAnsi="Times New Roman" w:cs="Times New Roman"/>
                <w:color w:val="auto"/>
                <w:sz w:val="24"/>
                <w:szCs w:val="22"/>
              </w:rPr>
              <w:t>行业类别</w:t>
            </w:r>
          </w:p>
        </w:tc>
        <w:tc>
          <w:tcPr>
            <w:tcW w:w="2587" w:type="dxa"/>
            <w:vAlign w:val="center"/>
          </w:tcPr>
          <w:p>
            <w:pPr>
              <w:widowControl/>
              <w:jc w:val="center"/>
              <w:rPr>
                <w:rFonts w:ascii="Times New Roman" w:hAnsi="Times New Roman" w:cs="Times New Roman"/>
                <w:color w:val="auto"/>
                <w:sz w:val="24"/>
              </w:rPr>
            </w:pPr>
            <w:r>
              <w:rPr>
                <w:rFonts w:hint="default" w:ascii="Times New Roman" w:hAnsi="Times New Roman" w:cs="Times New Roman"/>
                <w:color w:val="auto"/>
                <w:sz w:val="24"/>
              </w:rPr>
              <w:t>C3021</w:t>
            </w:r>
            <w:r>
              <w:rPr>
                <w:rFonts w:hint="default" w:ascii="Times New Roman" w:hAnsi="Times New Roman" w:cs="Times New Roman" w:eastAsiaTheme="minorEastAsia"/>
                <w:color w:val="auto"/>
                <w:sz w:val="24"/>
                <w:szCs w:val="24"/>
                <w:lang w:bidi="ar"/>
              </w:rPr>
              <w:t>水泥制品制造（指水泥制管、杆、桩、砖、瓦等制品制造）</w:t>
            </w:r>
          </w:p>
        </w:tc>
        <w:tc>
          <w:tcPr>
            <w:tcW w:w="1992" w:type="dxa"/>
            <w:vAlign w:val="center"/>
          </w:tcPr>
          <w:p>
            <w:pPr>
              <w:pStyle w:val="32"/>
              <w:rPr>
                <w:rFonts w:ascii="Times New Roman" w:hAnsi="Times New Roman" w:cs="Times New Roman"/>
                <w:color w:val="auto"/>
                <w:sz w:val="24"/>
                <w:szCs w:val="22"/>
              </w:rPr>
            </w:pPr>
            <w:bookmarkStart w:id="1" w:name="_Hlk49843745"/>
            <w:r>
              <w:rPr>
                <w:rFonts w:ascii="Times New Roman" w:hAnsi="Times New Roman" w:cs="Times New Roman"/>
                <w:color w:val="auto"/>
                <w:sz w:val="24"/>
                <w:szCs w:val="22"/>
              </w:rPr>
              <w:t>建设项目</w:t>
            </w:r>
          </w:p>
          <w:p>
            <w:pPr>
              <w:pStyle w:val="32"/>
              <w:rPr>
                <w:rFonts w:ascii="Times New Roman" w:hAnsi="Times New Roman" w:cs="Times New Roman"/>
                <w:color w:val="auto"/>
                <w:sz w:val="24"/>
                <w:szCs w:val="22"/>
              </w:rPr>
            </w:pPr>
            <w:r>
              <w:rPr>
                <w:rFonts w:ascii="Times New Roman" w:hAnsi="Times New Roman" w:cs="Times New Roman"/>
                <w:color w:val="auto"/>
                <w:sz w:val="24"/>
                <w:szCs w:val="22"/>
              </w:rPr>
              <w:t>行业类别</w:t>
            </w:r>
            <w:bookmarkEnd w:id="1"/>
          </w:p>
        </w:tc>
        <w:tc>
          <w:tcPr>
            <w:tcW w:w="3194" w:type="dxa"/>
            <w:vAlign w:val="center"/>
          </w:tcPr>
          <w:p>
            <w:pPr>
              <w:widowControl/>
              <w:jc w:val="center"/>
              <w:rPr>
                <w:rFonts w:ascii="Times New Roman" w:hAnsi="Times New Roman" w:cs="Times New Roman"/>
                <w:color w:val="auto"/>
                <w:sz w:val="24"/>
              </w:rPr>
            </w:pPr>
            <w:r>
              <w:rPr>
                <w:rFonts w:hint="default" w:ascii="Times New Roman" w:hAnsi="Times New Roman" w:cs="Times New Roman"/>
                <w:color w:val="auto"/>
                <w:sz w:val="24"/>
                <w:szCs w:val="24"/>
                <w:lang w:bidi="ar"/>
              </w:rPr>
              <w:t>石</w:t>
            </w:r>
            <w:r>
              <w:rPr>
                <w:rFonts w:hint="default" w:ascii="Times New Roman" w:hAnsi="Times New Roman" w:cs="Times New Roman"/>
                <w:color w:val="auto"/>
                <w:sz w:val="24"/>
              </w:rPr>
              <w:t>膏、水泥制品及类似制品制造302；</w:t>
            </w:r>
          </w:p>
          <w:p>
            <w:pPr>
              <w:widowControl/>
              <w:jc w:val="center"/>
              <w:rPr>
                <w:rFonts w:ascii="Times New Roman" w:hAnsi="Times New Roman" w:cs="Times New Roman"/>
                <w:color w:val="auto"/>
              </w:rPr>
            </w:pPr>
            <w:r>
              <w:rPr>
                <w:rFonts w:hint="default" w:ascii="Times New Roman" w:hAnsi="Times New Roman" w:cs="Times New Roman"/>
                <w:color w:val="auto"/>
                <w:sz w:val="24"/>
              </w:rPr>
              <w:t>商品混凝土；砼结构构件制造； 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2"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建设性质</w:t>
            </w:r>
          </w:p>
        </w:tc>
        <w:tc>
          <w:tcPr>
            <w:tcW w:w="2587" w:type="dxa"/>
            <w:vAlign w:val="center"/>
          </w:tcPr>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□新建（迁建）</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sym w:font="Wingdings 2" w:char="0052"/>
            </w:r>
            <w:r>
              <w:rPr>
                <w:rFonts w:hint="default" w:ascii="Times New Roman" w:hAnsi="Times New Roman" w:cs="Times New Roman"/>
                <w:color w:val="auto"/>
                <w:sz w:val="24"/>
                <w:szCs w:val="22"/>
              </w:rPr>
              <w:t>改建</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sym w:font="Wingdings 2" w:char="00A3"/>
            </w:r>
            <w:r>
              <w:rPr>
                <w:rFonts w:hint="default" w:ascii="Times New Roman" w:hAnsi="Times New Roman" w:cs="Times New Roman"/>
                <w:color w:val="auto"/>
                <w:sz w:val="24"/>
                <w:szCs w:val="22"/>
              </w:rPr>
              <w:t>扩建</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□技术改造</w:t>
            </w:r>
          </w:p>
        </w:tc>
        <w:tc>
          <w:tcPr>
            <w:tcW w:w="199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建设项目</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申报情形</w:t>
            </w:r>
          </w:p>
        </w:tc>
        <w:tc>
          <w:tcPr>
            <w:tcW w:w="3194" w:type="dxa"/>
            <w:vAlign w:val="center"/>
          </w:tcPr>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lang w:eastAsia="zh-CN"/>
              </w:rPr>
              <w:sym w:font="Wingdings 2" w:char="0052"/>
            </w:r>
            <w:r>
              <w:rPr>
                <w:rFonts w:hint="default" w:ascii="Times New Roman" w:hAnsi="Times New Roman" w:cs="Times New Roman"/>
                <w:color w:val="auto"/>
                <w:sz w:val="24"/>
                <w:szCs w:val="22"/>
              </w:rPr>
              <w:t xml:space="preserve">首次申报项目             </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□不予批准后再次申报项目</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 xml:space="preserve">□超五年重新审核项目     </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5" w:hRule="atLeast"/>
          <w:jc w:val="center"/>
        </w:trPr>
        <w:tc>
          <w:tcPr>
            <w:tcW w:w="1702" w:type="dxa"/>
            <w:tcMar>
              <w:top w:w="16" w:type="dxa"/>
              <w:left w:w="16" w:type="dxa"/>
              <w:right w:w="16" w:type="dxa"/>
            </w:tcMar>
            <w:vAlign w:val="center"/>
          </w:tcPr>
          <w:p>
            <w:pPr>
              <w:pStyle w:val="32"/>
              <w:wordWrap w:val="0"/>
              <w:topLinePunct/>
              <w:rPr>
                <w:rFonts w:ascii="Times New Roman" w:hAnsi="Times New Roman" w:cs="Times New Roman"/>
                <w:color w:val="auto"/>
                <w:sz w:val="24"/>
                <w:szCs w:val="22"/>
              </w:rPr>
            </w:pPr>
            <w:r>
              <w:rPr>
                <w:rFonts w:hint="default" w:ascii="Times New Roman" w:hAnsi="Times New Roman" w:cs="Times New Roman"/>
                <w:color w:val="auto"/>
                <w:sz w:val="24"/>
                <w:szCs w:val="22"/>
              </w:rPr>
              <w:t>项目审批（核准/备案）部门（选填）</w:t>
            </w:r>
          </w:p>
        </w:tc>
        <w:tc>
          <w:tcPr>
            <w:tcW w:w="2587" w:type="dxa"/>
            <w:vAlign w:val="center"/>
          </w:tcPr>
          <w:p>
            <w:pPr>
              <w:pStyle w:val="32"/>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lang w:val="en-US" w:eastAsia="zh-CN"/>
              </w:rPr>
              <w:t>蓬溪县经济和信息化局</w:t>
            </w:r>
          </w:p>
        </w:tc>
        <w:tc>
          <w:tcPr>
            <w:tcW w:w="1992" w:type="dxa"/>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项目审批（核准/</w:t>
            </w:r>
          </w:p>
          <w:p>
            <w:pPr>
              <w:pStyle w:val="32"/>
              <w:rPr>
                <w:rFonts w:ascii="Times New Roman" w:hAnsi="Times New Roman" w:cs="Times New Roman"/>
                <w:color w:val="auto"/>
                <w:sz w:val="24"/>
                <w:szCs w:val="22"/>
              </w:rPr>
            </w:pPr>
            <w:r>
              <w:rPr>
                <w:rFonts w:ascii="Times New Roman" w:hAnsi="Times New Roman" w:cs="Times New Roman"/>
                <w:color w:val="auto"/>
                <w:sz w:val="24"/>
                <w:szCs w:val="22"/>
              </w:rPr>
              <w:t>备案）文号（选填）</w:t>
            </w:r>
          </w:p>
        </w:tc>
        <w:tc>
          <w:tcPr>
            <w:tcW w:w="3194"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川投资备【2207-510921-07-02-382103】JXQB-0106号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3"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总投资（万元）</w:t>
            </w:r>
          </w:p>
        </w:tc>
        <w:tc>
          <w:tcPr>
            <w:tcW w:w="2587" w:type="dxa"/>
            <w:vAlign w:val="center"/>
          </w:tcPr>
          <w:p>
            <w:pPr>
              <w:pStyle w:val="32"/>
              <w:rPr>
                <w:rFonts w:hint="default" w:ascii="Times New Roman" w:hAnsi="Times New Roman" w:eastAsia="宋体" w:cs="Times New Roman"/>
                <w:color w:val="auto"/>
                <w:sz w:val="24"/>
                <w:szCs w:val="22"/>
                <w:lang w:val="en-US" w:eastAsia="zh-CN"/>
              </w:rPr>
            </w:pPr>
            <w:r>
              <w:rPr>
                <w:rFonts w:hint="eastAsia" w:ascii="Times New Roman" w:hAnsi="Times New Roman" w:cs="Times New Roman"/>
                <w:color w:val="auto"/>
                <w:sz w:val="24"/>
                <w:szCs w:val="22"/>
                <w:lang w:val="en-US" w:eastAsia="zh-CN"/>
              </w:rPr>
              <w:t>1000</w:t>
            </w:r>
          </w:p>
        </w:tc>
        <w:tc>
          <w:tcPr>
            <w:tcW w:w="199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环保投资（万元）</w:t>
            </w:r>
          </w:p>
        </w:tc>
        <w:tc>
          <w:tcPr>
            <w:tcW w:w="3194" w:type="dxa"/>
            <w:vAlign w:val="center"/>
          </w:tcPr>
          <w:p>
            <w:pPr>
              <w:pStyle w:val="32"/>
              <w:rPr>
                <w:rFonts w:hint="default" w:ascii="Times New Roman" w:hAnsi="Times New Roman" w:cs="Times New Roman"/>
                <w:color w:val="auto"/>
                <w:sz w:val="24"/>
                <w:szCs w:val="22"/>
                <w:lang w:val="en-US"/>
              </w:rPr>
            </w:pPr>
            <w:r>
              <w:rPr>
                <w:rFonts w:hint="eastAsia" w:ascii="Times New Roman" w:hAnsi="Times New Roman" w:cs="Times New Roman"/>
                <w:color w:val="auto"/>
                <w:sz w:val="24"/>
                <w:szCs w:val="22"/>
                <w:lang w:val="en-US" w:eastAsia="zh-CN"/>
              </w:rPr>
              <w:t>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环保投资占比（%）</w:t>
            </w:r>
          </w:p>
        </w:tc>
        <w:tc>
          <w:tcPr>
            <w:tcW w:w="2587" w:type="dxa"/>
            <w:vAlign w:val="center"/>
          </w:tcPr>
          <w:p>
            <w:pPr>
              <w:pStyle w:val="32"/>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2"/>
              </w:rPr>
              <w:t>1</w:t>
            </w:r>
            <w:r>
              <w:rPr>
                <w:rFonts w:hint="eastAsia" w:ascii="Times New Roman" w:hAnsi="Times New Roman" w:cs="Times New Roman"/>
                <w:color w:val="auto"/>
                <w:sz w:val="24"/>
                <w:szCs w:val="22"/>
                <w:lang w:val="en-US" w:eastAsia="zh-CN"/>
              </w:rPr>
              <w:t>.</w:t>
            </w:r>
            <w:r>
              <w:rPr>
                <w:rFonts w:hint="default" w:ascii="Times New Roman" w:hAnsi="Times New Roman" w:cs="Times New Roman"/>
                <w:color w:val="auto"/>
                <w:sz w:val="24"/>
                <w:szCs w:val="22"/>
                <w:lang w:val="en-US" w:eastAsia="zh-CN"/>
              </w:rPr>
              <w:t>7</w:t>
            </w:r>
            <w:r>
              <w:rPr>
                <w:rFonts w:hint="eastAsia" w:ascii="Times New Roman" w:hAnsi="Times New Roman" w:cs="Times New Roman"/>
                <w:color w:val="auto"/>
                <w:sz w:val="24"/>
                <w:szCs w:val="22"/>
                <w:lang w:val="en-US" w:eastAsia="zh-CN"/>
              </w:rPr>
              <w:t>%</w:t>
            </w:r>
          </w:p>
        </w:tc>
        <w:tc>
          <w:tcPr>
            <w:tcW w:w="1992" w:type="dxa"/>
            <w:tcMar>
              <w:top w:w="16" w:type="dxa"/>
              <w:left w:w="16" w:type="dxa"/>
              <w:right w:w="16" w:type="dxa"/>
            </w:tcMar>
            <w:vAlign w:val="center"/>
          </w:tcPr>
          <w:p>
            <w:pPr>
              <w:pStyle w:val="32"/>
              <w:rPr>
                <w:rFonts w:ascii="Times New Roman" w:hAnsi="Times New Roman" w:cs="Times New Roman"/>
                <w:color w:val="auto"/>
                <w:sz w:val="24"/>
                <w:szCs w:val="22"/>
              </w:rPr>
            </w:pPr>
            <w:r>
              <w:rPr>
                <w:rFonts w:ascii="Times New Roman" w:hAnsi="Times New Roman" w:cs="Times New Roman"/>
                <w:color w:val="auto"/>
                <w:sz w:val="24"/>
                <w:szCs w:val="22"/>
              </w:rPr>
              <w:t>施工工期</w:t>
            </w:r>
          </w:p>
        </w:tc>
        <w:tc>
          <w:tcPr>
            <w:tcW w:w="3194" w:type="dxa"/>
            <w:vAlign w:val="center"/>
          </w:tcPr>
          <w:p>
            <w:pPr>
              <w:pStyle w:val="32"/>
              <w:rPr>
                <w:rFonts w:hint="default" w:ascii="Times New Roman" w:hAnsi="Times New Roman" w:eastAsia="宋体" w:cs="Times New Roman"/>
                <w:color w:val="auto"/>
                <w:sz w:val="24"/>
                <w:szCs w:val="22"/>
                <w:lang w:eastAsia="zh-CN"/>
              </w:rPr>
            </w:pPr>
            <w:r>
              <w:rPr>
                <w:rFonts w:hint="default" w:ascii="Times New Roman" w:hAnsi="Times New Roman" w:cs="Times New Roman"/>
                <w:color w:val="auto"/>
                <w:sz w:val="24"/>
                <w:szCs w:val="22"/>
                <w:lang w:val="en-US" w:eastAsia="zh-CN"/>
              </w:rPr>
              <w:t>3</w:t>
            </w:r>
            <w:r>
              <w:rPr>
                <w:rFonts w:ascii="Times New Roman" w:hAnsi="Times New Roman" w:cs="Times New Roman"/>
                <w:color w:val="auto"/>
                <w:sz w:val="24"/>
                <w:szCs w:val="22"/>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9" w:hRule="atLeast"/>
          <w:jc w:val="center"/>
        </w:trPr>
        <w:tc>
          <w:tcPr>
            <w:tcW w:w="1702" w:type="dxa"/>
            <w:tcMar>
              <w:top w:w="16" w:type="dxa"/>
              <w:left w:w="16" w:type="dxa"/>
              <w:right w:w="16"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是否开工建设</w:t>
            </w:r>
          </w:p>
        </w:tc>
        <w:tc>
          <w:tcPr>
            <w:tcW w:w="2587" w:type="dxa"/>
            <w:vAlign w:val="center"/>
          </w:tcPr>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☑否</w:t>
            </w:r>
          </w:p>
          <w:p>
            <w:pPr>
              <w:pStyle w:val="32"/>
              <w:jc w:val="left"/>
              <w:rPr>
                <w:rFonts w:ascii="Times New Roman" w:hAnsi="Times New Roman" w:cs="Times New Roman"/>
                <w:color w:val="auto"/>
                <w:sz w:val="24"/>
                <w:szCs w:val="22"/>
              </w:rPr>
            </w:pPr>
            <w:r>
              <w:rPr>
                <w:rFonts w:hint="default" w:ascii="Times New Roman" w:hAnsi="Times New Roman" w:cs="Times New Roman"/>
                <w:color w:val="auto"/>
                <w:sz w:val="24"/>
                <w:szCs w:val="22"/>
              </w:rPr>
              <w:t>□是：</w:t>
            </w:r>
            <w:r>
              <w:rPr>
                <w:rFonts w:hint="default" w:ascii="Times New Roman" w:hAnsi="Times New Roman" w:cs="Times New Roman"/>
                <w:color w:val="auto"/>
                <w:sz w:val="24"/>
                <w:szCs w:val="22"/>
                <w:u w:val="single"/>
              </w:rPr>
              <w:t xml:space="preserve">             </w:t>
            </w:r>
          </w:p>
        </w:tc>
        <w:tc>
          <w:tcPr>
            <w:tcW w:w="1992" w:type="dxa"/>
            <w:tcMar>
              <w:top w:w="16" w:type="dxa"/>
              <w:left w:w="16" w:type="dxa"/>
              <w:right w:w="16"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用地（用海）</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面积（</w:t>
            </w:r>
            <w:r>
              <w:rPr>
                <w:rFonts w:ascii="Times New Roman" w:hAnsi="Times New Roman" w:cs="Times New Roman"/>
                <w:color w:val="auto"/>
                <w:sz w:val="24"/>
                <w:szCs w:val="22"/>
              </w:rPr>
              <w:t>m</w:t>
            </w:r>
            <w:r>
              <w:rPr>
                <w:rFonts w:ascii="Times New Roman" w:hAnsi="Times New Roman" w:cs="Times New Roman"/>
                <w:color w:val="auto"/>
                <w:sz w:val="24"/>
                <w:szCs w:val="22"/>
                <w:vertAlign w:val="superscript"/>
              </w:rPr>
              <w:t>2</w:t>
            </w:r>
            <w:r>
              <w:rPr>
                <w:rFonts w:hint="default" w:ascii="Times New Roman" w:hAnsi="Times New Roman" w:cs="Times New Roman"/>
                <w:color w:val="auto"/>
                <w:sz w:val="24"/>
                <w:szCs w:val="22"/>
              </w:rPr>
              <w:t>）</w:t>
            </w:r>
          </w:p>
        </w:tc>
        <w:tc>
          <w:tcPr>
            <w:tcW w:w="3194"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highlight w:val="none"/>
              </w:rPr>
              <w:t>12000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70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专项评价设置情况</w:t>
            </w:r>
          </w:p>
        </w:tc>
        <w:tc>
          <w:tcPr>
            <w:tcW w:w="7773" w:type="dxa"/>
            <w:gridSpan w:val="3"/>
            <w:vAlign w:val="center"/>
          </w:tcPr>
          <w:p>
            <w:pPr>
              <w:autoSpaceDE w:val="0"/>
              <w:autoSpaceDN w:val="0"/>
              <w:adjustRightInd w:val="0"/>
              <w:snapToGrid w:val="0"/>
              <w:spacing w:line="360" w:lineRule="auto"/>
              <w:ind w:firstLine="480" w:firstLineChars="200"/>
              <w:jc w:val="left"/>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color w:val="auto"/>
                <w:sz w:val="24"/>
                <w:szCs w:val="20"/>
              </w:rPr>
              <w:t>根</w:t>
            </w:r>
            <w:r>
              <w:rPr>
                <w:rStyle w:val="60"/>
                <w:rFonts w:hint="default" w:ascii="Times New Roman" w:hAnsi="Times New Roman" w:eastAsia="宋体" w:cs="Times New Roman"/>
                <w:color w:val="auto"/>
                <w:kern w:val="2"/>
                <w:szCs w:val="24"/>
              </w:rPr>
              <w:t>据《建设项目环境影响报告表编制技术指南（污染影响类）》（试行），专项评价设置原则如下表所示。</w:t>
            </w:r>
          </w:p>
          <w:p>
            <w:pPr>
              <w:autoSpaceDE w:val="0"/>
              <w:autoSpaceDN w:val="0"/>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 xml:space="preserve">表1-1  </w:t>
            </w:r>
            <w:r>
              <w:rPr>
                <w:rFonts w:hint="default" w:ascii="Times New Roman" w:hAnsi="Times New Roman" w:eastAsia="宋体" w:cs="Times New Roman"/>
                <w:b/>
                <w:color w:val="auto"/>
                <w:szCs w:val="21"/>
              </w:rPr>
              <w:t>专项评价设置原则表</w:t>
            </w:r>
          </w:p>
          <w:tbl>
            <w:tblPr>
              <w:tblStyle w:val="24"/>
              <w:tblW w:w="5000"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6"/>
              <w:gridCol w:w="4247"/>
              <w:gridCol w:w="1367"/>
              <w:gridCol w:w="10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专项评价的类别</w:t>
                  </w:r>
                </w:p>
              </w:tc>
              <w:tc>
                <w:tcPr>
                  <w:tcW w:w="2809"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设置原则</w:t>
                  </w:r>
                </w:p>
              </w:tc>
              <w:tc>
                <w:tcPr>
                  <w:tcW w:w="904"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本项目涉及情况</w:t>
                  </w:r>
                </w:p>
              </w:tc>
              <w:tc>
                <w:tcPr>
                  <w:tcW w:w="666" w:type="pct"/>
                  <w:tcBorders>
                    <w:tl2br w:val="nil"/>
                    <w:tr2bl w:val="nil"/>
                  </w:tcBorders>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是否设置专项评价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w:t>
                  </w:r>
                </w:p>
              </w:tc>
              <w:tc>
                <w:tcPr>
                  <w:tcW w:w="280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排放废气含有毒有害污染物</w:t>
                  </w:r>
                  <w:r>
                    <w:rPr>
                      <w:rFonts w:hint="default" w:ascii="Times New Roman" w:hAnsi="Times New Roman" w:eastAsia="宋体" w:cs="Times New Roman"/>
                      <w:color w:val="auto"/>
                      <w:szCs w:val="21"/>
                      <w:vertAlign w:val="superscript"/>
                    </w:rPr>
                    <w:t>1</w:t>
                  </w:r>
                  <w:r>
                    <w:rPr>
                      <w:rFonts w:hint="default" w:ascii="Times New Roman" w:hAnsi="Times New Roman" w:eastAsia="宋体" w:cs="Times New Roman"/>
                      <w:color w:val="auto"/>
                      <w:szCs w:val="21"/>
                    </w:rPr>
                    <w:t>、二噁英、苯并[a]芘、氰化物、氯气且厂界外500米范围内有环境空气保护目标</w:t>
                  </w:r>
                  <w:r>
                    <w:rPr>
                      <w:rFonts w:hint="default" w:ascii="Times New Roman" w:hAnsi="Times New Roman" w:eastAsia="宋体" w:cs="Times New Roman"/>
                      <w:color w:val="auto"/>
                      <w:szCs w:val="21"/>
                      <w:vertAlign w:val="superscript"/>
                    </w:rPr>
                    <w:t>2</w:t>
                  </w:r>
                  <w:r>
                    <w:rPr>
                      <w:rFonts w:hint="default" w:ascii="Times New Roman" w:hAnsi="Times New Roman" w:eastAsia="宋体" w:cs="Times New Roman"/>
                      <w:color w:val="auto"/>
                      <w:szCs w:val="21"/>
                    </w:rPr>
                    <w:t>的建设项目</w:t>
                  </w:r>
                </w:p>
              </w:tc>
              <w:tc>
                <w:tcPr>
                  <w:tcW w:w="904"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本项目无有毒有害污染物</w:t>
                  </w:r>
                  <w:r>
                    <w:rPr>
                      <w:rFonts w:hint="default" w:ascii="Times New Roman" w:hAnsi="Times New Roman" w:eastAsia="宋体" w:cs="Times New Roman"/>
                      <w:color w:val="auto"/>
                      <w:szCs w:val="21"/>
                      <w:vertAlign w:val="superscript"/>
                    </w:rPr>
                    <w:t>1</w:t>
                  </w:r>
                  <w:r>
                    <w:rPr>
                      <w:rFonts w:hint="default" w:ascii="Times New Roman" w:hAnsi="Times New Roman" w:eastAsia="宋体" w:cs="Times New Roman"/>
                      <w:color w:val="auto"/>
                      <w:szCs w:val="21"/>
                    </w:rPr>
                    <w:t>、二噁英、苯并[a]芘、氰化物、氯气等产生</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w:t>
                  </w:r>
                </w:p>
              </w:tc>
              <w:tc>
                <w:tcPr>
                  <w:tcW w:w="280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新增工业废水直排建设项目（槽罐车外送污水处理厂的除外）；新增废水直排的污水集中处理厂</w:t>
                  </w:r>
                </w:p>
              </w:tc>
              <w:tc>
                <w:tcPr>
                  <w:tcW w:w="904"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本项目不直排</w:t>
                  </w:r>
                  <w:r>
                    <w:rPr>
                      <w:rFonts w:hint="default" w:ascii="Times New Roman" w:hAnsi="Times New Roman" w:eastAsia="宋体" w:cs="Times New Roman"/>
                      <w:color w:val="auto"/>
                      <w:szCs w:val="21"/>
                      <w:lang w:val="en-US" w:eastAsia="zh-CN"/>
                    </w:rPr>
                    <w:t>工业</w:t>
                  </w:r>
                  <w:r>
                    <w:rPr>
                      <w:rFonts w:hint="default" w:ascii="Times New Roman" w:hAnsi="Times New Roman" w:eastAsia="宋体" w:cs="Times New Roman"/>
                      <w:color w:val="auto"/>
                      <w:szCs w:val="21"/>
                    </w:rPr>
                    <w:t>废水</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w:t>
                  </w:r>
                </w:p>
              </w:tc>
              <w:tc>
                <w:tcPr>
                  <w:tcW w:w="280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有毒有害和易燃易爆危险物质存储量超过临界量</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的建设项目</w:t>
                  </w:r>
                </w:p>
              </w:tc>
              <w:tc>
                <w:tcPr>
                  <w:tcW w:w="904"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不涉及</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w:t>
                  </w:r>
                </w:p>
              </w:tc>
              <w:tc>
                <w:tcPr>
                  <w:tcW w:w="280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取水口下游500米范围内有重要水生生物的自然产卵场、索饵场、越冬场和洄游通道的新增河道取水的污染类建设项目</w:t>
                  </w:r>
                </w:p>
              </w:tc>
              <w:tc>
                <w:tcPr>
                  <w:tcW w:w="904"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不涉及</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61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海洋</w:t>
                  </w:r>
                </w:p>
              </w:tc>
              <w:tc>
                <w:tcPr>
                  <w:tcW w:w="2809"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直接向海排放污染物的海洋工程建设项目</w:t>
                  </w:r>
                </w:p>
              </w:tc>
              <w:tc>
                <w:tcPr>
                  <w:tcW w:w="904"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不涉及</w:t>
                  </w:r>
                </w:p>
              </w:tc>
              <w:tc>
                <w:tcPr>
                  <w:tcW w:w="666" w:type="pct"/>
                  <w:tcBorders>
                    <w:tl2br w:val="nil"/>
                    <w:tr2bl w:val="nil"/>
                  </w:tcBorders>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5000" w:type="pct"/>
                  <w:gridSpan w:val="4"/>
                  <w:tcBorders>
                    <w:tl2br w:val="nil"/>
                    <w:tr2bl w:val="nil"/>
                  </w:tcBorders>
                  <w:noWrap w:val="0"/>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注：1.废气中有毒有害污染物指纳入《有毒有害大气污染物名录》的污染物（不包括无排放标准的污染物）。</w:t>
                  </w:r>
                </w:p>
                <w:p>
                  <w:pPr>
                    <w:ind w:firstLine="44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2.环境空气保护目标指自然保护区、风景名胜区、居住区、文化区和农村地区中人群较集中的区域。</w:t>
                  </w:r>
                </w:p>
                <w:p>
                  <w:pPr>
                    <w:ind w:firstLine="44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3.临界量及其计算方法可参考《建设项目环境风险评价技术导则》（HJ 169）附录B、附录C。</w:t>
                  </w:r>
                </w:p>
              </w:tc>
            </w:tr>
          </w:tbl>
          <w:p>
            <w:pPr>
              <w:pStyle w:val="32"/>
              <w:adjustRightInd/>
              <w:snapToGrid/>
              <w:jc w:val="left"/>
              <w:rPr>
                <w:rFonts w:ascii="Times New Roman" w:hAnsi="Times New Roman" w:cs="Times New Roman"/>
                <w:color w:val="auto"/>
                <w:sz w:val="24"/>
                <w:szCs w:val="22"/>
              </w:rPr>
            </w:pPr>
            <w:bookmarkStart w:id="2" w:name="三、具体编制要求"/>
            <w:bookmarkEnd w:id="2"/>
            <w:r>
              <w:rPr>
                <w:rFonts w:hint="default" w:ascii="Times New Roman" w:hAnsi="Times New Roman" w:eastAsia="宋体" w:cs="Times New Roman"/>
                <w:b/>
                <w:color w:val="auto"/>
                <w:kern w:val="0"/>
                <w:sz w:val="24"/>
                <w:lang w:val="en-US" w:eastAsia="zh-CN"/>
              </w:rPr>
              <w:t xml:space="preserve">    </w:t>
            </w:r>
            <w:r>
              <w:rPr>
                <w:rFonts w:ascii="Times New Roman" w:hAnsi="Times New Roman" w:eastAsia="宋体" w:cs="Times New Roman"/>
                <w:b w:val="0"/>
                <w:bCs/>
                <w:color w:val="auto"/>
                <w:kern w:val="0"/>
                <w:sz w:val="24"/>
              </w:rPr>
              <w:t>由上表可知，本项目无需设置专项评价。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70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规划情况</w:t>
            </w:r>
          </w:p>
        </w:tc>
        <w:tc>
          <w:tcPr>
            <w:tcW w:w="7773" w:type="dxa"/>
            <w:gridSpan w:val="3"/>
            <w:vAlign w:val="center"/>
          </w:tcPr>
          <w:p>
            <w:pPr>
              <w:spacing w:line="360" w:lineRule="auto"/>
              <w:ind w:firstLine="482" w:firstLineChars="200"/>
              <w:rPr>
                <w:rFonts w:ascii="Times New Roman" w:hAnsi="Times New Roman" w:cs="Times New Roman"/>
              </w:rPr>
            </w:pPr>
            <w:r>
              <w:rPr>
                <w:rFonts w:hint="default" w:ascii="Times New Roman" w:hAnsi="Times New Roman" w:eastAsia="宋体" w:cs="Times New Roman"/>
                <w:b/>
                <w:bCs/>
                <w:color w:val="auto"/>
                <w:kern w:val="0"/>
                <w:sz w:val="24"/>
                <w:lang w:val="en-US" w:eastAsia="zh-CN"/>
              </w:rPr>
              <w:t>规划名称</w:t>
            </w:r>
            <w:r>
              <w:rPr>
                <w:rFonts w:hint="default" w:ascii="Times New Roman" w:hAnsi="Times New Roman" w:eastAsia="宋体" w:cs="Times New Roman"/>
                <w:b/>
                <w:bCs/>
                <w:color w:val="auto"/>
                <w:sz w:val="24"/>
                <w:szCs w:val="24"/>
                <w:lang w:eastAsia="zh-CN"/>
              </w:rPr>
              <w:t>：</w:t>
            </w:r>
            <w:r>
              <w:rPr>
                <w:rFonts w:ascii="Times New Roman" w:hAnsi="Times New Roman" w:cs="Times New Roman"/>
                <w:color w:val="auto"/>
                <w:sz w:val="24"/>
                <w:szCs w:val="24"/>
                <w:lang w:val="zh-CN"/>
              </w:rPr>
              <w:t>《关于同意调整上游工业集中发展区主导产业的批复》</w:t>
            </w:r>
          </w:p>
          <w:p>
            <w:pPr>
              <w:spacing w:line="360" w:lineRule="auto"/>
              <w:ind w:firstLine="482" w:firstLineChars="200"/>
              <w:rPr>
                <w:rFonts w:ascii="Times New Roman" w:hAnsi="Times New Roman" w:cs="Times New Roman"/>
              </w:rPr>
            </w:pPr>
            <w:r>
              <w:rPr>
                <w:rFonts w:hint="default" w:ascii="Times New Roman" w:hAnsi="Times New Roman" w:eastAsia="宋体" w:cs="Times New Roman"/>
                <w:b/>
                <w:bCs/>
                <w:color w:val="auto"/>
                <w:sz w:val="24"/>
                <w:szCs w:val="24"/>
                <w:lang w:val="en-US" w:eastAsia="zh-CN"/>
              </w:rPr>
              <w:t>规划审批机关</w:t>
            </w:r>
            <w:r>
              <w:rPr>
                <w:rFonts w:hint="default" w:ascii="Times New Roman" w:hAnsi="Times New Roman" w:eastAsia="宋体" w:cs="Times New Roman"/>
                <w:b/>
                <w:bCs/>
                <w:color w:val="auto"/>
                <w:sz w:val="24"/>
                <w:szCs w:val="24"/>
                <w:lang w:eastAsia="zh-CN"/>
              </w:rPr>
              <w:t>：</w:t>
            </w:r>
            <w:r>
              <w:rPr>
                <w:rFonts w:ascii="Times New Roman" w:hAnsi="Times New Roman" w:cs="Times New Roman"/>
                <w:color w:val="auto"/>
                <w:sz w:val="24"/>
                <w:szCs w:val="24"/>
                <w:lang w:val="zh-CN"/>
              </w:rPr>
              <w:t>蓬溪县人民政府</w:t>
            </w:r>
          </w:p>
          <w:p>
            <w:pPr>
              <w:adjustRightInd w:val="0"/>
              <w:snapToGrid w:val="0"/>
              <w:spacing w:line="360" w:lineRule="auto"/>
              <w:ind w:firstLine="482" w:firstLineChars="200"/>
              <w:rPr>
                <w:rFonts w:ascii="Times New Roman" w:hAnsi="Times New Roman" w:cs="Times New Roman"/>
                <w:color w:val="auto"/>
                <w:sz w:val="24"/>
                <w:szCs w:val="32"/>
              </w:rPr>
            </w:pPr>
            <w:r>
              <w:rPr>
                <w:rFonts w:hint="default" w:ascii="Times New Roman" w:hAnsi="Times New Roman" w:eastAsia="宋体" w:cs="Times New Roman"/>
                <w:b/>
                <w:bCs/>
                <w:color w:val="auto"/>
                <w:kern w:val="0"/>
                <w:sz w:val="24"/>
                <w:lang w:val="en-US" w:eastAsia="zh-CN"/>
              </w:rPr>
              <w:t>审批文件名称及文号</w:t>
            </w:r>
            <w:r>
              <w:rPr>
                <w:rFonts w:hint="default" w:ascii="Times New Roman" w:hAnsi="Times New Roman" w:eastAsia="宋体" w:cs="Times New Roman"/>
                <w:b/>
                <w:bCs/>
                <w:color w:val="auto"/>
                <w:sz w:val="24"/>
                <w:szCs w:val="24"/>
                <w:lang w:eastAsia="zh-CN"/>
              </w:rPr>
              <w:t>：</w:t>
            </w:r>
            <w:r>
              <w:rPr>
                <w:rFonts w:ascii="Times New Roman" w:hAnsi="Times New Roman" w:cs="Times New Roman"/>
                <w:color w:val="auto"/>
                <w:sz w:val="24"/>
                <w:szCs w:val="24"/>
                <w:lang w:val="zh-CN"/>
              </w:rPr>
              <w:t>蓬府函[2012]78号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70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规划环境影响</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评价情况</w:t>
            </w:r>
          </w:p>
        </w:tc>
        <w:tc>
          <w:tcPr>
            <w:tcW w:w="7773" w:type="dxa"/>
            <w:gridSpan w:val="3"/>
            <w:vAlign w:val="center"/>
          </w:tcPr>
          <w:p>
            <w:pPr>
              <w:wordWrap w:val="0"/>
              <w:spacing w:line="360" w:lineRule="auto"/>
              <w:jc w:val="left"/>
              <w:rPr>
                <w:rFonts w:hint="default" w:ascii="Times New Roman" w:hAnsi="Times New Roman" w:cs="Times New Roman"/>
                <w:color w:val="auto"/>
                <w:sz w:val="24"/>
              </w:rPr>
            </w:pPr>
            <w:r>
              <w:rPr>
                <w:rFonts w:hint="default" w:ascii="Times New Roman" w:hAnsi="Times New Roman" w:cs="Times New Roman"/>
                <w:b/>
                <w:bCs/>
                <w:color w:val="auto"/>
                <w:sz w:val="24"/>
              </w:rPr>
              <w:t>规划环境影响评价文件名称：</w:t>
            </w:r>
            <w:r>
              <w:rPr>
                <w:rFonts w:hint="default" w:ascii="Times New Roman" w:hAnsi="Times New Roman" w:cs="Times New Roman"/>
                <w:color w:val="auto"/>
                <w:sz w:val="24"/>
              </w:rPr>
              <w:t>《</w:t>
            </w:r>
            <w:r>
              <w:rPr>
                <w:rFonts w:hint="default" w:ascii="Times New Roman" w:hAnsi="Times New Roman" w:cs="Times New Roman"/>
                <w:color w:val="auto"/>
                <w:kern w:val="0"/>
                <w:sz w:val="24"/>
              </w:rPr>
              <w:t>四川蓬溪经济开发区（上游片区）（暨蓬溪县上游工业园产业聚集区）规划修编</w:t>
            </w:r>
            <w:r>
              <w:rPr>
                <w:rFonts w:ascii="Times New Roman" w:hAnsi="Times New Roman" w:cs="Times New Roman"/>
                <w:bCs/>
                <w:color w:val="auto"/>
                <w:kern w:val="0"/>
                <w:sz w:val="24"/>
              </w:rPr>
              <w:t>环境影响报告书</w:t>
            </w:r>
            <w:r>
              <w:rPr>
                <w:rFonts w:hint="default" w:ascii="Times New Roman" w:hAnsi="Times New Roman" w:cs="Times New Roman"/>
                <w:color w:val="auto"/>
                <w:sz w:val="24"/>
              </w:rPr>
              <w:t>》</w:t>
            </w:r>
          </w:p>
          <w:p>
            <w:pPr>
              <w:wordWrap w:val="0"/>
              <w:spacing w:line="360" w:lineRule="auto"/>
              <w:jc w:val="left"/>
              <w:rPr>
                <w:rFonts w:hint="default" w:ascii="Times New Roman" w:hAnsi="Times New Roman" w:cs="Times New Roman"/>
                <w:color w:val="auto"/>
                <w:sz w:val="24"/>
              </w:rPr>
            </w:pPr>
            <w:r>
              <w:rPr>
                <w:rFonts w:hint="default" w:ascii="Times New Roman" w:hAnsi="Times New Roman" w:cs="Times New Roman"/>
                <w:b/>
                <w:bCs/>
                <w:color w:val="auto"/>
                <w:sz w:val="24"/>
              </w:rPr>
              <w:t>召集审查机关：</w:t>
            </w:r>
            <w:r>
              <w:rPr>
                <w:rFonts w:hint="default" w:ascii="Times New Roman" w:hAnsi="Times New Roman" w:cs="Times New Roman"/>
                <w:color w:val="auto"/>
                <w:kern w:val="0"/>
                <w:sz w:val="24"/>
              </w:rPr>
              <w:t>遂宁市生态环境局</w:t>
            </w:r>
          </w:p>
          <w:p>
            <w:pPr>
              <w:pStyle w:val="51"/>
              <w:spacing w:line="360" w:lineRule="auto"/>
              <w:ind w:firstLine="0" w:firstLineChars="0"/>
              <w:jc w:val="both"/>
              <w:rPr>
                <w:rFonts w:hint="default" w:ascii="Times New Roman" w:hAnsi="Times New Roman" w:cs="Times New Roman"/>
                <w:color w:val="auto"/>
                <w:szCs w:val="24"/>
                <w:lang w:val="zh-CN"/>
              </w:rPr>
            </w:pPr>
            <w:r>
              <w:rPr>
                <w:rFonts w:hint="default" w:ascii="Times New Roman" w:hAnsi="Times New Roman" w:cs="Times New Roman"/>
                <w:b/>
                <w:bCs/>
                <w:color w:val="auto"/>
                <w:sz w:val="24"/>
              </w:rPr>
              <w:t>审查文件名称及文号：</w:t>
            </w:r>
            <w:r>
              <w:rPr>
                <w:rFonts w:hint="default" w:ascii="Times New Roman" w:hAnsi="Times New Roman" w:cs="Times New Roman"/>
                <w:bCs/>
                <w:color w:val="auto"/>
                <w:kern w:val="0"/>
                <w:sz w:val="24"/>
              </w:rPr>
              <w:t>《</w:t>
            </w:r>
            <w:r>
              <w:rPr>
                <w:rFonts w:hint="default" w:ascii="Times New Roman" w:hAnsi="Times New Roman" w:cs="Times New Roman"/>
                <w:color w:val="auto"/>
                <w:kern w:val="0"/>
                <w:sz w:val="24"/>
              </w:rPr>
              <w:t>四川蓬溪经济开发区（上游片区）（暨蓬溪县上游工业园产业聚集区）规划修编</w:t>
            </w:r>
            <w:r>
              <w:rPr>
                <w:rFonts w:hint="default" w:ascii="Times New Roman" w:hAnsi="Times New Roman" w:cs="Times New Roman"/>
                <w:bCs/>
                <w:color w:val="auto"/>
                <w:kern w:val="0"/>
                <w:sz w:val="24"/>
              </w:rPr>
              <w:t>环境影响报告书审查意见的函》</w:t>
            </w:r>
            <w:r>
              <w:rPr>
                <w:rFonts w:hint="default" w:ascii="Times New Roman" w:hAnsi="Times New Roman" w:cs="Times New Roman"/>
                <w:color w:val="auto"/>
                <w:kern w:val="0"/>
                <w:sz w:val="24"/>
              </w:rPr>
              <w:t>（遂环函[2022] 67号）；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70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规划及规划环境影响评价符合性分析</w:t>
            </w:r>
          </w:p>
        </w:tc>
        <w:tc>
          <w:tcPr>
            <w:tcW w:w="7773" w:type="dxa"/>
            <w:gridSpan w:val="3"/>
            <w:vAlign w:val="center"/>
          </w:tcPr>
          <w:p>
            <w:pPr>
              <w:numPr>
                <w:ilvl w:val="0"/>
                <w:numId w:val="4"/>
              </w:numPr>
              <w:adjustRightInd w:val="0"/>
              <w:snapToGrid w:val="0"/>
              <w:spacing w:line="360" w:lineRule="auto"/>
              <w:ind w:firstLine="482" w:firstLineChars="200"/>
              <w:rPr>
                <w:rFonts w:hint="eastAsia"/>
                <w:b/>
                <w:bCs/>
                <w:color w:val="auto"/>
                <w:sz w:val="24"/>
              </w:rPr>
            </w:pPr>
            <w:r>
              <w:rPr>
                <w:rFonts w:hint="eastAsia"/>
                <w:b/>
                <w:bCs/>
                <w:color w:val="auto"/>
                <w:sz w:val="24"/>
              </w:rPr>
              <w:t>基本情况</w:t>
            </w:r>
          </w:p>
          <w:p>
            <w:pPr>
              <w:wordWrap w:val="0"/>
              <w:topLinePunct/>
              <w:autoSpaceDE/>
              <w:autoSpaceDN/>
              <w:adjustRightInd/>
              <w:snapToGrid/>
              <w:spacing w:line="360" w:lineRule="auto"/>
              <w:ind w:firstLine="480" w:firstLineChars="200"/>
              <w:jc w:val="both"/>
              <w:rPr>
                <w:rFonts w:ascii="Times New Roman" w:hAnsi="Times New Roman" w:cs="Times New Roman"/>
                <w:color w:val="auto"/>
                <w:sz w:val="24"/>
              </w:rPr>
            </w:pPr>
            <w:r>
              <w:rPr>
                <w:rFonts w:ascii="Times New Roman" w:hAnsi="Times New Roman" w:cs="Times New Roman"/>
                <w:color w:val="auto"/>
                <w:sz w:val="24"/>
              </w:rPr>
              <w:t>2007年，蓬溪县人民政府决定成立蓬溪县上游工业集中发展区，规划面积约5.3km</w:t>
            </w:r>
            <w:r>
              <w:rPr>
                <w:rFonts w:ascii="Times New Roman" w:hAnsi="Times New Roman" w:cs="Times New Roman"/>
                <w:color w:val="auto"/>
                <w:sz w:val="24"/>
                <w:vertAlign w:val="superscript"/>
              </w:rPr>
              <w:t>2</w:t>
            </w:r>
            <w:r>
              <w:rPr>
                <w:rFonts w:ascii="Times New Roman" w:hAnsi="Times New Roman" w:cs="Times New Roman"/>
                <w:color w:val="auto"/>
                <w:sz w:val="24"/>
              </w:rPr>
              <w:t>，主导产业方向为纺织、轻化工业、食品加工、仓储物流。2008年取得了原遂宁市环境保护局出具的规划环评审查意见(遂环函[2008]4号)。</w:t>
            </w:r>
          </w:p>
          <w:p>
            <w:pPr>
              <w:wordWrap w:val="0"/>
              <w:topLinePunct/>
              <w:autoSpaceDE/>
              <w:autoSpaceDN/>
              <w:adjustRightInd/>
              <w:snapToGrid/>
              <w:spacing w:line="360" w:lineRule="auto"/>
              <w:ind w:firstLine="480" w:firstLineChars="200"/>
              <w:jc w:val="both"/>
              <w:rPr>
                <w:rFonts w:ascii="Times New Roman" w:hAnsi="Times New Roman" w:cs="Times New Roman"/>
                <w:color w:val="auto"/>
                <w:sz w:val="24"/>
              </w:rPr>
            </w:pPr>
            <w:r>
              <w:rPr>
                <w:rFonts w:ascii="Times New Roman" w:hAnsi="Times New Roman" w:cs="Times New Roman"/>
                <w:color w:val="auto"/>
                <w:sz w:val="24"/>
              </w:rPr>
              <w:t>2012年，为解决主导产业导向问题，突出打造门业及配套产业，蓬溪县人民政府对上一轮规划进行了调整</w:t>
            </w:r>
            <w:r>
              <w:rPr>
                <w:rFonts w:hint="default" w:ascii="Times New Roman" w:hAnsi="Times New Roman" w:cs="Times New Roman"/>
                <w:color w:val="auto"/>
                <w:sz w:val="24"/>
              </w:rPr>
              <w:t>，</w:t>
            </w:r>
            <w:r>
              <w:rPr>
                <w:rFonts w:ascii="Times New Roman" w:hAnsi="Times New Roman" w:cs="Times New Roman"/>
                <w:color w:val="auto"/>
                <w:sz w:val="24"/>
              </w:rPr>
              <w:t>编制了《蓬溪县上游工业集中发展区规划调整》，组织编制了规划环评并取得了原遂宁市环境保护局出具的批复(遂环函[2013] 67号)。调整后规划总规划面积仍为5.3km</w:t>
            </w:r>
            <w:r>
              <w:rPr>
                <w:rFonts w:ascii="Times New Roman" w:hAnsi="Times New Roman" w:cs="Times New Roman"/>
                <w:color w:val="auto"/>
                <w:sz w:val="24"/>
                <w:vertAlign w:val="superscript"/>
              </w:rPr>
              <w:t>2</w:t>
            </w:r>
            <w:r>
              <w:rPr>
                <w:rFonts w:ascii="Times New Roman" w:hAnsi="Times New Roman" w:cs="Times New Roman"/>
                <w:color w:val="auto"/>
                <w:sz w:val="24"/>
              </w:rPr>
              <w:t>，主导产业为门业及其配套、纺织产业、电子产业、食品产业、南部仓储物流。</w:t>
            </w:r>
          </w:p>
          <w:p>
            <w:pPr>
              <w:wordWrap w:val="0"/>
              <w:topLinePunct/>
              <w:autoSpaceDE/>
              <w:autoSpaceDN/>
              <w:adjustRightInd/>
              <w:snapToGrid/>
              <w:spacing w:line="360" w:lineRule="auto"/>
              <w:ind w:firstLine="480" w:firstLineChars="200"/>
              <w:jc w:val="both"/>
              <w:rPr>
                <w:rFonts w:ascii="Times New Roman" w:hAnsi="Times New Roman" w:cs="Times New Roman"/>
                <w:color w:val="auto"/>
                <w:sz w:val="24"/>
              </w:rPr>
            </w:pPr>
            <w:r>
              <w:rPr>
                <w:rFonts w:ascii="Times New Roman" w:hAnsi="Times New Roman" w:cs="Times New Roman"/>
                <w:color w:val="auto"/>
                <w:sz w:val="24"/>
              </w:rPr>
              <w:t>2013年，为从园区长远发展考虑，拓展门业配套产业发展空间，蓬溪县人民政府编制了《蓬溪县上游工业集中发展区拓展区规划》，组织编制了规划环评并取得了原四川省环境保护厅出具的审查意见(川环建函[2014]249号)</w:t>
            </w:r>
            <w:r>
              <w:rPr>
                <w:rFonts w:hint="default" w:ascii="Times New Roman" w:hAnsi="Times New Roman" w:cs="Times New Roman"/>
                <w:color w:val="auto"/>
                <w:sz w:val="24"/>
              </w:rPr>
              <w:t>，</w:t>
            </w:r>
            <w:r>
              <w:rPr>
                <w:rFonts w:ascii="Times New Roman" w:hAnsi="Times New Roman" w:cs="Times New Roman"/>
                <w:color w:val="auto"/>
                <w:sz w:val="24"/>
              </w:rPr>
              <w:t>规划面积3.78km</w:t>
            </w:r>
            <w:r>
              <w:rPr>
                <w:rFonts w:ascii="Times New Roman" w:hAnsi="Times New Roman" w:cs="Times New Roman"/>
                <w:color w:val="auto"/>
                <w:sz w:val="24"/>
                <w:vertAlign w:val="superscript"/>
              </w:rPr>
              <w:t>2</w:t>
            </w:r>
            <w:r>
              <w:rPr>
                <w:rFonts w:ascii="Times New Roman" w:hAnsi="Times New Roman" w:cs="Times New Roman"/>
                <w:color w:val="auto"/>
                <w:sz w:val="24"/>
              </w:rPr>
              <w:t>，主导产业为家具制造(主要发展门业及门业配套产业)、化工</w:t>
            </w:r>
            <w:r>
              <w:rPr>
                <w:rFonts w:hint="eastAsia" w:ascii="Times New Roman" w:hAnsi="Times New Roman" w:cs="Times New Roman"/>
                <w:color w:val="auto"/>
                <w:sz w:val="24"/>
                <w:lang w:eastAsia="zh-CN"/>
              </w:rPr>
              <w:t>（</w:t>
            </w:r>
            <w:r>
              <w:rPr>
                <w:rFonts w:ascii="Times New Roman" w:hAnsi="Times New Roman" w:cs="Times New Roman"/>
                <w:color w:val="auto"/>
                <w:sz w:val="24"/>
              </w:rPr>
              <w:t>限定为与门业配套的油漆、涂料</w:t>
            </w:r>
            <w:r>
              <w:rPr>
                <w:rFonts w:hint="eastAsia" w:ascii="Times New Roman" w:hAnsi="Times New Roman" w:cs="Times New Roman"/>
                <w:color w:val="auto"/>
                <w:sz w:val="24"/>
                <w:lang w:eastAsia="zh-CN"/>
              </w:rPr>
              <w:t>）</w:t>
            </w:r>
            <w:r>
              <w:rPr>
                <w:rFonts w:ascii="Times New Roman" w:hAnsi="Times New Roman" w:cs="Times New Roman"/>
                <w:color w:val="auto"/>
                <w:sz w:val="24"/>
              </w:rPr>
              <w:t>等产业。</w:t>
            </w:r>
          </w:p>
          <w:p>
            <w:pPr>
              <w:wordWrap w:val="0"/>
              <w:topLinePunct/>
              <w:autoSpaceDE/>
              <w:autoSpaceDN/>
              <w:adjustRightInd/>
              <w:snapToGrid/>
              <w:spacing w:line="360" w:lineRule="auto"/>
              <w:ind w:firstLine="480" w:firstLineChars="200"/>
              <w:jc w:val="both"/>
              <w:rPr>
                <w:rFonts w:ascii="Times New Roman" w:hAnsi="Times New Roman" w:cs="Times New Roman"/>
                <w:color w:val="auto"/>
                <w:sz w:val="24"/>
              </w:rPr>
            </w:pPr>
            <w:r>
              <w:rPr>
                <w:rFonts w:ascii="Times New Roman" w:hAnsi="Times New Roman" w:cs="Times New Roman"/>
                <w:color w:val="auto"/>
                <w:sz w:val="24"/>
              </w:rPr>
              <w:t>2019年1月，四川省人民政府同意设立四川蓬溪经济开发区。蓬溪经开区以家具、服装、食品饮料为主导产业，核准面积5.7437 km</w:t>
            </w:r>
            <w:r>
              <w:rPr>
                <w:rFonts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ascii="Times New Roman" w:hAnsi="Times New Roman" w:cs="Times New Roman"/>
                <w:color w:val="auto"/>
                <w:sz w:val="24"/>
              </w:rPr>
              <w:t>其中上游片区2.6195 km</w:t>
            </w:r>
            <w:r>
              <w:rPr>
                <w:rFonts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ascii="Times New Roman" w:hAnsi="Times New Roman" w:cs="Times New Roman"/>
                <w:color w:val="auto"/>
                <w:sz w:val="24"/>
              </w:rPr>
              <w:t>重点发展门业家居、纺织服装等产业，金桥片区3.1242km</w:t>
            </w:r>
            <w:r>
              <w:rPr>
                <w:rFonts w:ascii="Times New Roman" w:hAnsi="Times New Roman" w:cs="Times New Roman"/>
                <w:color w:val="auto"/>
                <w:sz w:val="24"/>
                <w:vertAlign w:val="superscript"/>
              </w:rPr>
              <w:t>2</w:t>
            </w:r>
            <w:r>
              <w:rPr>
                <w:rFonts w:ascii="Times New Roman" w:hAnsi="Times New Roman" w:cs="Times New Roman"/>
                <w:color w:val="auto"/>
                <w:sz w:val="24"/>
              </w:rPr>
              <w:t>，重点发展食品饮料等产业。</w:t>
            </w:r>
          </w:p>
          <w:p>
            <w:pPr>
              <w:wordWrap w:val="0"/>
              <w:topLinePunct/>
              <w:autoSpaceDE/>
              <w:autoSpaceDN/>
              <w:adjustRightInd/>
              <w:snapToGrid/>
              <w:spacing w:line="360" w:lineRule="auto"/>
              <w:ind w:firstLine="480" w:firstLineChars="200"/>
              <w:jc w:val="both"/>
              <w:rPr>
                <w:rFonts w:ascii="Times New Roman" w:hAnsi="Times New Roman" w:cs="Times New Roman"/>
                <w:color w:val="auto"/>
                <w:sz w:val="24"/>
              </w:rPr>
            </w:pPr>
            <w:r>
              <w:rPr>
                <w:rFonts w:hint="default" w:ascii="Times New Roman" w:hAnsi="Times New Roman" w:cs="Times New Roman"/>
                <w:color w:val="auto"/>
                <w:sz w:val="24"/>
              </w:rPr>
              <w:t>2022年</w:t>
            </w:r>
            <w:r>
              <w:rPr>
                <w:rFonts w:ascii="Times New Roman" w:hAnsi="Times New Roman" w:cs="Times New Roman"/>
                <w:color w:val="auto"/>
                <w:sz w:val="24"/>
              </w:rPr>
              <w:t>，四川蓬溪经开区管委会启动了园区修编工作，编制了《四川蓬溪经济开发区(上游片区)(暨蓬溪县上游工业园产业聚集区)控制性详细规划修编》。</w:t>
            </w:r>
          </w:p>
          <w:p>
            <w:pPr>
              <w:wordWrap w:val="0"/>
              <w:topLinePunct/>
              <w:autoSpaceDE/>
              <w:autoSpaceDN/>
              <w:adjustRightInd/>
              <w:snapToGrid/>
              <w:spacing w:line="360" w:lineRule="auto"/>
              <w:ind w:firstLine="480" w:firstLineChars="200"/>
              <w:jc w:val="both"/>
              <w:rPr>
                <w:rFonts w:hint="eastAsia"/>
                <w:color w:val="auto"/>
                <w:sz w:val="24"/>
              </w:rPr>
            </w:pPr>
            <w:r>
              <w:rPr>
                <w:rFonts w:hint="default" w:ascii="Times New Roman" w:hAnsi="Times New Roman" w:cs="Times New Roman"/>
                <w:color w:val="auto"/>
                <w:sz w:val="24"/>
              </w:rPr>
              <w:t>修编后，</w:t>
            </w:r>
            <w:r>
              <w:rPr>
                <w:rFonts w:ascii="Times New Roman" w:hAnsi="Times New Roman" w:cs="Times New Roman"/>
                <w:color w:val="auto"/>
                <w:sz w:val="24"/>
              </w:rPr>
              <w:t>上游工业园</w:t>
            </w:r>
            <w:r>
              <w:rPr>
                <w:rFonts w:hint="default" w:ascii="Times New Roman" w:hAnsi="Times New Roman" w:cs="Times New Roman"/>
                <w:color w:val="auto"/>
                <w:sz w:val="24"/>
              </w:rPr>
              <w:t>四至范围：</w:t>
            </w:r>
            <w:r>
              <w:rPr>
                <w:rFonts w:ascii="Times New Roman" w:hAnsi="Times New Roman" w:cs="Times New Roman"/>
                <w:color w:val="auto"/>
                <w:sz w:val="24"/>
              </w:rPr>
              <w:t>南至普安街道任家桥村5组，北至芝溪河南岸（沿河岸线退10m间距），东至鸣凤镇白猴村4组，西至赤城镇跃进村5组，规划范围南北长约4.2km，东西宽约4.5km，总面积约11.7 km</w:t>
            </w:r>
            <w:r>
              <w:rPr>
                <w:rFonts w:ascii="Times New Roman" w:hAnsi="Times New Roman" w:cs="Times New Roman"/>
                <w:color w:val="auto"/>
                <w:sz w:val="24"/>
                <w:vertAlign w:val="superscript"/>
              </w:rPr>
              <w:t>2</w:t>
            </w:r>
            <w:r>
              <w:rPr>
                <w:rFonts w:ascii="Times New Roman" w:hAnsi="Times New Roman" w:cs="Times New Roman"/>
                <w:color w:val="auto"/>
                <w:sz w:val="24"/>
              </w:rPr>
              <w:t>。</w:t>
            </w:r>
            <w:r>
              <w:rPr>
                <w:rFonts w:hint="eastAsia"/>
                <w:b/>
                <w:bCs/>
                <w:color w:val="auto"/>
                <w:sz w:val="24"/>
              </w:rPr>
              <w:t>主导产业：门业及智能家居产业、线缆线束产业。</w:t>
            </w:r>
          </w:p>
          <w:p>
            <w:pPr>
              <w:widowControl/>
              <w:spacing w:line="360" w:lineRule="auto"/>
              <w:ind w:firstLine="482" w:firstLineChars="200"/>
              <w:rPr>
                <w:rFonts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rPr>
              <w:t>2、</w:t>
            </w:r>
            <w:r>
              <w:rPr>
                <w:rFonts w:hint="eastAsia" w:ascii="Times New Roman" w:hAnsi="Times New Roman" w:eastAsia="宋体" w:cs="Times New Roman"/>
                <w:b/>
                <w:bCs/>
                <w:color w:val="auto"/>
                <w:kern w:val="0"/>
                <w:sz w:val="24"/>
                <w:lang w:eastAsia="zh-CN"/>
              </w:rPr>
              <w:t>园区</w:t>
            </w:r>
            <w:r>
              <w:rPr>
                <w:rFonts w:hint="eastAsia" w:ascii="Times New Roman" w:hAnsi="Times New Roman" w:eastAsia="宋体" w:cs="Times New Roman"/>
                <w:b/>
                <w:bCs/>
                <w:color w:val="auto"/>
                <w:kern w:val="0"/>
                <w:sz w:val="24"/>
                <w:lang w:val="en-US" w:eastAsia="zh-CN"/>
              </w:rPr>
              <w:t>行业准入</w:t>
            </w:r>
            <w:r>
              <w:rPr>
                <w:rFonts w:ascii="Times New Roman" w:hAnsi="Times New Roman" w:eastAsia="宋体" w:cs="Times New Roman"/>
                <w:b/>
                <w:bCs/>
                <w:color w:val="auto"/>
                <w:kern w:val="0"/>
                <w:sz w:val="24"/>
                <w:lang w:val="en-US" w:eastAsia="zh-CN"/>
              </w:rPr>
              <w:t xml:space="preserve"> </w:t>
            </w:r>
          </w:p>
          <w:p>
            <w:pPr>
              <w:widowControl/>
              <w:spacing w:line="360" w:lineRule="auto"/>
              <w:ind w:firstLine="482" w:firstLineChars="20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b/>
                <w:bCs/>
                <w:color w:val="auto"/>
                <w:kern w:val="0"/>
                <w:sz w:val="24"/>
                <w:lang w:val="en-US" w:eastAsia="zh-CN"/>
              </w:rPr>
              <w:t>（1）鼓励类</w:t>
            </w:r>
            <w:r>
              <w:rPr>
                <w:rFonts w:hint="default" w:ascii="Times New Roman" w:hAnsi="Times New Roman" w:eastAsia="宋体" w:cs="Times New Roman"/>
                <w:color w:val="auto"/>
                <w:kern w:val="0"/>
                <w:sz w:val="24"/>
                <w:lang w:val="en-US" w:eastAsia="zh-CN"/>
              </w:rPr>
              <w:t>：</w:t>
            </w:r>
          </w:p>
          <w:p>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 xml:space="preserve">鼓励发展门业及智能家居产业、线缆线束产业及与主导产业相符的项目。 </w:t>
            </w:r>
          </w:p>
          <w:p>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 xml:space="preserve">门业及智能家居产业：主要包括木门窗，金属门窗，木制家具，竹、藤家具，金属家具，塑料家具，其他家具等。 </w:t>
            </w:r>
          </w:p>
          <w:p>
            <w:pPr>
              <w:widowControl/>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 xml:space="preserve">线缆线束产业：主要为电线、电缆制造。 </w:t>
            </w:r>
          </w:p>
          <w:p>
            <w:pPr>
              <w:pStyle w:val="51"/>
              <w:spacing w:line="360" w:lineRule="auto"/>
              <w:ind w:firstLine="480"/>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鼓励其发展主导产业或重要项目的上下游企业，有利于区域实现循环经济和可持续发展的企业，若与规划区或片区主业发展不形成交叉影响。</w:t>
            </w:r>
          </w:p>
          <w:p>
            <w:pPr>
              <w:widowControl/>
              <w:spacing w:line="360" w:lineRule="auto"/>
              <w:ind w:firstLine="482" w:firstLineChars="200"/>
              <w:rPr>
                <w:rFonts w:hint="default" w:ascii="Times New Roman" w:hAnsi="Times New Roman" w:cs="Times New Roman"/>
                <w:b/>
                <w:bCs/>
                <w:color w:val="auto"/>
                <w:kern w:val="0"/>
                <w:sz w:val="24"/>
                <w:lang w:eastAsia="zh-CN"/>
              </w:rPr>
            </w:pPr>
            <w:r>
              <w:rPr>
                <w:rFonts w:hint="default" w:ascii="Times New Roman" w:hAnsi="Times New Roman" w:cs="Times New Roman"/>
                <w:b/>
                <w:bCs/>
                <w:color w:val="auto"/>
                <w:kern w:val="0"/>
                <w:sz w:val="24"/>
                <w:lang w:eastAsia="zh-CN"/>
              </w:rPr>
              <w:t>（</w:t>
            </w:r>
            <w:r>
              <w:rPr>
                <w:rFonts w:hint="default" w:ascii="Times New Roman" w:hAnsi="Times New Roman" w:cs="Times New Roman"/>
                <w:b/>
                <w:bCs/>
                <w:color w:val="auto"/>
                <w:kern w:val="0"/>
                <w:sz w:val="24"/>
                <w:lang w:val="en-US" w:eastAsia="zh-CN"/>
              </w:rPr>
              <w:t>2）</w:t>
            </w:r>
            <w:r>
              <w:rPr>
                <w:rFonts w:hint="default" w:ascii="Times New Roman" w:hAnsi="Times New Roman" w:cs="Times New Roman"/>
                <w:b/>
                <w:bCs/>
                <w:color w:val="auto"/>
                <w:kern w:val="0"/>
                <w:sz w:val="24"/>
                <w:lang w:eastAsia="zh-CN"/>
              </w:rPr>
              <w:t>禁止类：</w:t>
            </w:r>
          </w:p>
          <w:p>
            <w:pPr>
              <w:widowControl/>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default" w:ascii="Times New Roman" w:hAnsi="Times New Roman" w:eastAsia="宋体" w:cs="Times New Roman"/>
                <w:b w:val="0"/>
                <w:bCs w:val="0"/>
                <w:color w:val="auto"/>
                <w:kern w:val="0"/>
                <w:sz w:val="24"/>
                <w:lang w:val="en-US" w:eastAsia="zh-CN"/>
              </w:rPr>
              <w:t>门业及智能家居产业园：禁止引入溶剂型涂料涂装的木质家具（高流量低压[HVLP]喷漆工艺除外）</w:t>
            </w:r>
          </w:p>
          <w:p>
            <w:pPr>
              <w:widowControl/>
              <w:spacing w:line="360" w:lineRule="auto"/>
              <w:ind w:firstLine="480" w:firstLineChars="200"/>
              <w:rPr>
                <w:rFonts w:hint="default" w:ascii="Times New Roman" w:hAnsi="Times New Roman" w:eastAsia="宋体" w:cs="Times New Roman"/>
                <w:b w:val="0"/>
                <w:bCs w:val="0"/>
                <w:color w:val="auto"/>
                <w:kern w:val="0"/>
                <w:sz w:val="24"/>
                <w:lang w:val="en-US" w:eastAsia="zh-CN"/>
              </w:rPr>
            </w:pPr>
            <w:r>
              <w:rPr>
                <w:rFonts w:hint="default" w:ascii="Times New Roman" w:hAnsi="Times New Roman" w:eastAsia="宋体" w:cs="Times New Roman"/>
                <w:b w:val="0"/>
                <w:bCs w:val="0"/>
                <w:color w:val="auto"/>
                <w:kern w:val="0"/>
                <w:sz w:val="24"/>
                <w:lang w:val="en-US" w:eastAsia="zh-CN"/>
              </w:rPr>
              <w:t xml:space="preserve">线缆线束产业园：禁止引入6千伏及以上（陆上用）干法交联电力电缆项目。 </w:t>
            </w:r>
          </w:p>
          <w:p>
            <w:pPr>
              <w:widowControl/>
              <w:spacing w:line="360" w:lineRule="auto"/>
              <w:ind w:firstLine="480" w:firstLineChars="200"/>
              <w:rPr>
                <w:rFonts w:hint="default" w:ascii="Times New Roman" w:hAnsi="Times New Roman" w:cs="Times New Roman"/>
                <w:b w:val="0"/>
                <w:bCs w:val="0"/>
                <w:color w:val="auto"/>
                <w:kern w:val="0"/>
                <w:sz w:val="24"/>
                <w:lang w:eastAsia="zh-CN"/>
              </w:rPr>
            </w:pPr>
            <w:r>
              <w:rPr>
                <w:rFonts w:hint="default" w:ascii="Times New Roman" w:hAnsi="Times New Roman" w:cs="Times New Roman"/>
                <w:b w:val="0"/>
                <w:bCs w:val="0"/>
                <w:color w:val="auto"/>
                <w:kern w:val="0"/>
                <w:sz w:val="24"/>
                <w:lang w:val="en-US" w:eastAsia="zh-CN"/>
              </w:rPr>
              <w:t xml:space="preserve">禁止引入不符合法律法规、产业政策及相关环境管理要求的项目； </w:t>
            </w:r>
          </w:p>
          <w:p>
            <w:pPr>
              <w:widowControl/>
              <w:spacing w:line="360" w:lineRule="auto"/>
              <w:ind w:firstLine="480" w:firstLineChars="200"/>
              <w:rPr>
                <w:rFonts w:hint="default" w:ascii="Times New Roman" w:hAnsi="Times New Roman" w:cs="Times New Roman"/>
                <w:b w:val="0"/>
                <w:bCs w:val="0"/>
                <w:color w:val="auto"/>
                <w:kern w:val="0"/>
                <w:sz w:val="24"/>
                <w:lang w:eastAsia="zh-CN"/>
              </w:rPr>
            </w:pPr>
            <w:r>
              <w:rPr>
                <w:rFonts w:hint="default" w:ascii="Times New Roman" w:hAnsi="Times New Roman" w:cs="Times New Roman"/>
                <w:b w:val="0"/>
                <w:bCs w:val="0"/>
                <w:color w:val="auto"/>
                <w:kern w:val="0"/>
                <w:sz w:val="24"/>
                <w:lang w:val="en-US" w:eastAsia="zh-CN"/>
              </w:rPr>
              <w:t xml:space="preserve">禁止引入《环境保护综合名录》中涉及的“高污染、高环境风险”项目。 </w:t>
            </w:r>
          </w:p>
          <w:p>
            <w:pPr>
              <w:widowControl/>
              <w:spacing w:line="360" w:lineRule="auto"/>
              <w:ind w:firstLine="480" w:firstLineChars="200"/>
              <w:rPr>
                <w:rFonts w:hint="default" w:ascii="Times New Roman" w:hAnsi="Times New Roman" w:cs="Times New Roman"/>
                <w:b w:val="0"/>
                <w:bCs w:val="0"/>
                <w:color w:val="auto"/>
                <w:kern w:val="0"/>
                <w:sz w:val="24"/>
                <w:lang w:eastAsia="zh-CN"/>
              </w:rPr>
            </w:pPr>
            <w:r>
              <w:rPr>
                <w:rFonts w:hint="default" w:ascii="Times New Roman" w:hAnsi="Times New Roman" w:cs="Times New Roman"/>
                <w:b w:val="0"/>
                <w:bCs w:val="0"/>
                <w:color w:val="auto"/>
                <w:kern w:val="0"/>
                <w:sz w:val="24"/>
                <w:lang w:val="en-US" w:eastAsia="zh-CN"/>
              </w:rPr>
              <w:t xml:space="preserve">禁止引入清洁生产水平不能达二级或国内先进水平的项目。 </w:t>
            </w:r>
          </w:p>
          <w:p>
            <w:pPr>
              <w:widowControl/>
              <w:spacing w:line="360" w:lineRule="auto"/>
              <w:ind w:firstLine="480" w:firstLineChars="200"/>
              <w:rPr>
                <w:rFonts w:hint="default" w:ascii="Times New Roman" w:hAnsi="Times New Roman" w:cs="Times New Roman"/>
                <w:b w:val="0"/>
                <w:bCs w:val="0"/>
                <w:color w:val="auto"/>
                <w:kern w:val="0"/>
                <w:sz w:val="24"/>
                <w:lang w:eastAsia="zh-CN"/>
              </w:rPr>
            </w:pPr>
            <w:r>
              <w:rPr>
                <w:rFonts w:hint="default" w:ascii="Times New Roman" w:hAnsi="Times New Roman" w:cs="Times New Roman"/>
                <w:b w:val="0"/>
                <w:bCs w:val="0"/>
                <w:color w:val="auto"/>
                <w:kern w:val="0"/>
                <w:sz w:val="24"/>
                <w:lang w:val="en-US" w:eastAsia="zh-CN"/>
              </w:rPr>
              <w:t xml:space="preserve">禁止新建医药、农药、制浆（含废纸制浆）、造纸、印染染整、制革、水泥、专业电镀、制革、洗选、含前工序的集成电路、平板玻璃、印制电路板、石墨及炭素制品、有色金属冶炼（钒、钛除外）等与主导产业环境不相容或不属于主导产业的高污染行业。 </w:t>
            </w:r>
          </w:p>
          <w:p>
            <w:pPr>
              <w:pStyle w:val="51"/>
              <w:spacing w:line="360" w:lineRule="auto"/>
              <w:ind w:firstLine="480"/>
              <w:rPr>
                <w:rFonts w:hint="default" w:ascii="Times New Roman" w:hAnsi="Times New Roman" w:eastAsia="宋体" w:cs="Times New Roman"/>
                <w:color w:val="auto"/>
                <w:kern w:val="0"/>
                <w:sz w:val="24"/>
                <w:lang w:val="en-US" w:eastAsia="zh-CN"/>
              </w:rPr>
            </w:pPr>
            <w:r>
              <w:rPr>
                <w:rFonts w:hint="eastAsia"/>
                <w:b w:val="0"/>
                <w:bCs w:val="0"/>
                <w:color w:val="auto"/>
                <w:kern w:val="0"/>
                <w:sz w:val="24"/>
                <w:lang w:val="en-US" w:eastAsia="zh-CN"/>
              </w:rPr>
              <w:t>禁止引入酒精饮料及酒类制造、屠宰、粮食及饲料加工、农产品加工等废水排放大的行业。</w:t>
            </w:r>
          </w:p>
          <w:p>
            <w:pPr>
              <w:adjustRightInd w:val="0"/>
              <w:snapToGrid w:val="0"/>
              <w:spacing w:line="240" w:lineRule="atLeast"/>
              <w:jc w:val="center"/>
              <w:rPr>
                <w:rFonts w:ascii="Times New Roman" w:hAnsi="Times New Roman" w:cs="Times New Roman"/>
                <w:b/>
                <w:bCs/>
                <w:color w:val="auto"/>
                <w:sz w:val="21"/>
                <w:szCs w:val="21"/>
                <w:lang w:val="zh-CN"/>
              </w:rPr>
            </w:pPr>
            <w:r>
              <w:rPr>
                <w:rFonts w:ascii="Times New Roman" w:hAnsi="Times New Roman" w:cs="Times New Roman"/>
                <w:b/>
                <w:bCs/>
                <w:color w:val="auto"/>
                <w:sz w:val="21"/>
                <w:szCs w:val="21"/>
                <w:lang w:val="zh-CN"/>
              </w:rPr>
              <w:t>表1-1</w:t>
            </w:r>
            <w:r>
              <w:rPr>
                <w:rFonts w:ascii="Times New Roman" w:hAnsi="Times New Roman" w:cs="Times New Roman"/>
                <w:b/>
                <w:bCs/>
                <w:color w:val="auto"/>
                <w:sz w:val="21"/>
                <w:szCs w:val="21"/>
              </w:rPr>
              <w:t xml:space="preserve"> </w:t>
            </w:r>
            <w:r>
              <w:rPr>
                <w:rFonts w:ascii="Times New Roman" w:hAnsi="Times New Roman" w:cs="Times New Roman"/>
                <w:b/>
                <w:bCs/>
                <w:color w:val="auto"/>
                <w:sz w:val="21"/>
                <w:szCs w:val="21"/>
                <w:lang w:val="zh-CN"/>
              </w:rPr>
              <w:t>本项目与园区行业准入符合性对比</w:t>
            </w:r>
          </w:p>
          <w:tbl>
            <w:tblPr>
              <w:tblStyle w:val="24"/>
              <w:tblW w:w="7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322"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园区规划</w:t>
                  </w:r>
                </w:p>
              </w:tc>
              <w:tc>
                <w:tcPr>
                  <w:tcW w:w="2982"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322" w:type="dxa"/>
                  <w:vAlign w:val="center"/>
                </w:tcPr>
                <w:p>
                  <w:pPr>
                    <w:jc w:val="center"/>
                    <w:rPr>
                      <w:rFonts w:ascii="Times New Roman" w:hAnsi="Times New Roman" w:cs="Times New Roman"/>
                      <w:bCs/>
                      <w:color w:val="auto"/>
                      <w:sz w:val="21"/>
                      <w:szCs w:val="21"/>
                    </w:rPr>
                  </w:pPr>
                  <w:r>
                    <w:rPr>
                      <w:rFonts w:ascii="Times New Roman" w:hAnsi="Times New Roman" w:cs="Times New Roman"/>
                      <w:b/>
                      <w:color w:val="auto"/>
                      <w:sz w:val="21"/>
                      <w:szCs w:val="21"/>
                    </w:rPr>
                    <w:t>鼓励类：</w:t>
                  </w:r>
                  <w:r>
                    <w:rPr>
                      <w:rFonts w:hint="eastAsia" w:ascii="Times New Roman" w:hAnsi="Times New Roman" w:cs="Times New Roman"/>
                      <w:b w:val="0"/>
                      <w:bCs/>
                      <w:color w:val="auto"/>
                      <w:sz w:val="21"/>
                      <w:szCs w:val="21"/>
                    </w:rPr>
                    <w:t>发展门业及智能家居产业、线缆线束产业及与主导产业相符的项目</w:t>
                  </w:r>
                </w:p>
              </w:tc>
              <w:tc>
                <w:tcPr>
                  <w:tcW w:w="2982" w:type="dxa"/>
                  <w:vAlign w:val="center"/>
                </w:tcPr>
                <w:p>
                  <w:pPr>
                    <w:jc w:val="center"/>
                    <w:rPr>
                      <w:rFonts w:ascii="Times New Roman" w:hAnsi="Times New Roman" w:cs="Times New Roman"/>
                      <w:bCs/>
                      <w:color w:val="auto"/>
                      <w:sz w:val="21"/>
                      <w:szCs w:val="21"/>
                    </w:rPr>
                  </w:pPr>
                  <w:r>
                    <w:rPr>
                      <w:rFonts w:ascii="Times New Roman" w:hAnsi="Times New Roman" w:cs="Times New Roman"/>
                      <w:bCs/>
                      <w:color w:val="auto"/>
                      <w:sz w:val="21"/>
                      <w:szCs w:val="21"/>
                    </w:rPr>
                    <w:t>本项目为</w:t>
                  </w:r>
                  <w:r>
                    <w:rPr>
                      <w:rFonts w:hint="default" w:ascii="Times New Roman" w:hAnsi="Times New Roman" w:cs="Times New Roman"/>
                      <w:bCs/>
                      <w:color w:val="auto"/>
                      <w:sz w:val="21"/>
                      <w:szCs w:val="21"/>
                    </w:rPr>
                    <w:t>水泥制品制造，</w:t>
                  </w:r>
                  <w:r>
                    <w:rPr>
                      <w:rFonts w:ascii="Times New Roman" w:hAnsi="Times New Roman" w:cs="Times New Roman"/>
                      <w:bCs/>
                      <w:color w:val="auto"/>
                      <w:sz w:val="21"/>
                      <w:szCs w:val="21"/>
                    </w:rPr>
                    <w:t>不属于园区鼓励入园项目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322" w:type="dxa"/>
                  <w:vAlign w:val="center"/>
                </w:tcPr>
                <w:p>
                  <w:pPr>
                    <w:jc w:val="center"/>
                    <w:rPr>
                      <w:rFonts w:hint="eastAsia" w:ascii="Times New Roman" w:hAnsi="Times New Roman" w:cs="Times New Roman"/>
                      <w:b w:val="0"/>
                      <w:bCs/>
                      <w:color w:val="auto"/>
                      <w:sz w:val="21"/>
                      <w:szCs w:val="21"/>
                    </w:rPr>
                  </w:pPr>
                  <w:r>
                    <w:rPr>
                      <w:rFonts w:ascii="Times New Roman" w:hAnsi="Times New Roman" w:cs="Times New Roman"/>
                      <w:b/>
                      <w:color w:val="auto"/>
                      <w:sz w:val="21"/>
                      <w:szCs w:val="21"/>
                    </w:rPr>
                    <w:t>禁止类：</w:t>
                  </w:r>
                  <w:r>
                    <w:rPr>
                      <w:rFonts w:hint="eastAsia" w:ascii="Times New Roman" w:hAnsi="Times New Roman" w:cs="Times New Roman"/>
                      <w:b w:val="0"/>
                      <w:bCs/>
                      <w:color w:val="auto"/>
                      <w:sz w:val="21"/>
                      <w:szCs w:val="21"/>
                    </w:rPr>
                    <w:t>（1）新建医药、农药、制浆（含废纸制浆）、造纸、印染染整、制革、水泥、专业电镀、制革、洗选、含前工序的集成电路、平板玻璃、印制电路板、石墨及炭素制品、有色金属冶炼（钒、钛除外）等与主导产业环境不相容或不属于主导产业的高污染行业。</w:t>
                  </w:r>
                </w:p>
                <w:p>
                  <w:pPr>
                    <w:jc w:val="center"/>
                    <w:rPr>
                      <w:rFonts w:ascii="Times New Roman" w:hAnsi="Times New Roman" w:cs="Times New Roman"/>
                      <w:b/>
                      <w:color w:val="auto"/>
                      <w:sz w:val="21"/>
                      <w:szCs w:val="21"/>
                    </w:rPr>
                  </w:pPr>
                  <w:r>
                    <w:rPr>
                      <w:rFonts w:hint="eastAsia" w:ascii="Times New Roman" w:hAnsi="Times New Roman" w:cs="Times New Roman"/>
                      <w:b w:val="0"/>
                      <w:bCs/>
                      <w:color w:val="auto"/>
                      <w:sz w:val="21"/>
                      <w:szCs w:val="21"/>
                    </w:rPr>
                    <w:t>（2）禁止引入6千伏及以上（陆上用）干法交联电力电缆项目；</w:t>
                  </w:r>
                </w:p>
              </w:tc>
              <w:tc>
                <w:tcPr>
                  <w:tcW w:w="2982" w:type="dxa"/>
                  <w:vAlign w:val="center"/>
                </w:tcPr>
                <w:p>
                  <w:pPr>
                    <w:jc w:val="center"/>
                    <w:rPr>
                      <w:rFonts w:ascii="Times New Roman" w:hAnsi="Times New Roman" w:cs="Times New Roman"/>
                      <w:bCs/>
                      <w:color w:val="auto"/>
                      <w:sz w:val="21"/>
                      <w:szCs w:val="21"/>
                      <w:highlight w:val="green"/>
                    </w:rPr>
                  </w:pPr>
                  <w:r>
                    <w:rPr>
                      <w:rFonts w:hint="default" w:ascii="Times New Roman" w:hAnsi="Times New Roman" w:cs="Times New Roman"/>
                      <w:color w:val="auto"/>
                      <w:lang w:val="en-US" w:eastAsia="zh-CN"/>
                    </w:rPr>
                    <w:t>本项目不涉及水泥制造，项目粉尘经集气罩＋布袋除尘装置治理后，粉尘排放量较小，不属于园区禁止入园类行业。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322" w:type="dxa"/>
                  <w:vAlign w:val="center"/>
                </w:tcPr>
                <w:p>
                  <w:pPr>
                    <w:jc w:val="center"/>
                    <w:rPr>
                      <w:rFonts w:ascii="Times New Roman" w:hAnsi="Times New Roman" w:cs="Times New Roman"/>
                      <w:b/>
                      <w:color w:val="auto"/>
                      <w:sz w:val="21"/>
                      <w:szCs w:val="21"/>
                    </w:rPr>
                  </w:pPr>
                  <w:r>
                    <w:rPr>
                      <w:rFonts w:ascii="Times New Roman" w:hAnsi="Times New Roman" w:cs="Times New Roman"/>
                      <w:b/>
                      <w:bCs/>
                      <w:color w:val="auto"/>
                      <w:sz w:val="21"/>
                      <w:szCs w:val="21"/>
                    </w:rPr>
                    <w:t>允许类：</w:t>
                  </w:r>
                  <w:r>
                    <w:rPr>
                      <w:rFonts w:ascii="Times New Roman" w:hAnsi="Times New Roman" w:cs="Times New Roman"/>
                      <w:color w:val="auto"/>
                      <w:sz w:val="21"/>
                      <w:szCs w:val="21"/>
                    </w:rPr>
                    <w:t>不属于上述鼓励类、禁止类，选址与周围环境相容的其他</w:t>
                  </w:r>
                </w:p>
              </w:tc>
              <w:tc>
                <w:tcPr>
                  <w:tcW w:w="2982" w:type="dxa"/>
                  <w:vAlign w:val="center"/>
                </w:tcPr>
                <w:p>
                  <w:pPr>
                    <w:jc w:val="center"/>
                    <w:rPr>
                      <w:rFonts w:ascii="Times New Roman" w:hAnsi="Times New Roman" w:cs="Times New Roman"/>
                      <w:bCs/>
                      <w:color w:val="auto"/>
                      <w:sz w:val="21"/>
                      <w:szCs w:val="21"/>
                      <w:highlight w:val="green"/>
                    </w:rPr>
                  </w:pPr>
                  <w:r>
                    <w:rPr>
                      <w:rFonts w:ascii="Times New Roman" w:hAnsi="Times New Roman" w:cs="Times New Roman"/>
                      <w:bCs/>
                      <w:color w:val="auto"/>
                      <w:sz w:val="21"/>
                      <w:szCs w:val="21"/>
                    </w:rPr>
                    <w:t>本项目为</w:t>
                  </w:r>
                  <w:r>
                    <w:rPr>
                      <w:rFonts w:hint="default" w:ascii="Times New Roman" w:hAnsi="Times New Roman" w:cs="Times New Roman"/>
                      <w:bCs/>
                      <w:color w:val="auto"/>
                      <w:sz w:val="21"/>
                      <w:szCs w:val="21"/>
                    </w:rPr>
                    <w:t>水泥制品</w:t>
                  </w:r>
                  <w:r>
                    <w:rPr>
                      <w:rFonts w:hint="default" w:ascii="Times New Roman" w:hAnsi="Times New Roman" w:cs="Times New Roman"/>
                      <w:bCs/>
                      <w:color w:val="auto"/>
                      <w:sz w:val="21"/>
                      <w:szCs w:val="21"/>
                      <w:lang w:val="en-US" w:eastAsia="zh-CN"/>
                    </w:rPr>
                    <w:t>技改项目</w:t>
                  </w:r>
                  <w:r>
                    <w:rPr>
                      <w:rFonts w:ascii="Times New Roman" w:hAnsi="Times New Roman" w:cs="Times New Roman"/>
                      <w:bCs/>
                      <w:color w:val="auto"/>
                      <w:sz w:val="21"/>
                      <w:szCs w:val="21"/>
                    </w:rPr>
                    <w:t>，项目建设与周围环境具有相容性，属于园区允许入园类项目。</w:t>
                  </w:r>
                </w:p>
              </w:tc>
            </w:tr>
          </w:tbl>
          <w:p>
            <w:pPr>
              <w:pStyle w:val="51"/>
              <w:spacing w:line="360" w:lineRule="auto"/>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本项目属于</w:t>
            </w:r>
            <w:r>
              <w:rPr>
                <w:rFonts w:hint="default" w:ascii="Times New Roman" w:hAnsi="Times New Roman" w:cs="Times New Roman"/>
                <w:color w:val="auto"/>
                <w:sz w:val="24"/>
                <w:szCs w:val="22"/>
              </w:rPr>
              <w:t>水泥制品技改项目</w:t>
            </w:r>
            <w:r>
              <w:rPr>
                <w:rFonts w:hint="default" w:ascii="Times New Roman" w:hAnsi="Times New Roman" w:cs="Times New Roman"/>
                <w:color w:val="auto"/>
                <w:lang w:val="zh-CN"/>
              </w:rPr>
              <w:t>，属于上游工业园区规划中的允许入园项目。本项目</w:t>
            </w:r>
            <w:r>
              <w:rPr>
                <w:rFonts w:hint="default" w:ascii="Times New Roman" w:hAnsi="Times New Roman" w:cs="Times New Roman"/>
                <w:color w:val="auto"/>
              </w:rPr>
              <w:t>利用四川澳峰橡胶有限公司自有的已建厂房进行建设</w:t>
            </w:r>
            <w:r>
              <w:rPr>
                <w:rFonts w:hint="default" w:ascii="Times New Roman" w:hAnsi="Times New Roman" w:cs="Times New Roman"/>
                <w:color w:val="auto"/>
                <w:lang w:val="zh-CN"/>
              </w:rPr>
              <w:t>，项目污染物源强低、并采取了有效的污染防治设施设备对项目产生的污染物进行治理，项目能耗、物耗合理，满足清洁生产的相关要求，属于园区允许入园项目，因此本项目与</w:t>
            </w:r>
            <w:r>
              <w:rPr>
                <w:rFonts w:hint="default" w:ascii="Times New Roman" w:hAnsi="Times New Roman" w:cs="Times New Roman"/>
                <w:color w:val="auto"/>
              </w:rPr>
              <w:t>蓬溪县</w:t>
            </w:r>
            <w:r>
              <w:rPr>
                <w:rFonts w:hint="default" w:ascii="Times New Roman" w:hAnsi="Times New Roman" w:cs="Times New Roman"/>
                <w:color w:val="auto"/>
                <w:lang w:val="zh-CN"/>
              </w:rPr>
              <w:t>上游工业</w:t>
            </w:r>
            <w:r>
              <w:rPr>
                <w:rFonts w:hint="default" w:ascii="Times New Roman" w:hAnsi="Times New Roman" w:cs="Times New Roman"/>
                <w:color w:val="auto"/>
                <w:szCs w:val="24"/>
                <w:shd w:val="clear" w:color="auto" w:fill="FFFFFF"/>
              </w:rPr>
              <w:t>产业聚集区</w:t>
            </w:r>
            <w:r>
              <w:rPr>
                <w:rFonts w:hint="default" w:ascii="Times New Roman" w:hAnsi="Times New Roman" w:cs="Times New Roman"/>
                <w:color w:val="auto"/>
                <w:lang w:val="zh-CN"/>
              </w:rPr>
              <w:t>规划及规划环评相符。</w:t>
            </w:r>
          </w:p>
          <w:p>
            <w:pPr>
              <w:pStyle w:val="51"/>
              <w:spacing w:line="360" w:lineRule="auto"/>
              <w:ind w:firstLine="0" w:firstLineChars="0"/>
              <w:jc w:val="both"/>
              <w:rPr>
                <w:rFonts w:hint="default" w:ascii="Times New Roman" w:hAnsi="Times New Roman" w:cs="Times New Roman"/>
                <w:color w:val="auto"/>
                <w:szCs w:val="24"/>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0" w:hRule="atLeast"/>
          <w:jc w:val="center"/>
        </w:trPr>
        <w:tc>
          <w:tcPr>
            <w:tcW w:w="1702"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其他符合性分析</w:t>
            </w:r>
          </w:p>
        </w:tc>
        <w:tc>
          <w:tcPr>
            <w:tcW w:w="7773" w:type="dxa"/>
            <w:gridSpan w:val="3"/>
            <w:vAlign w:val="center"/>
          </w:tcPr>
          <w:p>
            <w:pPr>
              <w:adjustRightInd w:val="0"/>
              <w:snapToGrid w:val="0"/>
              <w:spacing w:line="360" w:lineRule="auto"/>
              <w:ind w:firstLine="482" w:firstLineChars="200"/>
              <w:rPr>
                <w:rFonts w:ascii="Times New Roman" w:hAnsi="Times New Roman" w:cs="Times New Roman"/>
                <w:color w:val="auto"/>
                <w:sz w:val="24"/>
              </w:rPr>
            </w:pPr>
            <w:r>
              <w:rPr>
                <w:rFonts w:hint="default" w:ascii="Times New Roman" w:hAnsi="Times New Roman" w:cs="Times New Roman"/>
                <w:b/>
                <w:color w:val="auto"/>
                <w:sz w:val="24"/>
              </w:rPr>
              <w:t>一、项目用地规划符合性分析</w:t>
            </w:r>
          </w:p>
          <w:p>
            <w:pPr>
              <w:autoSpaceDE/>
              <w:autoSpaceDN/>
              <w:adjustRightInd w:val="0"/>
              <w:snapToGrid w:val="0"/>
              <w:spacing w:line="360" w:lineRule="auto"/>
              <w:ind w:firstLine="480" w:firstLineChars="200"/>
              <w:jc w:val="both"/>
              <w:rPr>
                <w:rFonts w:hint="default" w:ascii="Times New Roman" w:hAnsi="Times New Roman" w:cs="Times New Roman"/>
                <w:b w:val="0"/>
                <w:bCs w:val="0"/>
                <w:color w:val="auto"/>
                <w:sz w:val="24"/>
                <w:szCs w:val="24"/>
                <w:lang w:val="zh-CN"/>
              </w:rPr>
            </w:pPr>
            <w:r>
              <w:rPr>
                <w:rFonts w:ascii="Times New Roman" w:hAnsi="Times New Roman" w:cs="Times New Roman"/>
                <w:color w:val="auto"/>
                <w:sz w:val="24"/>
                <w:szCs w:val="24"/>
                <w:lang w:val="zh-CN"/>
              </w:rPr>
              <w:t>本项目为</w:t>
            </w:r>
            <w:r>
              <w:rPr>
                <w:rFonts w:hint="default" w:ascii="Times New Roman" w:hAnsi="Times New Roman" w:cs="Times New Roman"/>
                <w:color w:val="auto"/>
                <w:sz w:val="24"/>
                <w:szCs w:val="24"/>
                <w:lang w:val="zh-CN"/>
              </w:rPr>
              <w:t>改</w:t>
            </w:r>
            <w:r>
              <w:rPr>
                <w:rFonts w:ascii="Times New Roman" w:hAnsi="Times New Roman" w:cs="Times New Roman"/>
                <w:color w:val="auto"/>
                <w:sz w:val="24"/>
                <w:szCs w:val="24"/>
                <w:lang w:val="zh-CN"/>
              </w:rPr>
              <w:t>建项目，选址于蓬溪县上游工业</w:t>
            </w:r>
            <w:r>
              <w:rPr>
                <w:rFonts w:hint="default" w:ascii="Times New Roman" w:hAnsi="Times New Roman" w:cs="Times New Roman"/>
                <w:color w:val="auto"/>
                <w:sz w:val="24"/>
                <w:szCs w:val="24"/>
                <w:lang w:val="zh-CN"/>
              </w:rPr>
              <w:t>集中发展区</w:t>
            </w:r>
            <w:r>
              <w:rPr>
                <w:rFonts w:ascii="Times New Roman" w:hAnsi="Times New Roman" w:cs="Times New Roman"/>
                <w:color w:val="auto"/>
                <w:sz w:val="24"/>
                <w:szCs w:val="24"/>
                <w:lang w:val="zh-CN"/>
              </w:rPr>
              <w:t>，</w:t>
            </w:r>
            <w:r>
              <w:rPr>
                <w:rFonts w:hint="default" w:ascii="Times New Roman" w:hAnsi="Times New Roman" w:cs="Times New Roman"/>
                <w:color w:val="auto"/>
                <w:sz w:val="24"/>
                <w:szCs w:val="24"/>
                <w:lang w:val="zh-CN"/>
              </w:rPr>
              <w:t>利</w:t>
            </w:r>
            <w:r>
              <w:rPr>
                <w:rFonts w:ascii="Times New Roman" w:hAnsi="Times New Roman" w:cs="Times New Roman"/>
                <w:color w:val="auto"/>
                <w:sz w:val="24"/>
                <w:szCs w:val="24"/>
                <w:lang w:val="zh-CN"/>
              </w:rPr>
              <w:t>用</w:t>
            </w:r>
            <w:r>
              <w:rPr>
                <w:rFonts w:hint="default" w:ascii="Times New Roman" w:hAnsi="Times New Roman" w:cs="Times New Roman"/>
                <w:color w:val="auto"/>
                <w:sz w:val="24"/>
                <w:szCs w:val="24"/>
                <w:lang w:val="zh-CN"/>
              </w:rPr>
              <w:t>原</w:t>
            </w:r>
            <w:r>
              <w:rPr>
                <w:rFonts w:ascii="Times New Roman" w:hAnsi="Times New Roman" w:cs="Times New Roman"/>
                <w:color w:val="auto"/>
                <w:sz w:val="24"/>
                <w:szCs w:val="24"/>
                <w:lang w:val="zh-CN"/>
              </w:rPr>
              <w:t>四川</w:t>
            </w:r>
            <w:r>
              <w:rPr>
                <w:rFonts w:hint="default" w:ascii="Times New Roman" w:hAnsi="Times New Roman" w:cs="Times New Roman"/>
                <w:color w:val="auto"/>
                <w:sz w:val="24"/>
                <w:szCs w:val="24"/>
                <w:lang w:val="zh-CN"/>
              </w:rPr>
              <w:t>澳峰橡胶有限公司</w:t>
            </w:r>
            <w:r>
              <w:rPr>
                <w:rFonts w:ascii="Times New Roman" w:hAnsi="Times New Roman" w:cs="Times New Roman"/>
                <w:color w:val="auto"/>
                <w:sz w:val="24"/>
                <w:szCs w:val="24"/>
                <w:lang w:val="zh-CN"/>
              </w:rPr>
              <w:t>已建厂房进行建设，占地面积为1</w:t>
            </w:r>
            <w:r>
              <w:rPr>
                <w:rFonts w:hint="default" w:ascii="Times New Roman" w:hAnsi="Times New Roman" w:cs="Times New Roman"/>
                <w:color w:val="auto"/>
                <w:sz w:val="24"/>
                <w:szCs w:val="24"/>
                <w:lang w:val="zh-CN" w:eastAsia="zh-CN"/>
              </w:rPr>
              <w:t>2</w:t>
            </w:r>
            <w:r>
              <w:rPr>
                <w:rFonts w:ascii="Times New Roman" w:hAnsi="Times New Roman" w:cs="Times New Roman"/>
                <w:color w:val="auto"/>
                <w:sz w:val="24"/>
                <w:szCs w:val="24"/>
                <w:lang w:val="zh-CN"/>
              </w:rPr>
              <w:t>000m</w:t>
            </w:r>
            <w:r>
              <w:rPr>
                <w:rFonts w:ascii="Times New Roman" w:hAnsi="Times New Roman" w:cs="Times New Roman"/>
                <w:color w:val="auto"/>
                <w:sz w:val="24"/>
                <w:szCs w:val="24"/>
                <w:vertAlign w:val="superscript"/>
                <w:lang w:val="zh-CN"/>
              </w:rPr>
              <w:t>2</w:t>
            </w:r>
            <w:r>
              <w:rPr>
                <w:rFonts w:ascii="Times New Roman" w:hAnsi="Times New Roman" w:cs="Times New Roman"/>
                <w:color w:val="auto"/>
                <w:sz w:val="24"/>
                <w:szCs w:val="24"/>
                <w:lang w:val="zh-CN"/>
              </w:rPr>
              <w:t>，项目用地性质为工业用地，本项目建设符合蓬溪县城市规划。</w:t>
            </w:r>
          </w:p>
          <w:p>
            <w:pPr>
              <w:pStyle w:val="34"/>
              <w:autoSpaceDE/>
              <w:autoSpaceDN/>
              <w:ind w:firstLine="482" w:firstLineChars="200"/>
              <w:rPr>
                <w:rFonts w:ascii="Times New Roman" w:hAnsi="Times New Roman" w:cs="Times New Roman"/>
                <w:b/>
                <w:bCs/>
                <w:color w:val="auto"/>
                <w:szCs w:val="24"/>
              </w:rPr>
            </w:pPr>
            <w:r>
              <w:rPr>
                <w:rFonts w:hint="default" w:ascii="Times New Roman" w:hAnsi="Times New Roman" w:cs="Times New Roman"/>
                <w:b/>
                <w:bCs/>
                <w:color w:val="auto"/>
                <w:szCs w:val="24"/>
                <w:lang w:val="en-US" w:eastAsia="zh-CN"/>
              </w:rPr>
              <w:t>二</w:t>
            </w:r>
            <w:r>
              <w:rPr>
                <w:rFonts w:hint="default" w:ascii="Times New Roman" w:hAnsi="Times New Roman" w:cs="Times New Roman"/>
                <w:b/>
                <w:bCs/>
                <w:color w:val="auto"/>
                <w:szCs w:val="24"/>
              </w:rPr>
              <w:t>、</w:t>
            </w:r>
            <w:r>
              <w:rPr>
                <w:rFonts w:ascii="Times New Roman" w:hAnsi="Times New Roman" w:cs="Times New Roman"/>
                <w:b/>
                <w:bCs/>
                <w:color w:val="auto"/>
                <w:szCs w:val="24"/>
              </w:rPr>
              <w:t>相关生态环境保护法律法规政策及规划的符合性分析</w:t>
            </w:r>
          </w:p>
          <w:p>
            <w:pPr>
              <w:widowControl/>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1、产业政策符合性分析</w:t>
            </w:r>
          </w:p>
          <w:p>
            <w:pPr>
              <w:autoSpaceDE/>
              <w:autoSpaceDN/>
              <w:adjustRightInd w:val="0"/>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lang w:val="zh-CN"/>
              </w:rPr>
              <w:t>本项目</w:t>
            </w:r>
            <w:r>
              <w:rPr>
                <w:rFonts w:ascii="Times New Roman" w:hAnsi="Times New Roman" w:cs="Times New Roman"/>
                <w:color w:val="auto"/>
                <w:sz w:val="24"/>
                <w:szCs w:val="24"/>
              </w:rPr>
              <w:t>属于</w:t>
            </w:r>
            <w:r>
              <w:rPr>
                <w:rFonts w:hint="default" w:ascii="Times New Roman" w:hAnsi="Times New Roman" w:cs="Times New Roman"/>
                <w:color w:val="auto"/>
                <w:sz w:val="24"/>
              </w:rPr>
              <w:t>C3021</w:t>
            </w:r>
            <w:r>
              <w:rPr>
                <w:rFonts w:hint="default" w:ascii="Times New Roman" w:hAnsi="Times New Roman" w:cs="Times New Roman" w:eastAsiaTheme="minorEastAsia"/>
                <w:color w:val="auto"/>
                <w:sz w:val="24"/>
                <w:szCs w:val="24"/>
                <w:lang w:bidi="ar"/>
              </w:rPr>
              <w:t>水泥制品制造</w:t>
            </w:r>
            <w:r>
              <w:rPr>
                <w:rFonts w:ascii="Times New Roman" w:hAnsi="Times New Roman" w:cs="Times New Roman"/>
                <w:color w:val="auto"/>
                <w:sz w:val="24"/>
                <w:szCs w:val="24"/>
              </w:rPr>
              <w:t>。根据《产业结构调整指导目录（2019年本）》，本项目不属于鼓励类、限制类及淘汰类项目，根据《国务院关于发布实施&lt;促进产业结构调整暂行规定&gt;的决定》（国发[2005]40号），</w:t>
            </w:r>
            <w:r>
              <w:rPr>
                <w:rFonts w:hint="default" w:ascii="Times New Roman" w:hAnsi="Times New Roman" w:cs="Times New Roman"/>
                <w:color w:val="auto"/>
                <w:sz w:val="24"/>
                <w:szCs w:val="24"/>
              </w:rPr>
              <w:t>“</w:t>
            </w:r>
            <w:r>
              <w:rPr>
                <w:rFonts w:ascii="Times New Roman" w:hAnsi="Times New Roman" w:cs="Times New Roman"/>
                <w:color w:val="auto"/>
                <w:sz w:val="24"/>
                <w:szCs w:val="24"/>
              </w:rPr>
              <w:t>《产业结构调整指导目录》由鼓励、限制和淘汰三类目录组成，不属于鼓励类、限制类和淘汰类，且符合国家有关法律、法规和政策规定的，为允许类。允许类不列入《产业结构调整指导目录》</w:t>
            </w:r>
            <w:r>
              <w:rPr>
                <w:rFonts w:hint="default" w:ascii="Times New Roman" w:hAnsi="Times New Roman" w:cs="Times New Roman"/>
                <w:color w:val="auto"/>
                <w:sz w:val="24"/>
                <w:szCs w:val="24"/>
              </w:rPr>
              <w:t>。”</w:t>
            </w:r>
            <w:r>
              <w:rPr>
                <w:rFonts w:ascii="Times New Roman" w:hAnsi="Times New Roman" w:cs="Times New Roman"/>
                <w:color w:val="auto"/>
                <w:sz w:val="24"/>
                <w:szCs w:val="24"/>
              </w:rPr>
              <w:t xml:space="preserve"> 因此本项目属于允许类项目。</w:t>
            </w:r>
          </w:p>
          <w:p>
            <w:pPr>
              <w:autoSpaceDE/>
              <w:autoSpaceDN/>
              <w:adjustRightInd w:val="0"/>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此外根据建设单位提供的工艺说明、生产原料及生产设备清单以及现场调查，项目拟采用的生产工艺、原料及设备均不属于限制类和淘汰类，符合国家有关法律、法规和政策的规定。项目于202</w:t>
            </w:r>
            <w:r>
              <w:rPr>
                <w:rFonts w:hint="default" w:ascii="Times New Roman" w:hAnsi="Times New Roman" w:cs="Times New Roman"/>
                <w:color w:val="auto"/>
                <w:sz w:val="24"/>
                <w:szCs w:val="24"/>
              </w:rPr>
              <w:t>2</w:t>
            </w:r>
            <w:r>
              <w:rPr>
                <w:rFonts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7</w:t>
            </w:r>
            <w:r>
              <w:rPr>
                <w:rFonts w:ascii="Times New Roman" w:hAnsi="Times New Roman" w:cs="Times New Roman"/>
                <w:color w:val="auto"/>
                <w:sz w:val="24"/>
                <w:szCs w:val="24"/>
              </w:rPr>
              <w:t>月在</w:t>
            </w:r>
            <w:r>
              <w:rPr>
                <w:rFonts w:hint="default" w:ascii="Times New Roman" w:hAnsi="Times New Roman" w:cs="Times New Roman"/>
                <w:color w:val="auto"/>
                <w:sz w:val="24"/>
                <w:szCs w:val="24"/>
              </w:rPr>
              <w:t>遂宁市蓬溪县经济和信息化</w:t>
            </w:r>
            <w:r>
              <w:rPr>
                <w:rFonts w:ascii="Times New Roman" w:hAnsi="Times New Roman" w:cs="Times New Roman"/>
                <w:color w:val="auto"/>
                <w:sz w:val="24"/>
                <w:szCs w:val="24"/>
              </w:rPr>
              <w:t>局完成了项目备案，备案号为：</w:t>
            </w:r>
            <w:r>
              <w:rPr>
                <w:rFonts w:ascii="Times New Roman" w:hAnsi="Times New Roman" w:cs="Times New Roman"/>
                <w:color w:val="auto"/>
                <w:sz w:val="24"/>
              </w:rPr>
              <w:t>川投资</w:t>
            </w:r>
            <w:r>
              <w:rPr>
                <w:rFonts w:hint="default" w:ascii="Times New Roman" w:hAnsi="Times New Roman" w:cs="Times New Roman"/>
                <w:color w:val="auto"/>
                <w:sz w:val="24"/>
              </w:rPr>
              <w:t>备【2207-510921-07-02-382103】JXQB-0106号。</w:t>
            </w:r>
          </w:p>
          <w:p>
            <w:pPr>
              <w:pStyle w:val="37"/>
              <w:autoSpaceDE/>
              <w:autoSpaceDN/>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因此，本项目建设符合国家现行产业政策。</w:t>
            </w:r>
          </w:p>
          <w:p>
            <w:pPr>
              <w:widowControl/>
              <w:spacing w:line="360" w:lineRule="auto"/>
              <w:rPr>
                <w:rFonts w:ascii="Times New Roman" w:hAnsi="Times New Roman" w:cs="Times New Roman"/>
                <w:color w:val="auto"/>
                <w:sz w:val="21"/>
                <w:szCs w:val="24"/>
              </w:rPr>
            </w:pPr>
            <w:r>
              <w:rPr>
                <w:rFonts w:hint="default" w:ascii="Times New Roman" w:hAnsi="Times New Roman" w:cs="Times New Roman"/>
                <w:b/>
                <w:bCs/>
                <w:color w:val="auto"/>
                <w:sz w:val="24"/>
                <w:szCs w:val="24"/>
              </w:rPr>
              <w:t xml:space="preserve">2、项目“三线一单”符合性分析 </w:t>
            </w:r>
          </w:p>
          <w:p>
            <w:pPr>
              <w:pStyle w:val="51"/>
              <w:ind w:firstLine="480"/>
              <w:rPr>
                <w:rFonts w:hint="default" w:ascii="Times New Roman" w:hAnsi="Times New Roman" w:cs="Times New Roman"/>
                <w:color w:val="auto"/>
                <w:sz w:val="24"/>
                <w:szCs w:val="24"/>
              </w:rPr>
            </w:pPr>
            <w:r>
              <w:rPr>
                <w:rFonts w:hint="default" w:ascii="Times New Roman" w:hAnsi="Times New Roman" w:cs="Times New Roman"/>
                <w:color w:val="auto"/>
                <w:szCs w:val="24"/>
                <w:lang w:val="en-US" w:eastAsia="zh-CN"/>
              </w:rPr>
              <w:t>项目与生态保护红线管控分区的位置关系图详见附图2。</w:t>
            </w:r>
          </w:p>
          <w:p>
            <w:pPr>
              <w:spacing w:line="360" w:lineRule="auto"/>
              <w:ind w:firstLine="480" w:firstLineChars="200"/>
              <w:rPr>
                <w:rFonts w:ascii="Times New Roman" w:hAnsi="Times New Roman" w:cs="Times New Roman"/>
                <w:color w:val="auto"/>
                <w:sz w:val="24"/>
                <w:szCs w:val="24"/>
                <w:u w:val="single" w:color="FF0000"/>
              </w:rPr>
            </w:pPr>
            <w:r>
              <w:rPr>
                <w:rFonts w:ascii="Times New Roman" w:hAnsi="Times New Roman" w:cs="Times New Roman"/>
                <w:color w:val="auto"/>
                <w:sz w:val="24"/>
                <w:szCs w:val="24"/>
              </w:rPr>
              <w:t>根据四川政务服务网“三线一单”符合性分析数据录入后可知，本项目涉及5个管控单元，分别如下：</w:t>
            </w:r>
          </w:p>
          <w:p>
            <w:pPr>
              <w:pStyle w:val="6"/>
              <w:adjustRightInd/>
              <w:spacing w:line="240" w:lineRule="auto"/>
              <w:ind w:firstLine="0" w:firstLineChars="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表1-2项目涉及管控单元</w:t>
            </w:r>
          </w:p>
          <w:tbl>
            <w:tblPr>
              <w:tblStyle w:val="24"/>
              <w:tblW w:w="7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2040"/>
              <w:gridCol w:w="720"/>
              <w:gridCol w:w="720"/>
              <w:gridCol w:w="106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21" w:hRule="atLeast"/>
                <w:tblHeader/>
              </w:trPr>
              <w:tc>
                <w:tcPr>
                  <w:tcW w:w="1393" w:type="dxa"/>
                  <w:shd w:val="clear" w:color="auto" w:fill="D7D7D7" w:themeFill="background1" w:themeFillShade="D8"/>
                  <w:vAlign w:val="center"/>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环境管控单元编码</w:t>
                  </w:r>
                </w:p>
              </w:tc>
              <w:tc>
                <w:tcPr>
                  <w:tcW w:w="2040" w:type="dxa"/>
                  <w:shd w:val="clear" w:color="auto" w:fill="D7D7D7" w:themeFill="background1" w:themeFillShade="D8"/>
                  <w:vAlign w:val="center"/>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环境管控单元名称</w:t>
                  </w:r>
                </w:p>
              </w:tc>
              <w:tc>
                <w:tcPr>
                  <w:tcW w:w="720" w:type="dxa"/>
                  <w:shd w:val="clear" w:color="auto" w:fill="D7D7D7" w:themeFill="background1" w:themeFillShade="D8"/>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所属市（州）</w:t>
                  </w:r>
                </w:p>
              </w:tc>
              <w:tc>
                <w:tcPr>
                  <w:tcW w:w="720" w:type="dxa"/>
                  <w:shd w:val="clear" w:color="auto" w:fill="D7D7D7" w:themeFill="background1" w:themeFillShade="D8"/>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所属区县</w:t>
                  </w:r>
                </w:p>
              </w:tc>
              <w:tc>
                <w:tcPr>
                  <w:tcW w:w="1065" w:type="dxa"/>
                  <w:shd w:val="clear" w:color="auto" w:fill="D7D7D7" w:themeFill="background1" w:themeFillShade="D8"/>
                  <w:vAlign w:val="center"/>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准入清单类型</w:t>
                  </w:r>
                </w:p>
              </w:tc>
              <w:tc>
                <w:tcPr>
                  <w:tcW w:w="1680" w:type="dxa"/>
                  <w:shd w:val="clear" w:color="auto" w:fill="D7D7D7" w:themeFill="background1" w:themeFillShade="D8"/>
                  <w:vAlign w:val="center"/>
                </w:tcPr>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tblHeader/>
              </w:trPr>
              <w:tc>
                <w:tcPr>
                  <w:tcW w:w="1393"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ZH51092120004</w:t>
                  </w:r>
                </w:p>
              </w:tc>
              <w:tc>
                <w:tcPr>
                  <w:tcW w:w="204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蓬溪县上游工业园产业聚集区</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遂宁市</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w:t>
                  </w:r>
                </w:p>
              </w:tc>
              <w:tc>
                <w:tcPr>
                  <w:tcW w:w="1065"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环境管控单元</w:t>
                  </w:r>
                </w:p>
              </w:tc>
              <w:tc>
                <w:tcPr>
                  <w:tcW w:w="168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0" w:hRule="atLeast"/>
                <w:tblHeader/>
              </w:trPr>
              <w:tc>
                <w:tcPr>
                  <w:tcW w:w="1393"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YS5109212210010</w:t>
                  </w:r>
                </w:p>
              </w:tc>
              <w:tc>
                <w:tcPr>
                  <w:tcW w:w="204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芝溪河蓬溪县涪山坝控制单元</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遂宁市</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w:t>
                  </w:r>
                </w:p>
              </w:tc>
              <w:tc>
                <w:tcPr>
                  <w:tcW w:w="1065"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水环境管控分区</w:t>
                  </w:r>
                </w:p>
              </w:tc>
              <w:tc>
                <w:tcPr>
                  <w:tcW w:w="168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0" w:hRule="atLeast"/>
                <w:tblHeader/>
              </w:trPr>
              <w:tc>
                <w:tcPr>
                  <w:tcW w:w="1393"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YS5109212310003</w:t>
                  </w:r>
                </w:p>
              </w:tc>
              <w:tc>
                <w:tcPr>
                  <w:tcW w:w="204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蓬溪县上游工业园产业聚集区</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遂宁市</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w:t>
                  </w:r>
                </w:p>
              </w:tc>
              <w:tc>
                <w:tcPr>
                  <w:tcW w:w="1065"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大气环境管控分区</w:t>
                  </w:r>
                </w:p>
              </w:tc>
              <w:tc>
                <w:tcPr>
                  <w:tcW w:w="168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1" w:hRule="atLeast"/>
                <w:tblHeader/>
              </w:trPr>
              <w:tc>
                <w:tcPr>
                  <w:tcW w:w="1393"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YS5109212540013</w:t>
                  </w:r>
                </w:p>
              </w:tc>
              <w:tc>
                <w:tcPr>
                  <w:tcW w:w="204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蓬溪县上游工业园产业聚集区</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遂宁市</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w:t>
                  </w:r>
                </w:p>
              </w:tc>
              <w:tc>
                <w:tcPr>
                  <w:tcW w:w="1065"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自然资源管控分区</w:t>
                  </w:r>
                </w:p>
              </w:tc>
              <w:tc>
                <w:tcPr>
                  <w:tcW w:w="168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1" w:hRule="atLeast"/>
                <w:tblHeader/>
              </w:trPr>
              <w:tc>
                <w:tcPr>
                  <w:tcW w:w="1393"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YS5109212550001</w:t>
                  </w:r>
                </w:p>
              </w:tc>
              <w:tc>
                <w:tcPr>
                  <w:tcW w:w="204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蓬溪县自然资源重点管控区</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遂宁市</w:t>
                  </w:r>
                </w:p>
              </w:tc>
              <w:tc>
                <w:tcPr>
                  <w:tcW w:w="720" w:type="dxa"/>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蓬溪县</w:t>
                  </w:r>
                </w:p>
              </w:tc>
              <w:tc>
                <w:tcPr>
                  <w:tcW w:w="1065"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自然资源管控分区</w:t>
                  </w:r>
                </w:p>
              </w:tc>
              <w:tc>
                <w:tcPr>
                  <w:tcW w:w="1680" w:type="dxa"/>
                  <w:vAlign w:val="center"/>
                </w:tcPr>
                <w:p>
                  <w:pPr>
                    <w:pStyle w:val="54"/>
                    <w:widowControl/>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自然资源重点管控区</w:t>
                  </w:r>
                </w:p>
              </w:tc>
            </w:tr>
          </w:tbl>
          <w:p>
            <w:pPr>
              <w:pStyle w:val="51"/>
              <w:spacing w:line="360" w:lineRule="auto"/>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rPr>
              <w:t>根据四川政务服务网“三线一单”符合性分析，项目涉及的管控单元为ZH51092120004蓬溪县上游工业园产业聚集区，</w:t>
            </w:r>
            <w:r>
              <w:rPr>
                <w:rFonts w:hint="default" w:ascii="Times New Roman" w:hAnsi="Times New Roman" w:cs="Times New Roman"/>
                <w:color w:val="auto"/>
                <w:szCs w:val="24"/>
                <w:lang w:val="en-US" w:eastAsia="zh-CN"/>
              </w:rPr>
              <w:t>水泥</w:t>
            </w:r>
            <w:r>
              <w:rPr>
                <w:rFonts w:hint="default" w:ascii="Times New Roman" w:hAnsi="Times New Roman" w:cs="Times New Roman"/>
                <w:color w:val="auto"/>
                <w:szCs w:val="24"/>
              </w:rPr>
              <w:t>制造生产项目项目位于遂宁市蓬溪县环境综合管控单元工业重点管控单元。</w:t>
            </w:r>
          </w:p>
          <w:p>
            <w:pPr>
              <w:adjustRightInd w:val="0"/>
              <w:spacing w:line="360" w:lineRule="auto"/>
              <w:ind w:right="113" w:firstLine="482" w:firstLineChars="200"/>
              <w:rPr>
                <w:rFonts w:ascii="Times New Roman" w:hAnsi="Times New Roman" w:cs="Times New Roman"/>
                <w:b/>
                <w:bCs/>
                <w:color w:val="auto"/>
                <w:sz w:val="24"/>
                <w:szCs w:val="21"/>
              </w:rPr>
            </w:pPr>
            <w:r>
              <w:rPr>
                <w:rFonts w:hint="default" w:ascii="Times New Roman" w:hAnsi="Times New Roman" w:cs="Times New Roman"/>
                <w:b/>
                <w:bCs/>
                <w:color w:val="auto"/>
                <w:sz w:val="24"/>
                <w:szCs w:val="21"/>
              </w:rPr>
              <w:t>（1）环境管控单元</w:t>
            </w:r>
          </w:p>
          <w:p>
            <w:pPr>
              <w:adjustRightInd w:val="0"/>
              <w:spacing w:line="360" w:lineRule="auto"/>
              <w:ind w:right="113" w:firstLine="480" w:firstLineChars="200"/>
              <w:rPr>
                <w:rFonts w:ascii="Times New Roman" w:hAnsi="Times New Roman" w:cs="Times New Roman"/>
                <w:color w:val="auto"/>
                <w:sz w:val="24"/>
                <w:szCs w:val="21"/>
              </w:rPr>
            </w:pPr>
            <w:r>
              <w:rPr>
                <w:rFonts w:hint="default" w:ascii="Times New Roman" w:hAnsi="Times New Roman" w:cs="Times New Roman"/>
                <w:color w:val="auto"/>
                <w:sz w:val="24"/>
                <w:szCs w:val="21"/>
              </w:rPr>
              <w:t>根据《遂宁市人民政府关于落实生态保护红线、环境质量底线、资源利用上线和生态环境准入清单实施生态环境分区管控的通知》（遂府函〔2021〕74号），为全面落实《中共四川省委关于全面推动高质量发展的决定》</w:t>
            </w:r>
            <w:r>
              <w:rPr>
                <w:rFonts w:ascii="Times New Roman" w:hAnsi="Times New Roman" w:cs="Times New Roman"/>
                <w:color w:val="auto"/>
                <w:sz w:val="24"/>
                <w:szCs w:val="21"/>
              </w:rPr>
              <w:t>《四川省人民政府关于落实生态保护红线、环境质量底线、资源利用上线制定生态环境准入清单实施生态环境分区管控的通知》（川府发〔2020〕9号）</w:t>
            </w:r>
            <w:r>
              <w:rPr>
                <w:rFonts w:hint="default" w:ascii="Times New Roman" w:hAnsi="Times New Roman" w:cs="Times New Roman"/>
                <w:color w:val="auto"/>
                <w:sz w:val="24"/>
                <w:szCs w:val="21"/>
              </w:rPr>
              <w:t>，将全市</w:t>
            </w:r>
            <w:r>
              <w:rPr>
                <w:rFonts w:ascii="Times New Roman" w:hAnsi="Times New Roman" w:cs="Times New Roman"/>
                <w:color w:val="auto"/>
                <w:sz w:val="24"/>
                <w:szCs w:val="21"/>
              </w:rPr>
              <w:t>从生态环境保护角度划分为优先保护区、重点管控和一般管控三</w:t>
            </w:r>
            <w:r>
              <w:rPr>
                <w:rFonts w:hint="default" w:ascii="Times New Roman" w:hAnsi="Times New Roman" w:cs="Times New Roman"/>
                <w:color w:val="auto"/>
                <w:sz w:val="24"/>
                <w:szCs w:val="21"/>
              </w:rPr>
              <w:t>大</w:t>
            </w:r>
            <w:r>
              <w:rPr>
                <w:rFonts w:ascii="Times New Roman" w:hAnsi="Times New Roman" w:cs="Times New Roman"/>
                <w:color w:val="auto"/>
                <w:sz w:val="24"/>
                <w:szCs w:val="21"/>
              </w:rPr>
              <w:t>类</w:t>
            </w:r>
            <w:r>
              <w:rPr>
                <w:rFonts w:hint="default" w:ascii="Times New Roman" w:hAnsi="Times New Roman" w:cs="Times New Roman"/>
                <w:color w:val="auto"/>
                <w:sz w:val="24"/>
                <w:szCs w:val="21"/>
              </w:rPr>
              <w:t>共49个</w:t>
            </w:r>
            <w:r>
              <w:rPr>
                <w:rFonts w:ascii="Times New Roman" w:hAnsi="Times New Roman" w:cs="Times New Roman"/>
                <w:color w:val="auto"/>
                <w:sz w:val="24"/>
                <w:szCs w:val="21"/>
              </w:rPr>
              <w:t>环境管控单元。</w:t>
            </w:r>
          </w:p>
          <w:p>
            <w:pPr>
              <w:spacing w:line="360" w:lineRule="auto"/>
              <w:ind w:firstLine="480" w:firstLineChars="200"/>
              <w:rPr>
                <w:rFonts w:ascii="Times New Roman" w:hAnsi="Times New Roman" w:cs="Times New Roman"/>
                <w:color w:val="auto"/>
                <w:sz w:val="24"/>
                <w:szCs w:val="21"/>
              </w:rPr>
            </w:pPr>
            <w:r>
              <w:rPr>
                <w:rFonts w:ascii="Times New Roman" w:hAnsi="Times New Roman" w:cs="Times New Roman"/>
                <w:color w:val="auto"/>
                <w:sz w:val="24"/>
                <w:szCs w:val="21"/>
              </w:rPr>
              <w:t>本项目</w:t>
            </w:r>
            <w:r>
              <w:rPr>
                <w:rFonts w:hint="default" w:ascii="Times New Roman" w:hAnsi="Times New Roman" w:cs="Times New Roman"/>
                <w:color w:val="auto"/>
                <w:sz w:val="24"/>
                <w:szCs w:val="21"/>
              </w:rPr>
              <w:t>位</w:t>
            </w:r>
            <w:r>
              <w:rPr>
                <w:rFonts w:ascii="Times New Roman" w:hAnsi="Times New Roman" w:cs="Times New Roman"/>
                <w:color w:val="auto"/>
                <w:sz w:val="24"/>
                <w:szCs w:val="21"/>
              </w:rPr>
              <w:t>于</w:t>
            </w:r>
            <w:r>
              <w:rPr>
                <w:rFonts w:ascii="Times New Roman" w:hAnsi="Times New Roman" w:cs="Times New Roman"/>
                <w:color w:val="auto"/>
                <w:spacing w:val="2"/>
                <w:kern w:val="2"/>
                <w:sz w:val="24"/>
                <w:szCs w:val="24"/>
                <w:u w:color="FF0000"/>
              </w:rPr>
              <w:t>四川省遂宁市</w:t>
            </w:r>
            <w:r>
              <w:rPr>
                <w:rFonts w:hint="default" w:ascii="Times New Roman" w:hAnsi="Times New Roman" w:cs="Times New Roman"/>
                <w:color w:val="auto"/>
                <w:spacing w:val="2"/>
                <w:kern w:val="2"/>
                <w:sz w:val="24"/>
                <w:szCs w:val="24"/>
                <w:u w:color="FF0000"/>
              </w:rPr>
              <w:t>蓬溪县赤城镇上游工业园区</w:t>
            </w:r>
            <w:r>
              <w:rPr>
                <w:rFonts w:ascii="Times New Roman" w:hAnsi="Times New Roman" w:cs="Times New Roman"/>
                <w:color w:val="auto"/>
                <w:sz w:val="24"/>
                <w:szCs w:val="21"/>
              </w:rPr>
              <w:t>，</w:t>
            </w:r>
            <w:r>
              <w:rPr>
                <w:rFonts w:hint="default" w:ascii="Times New Roman" w:hAnsi="Times New Roman" w:cs="Times New Roman"/>
                <w:color w:val="auto"/>
                <w:sz w:val="24"/>
                <w:szCs w:val="24"/>
              </w:rPr>
              <w:t>四川政务服务网“三线一单”符合性分析数据录入后</w:t>
            </w:r>
            <w:r>
              <w:rPr>
                <w:rFonts w:ascii="Times New Roman" w:hAnsi="Times New Roman" w:cs="Times New Roman"/>
                <w:color w:val="auto"/>
                <w:sz w:val="24"/>
                <w:szCs w:val="21"/>
              </w:rPr>
              <w:t>，</w:t>
            </w:r>
            <w:r>
              <w:rPr>
                <w:rFonts w:hint="default" w:ascii="Times New Roman" w:hAnsi="Times New Roman" w:cs="Times New Roman"/>
                <w:color w:val="auto"/>
                <w:sz w:val="24"/>
                <w:szCs w:val="21"/>
              </w:rPr>
              <w:t>项目位于遂宁市蓬溪县环境综合管控单元城镇重点管控单元（管控单元名称：</w:t>
            </w:r>
            <w:r>
              <w:rPr>
                <w:rFonts w:ascii="Times New Roman" w:hAnsi="Times New Roman" w:cs="Times New Roman"/>
                <w:color w:val="auto"/>
                <w:sz w:val="24"/>
                <w:szCs w:val="24"/>
              </w:rPr>
              <w:t>蓬溪县上游工业园产业聚集区</w:t>
            </w:r>
            <w:r>
              <w:rPr>
                <w:rFonts w:hint="default" w:ascii="Times New Roman" w:hAnsi="Times New Roman" w:cs="Times New Roman"/>
                <w:color w:val="auto"/>
                <w:sz w:val="24"/>
                <w:szCs w:val="21"/>
              </w:rPr>
              <w:t>，管控单元编号：</w:t>
            </w:r>
            <w:r>
              <w:rPr>
                <w:rFonts w:ascii="Times New Roman" w:hAnsi="Times New Roman" w:cs="Times New Roman"/>
                <w:color w:val="auto"/>
                <w:sz w:val="24"/>
                <w:szCs w:val="24"/>
              </w:rPr>
              <w:t>ZH51092120004</w:t>
            </w:r>
            <w:r>
              <w:rPr>
                <w:rFonts w:hint="default" w:ascii="Times New Roman" w:hAnsi="Times New Roman" w:cs="Times New Roman"/>
                <w:color w:val="auto"/>
                <w:sz w:val="24"/>
                <w:szCs w:val="21"/>
              </w:rPr>
              <w:t>）</w:t>
            </w:r>
          </w:p>
          <w:p>
            <w:pPr>
              <w:spacing w:line="360" w:lineRule="auto"/>
              <w:ind w:firstLine="480" w:firstLineChars="200"/>
              <w:rPr>
                <w:rFonts w:ascii="Times New Roman" w:hAnsi="Times New Roman" w:cs="Times New Roman"/>
                <w:color w:val="auto"/>
                <w:spacing w:val="-6"/>
                <w:sz w:val="24"/>
                <w:szCs w:val="24"/>
                <w:u w:color="FF0000"/>
              </w:rPr>
            </w:pPr>
            <w:r>
              <w:rPr>
                <w:rFonts w:hint="default" w:ascii="Times New Roman" w:hAnsi="Times New Roman" w:cs="Times New Roman"/>
                <w:color w:val="auto"/>
                <w:sz w:val="24"/>
                <w:szCs w:val="21"/>
              </w:rPr>
              <w:t>项目与管控单元相对位置如下图所示：（图中</w:t>
            </w:r>
            <w:r>
              <w:rPr>
                <w:rFonts w:ascii="Times New Roman" w:hAnsi="Times New Roman" w:eastAsia="Helvetica" w:cs="Times New Roman"/>
                <w:color w:val="auto"/>
                <w:sz w:val="28"/>
                <w:szCs w:val="24"/>
              </w:rPr>
              <w:t>▼</w:t>
            </w:r>
            <w:r>
              <w:rPr>
                <w:rFonts w:hint="default" w:ascii="Times New Roman" w:hAnsi="Times New Roman" w:cs="Times New Roman"/>
                <w:color w:val="auto"/>
                <w:sz w:val="24"/>
                <w:szCs w:val="21"/>
              </w:rPr>
              <w:t>表示项目位置）</w:t>
            </w:r>
            <w:r>
              <w:rPr>
                <w:rFonts w:ascii="Times New Roman" w:hAnsi="Times New Roman" w:cs="Times New Roman"/>
                <w:color w:val="auto"/>
                <w:spacing w:val="-6"/>
                <w:sz w:val="24"/>
                <w:szCs w:val="24"/>
                <w:u w:color="FF0000"/>
              </w:rPr>
              <w:t>。</w:t>
            </w:r>
          </w:p>
          <w:p>
            <w:pPr>
              <w:widowControl/>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drawing>
                <wp:inline distT="0" distB="0" distL="114300" distR="114300">
                  <wp:extent cx="4796790" cy="2835275"/>
                  <wp:effectExtent l="0" t="0" r="3810" b="3175"/>
                  <wp:docPr id="4" name="图片 4" descr="项目与管控单元相对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与管控单元相对位置关系图"/>
                          <pic:cNvPicPr>
                            <a:picLocks noChangeAspect="1"/>
                          </pic:cNvPicPr>
                        </pic:nvPicPr>
                        <pic:blipFill>
                          <a:blip r:embed="rId7"/>
                          <a:stretch>
                            <a:fillRect/>
                          </a:stretch>
                        </pic:blipFill>
                        <pic:spPr>
                          <a:xfrm>
                            <a:off x="0" y="0"/>
                            <a:ext cx="4796790" cy="2835275"/>
                          </a:xfrm>
                          <a:prstGeom prst="rect">
                            <a:avLst/>
                          </a:prstGeom>
                        </pic:spPr>
                      </pic:pic>
                    </a:graphicData>
                  </a:graphic>
                </wp:inline>
              </w:drawing>
            </w:r>
          </w:p>
          <w:p>
            <w:pPr>
              <w:jc w:val="center"/>
              <w:rPr>
                <w:rFonts w:ascii="Times New Roman" w:hAnsi="Times New Roman" w:cs="Times New Roman"/>
                <w:b/>
                <w:bCs/>
                <w:color w:val="auto"/>
                <w:spacing w:val="-6"/>
                <w:sz w:val="21"/>
                <w:szCs w:val="21"/>
                <w:u w:color="FF0000"/>
              </w:rPr>
            </w:pPr>
            <w:r>
              <w:rPr>
                <w:rFonts w:hint="default" w:ascii="Times New Roman" w:hAnsi="Times New Roman" w:cs="Times New Roman"/>
                <w:b/>
                <w:bCs/>
                <w:color w:val="auto"/>
                <w:spacing w:val="-6"/>
                <w:sz w:val="21"/>
                <w:szCs w:val="21"/>
                <w:u w:color="FF0000"/>
              </w:rPr>
              <w:t>图1-1 本项目环境管控单元分布图</w:t>
            </w:r>
          </w:p>
          <w:p>
            <w:pPr>
              <w:pStyle w:val="51"/>
              <w:adjustRightInd/>
              <w:snapToGrid/>
              <w:spacing w:line="360" w:lineRule="auto"/>
              <w:ind w:firstLine="480"/>
              <w:jc w:val="both"/>
              <w:rPr>
                <w:rFonts w:hint="default" w:ascii="Times New Roman" w:hAnsi="Times New Roman" w:cs="Times New Roman"/>
                <w:color w:val="auto"/>
              </w:rPr>
            </w:pPr>
            <w:r>
              <w:rPr>
                <w:rFonts w:hint="default" w:ascii="Times New Roman" w:hAnsi="Times New Roman" w:cs="Times New Roman"/>
                <w:color w:val="auto"/>
              </w:rPr>
              <w:t>本项目位于</w:t>
            </w:r>
            <w:r>
              <w:rPr>
                <w:rFonts w:hint="default" w:ascii="Times New Roman" w:hAnsi="Times New Roman" w:cs="Times New Roman"/>
                <w:color w:val="auto"/>
                <w:spacing w:val="2"/>
                <w:kern w:val="2"/>
                <w:szCs w:val="24"/>
                <w:u w:color="FF0000"/>
              </w:rPr>
              <w:t>四川省遂宁市蓬溪县赤城镇上游工业园区内，由上图可知，</w:t>
            </w:r>
            <w:r>
              <w:rPr>
                <w:rFonts w:hint="default" w:ascii="Times New Roman" w:hAnsi="Times New Roman" w:cs="Times New Roman"/>
                <w:color w:val="auto"/>
              </w:rPr>
              <w:t>本项目位于</w:t>
            </w:r>
            <w:r>
              <w:rPr>
                <w:rFonts w:hint="default" w:ascii="Times New Roman" w:hAnsi="Times New Roman" w:cs="Times New Roman"/>
                <w:color w:val="auto"/>
                <w:szCs w:val="24"/>
              </w:rPr>
              <w:t>ZH51092120004蓬溪县上游工业园产业聚集区管控单元。</w:t>
            </w:r>
          </w:p>
          <w:p>
            <w:pPr>
              <w:spacing w:line="360" w:lineRule="auto"/>
              <w:ind w:left="440" w:leftChars="200"/>
              <w:rPr>
                <w:rFonts w:ascii="Times New Roman" w:hAnsi="Times New Roman" w:cs="Times New Roman"/>
                <w:b/>
                <w:bCs/>
                <w:color w:val="auto"/>
                <w:sz w:val="24"/>
                <w:szCs w:val="24"/>
                <w:u w:color="FF0000"/>
              </w:rPr>
            </w:pPr>
            <w:r>
              <w:rPr>
                <w:rFonts w:ascii="Times New Roman" w:hAnsi="Times New Roman" w:cs="Times New Roman"/>
                <w:b/>
                <w:bCs/>
                <w:color w:val="auto"/>
                <w:sz w:val="24"/>
                <w:szCs w:val="24"/>
                <w:u w:color="FF0000"/>
              </w:rPr>
              <w:t>（2）生态环境准入负面清单</w:t>
            </w:r>
          </w:p>
          <w:p>
            <w:pPr>
              <w:pStyle w:val="51"/>
              <w:adjustRightInd/>
              <w:snapToGrid/>
              <w:spacing w:line="360" w:lineRule="auto"/>
              <w:ind w:firstLine="480"/>
              <w:jc w:val="both"/>
              <w:rPr>
                <w:rFonts w:hint="default" w:ascii="Times New Roman" w:hAnsi="Times New Roman" w:cs="Times New Roman"/>
                <w:color w:val="auto"/>
                <w:lang w:val="zh-CN"/>
              </w:rPr>
            </w:pPr>
            <w:r>
              <w:rPr>
                <w:rFonts w:hint="default" w:ascii="Times New Roman" w:hAnsi="Times New Roman" w:cs="Times New Roman"/>
                <w:color w:val="auto"/>
              </w:rPr>
              <w:t>根据《遂宁市“三线一单”生态环境分区管控优化完善工作阶段性成果》中相关内容：结合市（州）特点、“三线”成果、重点发展产业及存在问题、管控目标等，分优先保护、重点管控、一般管控三个类型提出分类普适性准入清单，包括空间布局约束、污染物排放标准及削减要求、环境风险防控、水和能源利用效率等市（州）适用共性要求。</w:t>
            </w:r>
          </w:p>
          <w:p>
            <w:pPr>
              <w:spacing w:line="360" w:lineRule="auto"/>
              <w:ind w:firstLine="480" w:firstLineChars="200"/>
              <w:jc w:val="both"/>
              <w:rPr>
                <w:rFonts w:ascii="Times New Roman" w:hAnsi="Times New Roman" w:cs="Times New Roman"/>
                <w:color w:val="auto"/>
                <w:sz w:val="24"/>
                <w:szCs w:val="21"/>
              </w:rPr>
            </w:pPr>
            <w:r>
              <w:rPr>
                <w:rFonts w:hint="default" w:ascii="Times New Roman" w:hAnsi="Times New Roman" w:cs="Times New Roman"/>
                <w:bCs/>
                <w:color w:val="auto"/>
                <w:sz w:val="24"/>
                <w:szCs w:val="24"/>
                <w:u w:color="FF0000"/>
              </w:rPr>
              <w:t>本项目选址于</w:t>
            </w:r>
            <w:r>
              <w:rPr>
                <w:rFonts w:ascii="Times New Roman" w:hAnsi="Times New Roman" w:cs="Times New Roman"/>
                <w:color w:val="auto"/>
                <w:sz w:val="24"/>
                <w:szCs w:val="24"/>
                <w:u w:color="FF0000"/>
              </w:rPr>
              <w:t>四川省遂宁市</w:t>
            </w:r>
            <w:r>
              <w:rPr>
                <w:rFonts w:hint="default" w:ascii="Times New Roman" w:hAnsi="Times New Roman" w:cs="Times New Roman"/>
                <w:color w:val="auto"/>
                <w:sz w:val="24"/>
                <w:szCs w:val="24"/>
                <w:u w:color="FF0000"/>
              </w:rPr>
              <w:t>蓬溪县赤城镇上游工业园区内，</w:t>
            </w:r>
            <w:r>
              <w:rPr>
                <w:rFonts w:ascii="Times New Roman" w:hAnsi="Times New Roman" w:cs="Times New Roman"/>
                <w:color w:val="auto"/>
                <w:sz w:val="24"/>
                <w:szCs w:val="24"/>
                <w:u w:color="FF0000"/>
              </w:rPr>
              <w:t>属于</w:t>
            </w:r>
            <w:r>
              <w:rPr>
                <w:rFonts w:ascii="Times New Roman" w:hAnsi="Times New Roman" w:cs="Times New Roman"/>
                <w:color w:val="auto"/>
                <w:sz w:val="24"/>
                <w:szCs w:val="24"/>
              </w:rPr>
              <w:t>ZH51092120004蓬溪县上游工业园产业聚集区</w:t>
            </w:r>
            <w:r>
              <w:rPr>
                <w:rFonts w:hint="default" w:ascii="Times New Roman" w:hAnsi="Times New Roman" w:cs="Times New Roman"/>
                <w:color w:val="auto"/>
                <w:sz w:val="24"/>
                <w:szCs w:val="24"/>
              </w:rPr>
              <w:t>管控单元</w:t>
            </w:r>
            <w:r>
              <w:rPr>
                <w:rFonts w:hint="default" w:ascii="Times New Roman" w:hAnsi="Times New Roman" w:cs="Times New Roman"/>
                <w:color w:val="auto"/>
                <w:sz w:val="24"/>
                <w:szCs w:val="21"/>
              </w:rPr>
              <w:t>。</w:t>
            </w:r>
            <w:r>
              <w:rPr>
                <w:rFonts w:hint="default" w:ascii="Times New Roman" w:hAnsi="Times New Roman" w:cs="Times New Roman"/>
                <w:color w:val="auto"/>
                <w:sz w:val="24"/>
                <w:szCs w:val="24"/>
                <w:u w:color="FF0000"/>
              </w:rPr>
              <w:t>重点管控单元中，针对环境质量是否达标以及经济社会发展水平等因素，制定差别化的生态环境准入要求，对环境质量不达标区域，提出污染物削减比例要求，对环境质量达标区域，提出允许排放量建议指标。其中</w:t>
            </w:r>
            <w:r>
              <w:rPr>
                <w:rFonts w:ascii="Times New Roman" w:hAnsi="Times New Roman" w:cs="Times New Roman"/>
                <w:color w:val="auto"/>
                <w:sz w:val="24"/>
                <w:szCs w:val="24"/>
              </w:rPr>
              <w:t>ZH51092120004蓬溪县上游工业园产业聚集区</w:t>
            </w:r>
            <w:r>
              <w:rPr>
                <w:rFonts w:hint="default" w:ascii="Times New Roman" w:hAnsi="Times New Roman" w:cs="Times New Roman"/>
                <w:color w:val="auto"/>
                <w:sz w:val="24"/>
                <w:szCs w:val="24"/>
              </w:rPr>
              <w:t>管控单元</w:t>
            </w:r>
            <w:r>
              <w:rPr>
                <w:rFonts w:hint="default" w:ascii="Times New Roman" w:hAnsi="Times New Roman" w:cs="Times New Roman"/>
                <w:color w:val="auto"/>
                <w:sz w:val="24"/>
                <w:szCs w:val="24"/>
                <w:u w:color="FF0000"/>
              </w:rPr>
              <w:t>准入清单管控要求如下：</w:t>
            </w:r>
          </w:p>
          <w:p>
            <w:pPr>
              <w:autoSpaceDE/>
              <w:autoSpaceDN/>
              <w:adjustRightIn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表1-3 产业园区与生态环境准入清单符合性分析</w:t>
            </w:r>
          </w:p>
          <w:tbl>
            <w:tblPr>
              <w:tblStyle w:val="2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90"/>
              <w:gridCol w:w="404"/>
              <w:gridCol w:w="869"/>
              <w:gridCol w:w="3182"/>
              <w:gridCol w:w="1582"/>
              <w:gridCol w:w="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4" w:hRule="atLeast"/>
                <w:jc w:val="center"/>
              </w:trPr>
              <w:tc>
                <w:tcPr>
                  <w:tcW w:w="474" w:type="pct"/>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环境综合管控编码</w:t>
                  </w:r>
                </w:p>
              </w:tc>
              <w:tc>
                <w:tcPr>
                  <w:tcW w:w="258" w:type="pct"/>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区域特点</w:t>
                  </w:r>
                </w:p>
              </w:tc>
              <w:tc>
                <w:tcPr>
                  <w:tcW w:w="268" w:type="pct"/>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类别</w:t>
                  </w:r>
                </w:p>
              </w:tc>
              <w:tc>
                <w:tcPr>
                  <w:tcW w:w="2685" w:type="pct"/>
                  <w:gridSpan w:val="2"/>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管控要求</w:t>
                  </w:r>
                </w:p>
              </w:tc>
              <w:tc>
                <w:tcPr>
                  <w:tcW w:w="1048" w:type="pct"/>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本项目</w:t>
                  </w:r>
                </w:p>
              </w:tc>
              <w:tc>
                <w:tcPr>
                  <w:tcW w:w="264" w:type="pct"/>
                  <w:tcBorders>
                    <w:tl2br w:val="nil"/>
                    <w:tr2bl w:val="nil"/>
                  </w:tcBorders>
                  <w:shd w:val="clear" w:color="auto" w:fill="BEBEBE" w:themeFill="background1" w:themeFillShade="BF"/>
                  <w:vAlign w:val="center"/>
                </w:tcPr>
                <w:p>
                  <w:pPr>
                    <w:tabs>
                      <w:tab w:val="left" w:pos="2709"/>
                    </w:tabs>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47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kern w:val="2"/>
                      <w:sz w:val="21"/>
                      <w:szCs w:val="21"/>
                    </w:rPr>
                    <w:t>ZH51092120004蓬溪县上游工业园产业聚集区</w:t>
                  </w:r>
                </w:p>
              </w:tc>
              <w:tc>
                <w:tcPr>
                  <w:tcW w:w="258" w:type="pct"/>
                  <w:vMerge w:val="restar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普适性清单管控要求</w:t>
                  </w: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空间布局约束</w:t>
                  </w: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禁止开发建设活动的要求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1.禁止引入不符合园区用地性质或产业规划的工业企业。</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2.禁止在长江干支流岸线一公里范围内新建、扩建化工园区和化工项目。</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3.禁止在长江流域河湖管理范围内倾倒、填埋、堆放、弃置、处理固体废物。</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本项目从事</w:t>
                  </w:r>
                  <w:r>
                    <w:rPr>
                      <w:rFonts w:hint="default" w:ascii="Times New Roman" w:hAnsi="Times New Roman" w:cs="Times New Roman"/>
                      <w:color w:val="auto"/>
                      <w:sz w:val="21"/>
                      <w:szCs w:val="21"/>
                    </w:rPr>
                    <w:t>水泥制品</w:t>
                  </w:r>
                  <w:r>
                    <w:rPr>
                      <w:rFonts w:ascii="Times New Roman" w:hAnsi="Times New Roman" w:cs="Times New Roman"/>
                      <w:color w:val="auto"/>
                      <w:sz w:val="21"/>
                      <w:szCs w:val="21"/>
                    </w:rPr>
                    <w:t>制造生产。建设性质为</w:t>
                  </w:r>
                  <w:r>
                    <w:rPr>
                      <w:rFonts w:hint="default" w:ascii="Times New Roman" w:hAnsi="Times New Roman" w:cs="Times New Roman"/>
                      <w:color w:val="auto"/>
                      <w:sz w:val="21"/>
                      <w:szCs w:val="21"/>
                    </w:rPr>
                    <w:t>改</w:t>
                  </w:r>
                  <w:r>
                    <w:rPr>
                      <w:rFonts w:ascii="Times New Roman" w:hAnsi="Times New Roman" w:cs="Times New Roman"/>
                      <w:color w:val="auto"/>
                      <w:sz w:val="21"/>
                      <w:szCs w:val="21"/>
                    </w:rPr>
                    <w:t>建，不属于新建项目</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限制开发建设活动的要求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1.严控新建、扩建“两高”项目，对现存企业执行最严格排放标准和总量控制要求。</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2.长江干流及主要支流1公里范围内，严控新建石油化工、煤化工、涉磷、造纸、印染、制革等项目。</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不符合空间布局要求活动的退出要求</w:t>
                  </w:r>
                </w:p>
              </w:tc>
              <w:tc>
                <w:tcPr>
                  <w:tcW w:w="2108" w:type="pct"/>
                  <w:tcBorders>
                    <w:tl2br w:val="nil"/>
                    <w:tr2bl w:val="nil"/>
                  </w:tcBorders>
                  <w:vAlign w:val="center"/>
                </w:tcPr>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现有属于禁止引入产业门类的企业，应按相关规定限期整治或退出。</w:t>
                  </w:r>
                </w:p>
                <w:p>
                  <w:pPr>
                    <w:tabs>
                      <w:tab w:val="left" w:pos="2709"/>
                    </w:tabs>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污染物排放管控</w:t>
                  </w: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现有源提标升级改造</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1.污水收集处理率达100%。</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2.园区污水处理厂达《城镇污水处理厂污染物排放标准》一级A标或更高标准。</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3.加快推进危险化学品生产企业搬迁改造工程。</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（1）本项目废水处理：污水收集率可达到100%，生产废水汇入</w:t>
                  </w:r>
                  <w:r>
                    <w:rPr>
                      <w:rFonts w:hint="default" w:ascii="Times New Roman" w:hAnsi="Times New Roman" w:cs="Times New Roman"/>
                      <w:color w:val="auto"/>
                      <w:sz w:val="21"/>
                      <w:szCs w:val="21"/>
                    </w:rPr>
                    <w:t>园区化粪池</w:t>
                  </w:r>
                  <w:r>
                    <w:rPr>
                      <w:rFonts w:ascii="Times New Roman" w:hAnsi="Times New Roman" w:cs="Times New Roman"/>
                      <w:color w:val="auto"/>
                      <w:sz w:val="21"/>
                      <w:szCs w:val="21"/>
                    </w:rPr>
                    <w:t>；食堂废水经隔油池隔油处理后同生活污水排入</w:t>
                  </w:r>
                  <w:r>
                    <w:rPr>
                      <w:rFonts w:hint="default" w:ascii="Times New Roman" w:hAnsi="Times New Roman" w:cs="Times New Roman"/>
                      <w:color w:val="auto"/>
                      <w:sz w:val="21"/>
                      <w:szCs w:val="21"/>
                    </w:rPr>
                    <w:t>园区化粪池</w:t>
                  </w:r>
                  <w:r>
                    <w:rPr>
                      <w:rFonts w:ascii="Times New Roman" w:hAnsi="Times New Roman" w:cs="Times New Roman"/>
                      <w:color w:val="auto"/>
                      <w:sz w:val="21"/>
                      <w:szCs w:val="21"/>
                    </w:rPr>
                    <w:t>。</w:t>
                  </w:r>
                  <w:r>
                    <w:rPr>
                      <w:rFonts w:hint="default" w:ascii="Times New Roman" w:hAnsi="Times New Roman" w:cs="Times New Roman"/>
                      <w:color w:val="auto"/>
                      <w:sz w:val="21"/>
                      <w:szCs w:val="21"/>
                    </w:rPr>
                    <w:t>经市政污水管网到</w:t>
                  </w:r>
                  <w:r>
                    <w:rPr>
                      <w:rFonts w:ascii="Times New Roman" w:hAnsi="Times New Roman" w:cs="Times New Roman"/>
                      <w:color w:val="auto"/>
                      <w:sz w:val="21"/>
                      <w:szCs w:val="21"/>
                    </w:rPr>
                    <w:t>其污水处理厂可达到达《城镇污水处理厂污染物排放标准》一级A标</w:t>
                  </w:r>
                </w:p>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（2）废气处理措施</w:t>
                  </w:r>
                  <w:r>
                    <w:rPr>
                      <w:rFonts w:hint="default" w:ascii="Times New Roman" w:hAnsi="Times New Roman" w:cs="Times New Roman"/>
                      <w:color w:val="auto"/>
                      <w:sz w:val="21"/>
                      <w:szCs w:val="21"/>
                    </w:rPr>
                    <w:t xml:space="preserve">：产生的粉尘通过集气罩＋布袋除尘处置，使得颗粒物排放达到 </w:t>
                  </w:r>
                  <w:r>
                    <w:rPr>
                      <w:rFonts w:hint="default" w:ascii="Times New Roman" w:hAnsi="Times New Roman" w:cs="Times New Roman"/>
                      <w:bCs/>
                      <w:color w:val="auto"/>
                      <w:sz w:val="21"/>
                      <w:szCs w:val="21"/>
                    </w:rPr>
                    <w:t>《大气污染物综合排放标准》（GB16297-1996）表2</w:t>
                  </w:r>
                  <w:r>
                    <w:rPr>
                      <w:rFonts w:ascii="Times New Roman" w:hAnsi="Times New Roman" w:cs="Times New Roman"/>
                      <w:bCs/>
                      <w:color w:val="auto"/>
                      <w:sz w:val="21"/>
                      <w:szCs w:val="21"/>
                    </w:rPr>
                    <w:t>相应标准限值要求</w:t>
                  </w:r>
                </w:p>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（3）固废处置：修建固废间、危废间。一般固废和危险废物都会进行妥善处置。</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其他污染物排放管控要求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环境风险防控</w:t>
                  </w: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联防联控要求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加强成都平原经济区信息共享和联动合作，协力推进产业和能源结构优化调整，加强大气污染源头防控，加强潼遂合作。</w:t>
                  </w:r>
                </w:p>
              </w:tc>
              <w:tc>
                <w:tcPr>
                  <w:tcW w:w="1048" w:type="pct"/>
                  <w:vMerge w:val="restart"/>
                  <w:tcBorders>
                    <w:tl2br w:val="nil"/>
                    <w:tr2bl w:val="nil"/>
                  </w:tcBorders>
                  <w:vAlign w:val="center"/>
                </w:tcPr>
                <w:p>
                  <w:pPr>
                    <w:pStyle w:val="33"/>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本项目用地性质为工业用地。</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其他环境风险防控要求</w:t>
                  </w:r>
                </w:p>
              </w:tc>
              <w:tc>
                <w:tcPr>
                  <w:tcW w:w="2108" w:type="pct"/>
                  <w:tcBorders>
                    <w:tl2br w:val="nil"/>
                    <w:tr2bl w:val="nil"/>
                  </w:tcBorders>
                  <w:vAlign w:val="center"/>
                </w:tcPr>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1.企业环境风险防控要求：涉及有毒有害、易燃易爆物质的新建、改扩建项目，严控准入要求。</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2.园区环境风险防控要求：构建三级环境风险防控体系，强化危化品泄漏应急处置措施，确保风险可控。针对化工园区进一步强化风险防控。</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资源利用效率</w:t>
                  </w:r>
                </w:p>
              </w:tc>
              <w:tc>
                <w:tcPr>
                  <w:tcW w:w="576" w:type="pc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水资源利用总量要求</w:t>
                  </w:r>
                </w:p>
              </w:tc>
              <w:tc>
                <w:tcPr>
                  <w:tcW w:w="2108" w:type="pct"/>
                  <w:tcBorders>
                    <w:tl2br w:val="nil"/>
                    <w:tr2bl w:val="nil"/>
                  </w:tcBorders>
                  <w:vAlign w:val="center"/>
                </w:tcPr>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1.到2025年，万元工业增加值用水量下降到32.0m</w:t>
                  </w:r>
                  <w:r>
                    <w:rPr>
                      <w:rFonts w:ascii="Times New Roman" w:hAnsi="Times New Roman" w:eastAsia="宋体" w:cs="Times New Roman"/>
                      <w:color w:val="auto"/>
                      <w:kern w:val="0"/>
                      <w:sz w:val="21"/>
                      <w:vertAlign w:val="superscript"/>
                    </w:rPr>
                    <w:t>3</w:t>
                  </w:r>
                  <w:r>
                    <w:rPr>
                      <w:rFonts w:ascii="Times New Roman" w:hAnsi="Times New Roman" w:eastAsia="宋体" w:cs="Times New Roman"/>
                      <w:color w:val="auto"/>
                      <w:kern w:val="0"/>
                      <w:sz w:val="21"/>
                    </w:rPr>
                    <w:t>万元，重复利用率提高到84%；</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2.至2030年，万元工业增加值用水量进一步减少为28.0m</w:t>
                  </w:r>
                  <w:r>
                    <w:rPr>
                      <w:rFonts w:ascii="Times New Roman" w:hAnsi="Times New Roman" w:eastAsia="宋体" w:cs="Times New Roman"/>
                      <w:color w:val="auto"/>
                      <w:kern w:val="0"/>
                      <w:sz w:val="21"/>
                      <w:vertAlign w:val="superscript"/>
                    </w:rPr>
                    <w:t>3</w:t>
                  </w:r>
                  <w:r>
                    <w:rPr>
                      <w:rFonts w:ascii="Times New Roman" w:hAnsi="Times New Roman" w:eastAsia="宋体" w:cs="Times New Roman"/>
                      <w:color w:val="auto"/>
                      <w:kern w:val="0"/>
                      <w:sz w:val="21"/>
                    </w:rPr>
                    <w:t>万元，重复利用率提高到85%；</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3.新、改扩建项目水耗指标满足《四川省省级生态工业园区指标》综合类生态工业园区要求。</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本项目食堂使用的燃料为天</w:t>
                  </w:r>
                  <w:r>
                    <w:rPr>
                      <w:rFonts w:hint="eastAsia" w:ascii="Times New Roman" w:hAnsi="Times New Roman" w:cs="Times New Roman"/>
                      <w:color w:val="auto"/>
                      <w:sz w:val="21"/>
                      <w:szCs w:val="21"/>
                      <w:lang w:eastAsia="zh-CN"/>
                    </w:rPr>
                    <w:t>然</w:t>
                  </w:r>
                  <w:r>
                    <w:rPr>
                      <w:rFonts w:ascii="Times New Roman" w:hAnsi="Times New Roman" w:cs="Times New Roman"/>
                      <w:color w:val="auto"/>
                      <w:sz w:val="21"/>
                      <w:szCs w:val="21"/>
                    </w:rPr>
                    <w:t>气，</w:t>
                  </w:r>
                  <w:r>
                    <w:rPr>
                      <w:rFonts w:hint="default" w:ascii="Times New Roman" w:hAnsi="Times New Roman" w:cs="Times New Roman"/>
                      <w:color w:val="auto"/>
                      <w:sz w:val="21"/>
                      <w:szCs w:val="21"/>
                    </w:rPr>
                    <w:t>蒸汽锅炉</w:t>
                  </w:r>
                  <w:r>
                    <w:rPr>
                      <w:rFonts w:ascii="Times New Roman" w:hAnsi="Times New Roman" w:cs="Times New Roman"/>
                      <w:color w:val="auto"/>
                      <w:sz w:val="21"/>
                      <w:szCs w:val="21"/>
                    </w:rPr>
                    <w:t>燃料为</w:t>
                  </w:r>
                  <w:r>
                    <w:rPr>
                      <w:rFonts w:hint="eastAsia" w:ascii="Times New Roman" w:hAnsi="Times New Roman" w:cs="Times New Roman"/>
                      <w:color w:val="auto"/>
                      <w:sz w:val="21"/>
                      <w:szCs w:val="21"/>
                      <w:lang w:val="en-US" w:eastAsia="zh-CN"/>
                    </w:rPr>
                    <w:t>天然气</w:t>
                  </w:r>
                  <w:r>
                    <w:rPr>
                      <w:rFonts w:ascii="Times New Roman" w:hAnsi="Times New Roman" w:cs="Times New Roman"/>
                      <w:color w:val="auto"/>
                      <w:sz w:val="21"/>
                      <w:szCs w:val="21"/>
                    </w:rPr>
                    <w:t>，</w:t>
                  </w:r>
                  <w:r>
                    <w:rPr>
                      <w:rFonts w:hint="default" w:ascii="Times New Roman" w:hAnsi="Times New Roman" w:cs="Times New Roman"/>
                      <w:color w:val="auto"/>
                      <w:sz w:val="21"/>
                      <w:szCs w:val="21"/>
                    </w:rPr>
                    <w:t>水泥制品技改</w:t>
                  </w:r>
                  <w:r>
                    <w:rPr>
                      <w:rFonts w:ascii="Times New Roman" w:hAnsi="Times New Roman" w:cs="Times New Roman"/>
                      <w:color w:val="auto"/>
                      <w:sz w:val="21"/>
                      <w:szCs w:val="21"/>
                    </w:rPr>
                    <w:t>项目主要用电，不涉及高污染燃料。</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pStyle w:val="55"/>
                    <w:spacing w:line="240" w:lineRule="auto"/>
                    <w:ind w:firstLine="0" w:firstLineChars="0"/>
                    <w:jc w:val="center"/>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地下水开采要求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全面建设节水型社会，达到合理高效用水。</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pStyle w:val="55"/>
                    <w:spacing w:line="240" w:lineRule="auto"/>
                    <w:ind w:firstLine="0" w:firstLineChars="0"/>
                    <w:jc w:val="center"/>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能源利用总量及效率要求</w:t>
                  </w:r>
                </w:p>
              </w:tc>
              <w:tc>
                <w:tcPr>
                  <w:tcW w:w="2108" w:type="pct"/>
                  <w:tcBorders>
                    <w:tl2br w:val="nil"/>
                    <w:tr2bl w:val="nil"/>
                  </w:tcBorders>
                  <w:vAlign w:val="center"/>
                </w:tcPr>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1.扩大高污染燃料禁燃区范围，在市、县（区）、镇（乡）建成区全面实施“煤改气”“煤改电”。</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2.新、改扩建项目能耗指标满足《四川省省级生态工业园区指标》综合类生态工业园区要求。</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3.实施新建项目与煤炭消费总量控制挂钩机制，耗煤建设项目实行煤炭消耗等量减量替代。</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4.提高煤炭利用效率和天然气利用占比，工业领域有序推进“煤改电”和“煤改气”。</w:t>
                  </w:r>
                </w:p>
                <w:p>
                  <w:pPr>
                    <w:pStyle w:val="55"/>
                    <w:spacing w:line="240" w:lineRule="auto"/>
                    <w:ind w:firstLine="0" w:firstLineChars="0"/>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5.到2030年，能源消费总量控制在1000万吨标准煤以内。</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68" w:type="pct"/>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pStyle w:val="55"/>
                    <w:ind w:firstLine="0" w:firstLineChars="0"/>
                    <w:jc w:val="center"/>
                    <w:rPr>
                      <w:rFonts w:ascii="Times New Roman" w:hAnsi="Times New Roman" w:eastAsia="宋体" w:cs="Times New Roman"/>
                      <w:color w:val="auto"/>
                      <w:kern w:val="0"/>
                      <w:sz w:val="21"/>
                    </w:rPr>
                  </w:pPr>
                  <w:r>
                    <w:rPr>
                      <w:rFonts w:ascii="Times New Roman" w:hAnsi="Times New Roman" w:eastAsia="宋体" w:cs="Times New Roman"/>
                      <w:color w:val="auto"/>
                      <w:kern w:val="0"/>
                      <w:sz w:val="21"/>
                    </w:rPr>
                    <w:t>禁燃区要求</w:t>
                  </w:r>
                </w:p>
              </w:tc>
              <w:tc>
                <w:tcPr>
                  <w:tcW w:w="2108" w:type="pc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1.禁燃区内禁止燃烧以下高污染燃料：</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（1）煤炭及其制品（包括原煤、散煤、煤矸石、煤泥、煤 粉、水浆煤、型煤、焦炭、兰炭、油类等常规燃料）。</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（2）石油焦、油页岩、原油、重油、渣油、煤焦油。</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（3）非专用锅炉或未配置高效除尘设施的专用锅炉燃用的 生物质成型燃料。</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2.禁燃区内禁止新建、扩建燃用高污染燃料的锅炉、炉窑、 炉灶等燃烧设施（集中供热、电厂锅炉除外）。</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3.自2020年1月1日起，禁燃区内禁止销售高污染燃料。</w:t>
                  </w:r>
                </w:p>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4.加强对集中供热、电厂锅炉、10蒸吨时以上的在用燃煤锅炉以及改用清洁能源前的在用锅炉等燃烧设施的监管，确保达标排放。</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both"/>
                    <w:rPr>
                      <w:rFonts w:ascii="Times New Roman" w:hAnsi="Times New Roman" w:cs="Times New Roman"/>
                      <w:color w:val="auto"/>
                      <w:sz w:val="21"/>
                      <w:szCs w:val="21"/>
                    </w:rPr>
                  </w:pPr>
                </w:p>
              </w:tc>
              <w:tc>
                <w:tcPr>
                  <w:tcW w:w="258" w:type="pct"/>
                  <w:vMerge w:val="restart"/>
                  <w:tcBorders>
                    <w:tl2br w:val="nil"/>
                    <w:tr2bl w:val="nil"/>
                  </w:tcBorders>
                  <w:vAlign w:val="center"/>
                </w:tcPr>
                <w:p>
                  <w:pPr>
                    <w:tabs>
                      <w:tab w:val="left" w:pos="2709"/>
                    </w:tabs>
                    <w:jc w:val="both"/>
                    <w:rPr>
                      <w:rFonts w:ascii="Times New Roman" w:hAnsi="Times New Roman" w:cs="Times New Roman"/>
                      <w:color w:val="auto"/>
                      <w:sz w:val="21"/>
                      <w:szCs w:val="21"/>
                    </w:rPr>
                  </w:pPr>
                  <w:r>
                    <w:rPr>
                      <w:rFonts w:ascii="Times New Roman" w:hAnsi="Times New Roman" w:cs="Times New Roman"/>
                      <w:color w:val="auto"/>
                      <w:sz w:val="21"/>
                      <w:szCs w:val="21"/>
                    </w:rPr>
                    <w:t>单元级清单管控要求</w:t>
                  </w: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bCs/>
                      <w:color w:val="auto"/>
                      <w:sz w:val="21"/>
                      <w:szCs w:val="21"/>
                    </w:rPr>
                    <w:t>空间布局约束</w:t>
                  </w: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禁止开发建设活动的要求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kern w:val="0"/>
                      <w:sz w:val="21"/>
                    </w:rPr>
                  </w:pPr>
                  <w:r>
                    <w:rPr>
                      <w:rFonts w:ascii="Times New Roman" w:hAnsi="Times New Roman" w:eastAsia="宋体" w:cs="Times New Roman"/>
                      <w:color w:val="auto"/>
                      <w:sz w:val="21"/>
                    </w:rPr>
                    <w:t>1.严禁新建焦化、黄磷、水泥、冶炼、石墨及碳素制品等大气污染排放量大的企业2.严禁新建化工（除油漆、涂料）、皮革、化学制浆造纸、化学合成原料药、生物发酵原料药、印染、制革、农药、电镀等废水排放量大且难以处理的企业3.其他参照遂宁市总体准入要求-工业重点管控单元</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本项目</w:t>
                  </w:r>
                  <w:r>
                    <w:rPr>
                      <w:rFonts w:hint="default" w:ascii="Times New Roman" w:hAnsi="Times New Roman" w:cs="Times New Roman"/>
                      <w:color w:val="auto"/>
                      <w:sz w:val="21"/>
                      <w:szCs w:val="21"/>
                    </w:rPr>
                    <w:t>水泥制品技改项目</w:t>
                  </w:r>
                  <w:r>
                    <w:rPr>
                      <w:rFonts w:ascii="Times New Roman" w:hAnsi="Times New Roman" w:cs="Times New Roman"/>
                      <w:color w:val="auto"/>
                      <w:sz w:val="21"/>
                      <w:szCs w:val="21"/>
                    </w:rPr>
                    <w:t>。项目为</w:t>
                  </w:r>
                  <w:r>
                    <w:rPr>
                      <w:rFonts w:hint="default" w:ascii="Times New Roman" w:hAnsi="Times New Roman" w:cs="Times New Roman"/>
                      <w:color w:val="auto"/>
                      <w:sz w:val="21"/>
                      <w:szCs w:val="21"/>
                    </w:rPr>
                    <w:t>改</w:t>
                  </w:r>
                  <w:r>
                    <w:rPr>
                      <w:rFonts w:ascii="Times New Roman" w:hAnsi="Times New Roman" w:cs="Times New Roman"/>
                      <w:color w:val="auto"/>
                      <w:sz w:val="21"/>
                      <w:szCs w:val="21"/>
                    </w:rPr>
                    <w:t>建，对应的污染物采取相应的环保措施，使其达标排放。</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限制开发建设活动的要求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不符合空间布局要求活动的退出要求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参照遂宁市总体准入要求-工业重点管控单元</w:t>
                  </w:r>
                </w:p>
                <w:p>
                  <w:pPr>
                    <w:spacing w:line="260" w:lineRule="exact"/>
                    <w:rPr>
                      <w:rFonts w:ascii="Times New Roman" w:hAnsi="Times New Roman" w:cs="Times New Roman"/>
                      <w:color w:val="auto"/>
                      <w:sz w:val="21"/>
                      <w:szCs w:val="21"/>
                    </w:rPr>
                  </w:pP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bCs/>
                      <w:color w:val="auto"/>
                      <w:sz w:val="21"/>
                      <w:szCs w:val="21"/>
                    </w:rPr>
                    <w:t>污染物排放管控</w:t>
                  </w: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现有源提标升级改造</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kern w:val="0"/>
                      <w:sz w:val="21"/>
                    </w:rPr>
                  </w:pPr>
                  <w:r>
                    <w:rPr>
                      <w:rFonts w:ascii="Times New Roman" w:hAnsi="Times New Roman" w:eastAsia="宋体" w:cs="Times New Roman"/>
                      <w:color w:val="auto"/>
                      <w:sz w:val="21"/>
                    </w:rPr>
                    <w:t>1.园区内的现有化工企业必须执行初期雨水收集处理。2.其他参照遂宁市总体准入要求-工业重点管控单元</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本项目废水处理：污水收集率可达到100%，生产废水汇入</w:t>
                  </w:r>
                  <w:r>
                    <w:rPr>
                      <w:rFonts w:hint="default" w:ascii="Times New Roman" w:hAnsi="Times New Roman" w:cs="Times New Roman"/>
                      <w:color w:val="auto"/>
                      <w:sz w:val="21"/>
                      <w:szCs w:val="21"/>
                    </w:rPr>
                    <w:t>园区化粪池</w:t>
                  </w:r>
                  <w:r>
                    <w:rPr>
                      <w:rFonts w:ascii="Times New Roman" w:hAnsi="Times New Roman" w:cs="Times New Roman"/>
                      <w:color w:val="auto"/>
                      <w:sz w:val="21"/>
                      <w:szCs w:val="21"/>
                    </w:rPr>
                    <w:t>；食堂废水经隔油池隔油处理后同生活污水排入</w:t>
                  </w:r>
                  <w:r>
                    <w:rPr>
                      <w:rFonts w:hint="default" w:ascii="Times New Roman" w:hAnsi="Times New Roman" w:cs="Times New Roman"/>
                      <w:color w:val="auto"/>
                      <w:sz w:val="21"/>
                      <w:szCs w:val="21"/>
                    </w:rPr>
                    <w:t>园区化粪池</w:t>
                  </w:r>
                  <w:r>
                    <w:rPr>
                      <w:rFonts w:ascii="Times New Roman" w:hAnsi="Times New Roman" w:cs="Times New Roman"/>
                      <w:color w:val="auto"/>
                      <w:sz w:val="21"/>
                      <w:szCs w:val="21"/>
                    </w:rPr>
                    <w:t>。</w:t>
                  </w:r>
                  <w:r>
                    <w:rPr>
                      <w:rFonts w:hint="default" w:ascii="Times New Roman" w:hAnsi="Times New Roman" w:cs="Times New Roman"/>
                      <w:color w:val="auto"/>
                      <w:sz w:val="21"/>
                      <w:szCs w:val="21"/>
                    </w:rPr>
                    <w:t>经市政污水管网到</w:t>
                  </w:r>
                  <w:r>
                    <w:rPr>
                      <w:rFonts w:ascii="Times New Roman" w:hAnsi="Times New Roman" w:cs="Times New Roman"/>
                      <w:color w:val="auto"/>
                      <w:sz w:val="21"/>
                      <w:szCs w:val="21"/>
                    </w:rPr>
                    <w:t>其污水处理厂可达到达《城镇污水处理厂污染物排放标准》一级A标</w:t>
                  </w:r>
                </w:p>
                <w:p>
                  <w:pPr>
                    <w:tabs>
                      <w:tab w:val="left" w:pos="2709"/>
                    </w:tabs>
                    <w:jc w:val="center"/>
                    <w:rPr>
                      <w:rFonts w:ascii="Times New Roman" w:hAnsi="Times New Roman" w:cs="Times New Roman"/>
                      <w:color w:val="auto"/>
                      <w:sz w:val="21"/>
                      <w:szCs w:val="21"/>
                    </w:rPr>
                  </w:pP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新增源等量或倍量替代</w:t>
                  </w:r>
                </w:p>
              </w:tc>
              <w:tc>
                <w:tcPr>
                  <w:tcW w:w="2108" w:type="pct"/>
                  <w:tcBorders>
                    <w:tl2br w:val="nil"/>
                    <w:tr2bl w:val="nil"/>
                  </w:tcBorders>
                  <w:vAlign w:val="center"/>
                </w:tcPr>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新增源排放标准限值</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1.项目产生的生产废水由企业自行处理达到《污水综合排放标准》三级或相应的行业排放标准后排入污水处理厂处理达《城镇污水处理厂污染物排放标准》一级A标或更严格标准后排放。2.其他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污染物排放绩效水平准入要求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参照遂宁市总体准入要求-工业重点管控单元</w:t>
                  </w:r>
                </w:p>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其他污染物排放管控要求</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bCs/>
                      <w:color w:val="auto"/>
                      <w:sz w:val="21"/>
                      <w:szCs w:val="21"/>
                    </w:rPr>
                    <w:t>环境风险防控</w:t>
                  </w: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严格管控类农用地管控要求</w:t>
                  </w:r>
                </w:p>
              </w:tc>
              <w:tc>
                <w:tcPr>
                  <w:tcW w:w="2108" w:type="pct"/>
                  <w:tcBorders>
                    <w:tl2br w:val="nil"/>
                    <w:tr2bl w:val="nil"/>
                  </w:tcBorders>
                  <w:vAlign w:val="center"/>
                </w:tcPr>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参照遂宁市总体准入要求-工业重点管控单元</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本项目污染物都有相应的处理措施，从而降低污染物对环境影响。</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安全利用类农用地管控要求</w:t>
                  </w:r>
                </w:p>
              </w:tc>
              <w:tc>
                <w:tcPr>
                  <w:tcW w:w="2108" w:type="pct"/>
                  <w:tcBorders>
                    <w:tl2br w:val="nil"/>
                    <w:tr2bl w:val="nil"/>
                  </w:tcBorders>
                  <w:vAlign w:val="center"/>
                </w:tcPr>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污染地块管控要求</w:t>
                  </w:r>
                </w:p>
              </w:tc>
              <w:tc>
                <w:tcPr>
                  <w:tcW w:w="2108" w:type="pct"/>
                  <w:tcBorders>
                    <w:tl2br w:val="nil"/>
                    <w:tr2bl w:val="nil"/>
                  </w:tcBorders>
                  <w:vAlign w:val="center"/>
                </w:tcPr>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pStyle w:val="55"/>
                    <w:widowControl/>
                    <w:shd w:val="clear" w:color="auto" w:fill="FFFFFF"/>
                    <w:spacing w:line="240" w:lineRule="auto"/>
                    <w:ind w:firstLine="0" w:firstLineChars="0"/>
                    <w:jc w:val="center"/>
                    <w:rPr>
                      <w:rFonts w:ascii="Times New Roman" w:hAnsi="Times New Roman" w:eastAsia="宋体" w:cs="Times New Roman"/>
                      <w:color w:val="auto"/>
                      <w:sz w:val="21"/>
                    </w:rPr>
                  </w:pPr>
                  <w:r>
                    <w:rPr>
                      <w:rFonts w:ascii="Times New Roman" w:hAnsi="Times New Roman" w:eastAsia="宋体" w:cs="Times New Roman"/>
                      <w:color w:val="auto"/>
                      <w:sz w:val="21"/>
                    </w:rPr>
                    <w:t>园区环境风险防控要求/</w:t>
                  </w:r>
                </w:p>
                <w:p>
                  <w:pPr>
                    <w:spacing w:line="260" w:lineRule="exact"/>
                    <w:jc w:val="center"/>
                    <w:rPr>
                      <w:rFonts w:ascii="Times New Roman" w:hAnsi="Times New Roman" w:cs="Times New Roman"/>
                      <w:color w:val="auto"/>
                      <w:sz w:val="21"/>
                      <w:szCs w:val="21"/>
                    </w:rPr>
                  </w:pPr>
                  <w:r>
                    <w:rPr>
                      <w:rFonts w:ascii="Times New Roman" w:hAnsi="Times New Roman" w:cs="Times New Roman"/>
                      <w:color w:val="auto"/>
                      <w:kern w:val="2"/>
                      <w:sz w:val="21"/>
                      <w:szCs w:val="21"/>
                    </w:rPr>
                    <w:t>企业环境风险防控要求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参照遂宁市总体准入要求-工业重点管控单元</w:t>
                  </w:r>
                </w:p>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1.除化工企业配套的化学物质存储区外，禁止在区内另设置存储大宗危险化学物质的仓储项目。2.其他参照遂宁市总体准入要求-工业重点管控单元</w:t>
                  </w:r>
                </w:p>
                <w:p>
                  <w:pPr>
                    <w:spacing w:line="260" w:lineRule="exact"/>
                    <w:rPr>
                      <w:rFonts w:ascii="Times New Roman" w:hAnsi="Times New Roman" w:cs="Times New Roman"/>
                      <w:color w:val="auto"/>
                      <w:kern w:val="2"/>
                      <w:sz w:val="21"/>
                      <w:szCs w:val="21"/>
                    </w:rPr>
                  </w:pPr>
                  <w:r>
                    <w:rPr>
                      <w:rFonts w:ascii="Times New Roman" w:hAnsi="Times New Roman" w:cs="Times New Roman"/>
                      <w:color w:val="auto"/>
                      <w:kern w:val="2"/>
                      <w:sz w:val="21"/>
                      <w:szCs w:val="21"/>
                    </w:rPr>
                    <w:t>其他环境风险防控要求</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bCs/>
                      <w:color w:val="auto"/>
                      <w:sz w:val="21"/>
                      <w:szCs w:val="21"/>
                    </w:rPr>
                    <w:t>资源开发效率</w:t>
                  </w: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水资源利用效率要求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kern w:val="0"/>
                      <w:sz w:val="21"/>
                    </w:rPr>
                  </w:pPr>
                  <w:r>
                    <w:rPr>
                      <w:rFonts w:ascii="Times New Roman" w:hAnsi="Times New Roman" w:eastAsia="宋体" w:cs="Times New Roman"/>
                      <w:color w:val="auto"/>
                      <w:sz w:val="21"/>
                    </w:rPr>
                    <w:t>参照遂宁市总体准入要求-工业重点管控单元</w:t>
                  </w:r>
                </w:p>
              </w:tc>
              <w:tc>
                <w:tcPr>
                  <w:tcW w:w="1048"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不涉及高污染燃料使用。水、电由园区水电网络统一供给，不会给当地水电资源利用造成负担</w:t>
                  </w:r>
                </w:p>
              </w:tc>
              <w:tc>
                <w:tcPr>
                  <w:tcW w:w="264" w:type="pct"/>
                  <w:vMerge w:val="restart"/>
                  <w:tcBorders>
                    <w:tl2br w:val="nil"/>
                    <w:tr2bl w:val="nil"/>
                  </w:tcBorders>
                  <w:vAlign w:val="center"/>
                </w:tcPr>
                <w:p>
                  <w:pPr>
                    <w:tabs>
                      <w:tab w:val="left" w:pos="2709"/>
                    </w:tabs>
                    <w:jc w:val="center"/>
                    <w:rPr>
                      <w:rFonts w:ascii="Times New Roman" w:hAnsi="Times New Roman" w:cs="Times New Roman"/>
                      <w:color w:val="auto"/>
                      <w:sz w:val="21"/>
                      <w:szCs w:val="21"/>
                    </w:rPr>
                  </w:pPr>
                  <w:r>
                    <w:rPr>
                      <w:rFonts w:ascii="Times New Roman" w:hAnsi="Times New Roman"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地下水开采要求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（1）蓬溪县2030年地下水开采控制控制量保持在0.09亿m</w:t>
                  </w:r>
                  <w:r>
                    <w:rPr>
                      <w:rFonts w:ascii="Times New Roman" w:hAnsi="Times New Roman" w:eastAsia="宋体" w:cs="Times New Roman"/>
                      <w:color w:val="auto"/>
                      <w:sz w:val="21"/>
                      <w:vertAlign w:val="superscript"/>
                    </w:rPr>
                    <w:t>3</w:t>
                  </w:r>
                  <w:r>
                    <w:rPr>
                      <w:rFonts w:ascii="Times New Roman" w:hAnsi="Times New Roman" w:eastAsia="宋体" w:cs="Times New Roman"/>
                      <w:color w:val="auto"/>
                      <w:sz w:val="21"/>
                    </w:rPr>
                    <w:t>以内。（2）全面建设节水型社会，达到合理高效用水。</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能源利用效率要求</w:t>
                  </w:r>
                </w:p>
              </w:tc>
              <w:tc>
                <w:tcPr>
                  <w:tcW w:w="2108" w:type="pct"/>
                  <w:tcBorders>
                    <w:tl2br w:val="nil"/>
                    <w:tr2bl w:val="nil"/>
                  </w:tcBorders>
                  <w:vAlign w:val="center"/>
                </w:tcPr>
                <w:p>
                  <w:pPr>
                    <w:pStyle w:val="55"/>
                    <w:widowControl/>
                    <w:shd w:val="clear" w:color="auto" w:fill="FFFFFF"/>
                    <w:spacing w:line="240" w:lineRule="auto"/>
                    <w:ind w:firstLine="0" w:firstLineChars="0"/>
                    <w:jc w:val="left"/>
                    <w:rPr>
                      <w:rFonts w:ascii="Times New Roman" w:hAnsi="Times New Roman" w:eastAsia="宋体" w:cs="Times New Roman"/>
                      <w:color w:val="auto"/>
                      <w:sz w:val="21"/>
                    </w:rPr>
                  </w:pPr>
                  <w:r>
                    <w:rPr>
                      <w:rFonts w:ascii="Times New Roman" w:hAnsi="Times New Roman" w:eastAsia="宋体" w:cs="Times New Roman"/>
                      <w:color w:val="auto"/>
                      <w:sz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7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5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576" w:type="pct"/>
                  <w:tcBorders>
                    <w:tl2br w:val="nil"/>
                    <w:tr2bl w:val="nil"/>
                  </w:tcBorders>
                  <w:vAlign w:val="center"/>
                </w:tcPr>
                <w:p>
                  <w:pPr>
                    <w:spacing w:line="260" w:lineRule="exact"/>
                    <w:jc w:val="center"/>
                    <w:rPr>
                      <w:rFonts w:ascii="Times New Roman" w:hAnsi="Times New Roman" w:cs="Times New Roman"/>
                      <w:color w:val="auto"/>
                      <w:sz w:val="21"/>
                      <w:szCs w:val="21"/>
                    </w:rPr>
                  </w:pPr>
                  <w:r>
                    <w:rPr>
                      <w:rFonts w:ascii="Times New Roman" w:hAnsi="Times New Roman" w:cs="Times New Roman"/>
                      <w:color w:val="auto"/>
                      <w:sz w:val="21"/>
                      <w:szCs w:val="21"/>
                    </w:rPr>
                    <w:t>其他资源利用效率要求/禁燃区管控要求</w:t>
                  </w:r>
                </w:p>
              </w:tc>
              <w:tc>
                <w:tcPr>
                  <w:tcW w:w="2108" w:type="pct"/>
                  <w:tcBorders>
                    <w:tl2br w:val="nil"/>
                    <w:tr2bl w:val="nil"/>
                  </w:tcBorders>
                  <w:vAlign w:val="center"/>
                </w:tcPr>
                <w:p>
                  <w:pPr>
                    <w:spacing w:line="260" w:lineRule="exact"/>
                    <w:rPr>
                      <w:rFonts w:ascii="Times New Roman" w:hAnsi="Times New Roman" w:cs="Times New Roman"/>
                      <w:color w:val="auto"/>
                      <w:sz w:val="21"/>
                      <w:szCs w:val="21"/>
                    </w:rPr>
                  </w:pPr>
                  <w:r>
                    <w:rPr>
                      <w:rFonts w:ascii="Times New Roman" w:hAnsi="Times New Roman" w:cs="Times New Roman"/>
                      <w:color w:val="auto"/>
                      <w:kern w:val="2"/>
                      <w:sz w:val="21"/>
                      <w:szCs w:val="21"/>
                    </w:rPr>
                    <w:t>参照遂宁市总体准入要求-工业重点管控单元</w:t>
                  </w:r>
                </w:p>
              </w:tc>
              <w:tc>
                <w:tcPr>
                  <w:tcW w:w="1048"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c>
                <w:tcPr>
                  <w:tcW w:w="264" w:type="pct"/>
                  <w:vMerge w:val="continue"/>
                  <w:tcBorders>
                    <w:tl2br w:val="nil"/>
                    <w:tr2bl w:val="nil"/>
                  </w:tcBorders>
                  <w:vAlign w:val="center"/>
                </w:tcPr>
                <w:p>
                  <w:pPr>
                    <w:tabs>
                      <w:tab w:val="left" w:pos="2709"/>
                    </w:tabs>
                    <w:jc w:val="center"/>
                    <w:rPr>
                      <w:rFonts w:ascii="Times New Roman" w:hAnsi="Times New Roman" w:cs="Times New Roman"/>
                      <w:color w:val="auto"/>
                      <w:sz w:val="21"/>
                      <w:szCs w:val="21"/>
                    </w:rPr>
                  </w:pPr>
                </w:p>
              </w:tc>
            </w:tr>
          </w:tbl>
          <w:p>
            <w:pPr>
              <w:widowControl/>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4、</w:t>
            </w:r>
            <w:r>
              <w:rPr>
                <w:rFonts w:ascii="Times New Roman" w:hAnsi="Times New Roman" w:cs="Times New Roman"/>
                <w:b/>
                <w:bCs/>
                <w:color w:val="auto"/>
                <w:sz w:val="24"/>
                <w:szCs w:val="24"/>
              </w:rPr>
              <w:t>与大气污染物防治相关政策符合性分析</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根据遂宁市政府办公室关于印发《遂宁市大气污染防治行动计划实施细则》的通知（遂府函[2014]148号）中相关内容：</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（一）实施工业污染治理，强化协同减排</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1.改造和治理工业企业燃煤锅炉和工业炉窑，实施煤改气或完善脱硫脱硝除尘等污染治理设施，大幅度消减工业企业二氧化硫、氮氧化物、烟粉尘排放总量，确保稳定达标排放。市建成区逐步淘汰10蒸吨/时及以下的燃煤锅炉，禁止新建20蒸吨/时以下的燃煤锅炉。</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（四）淘汰落后产能，推动产业转型升级</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2.严控“两高”行业新增产能。坚决遏制产能过剩行业盲目扩张。不得新建不符合国家产业政策和行业准入条件</w:t>
            </w:r>
            <w:r>
              <w:rPr>
                <w:rFonts w:hint="eastAsia" w:ascii="Times New Roman" w:hAnsi="Times New Roman" w:cs="Times New Roman"/>
                <w:color w:val="auto"/>
                <w:sz w:val="24"/>
                <w:szCs w:val="32"/>
                <w:u w:color="FF0000"/>
                <w:lang w:eastAsia="zh-CN"/>
              </w:rPr>
              <w:t>的</w:t>
            </w:r>
            <w:r>
              <w:rPr>
                <w:rFonts w:ascii="Times New Roman" w:hAnsi="Times New Roman" w:cs="Times New Roman"/>
                <w:color w:val="auto"/>
                <w:sz w:val="24"/>
                <w:szCs w:val="32"/>
                <w:u w:color="FF0000"/>
              </w:rPr>
              <w:t>煤电、钢铁、建材、焦化、有色、石化、化工等行业中</w:t>
            </w:r>
            <w:r>
              <w:rPr>
                <w:rFonts w:hint="eastAsia" w:ascii="Times New Roman" w:hAnsi="Times New Roman" w:cs="Times New Roman"/>
                <w:color w:val="auto"/>
                <w:sz w:val="24"/>
                <w:szCs w:val="32"/>
                <w:u w:color="FF0000"/>
                <w:lang w:eastAsia="zh-CN"/>
              </w:rPr>
              <w:t>的</w:t>
            </w:r>
            <w:r>
              <w:rPr>
                <w:rFonts w:ascii="Times New Roman" w:hAnsi="Times New Roman" w:cs="Times New Roman"/>
                <w:color w:val="auto"/>
                <w:sz w:val="24"/>
                <w:szCs w:val="32"/>
                <w:u w:color="FF0000"/>
              </w:rPr>
              <w:t>高污染项目。</w:t>
            </w:r>
          </w:p>
          <w:p>
            <w:pPr>
              <w:widowControl/>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本项目属于</w:t>
            </w:r>
            <w:r>
              <w:rPr>
                <w:rFonts w:hint="default" w:ascii="Times New Roman" w:hAnsi="Times New Roman" w:cs="Times New Roman"/>
                <w:color w:val="auto"/>
                <w:sz w:val="24"/>
                <w:szCs w:val="22"/>
              </w:rPr>
              <w:t>水泥制品技改项目</w:t>
            </w:r>
            <w:r>
              <w:rPr>
                <w:rFonts w:hint="default" w:ascii="Times New Roman" w:hAnsi="Times New Roman" w:cs="Times New Roman"/>
                <w:color w:val="auto"/>
                <w:sz w:val="24"/>
                <w:szCs w:val="32"/>
                <w:u w:color="FF0000"/>
              </w:rPr>
              <w:t>，</w:t>
            </w:r>
            <w:r>
              <w:rPr>
                <w:rFonts w:ascii="Times New Roman" w:hAnsi="Times New Roman" w:cs="Times New Roman"/>
                <w:color w:val="auto"/>
                <w:sz w:val="24"/>
                <w:szCs w:val="32"/>
                <w:u w:color="FF0000"/>
              </w:rPr>
              <w:t>厂区内设置</w:t>
            </w:r>
            <w:r>
              <w:rPr>
                <w:rFonts w:hint="default" w:ascii="Times New Roman" w:hAnsi="Times New Roman" w:cs="Times New Roman"/>
                <w:color w:val="auto"/>
                <w:sz w:val="24"/>
                <w:szCs w:val="32"/>
                <w:u w:color="FF0000"/>
              </w:rPr>
              <w:t>的是</w:t>
            </w:r>
            <w:r>
              <w:rPr>
                <w:rFonts w:ascii="Times New Roman" w:hAnsi="Times New Roman" w:cs="Times New Roman"/>
                <w:color w:val="auto"/>
                <w:sz w:val="24"/>
                <w:szCs w:val="32"/>
                <w:u w:color="FF0000"/>
              </w:rPr>
              <w:t>社会提倡使用</w:t>
            </w:r>
            <w:r>
              <w:rPr>
                <w:rFonts w:hint="default" w:ascii="Times New Roman" w:hAnsi="Times New Roman" w:cs="Times New Roman"/>
                <w:color w:val="auto"/>
                <w:sz w:val="24"/>
                <w:szCs w:val="32"/>
                <w:u w:color="FF0000"/>
              </w:rPr>
              <w:t>的</w:t>
            </w:r>
            <w:r>
              <w:rPr>
                <w:rFonts w:hint="eastAsia" w:ascii="Times New Roman" w:hAnsi="Times New Roman" w:cs="Times New Roman"/>
                <w:color w:val="auto"/>
                <w:sz w:val="24"/>
                <w:szCs w:val="32"/>
                <w:u w:color="FF0000"/>
                <w:lang w:val="en-US" w:eastAsia="zh-CN"/>
              </w:rPr>
              <w:t>天然气</w:t>
            </w:r>
            <w:r>
              <w:rPr>
                <w:rFonts w:hint="default" w:ascii="Times New Roman" w:hAnsi="Times New Roman" w:cs="Times New Roman"/>
                <w:color w:val="auto"/>
                <w:sz w:val="24"/>
                <w:szCs w:val="32"/>
                <w:u w:color="FF0000"/>
              </w:rPr>
              <w:t>蒸汽锅炉</w:t>
            </w:r>
            <w:r>
              <w:rPr>
                <w:rFonts w:ascii="Times New Roman" w:hAnsi="Times New Roman" w:cs="Times New Roman"/>
                <w:color w:val="auto"/>
                <w:sz w:val="24"/>
                <w:szCs w:val="32"/>
                <w:u w:color="FF0000"/>
              </w:rPr>
              <w:t>，</w:t>
            </w:r>
            <w:r>
              <w:rPr>
                <w:rFonts w:hint="default" w:ascii="Times New Roman" w:hAnsi="Times New Roman" w:cs="Times New Roman"/>
                <w:color w:val="auto"/>
                <w:sz w:val="24"/>
                <w:szCs w:val="32"/>
                <w:u w:color="FF0000"/>
                <w:lang w:val="en-US" w:eastAsia="zh-CN"/>
              </w:rPr>
              <w:t>水泥制品</w:t>
            </w:r>
            <w:r>
              <w:rPr>
                <w:rFonts w:hint="default" w:ascii="Times New Roman" w:hAnsi="Times New Roman" w:cs="Times New Roman"/>
                <w:color w:val="auto"/>
                <w:sz w:val="24"/>
                <w:szCs w:val="32"/>
                <w:u w:color="FF0000"/>
              </w:rPr>
              <w:t>制造</w:t>
            </w:r>
            <w:r>
              <w:rPr>
                <w:rFonts w:ascii="Times New Roman" w:hAnsi="Times New Roman" w:cs="Times New Roman"/>
                <w:color w:val="auto"/>
                <w:sz w:val="24"/>
                <w:szCs w:val="32"/>
                <w:u w:color="FF0000"/>
              </w:rPr>
              <w:t>生产过程中粉尘和</w:t>
            </w:r>
            <w:r>
              <w:rPr>
                <w:rFonts w:hint="default" w:ascii="Times New Roman" w:hAnsi="Times New Roman" w:cs="Times New Roman"/>
                <w:color w:val="auto"/>
                <w:sz w:val="24"/>
                <w:szCs w:val="32"/>
                <w:u w:color="FF0000"/>
              </w:rPr>
              <w:t>蒸汽锅炉</w:t>
            </w:r>
            <w:r>
              <w:rPr>
                <w:rFonts w:ascii="Times New Roman" w:hAnsi="Times New Roman" w:cs="Times New Roman"/>
                <w:color w:val="auto"/>
                <w:sz w:val="24"/>
                <w:szCs w:val="32"/>
                <w:u w:color="FF0000"/>
              </w:rPr>
              <w:t>燃烧废气，在采取有效的环保措施以后能实现达标排放。</w:t>
            </w:r>
          </w:p>
          <w:p>
            <w:pPr>
              <w:widowControl/>
              <w:spacing w:line="360" w:lineRule="auto"/>
              <w:ind w:firstLine="480" w:firstLineChars="200"/>
              <w:rPr>
                <w:rFonts w:ascii="Times New Roman" w:hAnsi="Times New Roman" w:cs="Times New Roman"/>
                <w:b/>
                <w:bCs/>
                <w:color w:val="auto"/>
                <w:szCs w:val="24"/>
              </w:rPr>
            </w:pPr>
            <w:r>
              <w:rPr>
                <w:rFonts w:ascii="Times New Roman" w:hAnsi="Times New Roman" w:cs="Times New Roman"/>
                <w:color w:val="auto"/>
                <w:sz w:val="24"/>
                <w:szCs w:val="32"/>
                <w:u w:color="FF0000"/>
              </w:rPr>
              <w:t>综上，本项目与遂宁市大气污染防治相关规划相符。</w:t>
            </w:r>
          </w:p>
          <w:p>
            <w:pPr>
              <w:pStyle w:val="34"/>
              <w:autoSpaceDE/>
              <w:autoSpaceDN/>
              <w:ind w:firstLine="0" w:firstLineChars="0"/>
              <w:jc w:val="both"/>
              <w:rPr>
                <w:rFonts w:ascii="Times New Roman" w:hAnsi="Times New Roman" w:cs="Times New Roman"/>
                <w:color w:val="auto"/>
                <w:szCs w:val="24"/>
              </w:rPr>
            </w:pPr>
            <w:r>
              <w:rPr>
                <w:rFonts w:hint="default" w:ascii="Times New Roman" w:hAnsi="Times New Roman" w:cs="Times New Roman"/>
                <w:b/>
                <w:bCs/>
                <w:color w:val="auto"/>
                <w:szCs w:val="24"/>
              </w:rPr>
              <w:t>5、选址和理性分析</w:t>
            </w:r>
          </w:p>
          <w:p>
            <w:pPr>
              <w:pStyle w:val="51"/>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本项目位于遂宁市蓬溪县上游工业集中发展区内，</w:t>
            </w:r>
            <w:r>
              <w:rPr>
                <w:rFonts w:hint="default" w:ascii="Times New Roman" w:hAnsi="Times New Roman" w:cs="Times New Roman"/>
                <w:color w:val="auto"/>
                <w:lang w:val="zh-CN"/>
              </w:rPr>
              <w:t>交通便利，供电、供水、供气设施均已到位，园区基础设施配套基本完善，可满足项目运营的需求。本项目属于工业用地，已取得四川蓬溪经济开发区管理委员会出具的入园证明，</w:t>
            </w:r>
            <w:r>
              <w:rPr>
                <w:rFonts w:hint="default" w:ascii="Times New Roman" w:hAnsi="Times New Roman" w:cs="Times New Roman"/>
                <w:color w:val="auto"/>
              </w:rPr>
              <w:t>利用原四川澳峰橡胶有限公司已建厂房进行建设，占地</w:t>
            </w:r>
            <w:r>
              <w:rPr>
                <w:rFonts w:hint="default" w:ascii="Times New Roman" w:hAnsi="Times New Roman" w:cs="Times New Roman"/>
                <w:color w:val="auto"/>
                <w:lang w:val="zh-CN"/>
              </w:rPr>
              <w:t>面积</w:t>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t>000</w:t>
            </w:r>
            <w:r>
              <w:rPr>
                <w:rFonts w:hint="default" w:ascii="Times New Roman" w:hAnsi="Times New Roman" w:cs="Times New Roman"/>
                <w:color w:val="auto"/>
                <w:lang w:val="zh-CN"/>
              </w:rPr>
              <w:t>m</w:t>
            </w:r>
            <w:r>
              <w:rPr>
                <w:rFonts w:hint="default" w:ascii="Times New Roman" w:hAnsi="Times New Roman" w:cs="Times New Roman"/>
                <w:color w:val="auto"/>
                <w:vertAlign w:val="superscript"/>
                <w:lang w:val="zh-CN"/>
              </w:rPr>
              <w:t>2</w:t>
            </w:r>
            <w:r>
              <w:rPr>
                <w:rFonts w:hint="default" w:ascii="Times New Roman" w:hAnsi="Times New Roman" w:cs="Times New Roman"/>
                <w:color w:val="auto"/>
                <w:lang w:val="zh-CN"/>
              </w:rPr>
              <w:t>，用于</w:t>
            </w:r>
            <w:r>
              <w:rPr>
                <w:rFonts w:hint="default" w:ascii="Times New Roman" w:hAnsi="Times New Roman" w:cs="Times New Roman"/>
                <w:color w:val="auto"/>
                <w:lang w:val="en-US" w:eastAsia="zh-CN"/>
              </w:rPr>
              <w:t>水泥制品</w:t>
            </w:r>
            <w:r>
              <w:rPr>
                <w:rFonts w:hint="default" w:ascii="Times New Roman" w:hAnsi="Times New Roman" w:cs="Times New Roman"/>
                <w:color w:val="auto"/>
                <w:lang w:val="zh-CN"/>
              </w:rPr>
              <w:t>制造及销售。</w:t>
            </w:r>
            <w:r>
              <w:rPr>
                <w:rFonts w:hint="default" w:ascii="Times New Roman" w:hAnsi="Times New Roman" w:cs="Times New Roman"/>
                <w:color w:val="auto"/>
                <w:szCs w:val="24"/>
              </w:rPr>
              <w:t>周边以门业企业为主。</w:t>
            </w:r>
          </w:p>
          <w:p>
            <w:pPr>
              <w:autoSpaceDE/>
              <w:autoSpaceDN/>
              <w:spacing w:line="360" w:lineRule="auto"/>
              <w:ind w:firstLine="482" w:firstLineChars="200"/>
              <w:rPr>
                <w:rFonts w:ascii="Times New Roman" w:hAnsi="Times New Roman" w:cs="Times New Roman"/>
                <w:color w:val="auto"/>
              </w:rPr>
            </w:pPr>
            <w:r>
              <w:rPr>
                <w:rFonts w:hint="default" w:ascii="Times New Roman" w:hAnsi="Times New Roman" w:cs="Times New Roman"/>
                <w:b/>
                <w:bCs/>
                <w:color w:val="auto"/>
                <w:sz w:val="24"/>
                <w:szCs w:val="24"/>
              </w:rPr>
              <w:t>（1）与周边企业相容性分析</w:t>
            </w:r>
          </w:p>
          <w:p>
            <w:pPr>
              <w:pStyle w:val="34"/>
              <w:autoSpaceDE/>
              <w:autoSpaceDN/>
              <w:ind w:firstLine="480"/>
              <w:jc w:val="both"/>
              <w:rPr>
                <w:rFonts w:ascii="Times New Roman" w:hAnsi="Times New Roman" w:cs="Times New Roman"/>
                <w:color w:val="auto"/>
                <w:szCs w:val="24"/>
              </w:rPr>
            </w:pPr>
            <w:r>
              <w:rPr>
                <w:rFonts w:ascii="Times New Roman" w:hAnsi="Times New Roman" w:cs="Times New Roman"/>
                <w:color w:val="auto"/>
                <w:szCs w:val="24"/>
              </w:rPr>
              <w:t>东面：130m处为道路交通事故服务中心</w:t>
            </w:r>
            <w:r>
              <w:rPr>
                <w:rFonts w:hint="default" w:ascii="Times New Roman" w:hAnsi="Times New Roman" w:cs="Times New Roman"/>
                <w:color w:val="auto"/>
                <w:szCs w:val="24"/>
              </w:rPr>
              <w:t>和星辰名车；262</w:t>
            </w:r>
            <w:r>
              <w:rPr>
                <w:rFonts w:ascii="Times New Roman" w:hAnsi="Times New Roman" w:cs="Times New Roman"/>
                <w:color w:val="auto"/>
                <w:szCs w:val="24"/>
              </w:rPr>
              <w:t>m处为</w:t>
            </w:r>
            <w:r>
              <w:rPr>
                <w:rFonts w:hint="default" w:ascii="Times New Roman" w:hAnsi="Times New Roman" w:cs="Times New Roman"/>
                <w:color w:val="auto"/>
              </w:rPr>
              <w:t>遂宁市卓能科技有限公司；338-485</w:t>
            </w:r>
            <w:r>
              <w:rPr>
                <w:rFonts w:ascii="Times New Roman" w:hAnsi="Times New Roman" w:cs="Times New Roman"/>
                <w:color w:val="auto"/>
              </w:rPr>
              <w:t>m</w:t>
            </w:r>
            <w:r>
              <w:rPr>
                <w:rFonts w:hint="default" w:ascii="Times New Roman" w:hAnsi="Times New Roman" w:cs="Times New Roman"/>
                <w:color w:val="auto"/>
              </w:rPr>
              <w:t>为汽修厂。</w:t>
            </w:r>
          </w:p>
          <w:p>
            <w:pPr>
              <w:pStyle w:val="34"/>
              <w:autoSpaceDE/>
              <w:autoSpaceDN/>
              <w:ind w:firstLine="480"/>
              <w:jc w:val="both"/>
              <w:rPr>
                <w:rFonts w:ascii="Times New Roman" w:hAnsi="Times New Roman" w:cs="Times New Roman"/>
                <w:color w:val="auto"/>
                <w:szCs w:val="24"/>
              </w:rPr>
            </w:pPr>
            <w:r>
              <w:rPr>
                <w:rFonts w:hint="default" w:ascii="Times New Roman" w:hAnsi="Times New Roman" w:cs="Times New Roman"/>
                <w:color w:val="auto"/>
                <w:szCs w:val="24"/>
              </w:rPr>
              <w:t>东南面：207m处为</w:t>
            </w:r>
            <w:r>
              <w:rPr>
                <w:rFonts w:hint="default" w:ascii="Times New Roman" w:hAnsi="Times New Roman" w:cs="Times New Roman"/>
                <w:color w:val="auto"/>
              </w:rPr>
              <w:t>东风风光门售店；</w:t>
            </w:r>
            <w:r>
              <w:rPr>
                <w:rFonts w:hint="default" w:ascii="Times New Roman" w:hAnsi="Times New Roman" w:cs="Times New Roman"/>
                <w:color w:val="auto"/>
                <w:szCs w:val="24"/>
              </w:rPr>
              <w:t>270</w:t>
            </w:r>
            <w:r>
              <w:rPr>
                <w:rFonts w:ascii="Times New Roman" w:hAnsi="Times New Roman" w:cs="Times New Roman"/>
                <w:color w:val="auto"/>
                <w:szCs w:val="24"/>
              </w:rPr>
              <w:t>m</w:t>
            </w:r>
            <w:r>
              <w:rPr>
                <w:rFonts w:hint="default" w:ascii="Times New Roman" w:hAnsi="Times New Roman" w:cs="Times New Roman"/>
                <w:color w:val="auto"/>
                <w:szCs w:val="24"/>
              </w:rPr>
              <w:t>处为</w:t>
            </w:r>
            <w:r>
              <w:rPr>
                <w:rFonts w:hint="default" w:ascii="Times New Roman" w:hAnsi="Times New Roman" w:cs="Times New Roman"/>
                <w:color w:val="auto"/>
              </w:rPr>
              <w:t>气电专修部</w:t>
            </w:r>
            <w:r>
              <w:rPr>
                <w:rFonts w:hint="eastAsia" w:ascii="Times New Roman" w:hAnsi="Times New Roman" w:cs="Times New Roman"/>
                <w:color w:val="auto"/>
                <w:lang w:eastAsia="zh-CN"/>
              </w:rPr>
              <w:t>；255-497m</w:t>
            </w:r>
            <w:r>
              <w:rPr>
                <w:rFonts w:hint="eastAsia" w:ascii="Times New Roman" w:hAnsi="Times New Roman" w:cs="Times New Roman"/>
                <w:color w:val="auto"/>
                <w:lang w:val="en-US" w:eastAsia="zh-CN"/>
              </w:rPr>
              <w:t>为分散住户，约11户（40人）</w:t>
            </w:r>
            <w:r>
              <w:rPr>
                <w:rFonts w:hint="default" w:ascii="Times New Roman" w:hAnsi="Times New Roman" w:cs="Times New Roman"/>
                <w:bCs/>
                <w:color w:val="auto"/>
                <w:szCs w:val="24"/>
              </w:rPr>
              <w:t>。</w:t>
            </w:r>
          </w:p>
          <w:p>
            <w:pPr>
              <w:wordWrap w:val="0"/>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南面：308m处为蓬溪蓉生单采血浆有限公司；390m处为CNG加气站。</w:t>
            </w:r>
          </w:p>
          <w:p>
            <w:pPr>
              <w:wordWrap w:val="0"/>
              <w:autoSpaceDE/>
              <w:autoSpaceDN/>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西南面：183m处为蓬溪聚成门业有限公司；298m处为益铭五金塑胶制品有限公司；330m处为蓬溪金太阳门业有限公司；412m处为四川嘉威门业有限公司。</w:t>
            </w:r>
          </w:p>
          <w:p>
            <w:pPr>
              <w:wordWrap w:val="0"/>
              <w:autoSpaceDE/>
              <w:autoSpaceDN/>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西面：77m处为遂宁林通门业有限公司；289m处为木轩坊定制家具有限公司；291m处为蓬溪县鑫恒家具厂</w:t>
            </w:r>
            <w:r>
              <w:rPr>
                <w:rFonts w:hint="default" w:ascii="Times New Roman" w:hAnsi="Times New Roman" w:cs="Times New Roman"/>
                <w:color w:val="auto"/>
              </w:rPr>
              <w:t>；</w:t>
            </w:r>
            <w:r>
              <w:rPr>
                <w:rFonts w:hint="default" w:ascii="Times New Roman" w:hAnsi="Times New Roman" w:cs="Times New Roman"/>
                <w:color w:val="auto"/>
                <w:sz w:val="24"/>
                <w:szCs w:val="24"/>
              </w:rPr>
              <w:t>412m处为四川大伟金属制品有限公司；566m处为四川林鑫新材料有限公司。</w:t>
            </w:r>
          </w:p>
          <w:p>
            <w:pPr>
              <w:wordWrap w:val="0"/>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西北面：249m为蓬溪达美门业有限公司；379m处为四川皇居智能家居有限公司；382m处为蓬溪县精驰门业有限公司；488m为四川人从众食品有限责任公司；501m处为遂宁市柏拉图木业有限公司。</w:t>
            </w:r>
          </w:p>
          <w:p>
            <w:pPr>
              <w:pStyle w:val="34"/>
              <w:autoSpaceDE/>
              <w:autoSpaceDN/>
              <w:ind w:firstLine="480"/>
              <w:jc w:val="both"/>
              <w:rPr>
                <w:rFonts w:ascii="Times New Roman" w:hAnsi="Times New Roman" w:cs="Times New Roman"/>
                <w:color w:val="auto"/>
                <w:szCs w:val="24"/>
              </w:rPr>
            </w:pPr>
            <w:r>
              <w:rPr>
                <w:rFonts w:hint="default" w:ascii="Times New Roman" w:hAnsi="Times New Roman" w:cs="Times New Roman"/>
                <w:color w:val="auto"/>
                <w:szCs w:val="24"/>
              </w:rPr>
              <w:t>东北面：</w:t>
            </w:r>
            <w:r>
              <w:rPr>
                <w:rFonts w:hint="default" w:ascii="Times New Roman" w:hAnsi="Times New Roman" w:cs="Times New Roman"/>
                <w:color w:val="auto"/>
                <w:szCs w:val="24"/>
                <w:lang w:val="en-US" w:eastAsia="zh-CN"/>
              </w:rPr>
              <w:t>128m处为华园社区居民委员会</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Cs w:val="24"/>
              </w:rPr>
              <w:t>428m处为</w:t>
            </w:r>
            <w:r>
              <w:rPr>
                <w:rFonts w:hint="default" w:ascii="Times New Roman" w:hAnsi="Times New Roman" w:cs="Times New Roman"/>
                <w:color w:val="auto"/>
              </w:rPr>
              <w:t>四川中升鸿科技有限公司</w:t>
            </w:r>
            <w:r>
              <w:rPr>
                <w:rFonts w:hint="default" w:ascii="Times New Roman" w:hAnsi="Times New Roman" w:cs="Times New Roman"/>
                <w:color w:val="auto"/>
                <w:szCs w:val="24"/>
              </w:rPr>
              <w:t>；459m处为</w:t>
            </w:r>
            <w:r>
              <w:rPr>
                <w:rFonts w:hint="default" w:ascii="Times New Roman" w:hAnsi="Times New Roman" w:cs="Times New Roman"/>
                <w:color w:val="auto"/>
              </w:rPr>
              <w:t>亿乐电子有限公司</w:t>
            </w:r>
            <w:r>
              <w:rPr>
                <w:rFonts w:hint="eastAsia" w:ascii="Times New Roman" w:hAnsi="Times New Roman" w:cs="Times New Roman"/>
                <w:color w:val="auto"/>
                <w:lang w:eastAsia="zh-CN"/>
              </w:rPr>
              <w:t>；2</w:t>
            </w:r>
            <w:r>
              <w:rPr>
                <w:rFonts w:hint="eastAsia" w:ascii="Times New Roman" w:hAnsi="Times New Roman" w:cs="Times New Roman"/>
                <w:color w:val="auto"/>
                <w:lang w:val="en-US" w:eastAsia="zh-CN"/>
              </w:rPr>
              <w:t>09</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505</w:t>
            </w:r>
            <w:r>
              <w:rPr>
                <w:rFonts w:hint="eastAsia" w:ascii="Times New Roman" w:hAnsi="Times New Roman" w:cs="Times New Roman"/>
                <w:color w:val="auto"/>
                <w:lang w:eastAsia="zh-CN"/>
              </w:rPr>
              <w:t>m</w:t>
            </w:r>
            <w:r>
              <w:rPr>
                <w:rFonts w:hint="eastAsia" w:ascii="Times New Roman" w:hAnsi="Times New Roman" w:cs="Times New Roman"/>
                <w:color w:val="auto"/>
                <w:lang w:val="en-US" w:eastAsia="zh-CN"/>
              </w:rPr>
              <w:t>为普安村住户，约240户（1000人）</w:t>
            </w:r>
            <w:r>
              <w:rPr>
                <w:rFonts w:hint="default" w:ascii="Times New Roman" w:hAnsi="Times New Roman" w:cs="Times New Roman"/>
                <w:bCs/>
                <w:color w:val="auto"/>
                <w:szCs w:val="24"/>
              </w:rPr>
              <w:t>。</w:t>
            </w:r>
          </w:p>
          <w:p>
            <w:pPr>
              <w:pStyle w:val="36"/>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rPr>
              <w:t>4</w:t>
            </w:r>
            <w:r>
              <w:rPr>
                <w:rFonts w:ascii="Times New Roman" w:hAnsi="Times New Roman" w:eastAsia="宋体" w:cs="Times New Roman"/>
                <w:b/>
                <w:bCs/>
                <w:color w:val="auto"/>
                <w:sz w:val="21"/>
                <w:szCs w:val="21"/>
              </w:rPr>
              <w:t xml:space="preserve"> 项目与外环境相容性分析</w:t>
            </w:r>
          </w:p>
          <w:tbl>
            <w:tblPr>
              <w:tblStyle w:val="25"/>
              <w:tblW w:w="7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6"/>
              <w:gridCol w:w="960"/>
              <w:gridCol w:w="1386"/>
              <w:gridCol w:w="1815"/>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2666"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名称</w:t>
                  </w:r>
                </w:p>
              </w:tc>
              <w:tc>
                <w:tcPr>
                  <w:tcW w:w="960"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方位</w:t>
                  </w:r>
                </w:p>
              </w:tc>
              <w:tc>
                <w:tcPr>
                  <w:tcW w:w="1386"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与车间距离（m）</w:t>
                  </w:r>
                </w:p>
              </w:tc>
              <w:tc>
                <w:tcPr>
                  <w:tcW w:w="1815"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性质/生产性质</w:t>
                  </w:r>
                </w:p>
              </w:tc>
              <w:tc>
                <w:tcPr>
                  <w:tcW w:w="752"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道路交通事故服务中心</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130</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星辰名车</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130m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销售车辆</w:t>
                  </w:r>
                </w:p>
              </w:tc>
              <w:tc>
                <w:tcPr>
                  <w:tcW w:w="752" w:type="dxa"/>
                  <w:vAlign w:val="center"/>
                </w:tcPr>
                <w:p>
                  <w:pPr>
                    <w:pStyle w:val="36"/>
                    <w:adjustRightInd/>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遂宁市卓能科技有限公司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东面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262</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shd w:val="clear" w:color="auto" w:fill="FFFFFF"/>
                    </w:rPr>
                    <w:t>软硬件开发</w:t>
                  </w:r>
                  <w:r>
                    <w:rPr>
                      <w:rFonts w:hint="default" w:ascii="Times New Roman" w:hAnsi="Times New Roman" w:cs="Times New Roman"/>
                      <w:color w:val="auto"/>
                      <w:sz w:val="21"/>
                      <w:szCs w:val="21"/>
                      <w:shd w:val="clear" w:color="auto" w:fill="FFFFFF"/>
                    </w:rPr>
                    <w:t>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汽修厂</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东面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338-485</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维修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东风风光</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207m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销售车辆</w:t>
                  </w:r>
                </w:p>
              </w:tc>
              <w:tc>
                <w:tcPr>
                  <w:tcW w:w="752" w:type="dxa"/>
                  <w:vAlign w:val="center"/>
                </w:tcPr>
                <w:p>
                  <w:pPr>
                    <w:pStyle w:val="36"/>
                    <w:adjustRightInd/>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气电专修部</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270</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维修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666" w:type="dxa"/>
                  <w:vAlign w:val="center"/>
                </w:tcPr>
                <w:p>
                  <w:pPr>
                    <w:wordWrap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散户</w:t>
                  </w:r>
                </w:p>
              </w:tc>
              <w:tc>
                <w:tcPr>
                  <w:tcW w:w="960" w:type="dxa"/>
                  <w:vAlign w:val="center"/>
                </w:tcPr>
                <w:p>
                  <w:pPr>
                    <w:wordWrap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东南面</w:t>
                  </w:r>
                </w:p>
              </w:tc>
              <w:tc>
                <w:tcPr>
                  <w:tcW w:w="1386" w:type="dxa"/>
                  <w:vAlign w:val="center"/>
                </w:tcPr>
                <w:p>
                  <w:pPr>
                    <w:wordWrap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255-497m</w:t>
                  </w:r>
                </w:p>
              </w:tc>
              <w:tc>
                <w:tcPr>
                  <w:tcW w:w="1815" w:type="dxa"/>
                  <w:vAlign w:val="center"/>
                </w:tcPr>
                <w:p>
                  <w:pPr>
                    <w:wordWrap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居民</w:t>
                  </w:r>
                </w:p>
              </w:tc>
              <w:tc>
                <w:tcPr>
                  <w:tcW w:w="752" w:type="dxa"/>
                  <w:vAlign w:val="center"/>
                </w:tcPr>
                <w:p>
                  <w:pPr>
                    <w:pStyle w:val="36"/>
                    <w:adjustRightInd/>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2666"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蓬溪蓉生单采血浆</w:t>
                  </w:r>
                  <w:r>
                    <w:rPr>
                      <w:rFonts w:ascii="Times New Roman" w:hAnsi="Times New Roman" w:eastAsia="宋体" w:cs="Times New Roman"/>
                      <w:color w:val="auto"/>
                      <w:sz w:val="21"/>
                      <w:szCs w:val="21"/>
                    </w:rPr>
                    <w:t>有限公司</w:t>
                  </w:r>
                </w:p>
              </w:tc>
              <w:tc>
                <w:tcPr>
                  <w:tcW w:w="960"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r>
                    <w:rPr>
                      <w:rFonts w:ascii="Times New Roman" w:hAnsi="Times New Roman" w:eastAsia="宋体" w:cs="Times New Roman"/>
                      <w:color w:val="auto"/>
                      <w:sz w:val="21"/>
                      <w:szCs w:val="21"/>
                    </w:rPr>
                    <w:t>面</w:t>
                  </w:r>
                </w:p>
              </w:tc>
              <w:tc>
                <w:tcPr>
                  <w:tcW w:w="1386"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r>
                    <w:rPr>
                      <w:rFonts w:ascii="Times New Roman" w:hAnsi="Times New Roman" w:eastAsia="宋体" w:cs="Times New Roman"/>
                      <w:color w:val="auto"/>
                      <w:sz w:val="21"/>
                      <w:szCs w:val="21"/>
                    </w:rPr>
                    <w:t>m</w:t>
                  </w:r>
                </w:p>
              </w:tc>
              <w:tc>
                <w:tcPr>
                  <w:tcW w:w="1815"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采集血浆</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CNG加气站</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南</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390</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加气站</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四川嘉威门业有限公司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412</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蓬溪聚成门业有限公司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183</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蓬溪金太阳门业有限公司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330m</w:t>
                  </w:r>
                </w:p>
              </w:tc>
              <w:tc>
                <w:tcPr>
                  <w:tcW w:w="1815" w:type="dxa"/>
                  <w:vAlign w:val="center"/>
                </w:tcPr>
                <w:p>
                  <w:pPr>
                    <w:wordWrap w:val="0"/>
                    <w:jc w:val="center"/>
                    <w:rPr>
                      <w:rFonts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益铭五金塑胶制品有限公司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西南</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298</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塑胶制品生产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遂宁林通门业</w:t>
                  </w:r>
                  <w:r>
                    <w:rPr>
                      <w:rFonts w:ascii="Times New Roman" w:hAnsi="Times New Roman" w:cs="Times New Roman"/>
                      <w:color w:val="auto"/>
                      <w:sz w:val="21"/>
                      <w:szCs w:val="21"/>
                    </w:rPr>
                    <w:t>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77</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木轩坊定制家具有限公司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289m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蓬溪县鑫恒家具厂</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291</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四川大伟金属制品有限公司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412</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金属制品生产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四川林鑫新材料有限公司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566m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新材料</w:t>
                  </w:r>
                  <w:r>
                    <w:rPr>
                      <w:rFonts w:hint="default" w:ascii="Times New Roman" w:hAnsi="Times New Roman" w:cs="Times New Roman"/>
                      <w:color w:val="auto"/>
                      <w:sz w:val="21"/>
                      <w:szCs w:val="21"/>
                    </w:rPr>
                    <w:t>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蓬溪县精驰门业有限公司</w:t>
                  </w:r>
                </w:p>
              </w:tc>
              <w:tc>
                <w:tcPr>
                  <w:tcW w:w="96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382m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666" w:type="dxa"/>
                  <w:vAlign w:val="center"/>
                </w:tcPr>
                <w:p>
                  <w:pPr>
                    <w:wordWrap w:val="0"/>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遂宁市柏拉图木业有限公司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w:t>
                  </w:r>
                  <w:r>
                    <w:rPr>
                      <w:rFonts w:hint="default" w:ascii="Times New Roman" w:hAnsi="Times New Roman" w:cs="Times New Roman"/>
                      <w:color w:val="auto"/>
                      <w:sz w:val="21"/>
                      <w:szCs w:val="21"/>
                    </w:rPr>
                    <w:t>北</w:t>
                  </w:r>
                  <w:r>
                    <w:rPr>
                      <w:rFonts w:ascii="Times New Roman" w:hAnsi="Times New Roman" w:cs="Times New Roman"/>
                      <w:color w:val="auto"/>
                      <w:sz w:val="21"/>
                      <w:szCs w:val="21"/>
                    </w:rPr>
                    <w:t>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501</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四川人从众食品有限责任公司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488m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食品制造</w:t>
                  </w:r>
                </w:p>
              </w:tc>
              <w:tc>
                <w:tcPr>
                  <w:tcW w:w="752" w:type="dxa"/>
                  <w:vAlign w:val="center"/>
                </w:tcPr>
                <w:p>
                  <w:pPr>
                    <w:pStyle w:val="36"/>
                    <w:adjustRightIn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蓬溪达美门业有限公司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249</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266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四川皇居智能家居有限公司</w:t>
                  </w:r>
                </w:p>
              </w:tc>
              <w:tc>
                <w:tcPr>
                  <w:tcW w:w="96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386"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379</w:t>
                  </w:r>
                  <w:r>
                    <w:rPr>
                      <w:rFonts w:ascii="Times New Roman" w:hAnsi="Times New Roman" w:cs="Times New Roman"/>
                      <w:color w:val="auto"/>
                      <w:sz w:val="21"/>
                      <w:szCs w:val="21"/>
                    </w:rPr>
                    <w:t>m</w:t>
                  </w:r>
                </w:p>
              </w:tc>
              <w:tc>
                <w:tcPr>
                  <w:tcW w:w="181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752"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66"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华园社区居民委员会</w:t>
                  </w:r>
                </w:p>
              </w:tc>
              <w:tc>
                <w:tcPr>
                  <w:tcW w:w="960"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东</w:t>
                  </w:r>
                  <w:r>
                    <w:rPr>
                      <w:rFonts w:ascii="Times New Roman" w:hAnsi="Times New Roman" w:cs="Times New Roman"/>
                      <w:color w:val="auto"/>
                      <w:sz w:val="21"/>
                      <w:szCs w:val="21"/>
                    </w:rPr>
                    <w:t>北面</w:t>
                  </w:r>
                </w:p>
              </w:tc>
              <w:tc>
                <w:tcPr>
                  <w:tcW w:w="1386"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8m</w:t>
                  </w:r>
                </w:p>
              </w:tc>
              <w:tc>
                <w:tcPr>
                  <w:tcW w:w="1815"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shd w:val="clear" w:color="auto" w:fill="FFFFFF"/>
                      <w:lang w:val="en-US" w:eastAsia="zh-CN"/>
                    </w:rPr>
                    <w:t>行政机构</w:t>
                  </w:r>
                </w:p>
              </w:tc>
              <w:tc>
                <w:tcPr>
                  <w:tcW w:w="752"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66"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四川中升鸿科技有限公司</w:t>
                  </w:r>
                </w:p>
              </w:tc>
              <w:tc>
                <w:tcPr>
                  <w:tcW w:w="960"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东北面</w:t>
                  </w:r>
                </w:p>
              </w:tc>
              <w:tc>
                <w:tcPr>
                  <w:tcW w:w="1386"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428m</w:t>
                  </w:r>
                </w:p>
              </w:tc>
              <w:tc>
                <w:tcPr>
                  <w:tcW w:w="1815" w:type="dxa"/>
                  <w:vAlign w:val="center"/>
                </w:tcPr>
                <w:p>
                  <w:pPr>
                    <w:wordWrap w:val="0"/>
                    <w:jc w:val="center"/>
                    <w:rPr>
                      <w:rFonts w:ascii="Times New Roman" w:hAnsi="Times New Roman" w:eastAsia="宋体" w:cs="Times New Roman"/>
                      <w:color w:val="auto"/>
                      <w:sz w:val="21"/>
                      <w:szCs w:val="21"/>
                      <w:shd w:val="clear" w:color="auto" w:fill="FFFFFF"/>
                      <w:lang w:val="en-US" w:eastAsia="zh-CN" w:bidi="ar-SA"/>
                    </w:rPr>
                  </w:pPr>
                  <w:r>
                    <w:rPr>
                      <w:rFonts w:ascii="Times New Roman" w:hAnsi="Times New Roman" w:cs="Times New Roman"/>
                      <w:color w:val="auto"/>
                      <w:sz w:val="21"/>
                      <w:szCs w:val="21"/>
                      <w:shd w:val="clear" w:color="auto" w:fill="FFFFFF"/>
                    </w:rPr>
                    <w:t>软件开发</w:t>
                  </w:r>
                </w:p>
              </w:tc>
              <w:tc>
                <w:tcPr>
                  <w:tcW w:w="752"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66"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亿乐电子有限公司</w:t>
                  </w:r>
                </w:p>
              </w:tc>
              <w:tc>
                <w:tcPr>
                  <w:tcW w:w="96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东北面</w:t>
                  </w:r>
                </w:p>
              </w:tc>
              <w:tc>
                <w:tcPr>
                  <w:tcW w:w="1386"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459m</w:t>
                  </w:r>
                </w:p>
              </w:tc>
              <w:tc>
                <w:tcPr>
                  <w:tcW w:w="1815" w:type="dxa"/>
                  <w:vAlign w:val="center"/>
                </w:tcPr>
                <w:p>
                  <w:pPr>
                    <w:wordWrap w:val="0"/>
                    <w:jc w:val="center"/>
                    <w:rPr>
                      <w:rFonts w:hint="default" w:ascii="Times New Roman" w:hAnsi="Times New Roman" w:eastAsia="宋体" w:cs="Times New Roman"/>
                      <w:color w:val="auto"/>
                      <w:sz w:val="21"/>
                      <w:szCs w:val="21"/>
                      <w:shd w:val="clear" w:color="auto" w:fill="FFFFFF"/>
                      <w:lang w:val="en-US" w:eastAsia="zh-CN" w:bidi="ar-SA"/>
                    </w:rPr>
                  </w:pPr>
                  <w:r>
                    <w:rPr>
                      <w:rFonts w:hint="default" w:ascii="Times New Roman" w:hAnsi="Times New Roman" w:cs="Times New Roman"/>
                      <w:color w:val="auto"/>
                      <w:sz w:val="21"/>
                      <w:szCs w:val="21"/>
                      <w:shd w:val="clear" w:color="auto" w:fill="FFFFFF"/>
                    </w:rPr>
                    <w:t>电子设备制造</w:t>
                  </w:r>
                </w:p>
              </w:tc>
              <w:tc>
                <w:tcPr>
                  <w:tcW w:w="752"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666" w:type="dxa"/>
                  <w:vAlign w:val="center"/>
                </w:tcPr>
                <w:p>
                  <w:pPr>
                    <w:wordWrap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普安村居民</w:t>
                  </w:r>
                </w:p>
              </w:tc>
              <w:tc>
                <w:tcPr>
                  <w:tcW w:w="960" w:type="dxa"/>
                  <w:vAlign w:val="center"/>
                </w:tcPr>
                <w:p>
                  <w:pPr>
                    <w:wordWrap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东北面</w:t>
                  </w:r>
                </w:p>
              </w:tc>
              <w:tc>
                <w:tcPr>
                  <w:tcW w:w="1386" w:type="dxa"/>
                  <w:vAlign w:val="center"/>
                </w:tcPr>
                <w:p>
                  <w:pPr>
                    <w:wordWrap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209-505m</w:t>
                  </w:r>
                </w:p>
              </w:tc>
              <w:tc>
                <w:tcPr>
                  <w:tcW w:w="1815" w:type="dxa"/>
                  <w:vAlign w:val="center"/>
                </w:tcPr>
                <w:p>
                  <w:pPr>
                    <w:wordWrap w:val="0"/>
                    <w:jc w:val="center"/>
                    <w:rPr>
                      <w:rFonts w:hint="eastAsia" w:ascii="Times New Roman" w:hAnsi="Times New Roman" w:eastAsia="宋体" w:cs="Times New Roman"/>
                      <w:color w:val="auto"/>
                      <w:sz w:val="21"/>
                      <w:szCs w:val="21"/>
                      <w:shd w:val="clear" w:color="auto" w:fill="FFFFFF"/>
                      <w:lang w:val="en-US" w:eastAsia="zh-CN"/>
                    </w:rPr>
                  </w:pPr>
                  <w:r>
                    <w:rPr>
                      <w:rFonts w:hint="eastAsia" w:ascii="Times New Roman" w:hAnsi="Times New Roman" w:cs="Times New Roman"/>
                      <w:color w:val="auto"/>
                      <w:sz w:val="21"/>
                      <w:szCs w:val="21"/>
                      <w:shd w:val="clear" w:color="auto" w:fill="FFFFFF"/>
                      <w:lang w:val="en-US" w:eastAsia="zh-CN"/>
                    </w:rPr>
                    <w:t>居民</w:t>
                  </w:r>
                </w:p>
              </w:tc>
              <w:tc>
                <w:tcPr>
                  <w:tcW w:w="752" w:type="dxa"/>
                  <w:vAlign w:val="center"/>
                </w:tcPr>
                <w:p>
                  <w:pPr>
                    <w:pStyle w:val="36"/>
                    <w:adjustRightInd/>
                    <w:jc w:val="center"/>
                    <w:rPr>
                      <w:rFonts w:hint="eastAsia" w:ascii="Times New Roman" w:hAnsi="Times New Roman" w:eastAsia="宋体" w:cs="Times New Roman"/>
                      <w:color w:val="auto"/>
                      <w:sz w:val="21"/>
                      <w:szCs w:val="21"/>
                      <w:lang w:val="en-US" w:eastAsia="zh-CN"/>
                    </w:rPr>
                  </w:pPr>
                  <w:r>
                    <w:rPr>
                      <w:rFonts w:hint="eastAsia" w:ascii="Times New Roman" w:eastAsia="宋体" w:cs="Times New Roman"/>
                      <w:color w:val="auto"/>
                      <w:sz w:val="21"/>
                      <w:szCs w:val="21"/>
                      <w:lang w:val="en-US" w:eastAsia="zh-CN"/>
                    </w:rPr>
                    <w:t>敏感目标</w:t>
                  </w:r>
                </w:p>
              </w:tc>
            </w:tr>
          </w:tbl>
          <w:p>
            <w:pPr>
              <w:topLinePunct/>
              <w:spacing w:line="360" w:lineRule="auto"/>
              <w:ind w:firstLine="480" w:firstLineChars="200"/>
              <w:rPr>
                <w:rFonts w:ascii="Times New Roman" w:hAnsi="Times New Roman" w:cs="Times New Roman"/>
                <w:bCs/>
                <w:color w:val="auto"/>
                <w:sz w:val="24"/>
              </w:rPr>
            </w:pPr>
            <w:r>
              <w:rPr>
                <w:rFonts w:hint="default" w:ascii="Times New Roman" w:hAnsi="Times New Roman" w:cs="Times New Roman"/>
                <w:bCs/>
                <w:color w:val="auto"/>
                <w:sz w:val="24"/>
                <w:szCs w:val="24"/>
                <w:lang w:val="en-US" w:eastAsia="zh-CN"/>
              </w:rPr>
              <w:t>本项目周边的</w:t>
            </w:r>
            <w:r>
              <w:rPr>
                <w:rFonts w:ascii="Times New Roman" w:hAnsi="Times New Roman" w:cs="Times New Roman"/>
                <w:bCs/>
                <w:color w:val="auto"/>
                <w:sz w:val="24"/>
                <w:szCs w:val="24"/>
              </w:rPr>
              <w:t>敏感目标主要为</w:t>
            </w:r>
            <w:r>
              <w:rPr>
                <w:rFonts w:hint="default" w:ascii="Times New Roman" w:hAnsi="Times New Roman" w:cs="Times New Roman"/>
                <w:bCs/>
                <w:color w:val="auto"/>
                <w:sz w:val="24"/>
                <w:szCs w:val="24"/>
              </w:rPr>
              <w:t>西北侧488m外四川人从众食品有限责任公司</w:t>
            </w:r>
            <w:r>
              <w:rPr>
                <w:rFonts w:hint="eastAsia" w:ascii="Times New Roman" w:hAnsi="Times New Roman" w:cs="Times New Roman"/>
                <w:bCs/>
                <w:color w:val="auto"/>
                <w:sz w:val="24"/>
                <w:szCs w:val="24"/>
                <w:lang w:val="en-US" w:eastAsia="zh-CN"/>
              </w:rPr>
              <w:t>、东南侧和东北侧的居民</w:t>
            </w:r>
            <w:r>
              <w:rPr>
                <w:rFonts w:hint="default" w:ascii="Times New Roman" w:hAnsi="Times New Roman" w:cs="Times New Roman"/>
                <w:bCs/>
                <w:color w:val="auto"/>
                <w:sz w:val="24"/>
                <w:szCs w:val="24"/>
              </w:rPr>
              <w:t>，但距离较远，在其卫生防护距离</w:t>
            </w:r>
            <w:r>
              <w:rPr>
                <w:rFonts w:hint="default"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0m开外。</w:t>
            </w:r>
            <w:r>
              <w:rPr>
                <w:rFonts w:ascii="Times New Roman" w:hAnsi="Times New Roman" w:cs="Times New Roman"/>
                <w:bCs/>
                <w:color w:val="auto"/>
                <w:sz w:val="24"/>
              </w:rPr>
              <w:t>综上所述，在项目污染物达标排放的前提下，项目生产对其周边环境的影响不明显，对周边居民生活影响</w:t>
            </w:r>
            <w:r>
              <w:rPr>
                <w:rFonts w:hint="eastAsia" w:ascii="Times New Roman" w:hAnsi="Times New Roman" w:cs="Times New Roman"/>
                <w:bCs/>
                <w:color w:val="auto"/>
                <w:sz w:val="24"/>
                <w:lang w:val="en-US" w:eastAsia="zh-CN"/>
              </w:rPr>
              <w:t>较小</w:t>
            </w:r>
            <w:r>
              <w:rPr>
                <w:rFonts w:ascii="Times New Roman" w:hAnsi="Times New Roman" w:cs="Times New Roman"/>
                <w:bCs/>
                <w:color w:val="auto"/>
                <w:sz w:val="24"/>
              </w:rPr>
              <w:t>，且项目所在地块周边环境与本建设项目不冲突，区域交通便利。故本项目建设与外环境关系相容。</w:t>
            </w:r>
          </w:p>
          <w:p>
            <w:pPr>
              <w:autoSpaceDE/>
              <w:autoSpaceDN/>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（2）</w:t>
            </w:r>
            <w:r>
              <w:rPr>
                <w:rFonts w:ascii="Times New Roman" w:hAnsi="Times New Roman" w:cs="Times New Roman"/>
                <w:b/>
                <w:bCs/>
                <w:color w:val="auto"/>
                <w:sz w:val="24"/>
                <w:szCs w:val="24"/>
              </w:rPr>
              <w:t>选址合理性分析</w:t>
            </w:r>
          </w:p>
          <w:p>
            <w:pPr>
              <w:widowControl/>
              <w:autoSpaceDE/>
              <w:autoSpaceDN/>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项目区域不涉及《建设项目环境影响评价分类管理名录》中第五条规定的（一）、（二）类环境保护区，如自然保护区、风景名胜区、饮用水水源保护区等。项目</w:t>
            </w:r>
            <w:r>
              <w:rPr>
                <w:rFonts w:hint="default" w:ascii="Times New Roman" w:hAnsi="Times New Roman" w:cs="Times New Roman"/>
                <w:color w:val="auto"/>
                <w:sz w:val="24"/>
              </w:rPr>
              <w:t>利用</w:t>
            </w:r>
            <w:r>
              <w:rPr>
                <w:rFonts w:ascii="Times New Roman" w:hAnsi="Times New Roman" w:cs="Times New Roman"/>
                <w:color w:val="auto"/>
                <w:sz w:val="24"/>
                <w:szCs w:val="24"/>
              </w:rPr>
              <w:t>四川</w:t>
            </w:r>
            <w:r>
              <w:rPr>
                <w:rFonts w:hint="default" w:ascii="Times New Roman" w:hAnsi="Times New Roman" w:cs="Times New Roman"/>
                <w:color w:val="auto"/>
                <w:sz w:val="24"/>
                <w:szCs w:val="24"/>
              </w:rPr>
              <w:t>澳峰橡胶</w:t>
            </w:r>
            <w:r>
              <w:rPr>
                <w:rFonts w:ascii="Times New Roman" w:hAnsi="Times New Roman" w:cs="Times New Roman"/>
                <w:color w:val="auto"/>
                <w:sz w:val="24"/>
                <w:szCs w:val="24"/>
              </w:rPr>
              <w:t>有限公司</w:t>
            </w:r>
            <w:r>
              <w:rPr>
                <w:rFonts w:ascii="Times New Roman" w:hAnsi="Times New Roman" w:cs="Times New Roman"/>
                <w:color w:val="auto"/>
                <w:sz w:val="24"/>
              </w:rPr>
              <w:t>已建厂房</w:t>
            </w:r>
            <w:r>
              <w:rPr>
                <w:rFonts w:ascii="Times New Roman" w:hAnsi="Times New Roman" w:cs="Times New Roman"/>
                <w:bCs/>
                <w:color w:val="auto"/>
                <w:sz w:val="24"/>
              </w:rPr>
              <w:t>，</w:t>
            </w:r>
            <w:r>
              <w:rPr>
                <w:rFonts w:ascii="Times New Roman" w:hAnsi="Times New Roman" w:cs="Times New Roman"/>
                <w:color w:val="auto"/>
                <w:sz w:val="24"/>
              </w:rPr>
              <w:t>项目用地性质为工业用地，符合发展区土地利用政策。</w:t>
            </w:r>
          </w:p>
          <w:p>
            <w:pPr>
              <w:autoSpaceDE/>
              <w:autoSpaceDN/>
              <w:spacing w:line="360" w:lineRule="auto"/>
              <w:ind w:firstLine="480" w:firstLineChars="200"/>
              <w:jc w:val="both"/>
              <w:rPr>
                <w:rFonts w:ascii="Times New Roman" w:hAnsi="Times New Roman" w:cs="Times New Roman"/>
                <w:color w:val="auto"/>
                <w:sz w:val="24"/>
              </w:rPr>
            </w:pPr>
            <w:r>
              <w:rPr>
                <w:rFonts w:ascii="Times New Roman" w:hAnsi="Times New Roman" w:cs="Times New Roman"/>
                <w:color w:val="auto"/>
                <w:sz w:val="24"/>
              </w:rPr>
              <w:t>项目主要污染为废气和噪声。项目废气产生和排放量相对较小，对区域大气环境污染贡献率很小，不降低区域环境空气质量功能等级。项目可确保厂界噪声达标和不扰民。</w:t>
            </w:r>
          </w:p>
          <w:p>
            <w:pPr>
              <w:widowControl/>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color w:val="auto"/>
                <w:sz w:val="24"/>
                <w:szCs w:val="24"/>
              </w:rPr>
              <w:t>综上，从环境角度分析，项目选址地不存在重大环境制约因素，可与周边企业相容，选址可行</w:t>
            </w:r>
            <w:r>
              <w:rPr>
                <w:rFonts w:hint="default" w:ascii="Times New Roman" w:hAnsi="Times New Roman" w:cs="Times New Roman"/>
                <w:color w:val="auto"/>
                <w:sz w:val="24"/>
                <w:szCs w:val="24"/>
              </w:rPr>
              <w:t>。</w:t>
            </w:r>
          </w:p>
        </w:tc>
      </w:tr>
    </w:tbl>
    <w:p>
      <w:pPr>
        <w:pStyle w:val="19"/>
        <w:ind w:left="220"/>
        <w:jc w:val="center"/>
        <w:outlineLvl w:val="0"/>
        <w:rPr>
          <w:rFonts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二、建设项目工程分析</w:t>
      </w:r>
    </w:p>
    <w:tbl>
      <w:tblPr>
        <w:tblStyle w:val="24"/>
        <w:tblW w:w="96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建设内容</w:t>
            </w:r>
          </w:p>
        </w:tc>
        <w:tc>
          <w:tcPr>
            <w:tcW w:w="9068" w:type="dxa"/>
          </w:tcPr>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b/>
                <w:bCs/>
                <w:color w:val="auto"/>
                <w:sz w:val="24"/>
                <w:szCs w:val="32"/>
                <w:highlight w:val="none"/>
                <w:lang w:val="en-US" w:eastAsia="zh-CN"/>
              </w:rPr>
              <w:t>一、项目由来</w:t>
            </w:r>
          </w:p>
          <w:p>
            <w:pPr>
              <w:pStyle w:val="8"/>
              <w:ind w:firstLine="480"/>
              <w:rPr>
                <w:rFonts w:hint="default" w:ascii="Times New Roman" w:hAnsi="Times New Roman" w:eastAsia="宋体" w:cs="Times New Roman"/>
                <w:color w:val="auto"/>
                <w:sz w:val="24"/>
                <w:szCs w:val="24"/>
                <w:lang w:eastAsia="zh-CN"/>
              </w:rPr>
            </w:pPr>
            <w:r>
              <w:rPr>
                <w:rFonts w:hint="default" w:ascii="Times New Roman" w:hAnsi="Times New Roman" w:cs="Times New Roman"/>
                <w:b w:val="0"/>
                <w:bCs w:val="0"/>
                <w:color w:val="auto"/>
                <w:sz w:val="24"/>
                <w:szCs w:val="32"/>
                <w:lang w:val="en-US" w:eastAsia="zh-CN"/>
              </w:rPr>
              <w:t>四川澳峰橡胶有限公司（建设单位）原本是一家从事再生橡胶及橡胶制品的企业</w:t>
            </w:r>
            <w:r>
              <w:rPr>
                <w:rFonts w:hint="default" w:ascii="Times New Roman" w:hAnsi="Times New Roman" w:cs="Times New Roman"/>
                <w:color w:val="auto"/>
                <w:sz w:val="24"/>
                <w:szCs w:val="32"/>
                <w:lang w:val="en-US" w:eastAsia="zh-CN"/>
              </w:rPr>
              <w:t>。</w:t>
            </w:r>
            <w:r>
              <w:rPr>
                <w:rFonts w:ascii="Times New Roman" w:hAnsi="Times New Roman" w:cs="Times New Roman"/>
                <w:color w:val="auto"/>
                <w:sz w:val="24"/>
                <w:szCs w:val="32"/>
              </w:rPr>
              <w:t>于2008年取得《新建生产再生橡胶及橡胶制品厂项目》批复（蓬环函【2008】3号）</w:t>
            </w:r>
            <w:r>
              <w:rPr>
                <w:rFonts w:hint="default" w:ascii="Times New Roman" w:hAnsi="Times New Roman" w:cs="Times New Roman"/>
                <w:color w:val="auto"/>
                <w:sz w:val="24"/>
                <w:szCs w:val="32"/>
              </w:rPr>
              <w:t>。</w:t>
            </w:r>
            <w:r>
              <w:rPr>
                <w:rFonts w:hint="default" w:ascii="Times New Roman" w:hAnsi="Times New Roman" w:cs="Times New Roman"/>
                <w:b w:val="0"/>
                <w:bCs w:val="0"/>
                <w:color w:val="auto"/>
                <w:sz w:val="24"/>
                <w:szCs w:val="32"/>
                <w:lang w:val="en-US" w:eastAsia="zh-CN"/>
              </w:rPr>
              <w:t>四川澳峰橡胶有限公司</w:t>
            </w:r>
            <w:r>
              <w:rPr>
                <w:rFonts w:ascii="Times New Roman" w:hAnsi="Times New Roman" w:cs="Times New Roman"/>
                <w:color w:val="auto"/>
                <w:sz w:val="24"/>
                <w:szCs w:val="32"/>
              </w:rPr>
              <w:t>新建生产再生橡胶及橡胶制品厂项目</w:t>
            </w:r>
            <w:r>
              <w:rPr>
                <w:rFonts w:hint="default" w:ascii="Times New Roman" w:hAnsi="Times New Roman" w:cs="Times New Roman"/>
                <w:color w:val="auto"/>
                <w:sz w:val="24"/>
                <w:szCs w:val="32"/>
                <w:lang w:val="en-US" w:eastAsia="zh-CN"/>
              </w:rPr>
              <w:t>于2019年停产至今。根据市场需求，建设单位拟利用现有废弃厂房进行“</w:t>
            </w:r>
            <w:r>
              <w:rPr>
                <w:rFonts w:hint="default" w:ascii="Times New Roman" w:hAnsi="Times New Roman" w:cs="Times New Roman"/>
                <w:color w:val="auto"/>
                <w:sz w:val="24"/>
                <w:lang w:val="en-US" w:eastAsia="zh-CN"/>
              </w:rPr>
              <w:t>水泥制品技改</w:t>
            </w:r>
            <w:r>
              <w:rPr>
                <w:rFonts w:ascii="Times New Roman" w:hAnsi="Times New Roman" w:cs="Times New Roman"/>
                <w:color w:val="auto"/>
                <w:sz w:val="24"/>
              </w:rPr>
              <w:t>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建设</w:t>
            </w:r>
            <w:r>
              <w:rPr>
                <w:rFonts w:hint="default" w:ascii="Times New Roman" w:hAnsi="Times New Roman" w:cs="Times New Roman"/>
                <w:color w:val="auto"/>
                <w:sz w:val="24"/>
                <w:lang w:eastAsia="zh-CN"/>
              </w:rPr>
              <w:t>，</w:t>
            </w:r>
            <w:r>
              <w:rPr>
                <w:rFonts w:ascii="Times New Roman" w:hAnsi="Times New Roman" w:cs="Times New Roman"/>
                <w:color w:val="auto"/>
                <w:szCs w:val="24"/>
              </w:rPr>
              <w:t>最终建成达到年产水泥制品制造5万件生产能力</w:t>
            </w:r>
            <w:r>
              <w:rPr>
                <w:rFonts w:hint="default" w:ascii="Times New Roman" w:hAnsi="Times New Roman" w:cs="Times New Roman"/>
                <w:color w:val="auto"/>
                <w:szCs w:val="24"/>
                <w:lang w:eastAsia="zh-CN"/>
              </w:rPr>
              <w:t>。</w:t>
            </w:r>
          </w:p>
          <w:p>
            <w:pPr>
              <w:spacing w:line="360" w:lineRule="auto"/>
              <w:rPr>
                <w:rFonts w:ascii="Times New Roman" w:hAnsi="Times New Roman" w:cs="Times New Roman"/>
                <w:b/>
                <w:bCs/>
                <w:color w:val="auto"/>
                <w:sz w:val="24"/>
                <w:szCs w:val="32"/>
              </w:rPr>
            </w:pPr>
            <w:r>
              <w:rPr>
                <w:rFonts w:hint="default" w:ascii="Times New Roman" w:hAnsi="Times New Roman" w:cs="Times New Roman"/>
                <w:b/>
                <w:bCs/>
                <w:color w:val="auto"/>
                <w:sz w:val="24"/>
                <w:szCs w:val="32"/>
                <w:lang w:val="en-US" w:eastAsia="zh-CN"/>
              </w:rPr>
              <w:t>二</w:t>
            </w:r>
            <w:r>
              <w:rPr>
                <w:rFonts w:hint="default" w:ascii="Times New Roman" w:hAnsi="Times New Roman" w:cs="Times New Roman"/>
                <w:b/>
                <w:bCs/>
                <w:color w:val="auto"/>
                <w:sz w:val="24"/>
                <w:szCs w:val="32"/>
              </w:rPr>
              <w:t>、建设内容及项目组成</w:t>
            </w:r>
          </w:p>
          <w:p>
            <w:pPr>
              <w:widowControl/>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项目名称：</w:t>
            </w:r>
            <w:r>
              <w:rPr>
                <w:rFonts w:hint="default" w:ascii="Times New Roman" w:hAnsi="Times New Roman" w:cs="Times New Roman"/>
                <w:color w:val="auto"/>
                <w:sz w:val="24"/>
                <w:lang w:val="en-US" w:eastAsia="zh-CN"/>
              </w:rPr>
              <w:t>水泥制品技改</w:t>
            </w:r>
            <w:r>
              <w:rPr>
                <w:rFonts w:ascii="Times New Roman" w:hAnsi="Times New Roman" w:cs="Times New Roman"/>
                <w:color w:val="auto"/>
                <w:sz w:val="24"/>
              </w:rPr>
              <w:t xml:space="preserve">项目 </w:t>
            </w:r>
          </w:p>
          <w:p>
            <w:pPr>
              <w:widowControl/>
              <w:autoSpaceDE/>
              <w:autoSpaceDN/>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建设单位：</w:t>
            </w:r>
            <w:r>
              <w:rPr>
                <w:rFonts w:hint="default" w:ascii="Times New Roman" w:hAnsi="Times New Roman" w:cs="Times New Roman"/>
                <w:color w:val="auto"/>
                <w:sz w:val="24"/>
                <w:szCs w:val="24"/>
              </w:rPr>
              <w:t>四川澳峰橡胶有限公司</w:t>
            </w:r>
          </w:p>
          <w:p>
            <w:pPr>
              <w:widowControl/>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建设地点：四川省</w:t>
            </w:r>
            <w:r>
              <w:rPr>
                <w:rFonts w:hint="default" w:ascii="Times New Roman" w:hAnsi="Times New Roman" w:cs="Times New Roman"/>
                <w:color w:val="auto"/>
                <w:sz w:val="24"/>
                <w:szCs w:val="24"/>
              </w:rPr>
              <w:t>遂宁市蓬溪县赤城镇上游工业集中发展区</w:t>
            </w:r>
          </w:p>
          <w:p>
            <w:pPr>
              <w:widowControl/>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建设性质：</w:t>
            </w:r>
            <w:r>
              <w:rPr>
                <w:rFonts w:hint="default" w:ascii="Times New Roman" w:hAnsi="Times New Roman" w:cs="Times New Roman"/>
                <w:color w:val="auto"/>
                <w:sz w:val="24"/>
                <w:szCs w:val="24"/>
              </w:rPr>
              <w:t>改</w:t>
            </w:r>
            <w:r>
              <w:rPr>
                <w:rFonts w:ascii="Times New Roman" w:hAnsi="Times New Roman" w:cs="Times New Roman"/>
                <w:color w:val="auto"/>
                <w:sz w:val="24"/>
                <w:szCs w:val="24"/>
              </w:rPr>
              <w:t>建</w:t>
            </w:r>
          </w:p>
          <w:p>
            <w:pPr>
              <w:pStyle w:val="8"/>
              <w:ind w:firstLine="480"/>
              <w:rPr>
                <w:rFonts w:hint="default" w:ascii="Times New Roman" w:hAnsi="Times New Roman" w:eastAsia="宋体" w:cs="Times New Roman"/>
                <w:color w:val="auto"/>
                <w:szCs w:val="24"/>
                <w:lang w:val="en-US" w:eastAsia="zh-CN"/>
              </w:rPr>
            </w:pPr>
            <w:r>
              <w:rPr>
                <w:rFonts w:ascii="Times New Roman" w:hAnsi="Times New Roman" w:cs="Times New Roman"/>
                <w:color w:val="auto"/>
                <w:szCs w:val="24"/>
              </w:rPr>
              <w:t>建设内容：本项目位于</w:t>
            </w:r>
            <w:r>
              <w:rPr>
                <w:rFonts w:ascii="Times New Roman" w:hAnsi="Times New Roman" w:cs="Times New Roman"/>
                <w:color w:val="auto"/>
              </w:rPr>
              <w:t>遂宁市蓬溪县上游工业园区</w:t>
            </w:r>
            <w:r>
              <w:rPr>
                <w:rFonts w:ascii="Times New Roman" w:hAnsi="Times New Roman" w:cs="Times New Roman"/>
                <w:color w:val="auto"/>
                <w:szCs w:val="24"/>
              </w:rPr>
              <w:t>，利用四川澳峰橡胶有限公司</w:t>
            </w:r>
            <w:r>
              <w:rPr>
                <w:rFonts w:hint="default" w:ascii="Times New Roman" w:hAnsi="Times New Roman" w:cs="Times New Roman"/>
                <w:color w:val="auto"/>
                <w:szCs w:val="24"/>
                <w:lang w:val="en-US" w:eastAsia="zh-CN"/>
              </w:rPr>
              <w:t>原有</w:t>
            </w:r>
            <w:r>
              <w:rPr>
                <w:rFonts w:ascii="Times New Roman" w:hAnsi="Times New Roman" w:cs="Times New Roman"/>
                <w:color w:val="auto"/>
                <w:szCs w:val="24"/>
              </w:rPr>
              <w:t>厂区厂房</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共计占地12000m</w:t>
            </w:r>
            <w:r>
              <w:rPr>
                <w:rFonts w:hint="default" w:ascii="Times New Roman" w:hAnsi="Times New Roman" w:cs="Times New Roman"/>
                <w:color w:val="auto"/>
                <w:szCs w:val="24"/>
                <w:vertAlign w:val="superscript"/>
                <w:lang w:val="en-US" w:eastAsia="zh-CN"/>
              </w:rPr>
              <w:t>2</w:t>
            </w:r>
            <w:r>
              <w:rPr>
                <w:rFonts w:hint="default" w:ascii="Times New Roman" w:hAnsi="Times New Roman" w:cs="Times New Roman"/>
                <w:color w:val="auto"/>
                <w:szCs w:val="24"/>
                <w:vertAlign w:val="baseline"/>
                <w:lang w:val="en-US" w:eastAsia="zh-CN"/>
              </w:rPr>
              <w:t>，</w:t>
            </w:r>
            <w:r>
              <w:rPr>
                <w:rFonts w:hint="default" w:ascii="Times New Roman" w:hAnsi="Times New Roman" w:cs="Times New Roman"/>
                <w:color w:val="auto"/>
                <w:szCs w:val="24"/>
                <w:lang w:val="en-US" w:eastAsia="zh-CN"/>
              </w:rPr>
              <w:t>其中</w:t>
            </w:r>
            <w:r>
              <w:rPr>
                <w:rFonts w:ascii="Times New Roman" w:hAnsi="Times New Roman" w:cs="Times New Roman"/>
                <w:color w:val="auto"/>
                <w:szCs w:val="24"/>
              </w:rPr>
              <w:t>生产厂房约4000 m</w:t>
            </w:r>
            <w:r>
              <w:rPr>
                <w:rFonts w:ascii="Times New Roman" w:hAnsi="Times New Roman" w:cs="Times New Roman"/>
                <w:color w:val="auto"/>
                <w:szCs w:val="24"/>
                <w:vertAlign w:val="superscript"/>
              </w:rPr>
              <w:t>2</w:t>
            </w:r>
            <w:r>
              <w:rPr>
                <w:rFonts w:hint="default" w:ascii="Times New Roman" w:hAnsi="Times New Roman" w:cs="Times New Roman"/>
                <w:color w:val="auto"/>
                <w:szCs w:val="24"/>
                <w:vertAlign w:val="baseline"/>
                <w:lang w:eastAsia="zh-CN"/>
              </w:rPr>
              <w:t>，</w:t>
            </w:r>
            <w:r>
              <w:rPr>
                <w:rFonts w:ascii="Times New Roman" w:hAnsi="Times New Roman" w:cs="Times New Roman"/>
                <w:color w:val="auto"/>
                <w:szCs w:val="24"/>
              </w:rPr>
              <w:t>成品堆场8000m</w:t>
            </w:r>
            <w:r>
              <w:rPr>
                <w:rFonts w:ascii="Times New Roman" w:hAnsi="Times New Roman" w:cs="Times New Roman"/>
                <w:color w:val="auto"/>
                <w:szCs w:val="24"/>
                <w:vertAlign w:val="superscript"/>
              </w:rPr>
              <w:t>2</w:t>
            </w:r>
            <w:r>
              <w:rPr>
                <w:rFonts w:hint="default" w:ascii="Times New Roman" w:hAnsi="Times New Roman" w:cs="Times New Roman"/>
                <w:color w:val="auto"/>
                <w:szCs w:val="24"/>
                <w:vertAlign w:val="baseline"/>
                <w:lang w:val="en-US" w:eastAsia="zh-CN"/>
              </w:rPr>
              <w:t>）</w:t>
            </w:r>
            <w:r>
              <w:rPr>
                <w:rFonts w:hint="default" w:ascii="Times New Roman" w:hAnsi="Times New Roman" w:cs="Times New Roman"/>
                <w:color w:val="auto"/>
                <w:szCs w:val="24"/>
                <w:lang w:val="en-US" w:eastAsia="zh-CN"/>
              </w:rPr>
              <w:t>建设</w:t>
            </w:r>
            <w:r>
              <w:rPr>
                <w:rFonts w:hint="default" w:ascii="Times New Roman" w:hAnsi="Times New Roman" w:cs="Times New Roman"/>
                <w:color w:val="auto"/>
                <w:sz w:val="24"/>
                <w:lang w:val="en-US" w:eastAsia="zh-CN"/>
              </w:rPr>
              <w:t>水泥制品生产线1条。项目建成后拟年产</w:t>
            </w:r>
            <w:r>
              <w:rPr>
                <w:rFonts w:ascii="Times New Roman" w:hAnsi="Times New Roman" w:cs="Times New Roman"/>
                <w:color w:val="auto"/>
                <w:szCs w:val="24"/>
              </w:rPr>
              <w:t>水泥制品制造5万件</w:t>
            </w:r>
            <w:r>
              <w:rPr>
                <w:rFonts w:hint="default" w:ascii="Times New Roman" w:hAnsi="Times New Roman" w:cs="Times New Roman"/>
                <w:color w:val="auto"/>
                <w:szCs w:val="24"/>
                <w:lang w:val="en-US" w:eastAsia="zh-CN"/>
              </w:rPr>
              <w:t>/a</w:t>
            </w:r>
            <w:r>
              <w:rPr>
                <w:rFonts w:hint="default" w:ascii="Times New Roman" w:hAnsi="Times New Roman" w:cs="Times New Roman"/>
                <w:color w:val="auto"/>
                <w:szCs w:val="24"/>
                <w:lang w:eastAsia="zh-CN"/>
              </w:rPr>
              <w:t>。</w:t>
            </w:r>
          </w:p>
          <w:p>
            <w:pPr>
              <w:pStyle w:val="8"/>
              <w:ind w:firstLine="480"/>
              <w:rPr>
                <w:rFonts w:hint="default" w:ascii="Times New Roman" w:hAnsi="Times New Roman" w:eastAsia="宋体" w:cs="Times New Roman"/>
                <w:color w:val="auto"/>
                <w:kern w:val="2"/>
                <w:sz w:val="21"/>
                <w:szCs w:val="24"/>
                <w:highlight w:val="none"/>
                <w:lang w:val="en-US" w:eastAsia="zh-CN"/>
              </w:rPr>
            </w:pPr>
            <w:r>
              <w:rPr>
                <w:rFonts w:hint="default" w:ascii="Times New Roman" w:hAnsi="Times New Roman" w:cs="Times New Roman"/>
                <w:color w:val="auto"/>
                <w:szCs w:val="24"/>
                <w:lang w:val="en-US" w:eastAsia="zh-CN"/>
              </w:rPr>
              <w:t>由于市场需求等综合因素，</w:t>
            </w:r>
            <w:r>
              <w:rPr>
                <w:rFonts w:hint="default" w:ascii="Times New Roman" w:hAnsi="Times New Roman" w:cs="Times New Roman"/>
                <w:color w:val="auto"/>
                <w:szCs w:val="24"/>
                <w:highlight w:val="none"/>
              </w:rPr>
              <w:t>本项目本次建设主要内容是</w:t>
            </w:r>
            <w:r>
              <w:rPr>
                <w:rFonts w:ascii="Times New Roman" w:hAnsi="Times New Roman" w:cs="Times New Roman"/>
                <w:color w:val="auto"/>
                <w:szCs w:val="24"/>
                <w:highlight w:val="none"/>
              </w:rPr>
              <w:t>水泥制品制造5万件。</w:t>
            </w:r>
            <w:r>
              <w:rPr>
                <w:rFonts w:hint="default" w:ascii="Times New Roman" w:hAnsi="Times New Roman" w:cs="Times New Roman"/>
                <w:color w:val="auto"/>
                <w:szCs w:val="24"/>
                <w:lang w:val="en-US" w:eastAsia="zh-CN"/>
              </w:rPr>
              <w:t>需</w:t>
            </w:r>
            <w:r>
              <w:rPr>
                <w:rFonts w:ascii="Times New Roman" w:hAnsi="Times New Roman" w:cs="Times New Roman"/>
                <w:color w:val="auto"/>
                <w:szCs w:val="24"/>
              </w:rPr>
              <w:t>购置</w:t>
            </w:r>
            <w:r>
              <w:rPr>
                <w:rFonts w:hint="eastAsia" w:ascii="Times New Roman" w:hAnsi="Times New Roman" w:cs="Times New Roman"/>
                <w:color w:val="auto"/>
                <w:szCs w:val="24"/>
                <w:lang w:val="en-US" w:eastAsia="zh-CN"/>
              </w:rPr>
              <w:t>天然气</w:t>
            </w:r>
            <w:r>
              <w:rPr>
                <w:rFonts w:ascii="Times New Roman" w:hAnsi="Times New Roman" w:cs="Times New Roman"/>
                <w:color w:val="auto"/>
                <w:szCs w:val="24"/>
              </w:rPr>
              <w:t>蒸汽锅炉、离心机、十吨行车、搅拌机、电杆模具等生产设备，使用砂子、石子、水泥、钢筋等原材料</w:t>
            </w:r>
            <w:r>
              <w:rPr>
                <w:rFonts w:hint="default" w:ascii="Times New Roman" w:hAnsi="Times New Roman" w:cs="Times New Roman"/>
                <w:color w:val="auto"/>
                <w:szCs w:val="24"/>
                <w:lang w:val="en-US" w:eastAsia="zh-CN"/>
              </w:rPr>
              <w:t>进行水泥制品制造。</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sz w:val="24"/>
                <w:szCs w:val="32"/>
              </w:rPr>
              <w:t>本项目建成后由主体工程、辅助工程、公用工程、环保工程</w:t>
            </w:r>
            <w:r>
              <w:rPr>
                <w:rFonts w:hint="default" w:ascii="Times New Roman" w:hAnsi="Times New Roman" w:cs="Times New Roman"/>
                <w:color w:val="auto"/>
                <w:sz w:val="24"/>
                <w:szCs w:val="32"/>
              </w:rPr>
              <w:t>、储运工程和依托工程</w:t>
            </w:r>
            <w:r>
              <w:rPr>
                <w:rFonts w:ascii="Times New Roman" w:hAnsi="Times New Roman" w:cs="Times New Roman"/>
                <w:color w:val="auto"/>
                <w:sz w:val="24"/>
                <w:szCs w:val="32"/>
              </w:rPr>
              <w:t>等组成，项目组成及主要环境问题见下表</w:t>
            </w:r>
            <w:r>
              <w:rPr>
                <w:rFonts w:hint="default" w:ascii="Times New Roman" w:hAnsi="Times New Roman" w:cs="Times New Roman"/>
                <w:color w:val="auto"/>
                <w:sz w:val="24"/>
                <w:szCs w:val="32"/>
              </w:rPr>
              <w:t>：</w:t>
            </w:r>
          </w:p>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表2-1  项目组成及主要环境问题一览表</w:t>
            </w:r>
          </w:p>
          <w:tbl>
            <w:tblPr>
              <w:tblStyle w:val="24"/>
              <w:tblW w:w="8833" w:type="dxa"/>
              <w:tblInd w:w="0" w:type="dxa"/>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fixed"/>
              <w:tblCellMar>
                <w:top w:w="0" w:type="dxa"/>
                <w:left w:w="108" w:type="dxa"/>
                <w:bottom w:w="0" w:type="dxa"/>
                <w:right w:w="108" w:type="dxa"/>
              </w:tblCellMar>
            </w:tblPr>
            <w:tblGrid>
              <w:gridCol w:w="707"/>
              <w:gridCol w:w="921"/>
              <w:gridCol w:w="4445"/>
              <w:gridCol w:w="1290"/>
              <w:gridCol w:w="1470"/>
            </w:tblGrid>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66" w:hRule="atLeast"/>
              </w:trPr>
              <w:tc>
                <w:tcPr>
                  <w:tcW w:w="707" w:type="dxa"/>
                  <w:vMerge w:val="restart"/>
                  <w:tcBorders>
                    <w:top w:val="single" w:color="000000" w:sz="8" w:space="0"/>
                    <w:left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类别</w:t>
                  </w:r>
                </w:p>
              </w:tc>
              <w:tc>
                <w:tcPr>
                  <w:tcW w:w="921" w:type="dxa"/>
                  <w:vMerge w:val="restart"/>
                  <w:tcBorders>
                    <w:top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名称</w:t>
                  </w:r>
                </w:p>
              </w:tc>
              <w:tc>
                <w:tcPr>
                  <w:tcW w:w="4445" w:type="dxa"/>
                  <w:vMerge w:val="restart"/>
                  <w:tcBorders>
                    <w:top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建设内容</w:t>
                  </w:r>
                </w:p>
              </w:tc>
              <w:tc>
                <w:tcPr>
                  <w:tcW w:w="2760" w:type="dxa"/>
                  <w:gridSpan w:val="2"/>
                  <w:tcBorders>
                    <w:top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主要环境问题</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160"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p>
              </w:tc>
              <w:tc>
                <w:tcPr>
                  <w:tcW w:w="921" w:type="dxa"/>
                  <w:vMerge w:val="continue"/>
                  <w:tcBorders>
                    <w:tl2br w:val="nil"/>
                    <w:tr2bl w:val="nil"/>
                  </w:tcBorders>
                  <w:shd w:val="clear" w:color="auto" w:fill="FFFFFF"/>
                  <w:vAlign w:val="center"/>
                </w:tcPr>
                <w:p>
                  <w:pPr>
                    <w:pStyle w:val="38"/>
                    <w:rPr>
                      <w:rFonts w:ascii="Times New Roman" w:hAnsi="Times New Roman" w:cs="Times New Roman"/>
                      <w:bCs/>
                      <w:color w:val="auto"/>
                      <w:sz w:val="21"/>
                      <w:szCs w:val="21"/>
                    </w:rPr>
                  </w:pPr>
                </w:p>
              </w:tc>
              <w:tc>
                <w:tcPr>
                  <w:tcW w:w="4445" w:type="dxa"/>
                  <w:vMerge w:val="continue"/>
                  <w:tcBorders>
                    <w:tl2br w:val="nil"/>
                    <w:tr2bl w:val="nil"/>
                  </w:tcBorders>
                  <w:shd w:val="clear" w:color="auto" w:fill="FFFFFF"/>
                  <w:vAlign w:val="center"/>
                </w:tcPr>
                <w:p>
                  <w:pPr>
                    <w:pStyle w:val="38"/>
                    <w:rPr>
                      <w:rFonts w:ascii="Times New Roman" w:hAnsi="Times New Roman" w:cs="Times New Roman"/>
                      <w:bCs/>
                      <w:color w:val="auto"/>
                      <w:sz w:val="21"/>
                      <w:szCs w:val="21"/>
                    </w:rPr>
                  </w:pPr>
                </w:p>
              </w:tc>
              <w:tc>
                <w:tcPr>
                  <w:tcW w:w="1290" w:type="dxa"/>
                  <w:tcBorders>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建设期</w:t>
                  </w: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Cs/>
                      <w:color w:val="auto"/>
                      <w:sz w:val="21"/>
                      <w:szCs w:val="21"/>
                    </w:rPr>
                    <w:t>营运期</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165" w:hRule="atLeast"/>
              </w:trPr>
              <w:tc>
                <w:tcPr>
                  <w:tcW w:w="707" w:type="dxa"/>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ascii="Times New Roman" w:hAnsi="Times New Roman" w:cs="Times New Roman"/>
                      <w:b w:val="0"/>
                      <w:color w:val="auto"/>
                      <w:sz w:val="21"/>
                      <w:szCs w:val="21"/>
                    </w:rPr>
                    <w:t>主体</w:t>
                  </w:r>
                </w:p>
                <w:p>
                  <w:pPr>
                    <w:pStyle w:val="38"/>
                    <w:rPr>
                      <w:rFonts w:ascii="Times New Roman" w:hAnsi="Times New Roman" w:cs="Times New Roman"/>
                      <w:b w:val="0"/>
                      <w:color w:val="auto"/>
                      <w:sz w:val="21"/>
                      <w:szCs w:val="21"/>
                    </w:rPr>
                  </w:pPr>
                  <w:r>
                    <w:rPr>
                      <w:rFonts w:ascii="Times New Roman" w:hAnsi="Times New Roman" w:cs="Times New Roman"/>
                      <w:b w:val="0"/>
                      <w:color w:val="auto"/>
                      <w:sz w:val="21"/>
                      <w:szCs w:val="21"/>
                    </w:rPr>
                    <w:t>工程</w:t>
                  </w: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生产区</w:t>
                  </w:r>
                </w:p>
              </w:tc>
              <w:tc>
                <w:tcPr>
                  <w:tcW w:w="4445" w:type="dxa"/>
                  <w:tcBorders>
                    <w:tl2br w:val="nil"/>
                    <w:tr2bl w:val="nil"/>
                  </w:tcBorders>
                  <w:shd w:val="clear" w:color="auto" w:fill="FFFFFF"/>
                  <w:vAlign w:val="center"/>
                </w:tcPr>
                <w:p>
                  <w:pPr>
                    <w:widowControl/>
                    <w:autoSpaceDE/>
                    <w:autoSpaceDN/>
                    <w:jc w:val="both"/>
                    <w:rPr>
                      <w:rFonts w:ascii="Times New Roman" w:hAnsi="Times New Roman" w:cs="Times New Roman"/>
                      <w:color w:val="auto"/>
                      <w:sz w:val="21"/>
                      <w:szCs w:val="21"/>
                    </w:rPr>
                  </w:pPr>
                  <w:r>
                    <w:rPr>
                      <w:rFonts w:hint="default" w:ascii="Times New Roman" w:hAnsi="Times New Roman" w:cs="Times New Roman"/>
                      <w:color w:val="auto"/>
                      <w:sz w:val="21"/>
                      <w:szCs w:val="21"/>
                    </w:rPr>
                    <w:t>本项目生产区位于车间的</w:t>
                  </w:r>
                  <w:r>
                    <w:rPr>
                      <w:rFonts w:hint="default" w:ascii="Times New Roman" w:hAnsi="Times New Roman" w:cs="Times New Roman"/>
                      <w:color w:val="auto"/>
                      <w:sz w:val="21"/>
                      <w:szCs w:val="21"/>
                      <w:lang w:val="en-US" w:eastAsia="zh-CN"/>
                    </w:rPr>
                    <w:t>东</w:t>
                  </w:r>
                  <w:r>
                    <w:rPr>
                      <w:rFonts w:hint="default" w:ascii="Times New Roman" w:hAnsi="Times New Roman" w:cs="Times New Roman"/>
                      <w:color w:val="auto"/>
                      <w:sz w:val="21"/>
                      <w:szCs w:val="21"/>
                    </w:rPr>
                    <w:t>侧，约</w:t>
                  </w:r>
                  <w:r>
                    <w:rPr>
                      <w:rFonts w:hint="default" w:ascii="Times New Roman" w:hAnsi="Times New Roman" w:cs="Times New Roman"/>
                      <w:color w:val="auto"/>
                      <w:sz w:val="21"/>
                      <w:szCs w:val="21"/>
                      <w:lang w:val="en-US" w:eastAsia="zh-CN"/>
                    </w:rPr>
                    <w:t>1500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，内置</w:t>
                  </w:r>
                  <w:r>
                    <w:rPr>
                      <w:rFonts w:hint="default" w:ascii="Times New Roman" w:hAnsi="Times New Roman" w:cs="Times New Roman"/>
                      <w:color w:val="auto"/>
                      <w:sz w:val="21"/>
                      <w:szCs w:val="21"/>
                      <w:lang w:val="en-US" w:eastAsia="zh-CN"/>
                    </w:rPr>
                    <w:t>养护池、离心机、搅拌机和水泥罐等</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钢筋车间位于厂房北侧，</w:t>
                  </w:r>
                  <w:r>
                    <w:rPr>
                      <w:rFonts w:hint="default" w:ascii="Times New Roman" w:hAnsi="Times New Roman" w:cs="Times New Roman"/>
                      <w:color w:val="auto"/>
                      <w:sz w:val="21"/>
                      <w:szCs w:val="21"/>
                    </w:rPr>
                    <w:t>主要储存原辅材料钢筋，钢筋车间约</w:t>
                  </w:r>
                  <w:r>
                    <w:rPr>
                      <w:rFonts w:hint="default" w:ascii="Times New Roman" w:hAnsi="Times New Roman" w:cs="Times New Roman"/>
                      <w:color w:val="auto"/>
                      <w:sz w:val="21"/>
                      <w:szCs w:val="21"/>
                      <w:lang w:val="en-US" w:eastAsia="zh-CN"/>
                    </w:rPr>
                    <w:t>2500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生产区</w:t>
                  </w:r>
                  <w:r>
                    <w:rPr>
                      <w:rFonts w:hint="default" w:ascii="Times New Roman" w:hAnsi="Times New Roman" w:cs="Times New Roman"/>
                      <w:color w:val="auto"/>
                      <w:sz w:val="21"/>
                      <w:szCs w:val="21"/>
                    </w:rPr>
                    <w:t>主要用于电杆的生产工序。</w:t>
                  </w:r>
                </w:p>
              </w:tc>
              <w:tc>
                <w:tcPr>
                  <w:tcW w:w="1290" w:type="dxa"/>
                  <w:vMerge w:val="restart"/>
                  <w:tcBorders>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建筑垃圾、施工噪声、施工机械尾气、施工扬尘、生活废水、生活垃圾</w:t>
                  </w: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噪声、废气、固废</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577" w:hRule="atLeast"/>
              </w:trPr>
              <w:tc>
                <w:tcPr>
                  <w:tcW w:w="707" w:type="dxa"/>
                  <w:vMerge w:val="restart"/>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辅助工程</w:t>
                  </w: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办公室</w:t>
                  </w:r>
                </w:p>
              </w:tc>
              <w:tc>
                <w:tcPr>
                  <w:tcW w:w="4445" w:type="dxa"/>
                  <w:tcBorders>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面积为20m</w:t>
                  </w:r>
                  <w:r>
                    <w:rPr>
                      <w:rFonts w:hint="default" w:ascii="Times New Roman" w:hAnsi="Times New Roman" w:cs="Times New Roman"/>
                      <w:b w:val="0"/>
                      <w:color w:val="auto"/>
                      <w:sz w:val="21"/>
                      <w:szCs w:val="21"/>
                      <w:vertAlign w:val="superscript"/>
                    </w:rPr>
                    <w:t>2</w:t>
                  </w:r>
                  <w:r>
                    <w:rPr>
                      <w:rFonts w:hint="default" w:ascii="Times New Roman" w:hAnsi="Times New Roman" w:cs="Times New Roman"/>
                      <w:b w:val="0"/>
                      <w:color w:val="auto"/>
                      <w:sz w:val="21"/>
                      <w:szCs w:val="21"/>
                    </w:rPr>
                    <w:t>，主要用于管理人员办公、生活使用。</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固废、噪声、废水</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577"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宿舍、食堂</w:t>
                  </w:r>
                </w:p>
              </w:tc>
              <w:tc>
                <w:tcPr>
                  <w:tcW w:w="4445" w:type="dxa"/>
                  <w:tcBorders>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主要用于工作人员休息、吃饭，2F占地面积约为</w:t>
                  </w:r>
                  <w:r>
                    <w:rPr>
                      <w:rFonts w:hint="default" w:ascii="Times New Roman" w:hAnsi="Times New Roman" w:cs="Times New Roman"/>
                      <w:b w:val="0"/>
                      <w:color w:val="auto"/>
                      <w:sz w:val="21"/>
                      <w:szCs w:val="21"/>
                      <w:lang w:val="en-US" w:eastAsia="zh-CN"/>
                    </w:rPr>
                    <w:t>3</w:t>
                  </w:r>
                  <w:r>
                    <w:rPr>
                      <w:rFonts w:hint="default" w:ascii="Times New Roman" w:hAnsi="Times New Roman" w:cs="Times New Roman"/>
                      <w:b w:val="0"/>
                      <w:color w:val="auto"/>
                      <w:sz w:val="21"/>
                      <w:szCs w:val="21"/>
                    </w:rPr>
                    <w:t>00m</w:t>
                  </w:r>
                  <w:r>
                    <w:rPr>
                      <w:rFonts w:hint="default" w:ascii="Times New Roman" w:hAnsi="Times New Roman" w:cs="Times New Roman"/>
                      <w:b w:val="0"/>
                      <w:color w:val="auto"/>
                      <w:sz w:val="21"/>
                      <w:szCs w:val="21"/>
                      <w:vertAlign w:val="superscript"/>
                    </w:rPr>
                    <w:t>2</w:t>
                  </w:r>
                  <w:r>
                    <w:rPr>
                      <w:rFonts w:hint="default" w:ascii="Times New Roman" w:hAnsi="Times New Roman" w:cs="Times New Roman"/>
                      <w:b w:val="0"/>
                      <w:color w:val="auto"/>
                      <w:sz w:val="21"/>
                      <w:szCs w:val="21"/>
                    </w:rPr>
                    <w:t>。</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固废、噪声、废水、废气</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5" w:hRule="atLeast"/>
              </w:trPr>
              <w:tc>
                <w:tcPr>
                  <w:tcW w:w="707" w:type="dxa"/>
                  <w:vMerge w:val="restart"/>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公用</w:t>
                  </w:r>
                </w:p>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工程</w:t>
                  </w:r>
                </w:p>
              </w:tc>
              <w:tc>
                <w:tcPr>
                  <w:tcW w:w="921" w:type="dxa"/>
                  <w:tcBorders>
                    <w:tl2br w:val="nil"/>
                    <w:tr2bl w:val="nil"/>
                  </w:tcBorders>
                  <w:shd w:val="clear" w:color="auto" w:fill="FFFFFF"/>
                  <w:vAlign w:val="center"/>
                </w:tcPr>
                <w:p>
                  <w:pPr>
                    <w:pStyle w:val="38"/>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供电</w:t>
                  </w:r>
                </w:p>
              </w:tc>
              <w:tc>
                <w:tcPr>
                  <w:tcW w:w="4445" w:type="dxa"/>
                  <w:tcBorders>
                    <w:tl2br w:val="nil"/>
                    <w:tr2bl w:val="nil"/>
                  </w:tcBorders>
                  <w:shd w:val="clear" w:color="auto" w:fill="FFFFFF"/>
                  <w:vAlign w:val="center"/>
                </w:tcPr>
                <w:p>
                  <w:pPr>
                    <w:pStyle w:val="38"/>
                    <w:jc w:val="left"/>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由市政电网供电</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365"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给水</w:t>
                  </w:r>
                </w:p>
              </w:tc>
              <w:tc>
                <w:tcPr>
                  <w:tcW w:w="4445" w:type="dxa"/>
                  <w:tcBorders>
                    <w:tl2br w:val="nil"/>
                    <w:tr2bl w:val="nil"/>
                  </w:tcBorders>
                  <w:shd w:val="clear" w:color="auto" w:fill="FFFFFF"/>
                  <w:vAlign w:val="center"/>
                </w:tcPr>
                <w:p>
                  <w:pPr>
                    <w:pStyle w:val="38"/>
                    <w:jc w:val="left"/>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由市政管网供水</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327"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排水</w:t>
                  </w:r>
                </w:p>
              </w:tc>
              <w:tc>
                <w:tcPr>
                  <w:tcW w:w="4445" w:type="dxa"/>
                  <w:tcBorders>
                    <w:tl2br w:val="nil"/>
                    <w:tr2bl w:val="nil"/>
                  </w:tcBorders>
                  <w:shd w:val="clear" w:color="auto" w:fill="FFFFFF"/>
                  <w:vAlign w:val="center"/>
                </w:tcPr>
                <w:p>
                  <w:pPr>
                    <w:pStyle w:val="38"/>
                    <w:jc w:val="left"/>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生活废水排入园区化粪池</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60" w:hRule="atLeast"/>
              </w:trPr>
              <w:tc>
                <w:tcPr>
                  <w:tcW w:w="707" w:type="dxa"/>
                  <w:vMerge w:val="restart"/>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ascii="Times New Roman" w:hAnsi="Times New Roman" w:cs="Times New Roman"/>
                      <w:b w:val="0"/>
                      <w:color w:val="auto"/>
                      <w:sz w:val="21"/>
                      <w:szCs w:val="21"/>
                    </w:rPr>
                    <w:t>环保</w:t>
                  </w:r>
                </w:p>
                <w:p>
                  <w:pPr>
                    <w:pStyle w:val="38"/>
                    <w:rPr>
                      <w:rFonts w:ascii="Times New Roman" w:hAnsi="Times New Roman" w:cs="Times New Roman"/>
                      <w:b w:val="0"/>
                      <w:color w:val="auto"/>
                      <w:sz w:val="21"/>
                      <w:szCs w:val="21"/>
                    </w:rPr>
                  </w:pPr>
                  <w:r>
                    <w:rPr>
                      <w:rFonts w:ascii="Times New Roman" w:hAnsi="Times New Roman" w:cs="Times New Roman"/>
                      <w:b w:val="0"/>
                      <w:color w:val="auto"/>
                      <w:sz w:val="21"/>
                      <w:szCs w:val="21"/>
                    </w:rPr>
                    <w:t>设施</w:t>
                  </w:r>
                </w:p>
              </w:tc>
              <w:tc>
                <w:tcPr>
                  <w:tcW w:w="921" w:type="dxa"/>
                  <w:vMerge w:val="restart"/>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废气</w:t>
                  </w:r>
                </w:p>
              </w:tc>
              <w:tc>
                <w:tcPr>
                  <w:tcW w:w="4445" w:type="dxa"/>
                  <w:tcBorders>
                    <w:tl2br w:val="nil"/>
                    <w:tr2bl w:val="nil"/>
                  </w:tcBorders>
                  <w:shd w:val="clear" w:color="auto" w:fill="FFFFFF"/>
                  <w:vAlign w:val="center"/>
                </w:tcPr>
                <w:p>
                  <w:pPr>
                    <w:pStyle w:val="38"/>
                    <w:jc w:val="left"/>
                    <w:rPr>
                      <w:rFonts w:hint="eastAsia" w:ascii="Times New Roman" w:hAnsi="Times New Roman" w:eastAsia="宋体" w:cs="Times New Roman"/>
                      <w:b w:val="0"/>
                      <w:color w:val="auto"/>
                      <w:sz w:val="21"/>
                      <w:szCs w:val="21"/>
                      <w:lang w:eastAsia="zh-CN"/>
                    </w:rPr>
                  </w:pPr>
                  <w:r>
                    <w:rPr>
                      <w:rFonts w:hint="default" w:ascii="Times New Roman" w:hAnsi="Times New Roman" w:cs="Times New Roman"/>
                      <w:b w:val="0"/>
                      <w:color w:val="auto"/>
                      <w:sz w:val="21"/>
                      <w:szCs w:val="21"/>
                    </w:rPr>
                    <w:t>项目在进行</w:t>
                  </w:r>
                  <w:r>
                    <w:rPr>
                      <w:rFonts w:hint="eastAsia" w:cs="Times New Roman"/>
                      <w:b w:val="0"/>
                      <w:color w:val="auto"/>
                      <w:sz w:val="21"/>
                      <w:szCs w:val="21"/>
                      <w:lang w:val="en-US" w:eastAsia="zh-CN"/>
                    </w:rPr>
                    <w:t>筒仓粉尘、</w:t>
                  </w:r>
                  <w:r>
                    <w:rPr>
                      <w:rFonts w:hint="default" w:ascii="Times New Roman" w:hAnsi="Times New Roman" w:cs="Times New Roman"/>
                      <w:b w:val="0"/>
                      <w:color w:val="auto"/>
                      <w:sz w:val="21"/>
                      <w:szCs w:val="21"/>
                    </w:rPr>
                    <w:t>搅拌过程中会产生一定量的粉尘</w:t>
                  </w:r>
                  <w:r>
                    <w:rPr>
                      <w:rFonts w:hint="default" w:ascii="Times New Roman" w:hAnsi="Times New Roman" w:cs="Times New Roman"/>
                      <w:b w:val="0"/>
                      <w:bCs/>
                      <w:lang w:eastAsia="zh-CN"/>
                    </w:rPr>
                    <w:t>，</w:t>
                  </w:r>
                  <w:r>
                    <w:rPr>
                      <w:rFonts w:hint="eastAsia" w:ascii="宋体" w:hAnsi="宋体" w:eastAsia="宋体" w:cs="宋体"/>
                      <w:b w:val="0"/>
                      <w:bCs w:val="0"/>
                      <w:color w:val="000000"/>
                      <w:kern w:val="0"/>
                      <w:sz w:val="21"/>
                      <w:szCs w:val="21"/>
                      <w:lang w:val="en-US" w:eastAsia="zh-CN" w:bidi="ar"/>
                    </w:rPr>
                    <w:t>搅拌机入料口封闭，水雾喷淋、降低物料装卸过程高度差</w:t>
                  </w:r>
                  <w:r>
                    <w:rPr>
                      <w:rFonts w:hint="default" w:ascii="Times New Roman" w:hAnsi="Times New Roman" w:cs="Times New Roman"/>
                      <w:b w:val="0"/>
                      <w:color w:val="auto"/>
                      <w:sz w:val="21"/>
                      <w:szCs w:val="21"/>
                    </w:rPr>
                    <w:t>其进行处理</w:t>
                  </w:r>
                  <w:r>
                    <w:rPr>
                      <w:rFonts w:hint="eastAsia" w:cs="Times New Roman"/>
                      <w:b w:val="0"/>
                      <w:color w:val="auto"/>
                      <w:sz w:val="21"/>
                      <w:szCs w:val="21"/>
                      <w:lang w:eastAsia="zh-CN"/>
                    </w:rPr>
                    <w:t>；</w:t>
                  </w:r>
                  <w:r>
                    <w:rPr>
                      <w:rFonts w:hint="eastAsia" w:cs="Times New Roman"/>
                      <w:b w:val="0"/>
                      <w:color w:val="auto"/>
                      <w:sz w:val="21"/>
                      <w:szCs w:val="21"/>
                      <w:lang w:val="en-US" w:eastAsia="zh-CN"/>
                    </w:rPr>
                    <w:t>筒仓粉尘采取</w:t>
                  </w:r>
                  <w:r>
                    <w:rPr>
                      <w:rFonts w:hint="eastAsia" w:ascii="宋体" w:hAnsi="宋体" w:eastAsia="宋体" w:cs="宋体"/>
                      <w:b w:val="0"/>
                      <w:bCs w:val="0"/>
                      <w:color w:val="000000"/>
                      <w:kern w:val="0"/>
                      <w:sz w:val="21"/>
                      <w:szCs w:val="21"/>
                      <w:lang w:val="en-US" w:eastAsia="zh-CN" w:bidi="ar"/>
                    </w:rPr>
                    <w:t>布袋除尘装置</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rPr>
                    <w:t>废气</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lang w:val="en-US" w:eastAsia="zh-CN"/>
                    </w:rPr>
                    <w:t>固废</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60"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vMerge w:val="continue"/>
                  <w:tcBorders>
                    <w:tl2br w:val="nil"/>
                    <w:tr2bl w:val="nil"/>
                  </w:tcBorders>
                  <w:shd w:val="clear" w:color="auto" w:fill="FFFFFF"/>
                  <w:vAlign w:val="center"/>
                </w:tcPr>
                <w:p>
                  <w:pPr>
                    <w:pStyle w:val="38"/>
                    <w:rPr>
                      <w:rFonts w:hint="default" w:ascii="Times New Roman" w:hAnsi="Times New Roman" w:cs="Times New Roman"/>
                      <w:b w:val="0"/>
                      <w:color w:val="auto"/>
                      <w:sz w:val="21"/>
                      <w:szCs w:val="21"/>
                    </w:rPr>
                  </w:pPr>
                </w:p>
              </w:tc>
              <w:tc>
                <w:tcPr>
                  <w:tcW w:w="4445" w:type="dxa"/>
                  <w:tcBorders>
                    <w:tl2br w:val="nil"/>
                    <w:tr2bl w:val="nil"/>
                  </w:tcBorders>
                  <w:shd w:val="clear" w:color="auto" w:fill="FFFFFF"/>
                  <w:vAlign w:val="center"/>
                </w:tcPr>
                <w:p>
                  <w:pPr>
                    <w:pStyle w:val="38"/>
                    <w:jc w:val="left"/>
                    <w:rPr>
                      <w:rFonts w:hint="eastAsia"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运输粉尘</w:t>
                  </w:r>
                  <w:r>
                    <w:rPr>
                      <w:rFonts w:hint="eastAsia" w:cs="Times New Roman"/>
                      <w:b w:val="0"/>
                      <w:color w:val="auto"/>
                      <w:sz w:val="21"/>
                      <w:szCs w:val="21"/>
                      <w:lang w:val="en-US" w:eastAsia="zh-CN"/>
                    </w:rPr>
                    <w:t>：</w:t>
                  </w:r>
                  <w:r>
                    <w:rPr>
                      <w:rFonts w:hint="default" w:ascii="Times New Roman" w:hAnsi="Times New Roman" w:cs="Times New Roman"/>
                      <w:b w:val="0"/>
                      <w:bCs w:val="0"/>
                      <w:color w:val="auto"/>
                      <w:sz w:val="21"/>
                      <w:szCs w:val="21"/>
                      <w:lang w:eastAsia="zh-CN"/>
                    </w:rPr>
                    <w:t>水泥硬化</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洒水降尘、</w:t>
                  </w:r>
                  <w:r>
                    <w:rPr>
                      <w:rFonts w:hint="default" w:ascii="Times New Roman" w:hAnsi="Times New Roman" w:cs="Times New Roman"/>
                      <w:b w:val="0"/>
                      <w:bCs w:val="0"/>
                      <w:color w:val="auto"/>
                      <w:sz w:val="21"/>
                      <w:szCs w:val="21"/>
                      <w:lang w:eastAsia="zh-CN"/>
                    </w:rPr>
                    <w:t>厂区围墙设置喷雾装置降尘</w:t>
                  </w:r>
                </w:p>
                <w:p>
                  <w:pPr>
                    <w:pStyle w:val="38"/>
                    <w:jc w:val="left"/>
                    <w:rPr>
                      <w:rFonts w:hint="eastAsia" w:ascii="宋体" w:hAnsi="宋体" w:eastAsia="宋体" w:cs="宋体"/>
                      <w:b w:val="0"/>
                      <w:bCs w:val="0"/>
                      <w:color w:val="000000"/>
                      <w:kern w:val="0"/>
                      <w:sz w:val="21"/>
                      <w:szCs w:val="21"/>
                      <w:lang w:val="en-US" w:eastAsia="zh-CN" w:bidi="ar"/>
                    </w:rPr>
                  </w:pPr>
                  <w:r>
                    <w:rPr>
                      <w:rFonts w:hint="default" w:ascii="Times New Roman" w:hAnsi="Times New Roman" w:cs="Times New Roman"/>
                      <w:b w:val="0"/>
                      <w:color w:val="auto"/>
                      <w:sz w:val="21"/>
                      <w:szCs w:val="21"/>
                      <w:lang w:val="en-US" w:eastAsia="zh-CN"/>
                    </w:rPr>
                    <w:t>装卸粉尘</w:t>
                  </w:r>
                  <w:r>
                    <w:rPr>
                      <w:rFonts w:hint="eastAsia" w:cs="Times New Roman"/>
                      <w:b w:val="0"/>
                      <w:color w:val="auto"/>
                      <w:sz w:val="21"/>
                      <w:szCs w:val="21"/>
                      <w:lang w:val="en-US" w:eastAsia="zh-CN"/>
                    </w:rPr>
                    <w:t>：</w:t>
                  </w:r>
                  <w:r>
                    <w:rPr>
                      <w:rFonts w:hint="eastAsia" w:ascii="宋体" w:hAnsi="宋体" w:eastAsia="宋体" w:cs="宋体"/>
                      <w:b w:val="0"/>
                      <w:bCs w:val="0"/>
                      <w:color w:val="000000"/>
                      <w:kern w:val="0"/>
                      <w:sz w:val="21"/>
                      <w:szCs w:val="21"/>
                      <w:lang w:val="en-US" w:eastAsia="zh-CN" w:bidi="ar"/>
                    </w:rPr>
                    <w:t>内部设置喷雾降尘装置，定期水雾喷淋降尘</w:t>
                  </w:r>
                </w:p>
                <w:p>
                  <w:pPr>
                    <w:pStyle w:val="38"/>
                    <w:jc w:val="left"/>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堆场</w:t>
                  </w:r>
                  <w:r>
                    <w:rPr>
                      <w:rFonts w:hint="default" w:ascii="Times New Roman" w:hAnsi="Times New Roman" w:cs="Times New Roman"/>
                      <w:b w:val="0"/>
                      <w:color w:val="auto"/>
                      <w:sz w:val="21"/>
                      <w:szCs w:val="21"/>
                      <w:lang w:val="en-US" w:eastAsia="zh-CN"/>
                    </w:rPr>
                    <w:t>扬尘</w:t>
                  </w:r>
                  <w:r>
                    <w:rPr>
                      <w:rFonts w:hint="eastAsia" w:cs="Times New Roman"/>
                      <w:b w:val="0"/>
                      <w:color w:val="auto"/>
                      <w:sz w:val="21"/>
                      <w:szCs w:val="21"/>
                      <w:lang w:val="en-US" w:eastAsia="zh-CN"/>
                    </w:rPr>
                    <w:t>：</w:t>
                  </w:r>
                  <w:r>
                    <w:rPr>
                      <w:rFonts w:hint="default" w:ascii="Times New Roman" w:hAnsi="Times New Roman" w:cs="Times New Roman"/>
                      <w:b w:val="0"/>
                      <w:color w:val="auto"/>
                      <w:sz w:val="21"/>
                      <w:szCs w:val="21"/>
                      <w:lang w:val="en-US" w:eastAsia="zh-CN"/>
                    </w:rPr>
                    <w:t>通过喷淋降尘系统、篷布遮盖处置</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废气</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43"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废水</w:t>
                  </w:r>
                </w:p>
              </w:tc>
              <w:tc>
                <w:tcPr>
                  <w:tcW w:w="4445" w:type="dxa"/>
                  <w:tcBorders>
                    <w:tl2br w:val="nil"/>
                    <w:tr2bl w:val="nil"/>
                  </w:tcBorders>
                  <w:shd w:val="clear" w:color="auto" w:fill="FFFFFF"/>
                  <w:vAlign w:val="center"/>
                </w:tcPr>
                <w:p>
                  <w:pPr>
                    <w:pStyle w:val="38"/>
                    <w:jc w:val="left"/>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生产项目用水用于砂石水泥搅拌</w:t>
                  </w:r>
                  <w:r>
                    <w:rPr>
                      <w:rFonts w:hint="eastAsia" w:cs="Times New Roman"/>
                      <w:b w:val="0"/>
                      <w:color w:val="auto"/>
                      <w:sz w:val="21"/>
                      <w:szCs w:val="21"/>
                      <w:lang w:val="en-US" w:eastAsia="zh-CN"/>
                    </w:rPr>
                    <w:t>进入产品</w:t>
                  </w:r>
                  <w:r>
                    <w:rPr>
                      <w:rFonts w:hint="default" w:ascii="Times New Roman" w:hAnsi="Times New Roman" w:cs="Times New Roman"/>
                      <w:b w:val="0"/>
                      <w:color w:val="auto"/>
                      <w:sz w:val="21"/>
                      <w:szCs w:val="21"/>
                    </w:rPr>
                    <w:t>，</w:t>
                  </w:r>
                  <w:r>
                    <w:rPr>
                      <w:rFonts w:hint="eastAsia" w:cs="Times New Roman"/>
                      <w:b w:val="0"/>
                      <w:color w:val="auto"/>
                      <w:sz w:val="21"/>
                      <w:szCs w:val="21"/>
                      <w:lang w:val="en-US" w:eastAsia="zh-CN"/>
                    </w:rPr>
                    <w:t>冲洗废水经沉淀池回用于生产，</w:t>
                  </w:r>
                  <w:r>
                    <w:rPr>
                      <w:rFonts w:hint="default" w:ascii="Times New Roman" w:hAnsi="Times New Roman" w:cs="Times New Roman"/>
                      <w:b w:val="0"/>
                      <w:color w:val="auto"/>
                      <w:sz w:val="21"/>
                      <w:szCs w:val="21"/>
                    </w:rPr>
                    <w:t>无生产废水</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lang w:val="en-US" w:eastAsia="zh-CN"/>
                    </w:rPr>
                    <w:t>养护用水</w:t>
                  </w:r>
                  <w:r>
                    <w:rPr>
                      <w:rFonts w:hint="eastAsia" w:cs="Times New Roman"/>
                      <w:b w:val="0"/>
                      <w:color w:val="auto"/>
                      <w:sz w:val="21"/>
                      <w:szCs w:val="21"/>
                      <w:lang w:val="en-US" w:eastAsia="zh-CN"/>
                    </w:rPr>
                    <w:t>和控尘用水</w:t>
                  </w:r>
                  <w:r>
                    <w:rPr>
                      <w:rFonts w:hint="default" w:ascii="Times New Roman" w:hAnsi="Times New Roman" w:cs="Times New Roman"/>
                      <w:b w:val="0"/>
                      <w:color w:val="auto"/>
                      <w:sz w:val="21"/>
                      <w:szCs w:val="21"/>
                      <w:lang w:val="en-US" w:eastAsia="zh-CN"/>
                    </w:rPr>
                    <w:t>自然蒸发</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仅产生少量的生活废水，生活废水进入化粪池，经市政污水管网处理后达标排放。</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废水</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365"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噪声</w:t>
                  </w:r>
                </w:p>
              </w:tc>
              <w:tc>
                <w:tcPr>
                  <w:tcW w:w="4445" w:type="dxa"/>
                  <w:tcBorders>
                    <w:tl2br w:val="nil"/>
                    <w:tr2bl w:val="nil"/>
                  </w:tcBorders>
                  <w:shd w:val="clear" w:color="auto" w:fill="FFFFFF"/>
                  <w:vAlign w:val="center"/>
                </w:tcPr>
                <w:p>
                  <w:pPr>
                    <w:widowControl/>
                    <w:autoSpaceDE/>
                    <w:autoSpaceDN/>
                    <w:rPr>
                      <w:rFonts w:ascii="Times New Roman" w:hAnsi="Times New Roman" w:cs="Times New Roman"/>
                      <w:color w:val="auto"/>
                      <w:sz w:val="21"/>
                      <w:szCs w:val="21"/>
                    </w:rPr>
                  </w:pPr>
                  <w:r>
                    <w:rPr>
                      <w:rFonts w:hint="default" w:ascii="Times New Roman" w:hAnsi="Times New Roman" w:cs="Times New Roman"/>
                      <w:color w:val="auto"/>
                      <w:sz w:val="21"/>
                      <w:szCs w:val="21"/>
                    </w:rPr>
                    <w:t>合理平面布置，隔声、减震、距离衰减等</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噪声</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43"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固废</w:t>
                  </w:r>
                </w:p>
              </w:tc>
              <w:tc>
                <w:tcPr>
                  <w:tcW w:w="4445" w:type="dxa"/>
                  <w:tcBorders>
                    <w:tl2br w:val="nil"/>
                    <w:tr2bl w:val="nil"/>
                  </w:tcBorders>
                  <w:shd w:val="clear" w:color="auto" w:fill="FFFFFF"/>
                  <w:vAlign w:val="center"/>
                </w:tcPr>
                <w:p>
                  <w:pPr>
                    <w:pStyle w:val="38"/>
                    <w:jc w:val="left"/>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生活垃圾：办公生活区拟设置垃圾桶收集，再由环卫部门统一清运处理；一般工业固废，运用自建的固废暂存间（共10m</w:t>
                  </w:r>
                  <w:r>
                    <w:rPr>
                      <w:rFonts w:hint="default" w:ascii="Times New Roman" w:hAnsi="Times New Roman" w:cs="Times New Roman"/>
                      <w:b w:val="0"/>
                      <w:color w:val="auto"/>
                      <w:sz w:val="21"/>
                      <w:szCs w:val="21"/>
                      <w:vertAlign w:val="superscript"/>
                    </w:rPr>
                    <w:t>2</w:t>
                  </w:r>
                  <w:r>
                    <w:rPr>
                      <w:rFonts w:hint="default" w:ascii="Times New Roman" w:hAnsi="Times New Roman" w:cs="Times New Roman"/>
                      <w:b w:val="0"/>
                      <w:color w:val="auto"/>
                      <w:sz w:val="21"/>
                      <w:szCs w:val="21"/>
                    </w:rPr>
                    <w:t>），收集废包装材料。</w:t>
                  </w:r>
                  <w:r>
                    <w:rPr>
                      <w:rFonts w:hint="default" w:ascii="Times New Roman" w:hAnsi="Times New Roman" w:cs="Times New Roman"/>
                      <w:b w:val="0"/>
                      <w:color w:val="auto"/>
                      <w:sz w:val="21"/>
                      <w:szCs w:val="21"/>
                      <w:highlight w:val="none"/>
                      <w:lang w:val="en-US" w:eastAsia="zh-CN"/>
                    </w:rPr>
                    <w:t>自建危废暂存间（占地面积约10m</w:t>
                  </w:r>
                  <w:r>
                    <w:rPr>
                      <w:rFonts w:hint="default" w:ascii="Times New Roman" w:hAnsi="Times New Roman" w:cs="Times New Roman"/>
                      <w:b w:val="0"/>
                      <w:color w:val="auto"/>
                      <w:sz w:val="21"/>
                      <w:szCs w:val="21"/>
                      <w:highlight w:val="none"/>
                      <w:vertAlign w:val="superscript"/>
                      <w:lang w:val="en-US" w:eastAsia="zh-CN"/>
                    </w:rPr>
                    <w:t>2</w:t>
                  </w:r>
                  <w:r>
                    <w:rPr>
                      <w:rFonts w:hint="default" w:ascii="Times New Roman" w:hAnsi="Times New Roman" w:cs="Times New Roman"/>
                      <w:b w:val="0"/>
                      <w:color w:val="auto"/>
                      <w:sz w:val="21"/>
                      <w:szCs w:val="21"/>
                      <w:highlight w:val="none"/>
                      <w:lang w:val="en-US" w:eastAsia="zh-CN"/>
                    </w:rPr>
                    <w:t>），做好防渗措施，并签订危废转运协议，交由资质单位集中处理</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固废</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307" w:hRule="atLeast"/>
              </w:trPr>
              <w:tc>
                <w:tcPr>
                  <w:tcW w:w="707" w:type="dxa"/>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储运工程</w:t>
                  </w: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lang w:val="en-US" w:eastAsia="zh-CN"/>
                    </w:rPr>
                    <w:t>堆场及</w:t>
                  </w:r>
                  <w:r>
                    <w:rPr>
                      <w:rFonts w:hint="default" w:ascii="Times New Roman" w:hAnsi="Times New Roman" w:cs="Times New Roman"/>
                      <w:b w:val="0"/>
                      <w:color w:val="auto"/>
                      <w:sz w:val="21"/>
                      <w:szCs w:val="21"/>
                    </w:rPr>
                    <w:t>成品</w:t>
                  </w:r>
                  <w:r>
                    <w:rPr>
                      <w:rFonts w:hint="default" w:ascii="Times New Roman" w:hAnsi="Times New Roman" w:cs="Times New Roman"/>
                      <w:b w:val="0"/>
                      <w:color w:val="auto"/>
                      <w:sz w:val="21"/>
                      <w:szCs w:val="21"/>
                      <w:lang w:val="en-US" w:eastAsia="zh-CN"/>
                    </w:rPr>
                    <w:t>堆场</w:t>
                  </w:r>
                </w:p>
              </w:tc>
              <w:tc>
                <w:tcPr>
                  <w:tcW w:w="4445" w:type="dxa"/>
                  <w:tcBorders>
                    <w:tl2br w:val="nil"/>
                    <w:tr2bl w:val="nil"/>
                  </w:tcBorders>
                  <w:shd w:val="clear" w:color="auto" w:fill="FFFFFF"/>
                  <w:vAlign w:val="center"/>
                </w:tcPr>
                <w:p>
                  <w:pPr>
                    <w:pStyle w:val="38"/>
                    <w:jc w:val="left"/>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设置在厂房外，主要</w:t>
                  </w:r>
                  <w:r>
                    <w:rPr>
                      <w:rFonts w:hint="default" w:ascii="Times New Roman" w:hAnsi="Times New Roman" w:cs="Times New Roman"/>
                      <w:b w:val="0"/>
                      <w:color w:val="auto"/>
                      <w:sz w:val="21"/>
                      <w:szCs w:val="21"/>
                      <w:lang w:val="en-US" w:eastAsia="zh-CN"/>
                    </w:rPr>
                    <w:t>堆放原材料砂石以及</w:t>
                  </w:r>
                  <w:r>
                    <w:rPr>
                      <w:rFonts w:hint="default" w:ascii="Times New Roman" w:hAnsi="Times New Roman" w:cs="Times New Roman"/>
                      <w:b w:val="0"/>
                      <w:color w:val="auto"/>
                      <w:sz w:val="21"/>
                      <w:szCs w:val="21"/>
                    </w:rPr>
                    <w:t>储存成品， 约</w:t>
                  </w:r>
                  <w:r>
                    <w:rPr>
                      <w:rFonts w:hint="eastAsia" w:cs="Times New Roman"/>
                      <w:b w:val="0"/>
                      <w:color w:val="auto"/>
                      <w:sz w:val="21"/>
                      <w:szCs w:val="21"/>
                      <w:lang w:val="en-US" w:eastAsia="zh-CN"/>
                    </w:rPr>
                    <w:t>8</w:t>
                  </w:r>
                  <w:r>
                    <w:rPr>
                      <w:rFonts w:hint="default" w:ascii="Times New Roman" w:hAnsi="Times New Roman" w:cs="Times New Roman"/>
                      <w:b w:val="0"/>
                      <w:color w:val="auto"/>
                      <w:sz w:val="21"/>
                      <w:szCs w:val="21"/>
                    </w:rPr>
                    <w:t>000m</w:t>
                  </w:r>
                  <w:r>
                    <w:rPr>
                      <w:rFonts w:hint="default" w:ascii="Times New Roman" w:hAnsi="Times New Roman" w:cs="Times New Roman"/>
                      <w:b w:val="0"/>
                      <w:color w:val="auto"/>
                      <w:sz w:val="21"/>
                      <w:szCs w:val="21"/>
                      <w:vertAlign w:val="superscript"/>
                    </w:rPr>
                    <w:t>2</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43" w:hRule="atLeast"/>
              </w:trPr>
              <w:tc>
                <w:tcPr>
                  <w:tcW w:w="707" w:type="dxa"/>
                  <w:vMerge w:val="restart"/>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依托工程</w:t>
                  </w:r>
                </w:p>
              </w:tc>
              <w:tc>
                <w:tcPr>
                  <w:tcW w:w="921" w:type="dxa"/>
                  <w:tcBorders>
                    <w:tl2br w:val="nil"/>
                    <w:tr2bl w:val="nil"/>
                  </w:tcBorders>
                  <w:shd w:val="clear" w:color="auto" w:fill="FFFFFF"/>
                  <w:vAlign w:val="center"/>
                </w:tcPr>
                <w:p>
                  <w:pPr>
                    <w:pStyle w:val="38"/>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供电</w:t>
                  </w:r>
                </w:p>
              </w:tc>
              <w:tc>
                <w:tcPr>
                  <w:tcW w:w="4445" w:type="dxa"/>
                  <w:tcBorders>
                    <w:tl2br w:val="nil"/>
                    <w:tr2bl w:val="nil"/>
                  </w:tcBorders>
                  <w:shd w:val="clear" w:color="auto" w:fill="FFFFFF"/>
                  <w:vAlign w:val="center"/>
                </w:tcPr>
                <w:p>
                  <w:pPr>
                    <w:pStyle w:val="38"/>
                    <w:jc w:val="left"/>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由市政电网供电</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43"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给水</w:t>
                  </w:r>
                </w:p>
              </w:tc>
              <w:tc>
                <w:tcPr>
                  <w:tcW w:w="4445" w:type="dxa"/>
                  <w:tcBorders>
                    <w:tl2br w:val="nil"/>
                    <w:tr2bl w:val="nil"/>
                  </w:tcBorders>
                  <w:shd w:val="clear" w:color="auto" w:fill="FFFFFF"/>
                  <w:vAlign w:val="center"/>
                </w:tcPr>
                <w:p>
                  <w:pPr>
                    <w:pStyle w:val="38"/>
                    <w:jc w:val="left"/>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z w:val="21"/>
                      <w:szCs w:val="21"/>
                    </w:rPr>
                    <w:t>由市政管网供水</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90"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生活垃圾处理</w:t>
                  </w:r>
                </w:p>
              </w:tc>
              <w:tc>
                <w:tcPr>
                  <w:tcW w:w="4445" w:type="dxa"/>
                  <w:tcBorders>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依托环卫部门统一清运</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62" w:hRule="atLeast"/>
              </w:trPr>
              <w:tc>
                <w:tcPr>
                  <w:tcW w:w="707" w:type="dxa"/>
                  <w:vMerge w:val="continue"/>
                  <w:tcBorders>
                    <w:lef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废水处理</w:t>
                  </w:r>
                </w:p>
              </w:tc>
              <w:tc>
                <w:tcPr>
                  <w:tcW w:w="4445" w:type="dxa"/>
                  <w:tcBorders>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依托园区预处理池处理，后经市政污水管网至污水处理厂处理后达标排放</w:t>
                  </w:r>
                </w:p>
              </w:tc>
              <w:tc>
                <w:tcPr>
                  <w:tcW w:w="1290" w:type="dxa"/>
                  <w:vMerge w:val="continue"/>
                  <w:tcBorders>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PrEx>
              <w:trPr>
                <w:trHeight w:val="162" w:hRule="atLeast"/>
              </w:trPr>
              <w:tc>
                <w:tcPr>
                  <w:tcW w:w="707" w:type="dxa"/>
                  <w:vMerge w:val="continue"/>
                  <w:tcBorders>
                    <w:left w:val="single" w:color="000000" w:sz="8" w:space="0"/>
                    <w:bottom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921" w:type="dxa"/>
                  <w:tcBorders>
                    <w:bottom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固废暂存</w:t>
                  </w:r>
                </w:p>
              </w:tc>
              <w:tc>
                <w:tcPr>
                  <w:tcW w:w="4445" w:type="dxa"/>
                  <w:tcBorders>
                    <w:bottom w:val="single" w:color="000000" w:sz="8" w:space="0"/>
                    <w:tl2br w:val="nil"/>
                    <w:tr2bl w:val="nil"/>
                  </w:tcBorders>
                  <w:shd w:val="clear" w:color="auto" w:fill="FFFFFF"/>
                  <w:vAlign w:val="center"/>
                </w:tcPr>
                <w:p>
                  <w:pPr>
                    <w:pStyle w:val="38"/>
                    <w:jc w:val="both"/>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项目自行建设固废间进行堆存，现已做好基本防渗、挡风挡雨。</w:t>
                  </w:r>
                </w:p>
              </w:tc>
              <w:tc>
                <w:tcPr>
                  <w:tcW w:w="1290" w:type="dxa"/>
                  <w:tcBorders>
                    <w:bottom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p>
              </w:tc>
              <w:tc>
                <w:tcPr>
                  <w:tcW w:w="1470" w:type="dxa"/>
                  <w:tcBorders>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w:t>
                  </w:r>
                </w:p>
              </w:tc>
            </w:tr>
          </w:tbl>
          <w:p>
            <w:pPr>
              <w:spacing w:line="360" w:lineRule="auto"/>
              <w:jc w:val="both"/>
              <w:rPr>
                <w:rFonts w:ascii="Times New Roman" w:hAnsi="Times New Roman" w:cs="Times New Roman"/>
                <w:color w:val="auto"/>
                <w:sz w:val="24"/>
                <w:szCs w:val="24"/>
              </w:rPr>
            </w:pPr>
            <w:r>
              <w:rPr>
                <w:rFonts w:hint="default" w:ascii="Times New Roman" w:hAnsi="Times New Roman" w:cs="Times New Roman"/>
                <w:b/>
                <w:bCs/>
                <w:color w:val="auto"/>
                <w:sz w:val="24"/>
                <w:szCs w:val="32"/>
                <w:lang w:val="en-US" w:eastAsia="zh-CN"/>
              </w:rPr>
              <w:t>三</w:t>
            </w:r>
            <w:r>
              <w:rPr>
                <w:rFonts w:hint="default" w:ascii="Times New Roman" w:hAnsi="Times New Roman" w:cs="Times New Roman"/>
                <w:b/>
                <w:bCs/>
                <w:color w:val="auto"/>
                <w:sz w:val="24"/>
                <w:szCs w:val="32"/>
              </w:rPr>
              <w:t>、主要产品、工艺设施及原辅材料</w:t>
            </w:r>
          </w:p>
          <w:p>
            <w:pPr>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（一）主要产品</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本次项目主要产品详见下表：</w:t>
            </w:r>
          </w:p>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表2-2  本项目主要产品及产能</w:t>
            </w:r>
          </w:p>
          <w:tbl>
            <w:tblPr>
              <w:tblStyle w:val="25"/>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202"/>
              <w:gridCol w:w="3160"/>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jc w:val="center"/>
              </w:trPr>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22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产品种类</w:t>
                  </w:r>
                </w:p>
              </w:tc>
              <w:tc>
                <w:tcPr>
                  <w:tcW w:w="31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主要规格/形状</w:t>
                  </w:r>
                </w:p>
              </w:tc>
              <w:tc>
                <w:tcPr>
                  <w:tcW w:w="13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年产量</w:t>
                  </w:r>
                </w:p>
              </w:tc>
              <w:tc>
                <w:tcPr>
                  <w:tcW w:w="13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1</w:t>
                  </w:r>
                </w:p>
              </w:tc>
              <w:tc>
                <w:tcPr>
                  <w:tcW w:w="22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lang w:val="en-US" w:eastAsia="zh-CN"/>
                    </w:rPr>
                    <w:t>水泥</w:t>
                  </w:r>
                  <w:r>
                    <w:rPr>
                      <w:rFonts w:hint="default" w:ascii="Times New Roman" w:hAnsi="Times New Roman" w:cs="Times New Roman"/>
                      <w:b w:val="0"/>
                      <w:color w:val="auto"/>
                      <w:sz w:val="21"/>
                      <w:szCs w:val="21"/>
                    </w:rPr>
                    <w:t>制品</w:t>
                  </w:r>
                </w:p>
              </w:tc>
              <w:tc>
                <w:tcPr>
                  <w:tcW w:w="31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固体（</w:t>
                  </w:r>
                  <w:r>
                    <w:rPr>
                      <w:rFonts w:ascii="Times New Roman" w:hAnsi="Times New Roman" w:cs="Times New Roman"/>
                      <w:b w:val="0"/>
                      <w:color w:val="auto"/>
                      <w:sz w:val="21"/>
                      <w:szCs w:val="21"/>
                    </w:rPr>
                    <w:t>Φ</w:t>
                  </w:r>
                  <w:r>
                    <w:rPr>
                      <w:rFonts w:hint="default" w:ascii="Times New Roman" w:hAnsi="Times New Roman" w:cs="Times New Roman"/>
                      <w:b w:val="0"/>
                      <w:color w:val="auto"/>
                      <w:sz w:val="21"/>
                      <w:szCs w:val="21"/>
                    </w:rPr>
                    <w:t>15</w:t>
                  </w:r>
                  <w:r>
                    <w:rPr>
                      <w:rFonts w:ascii="Times New Roman" w:hAnsi="Times New Roman" w:cs="Times New Roman"/>
                      <w:b w:val="0"/>
                      <w:color w:val="auto"/>
                      <w:sz w:val="21"/>
                      <w:szCs w:val="21"/>
                    </w:rPr>
                    <w:t>0</w:t>
                  </w:r>
                  <w:r>
                    <w:rPr>
                      <w:rFonts w:hint="default" w:ascii="Times New Roman" w:hAnsi="Times New Roman" w:cs="Times New Roman"/>
                      <w:b w:val="0"/>
                      <w:color w:val="auto"/>
                      <w:sz w:val="21"/>
                      <w:szCs w:val="21"/>
                    </w:rPr>
                    <w:t>-</w:t>
                  </w:r>
                  <w:r>
                    <w:rPr>
                      <w:rFonts w:hint="eastAsia" w:cs="Times New Roman"/>
                      <w:b w:val="0"/>
                      <w:color w:val="auto"/>
                      <w:sz w:val="21"/>
                      <w:szCs w:val="21"/>
                      <w:lang w:val="en-US" w:eastAsia="zh-CN"/>
                    </w:rPr>
                    <w:t>47</w:t>
                  </w:r>
                  <w:r>
                    <w:rPr>
                      <w:rFonts w:hint="default" w:ascii="Times New Roman" w:hAnsi="Times New Roman" w:cs="Times New Roman"/>
                      <w:b w:val="0"/>
                      <w:color w:val="auto"/>
                      <w:sz w:val="21"/>
                      <w:szCs w:val="21"/>
                    </w:rPr>
                    <w:t>0</w:t>
                  </w:r>
                  <w:r>
                    <w:rPr>
                      <w:rFonts w:ascii="Times New Roman" w:hAnsi="Times New Roman" w:cs="Times New Roman"/>
                      <w:b w:val="0"/>
                      <w:color w:val="auto"/>
                      <w:sz w:val="21"/>
                      <w:szCs w:val="21"/>
                    </w:rPr>
                    <w:t>*9</w:t>
                  </w:r>
                  <w:r>
                    <w:rPr>
                      <w:rFonts w:hint="default" w:ascii="Times New Roman" w:hAnsi="Times New Roman" w:cs="Times New Roman"/>
                      <w:b w:val="0"/>
                      <w:color w:val="auto"/>
                      <w:sz w:val="21"/>
                      <w:szCs w:val="21"/>
                    </w:rPr>
                    <w:t>-12</w:t>
                  </w:r>
                  <w:r>
                    <w:rPr>
                      <w:rFonts w:ascii="Times New Roman" w:hAnsi="Times New Roman" w:cs="Times New Roman"/>
                      <w:b w:val="0"/>
                      <w:color w:val="auto"/>
                      <w:sz w:val="21"/>
                      <w:szCs w:val="21"/>
                    </w:rPr>
                    <w:t>m</w:t>
                  </w:r>
                  <w:r>
                    <w:rPr>
                      <w:rFonts w:hint="default" w:ascii="Times New Roman" w:hAnsi="Times New Roman" w:cs="Times New Roman"/>
                      <w:b w:val="0"/>
                      <w:color w:val="auto"/>
                      <w:sz w:val="21"/>
                      <w:szCs w:val="21"/>
                    </w:rPr>
                    <w:t>）/圆柱状</w:t>
                  </w:r>
                </w:p>
              </w:tc>
              <w:tc>
                <w:tcPr>
                  <w:tcW w:w="13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rPr>
                    <w:t>5万件</w:t>
                  </w:r>
                </w:p>
              </w:tc>
              <w:tc>
                <w:tcPr>
                  <w:tcW w:w="13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color w:val="auto"/>
                      <w:sz w:val="21"/>
                      <w:szCs w:val="21"/>
                    </w:rPr>
                  </w:pPr>
                  <w:r>
                    <w:rPr>
                      <w:rFonts w:hint="default" w:ascii="Times New Roman" w:hAnsi="Times New Roman" w:cs="Times New Roman"/>
                      <w:b w:val="0"/>
                      <w:color w:val="auto"/>
                      <w:sz w:val="21"/>
                      <w:szCs w:val="21"/>
                      <w:lang w:val="en-US" w:eastAsia="zh-CN"/>
                    </w:rPr>
                    <w:t>9</w:t>
                  </w:r>
                  <w:r>
                    <w:rPr>
                      <w:rFonts w:hint="default" w:ascii="Times New Roman" w:hAnsi="Times New Roman" w:cs="Times New Roman"/>
                      <w:b w:val="0"/>
                      <w:color w:val="auto"/>
                      <w:sz w:val="21"/>
                      <w:szCs w:val="21"/>
                    </w:rPr>
                    <w:t>万吨</w:t>
                  </w:r>
                </w:p>
              </w:tc>
            </w:tr>
          </w:tbl>
          <w:p>
            <w:pPr>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（二）主要生产设备</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本项目主要生产设备设施详见下表：</w:t>
            </w:r>
          </w:p>
          <w:p>
            <w:pPr>
              <w:pStyle w:val="38"/>
              <w:rPr>
                <w:rFonts w:ascii="Times New Roman" w:hAnsi="Times New Roman" w:cs="Times New Roman"/>
                <w:bCs/>
                <w:color w:val="auto"/>
                <w:sz w:val="21"/>
                <w:szCs w:val="21"/>
              </w:rPr>
            </w:pPr>
            <w:r>
              <w:rPr>
                <w:rFonts w:hint="default" w:ascii="Times New Roman" w:hAnsi="Times New Roman" w:cs="Times New Roman"/>
                <w:bCs/>
                <w:color w:val="auto"/>
                <w:sz w:val="21"/>
                <w:szCs w:val="21"/>
              </w:rPr>
              <w:t xml:space="preserve">表2-3  </w:t>
            </w:r>
            <w:r>
              <w:rPr>
                <w:rFonts w:hint="default" w:ascii="Times New Roman" w:hAnsi="Times New Roman" w:cs="Times New Roman"/>
                <w:bCs/>
                <w:color w:val="auto"/>
                <w:sz w:val="21"/>
                <w:szCs w:val="21"/>
                <w:lang w:val="en-US" w:eastAsia="zh-CN"/>
              </w:rPr>
              <w:t>水泥</w:t>
            </w:r>
            <w:r>
              <w:rPr>
                <w:rFonts w:hint="default" w:ascii="Times New Roman" w:hAnsi="Times New Roman" w:cs="Times New Roman"/>
                <w:bCs/>
                <w:color w:val="auto"/>
                <w:sz w:val="21"/>
                <w:szCs w:val="21"/>
              </w:rPr>
              <w:t>制品主要生产设备设施一览表</w:t>
            </w:r>
          </w:p>
          <w:tbl>
            <w:tblPr>
              <w:tblStyle w:val="25"/>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387"/>
              <w:gridCol w:w="2073"/>
              <w:gridCol w:w="1186"/>
              <w:gridCol w:w="1063"/>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9"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设备名称</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规格型号规格型号</w:t>
                  </w:r>
                </w:p>
              </w:tc>
              <w:tc>
                <w:tcPr>
                  <w:tcW w:w="11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放置位置</w:t>
                  </w: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天然气</w:t>
                  </w:r>
                  <w:r>
                    <w:rPr>
                      <w:rFonts w:hint="default" w:ascii="Times New Roman" w:hAnsi="Times New Roman" w:cs="Times New Roman"/>
                      <w:color w:val="auto"/>
                      <w:kern w:val="2"/>
                      <w:sz w:val="21"/>
                      <w:szCs w:val="21"/>
                    </w:rPr>
                    <w:t>蒸汽锅炉</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bCs/>
                      <w:color w:val="auto"/>
                      <w:sz w:val="21"/>
                      <w:szCs w:val="21"/>
                    </w:rPr>
                    <w:t>NS1-1-Y</w:t>
                  </w:r>
                </w:p>
              </w:tc>
              <w:tc>
                <w:tcPr>
                  <w:tcW w:w="1186" w:type="dxa"/>
                  <w:vMerge w:val="restart"/>
                  <w:tcBorders>
                    <w:top w:val="single" w:color="000000" w:sz="8" w:space="0"/>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生产区</w:t>
                  </w: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hint="default" w:ascii="Times New Roman" w:hAnsi="Times New Roman" w:cs="Times New Roman"/>
                      <w:color w:val="auto"/>
                      <w:sz w:val="21"/>
                      <w:szCs w:val="21"/>
                    </w:rPr>
                    <w:t>离心机（双组）</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eastAsia="微软雅黑" w:cs="Times New Roman"/>
                      <w:color w:val="auto"/>
                      <w:sz w:val="21"/>
                      <w:szCs w:val="21"/>
                      <w:shd w:val="clear" w:color="auto" w:fill="FFFFFF"/>
                    </w:rPr>
                    <w:t>45</w:t>
                  </w:r>
                  <w:r>
                    <w:rPr>
                      <w:rFonts w:hint="default" w:ascii="Times New Roman" w:hAnsi="Times New Roman" w:cs="Times New Roman"/>
                      <w:color w:val="auto"/>
                      <w:sz w:val="21"/>
                      <w:szCs w:val="21"/>
                      <w:shd w:val="clear" w:color="auto" w:fill="FFFFFF"/>
                    </w:rPr>
                    <w:t>千瓦电机</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3</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行车</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MH5T-15M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行车</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微软雅黑" w:cs="Times New Roman"/>
                      <w:color w:val="auto"/>
                      <w:sz w:val="21"/>
                      <w:szCs w:val="21"/>
                      <w:shd w:val="clear" w:color="auto" w:fill="FFFFFF"/>
                    </w:rPr>
                  </w:pPr>
                  <w:r>
                    <w:rPr>
                      <w:rFonts w:hint="default" w:ascii="Times New Roman" w:hAnsi="Times New Roman" w:cs="Times New Roman"/>
                      <w:color w:val="auto"/>
                      <w:sz w:val="21"/>
                      <w:szCs w:val="21"/>
                    </w:rPr>
                    <w:t>MH5T-25M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hint="default" w:ascii="Times New Roman" w:hAnsi="Times New Roman" w:cs="Times New Roman"/>
                      <w:color w:val="auto"/>
                      <w:sz w:val="21"/>
                      <w:szCs w:val="21"/>
                    </w:rPr>
                    <w:t>5</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500型</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hint="default" w:ascii="Times New Roman" w:hAnsi="Times New Roman" w:cs="Times New Roman"/>
                      <w:color w:val="auto"/>
                      <w:sz w:val="21"/>
                      <w:szCs w:val="21"/>
                    </w:rPr>
                    <w:t>6</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搅拌机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250型</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Fonts w:hint="default" w:ascii="Times New Roman" w:hAnsi="Times New Roman" w:cs="Times New Roman"/>
                      <w:color w:val="auto"/>
                      <w:sz w:val="21"/>
                      <w:szCs w:val="21"/>
                    </w:rPr>
                    <w:t>7</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散装水泥罐</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100吨</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电焊机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500型</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kern w:val="2"/>
                      <w:sz w:val="21"/>
                      <w:szCs w:val="21"/>
                    </w:rPr>
                  </w:pPr>
                  <w:r>
                    <w:rPr>
                      <w:rFonts w:hint="default" w:ascii="Times New Roman" w:hAnsi="Times New Roman" w:cs="Times New Roman"/>
                      <w:color w:val="auto"/>
                      <w:sz w:val="21"/>
                      <w:szCs w:val="21"/>
                    </w:rPr>
                    <w:t>电焊机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400型</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张拉机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60T</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墩头机</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20T</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Φ350*9m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47</w:t>
                  </w:r>
                  <w:r>
                    <w:rPr>
                      <w:rFonts w:ascii="Times New Roman" w:hAnsi="Times New Roman" w:cs="Times New Roman"/>
                      <w:bCs/>
                      <w:color w:val="auto"/>
                      <w:sz w:val="21"/>
                      <w:szCs w:val="21"/>
                    </w:rPr>
                    <w:t>0*9m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Φ3</w:t>
                  </w:r>
                  <w:r>
                    <w:rPr>
                      <w:rFonts w:hint="default" w:ascii="Times New Roman" w:hAnsi="Times New Roman" w:cs="Times New Roman"/>
                      <w:bCs/>
                      <w:color w:val="auto"/>
                      <w:sz w:val="21"/>
                      <w:szCs w:val="21"/>
                    </w:rPr>
                    <w:t>1</w:t>
                  </w:r>
                  <w:r>
                    <w:rPr>
                      <w:rFonts w:ascii="Times New Roman" w:hAnsi="Times New Roman" w:cs="Times New Roman"/>
                      <w:bCs/>
                      <w:color w:val="auto"/>
                      <w:sz w:val="21"/>
                      <w:szCs w:val="21"/>
                    </w:rPr>
                    <w:t>0*9m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Φ350*</w:t>
                  </w:r>
                  <w:r>
                    <w:rPr>
                      <w:rFonts w:hint="default" w:ascii="Times New Roman" w:hAnsi="Times New Roman" w:cs="Times New Roman"/>
                      <w:bCs/>
                      <w:color w:val="auto"/>
                      <w:sz w:val="21"/>
                      <w:szCs w:val="21"/>
                    </w:rPr>
                    <w:t>6</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19</w:t>
                  </w:r>
                  <w:r>
                    <w:rPr>
                      <w:rFonts w:ascii="Times New Roman" w:hAnsi="Times New Roman" w:cs="Times New Roman"/>
                      <w:bCs/>
                      <w:color w:val="auto"/>
                      <w:sz w:val="21"/>
                      <w:szCs w:val="21"/>
                    </w:rPr>
                    <w:t>0*</w:t>
                  </w:r>
                  <w:r>
                    <w:rPr>
                      <w:rFonts w:hint="default" w:ascii="Times New Roman" w:hAnsi="Times New Roman" w:cs="Times New Roman"/>
                      <w:bCs/>
                      <w:color w:val="auto"/>
                      <w:sz w:val="21"/>
                      <w:szCs w:val="21"/>
                    </w:rPr>
                    <w:t>12</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387"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19</w:t>
                  </w:r>
                  <w:r>
                    <w:rPr>
                      <w:rFonts w:ascii="Times New Roman" w:hAnsi="Times New Roman" w:cs="Times New Roman"/>
                      <w:bCs/>
                      <w:color w:val="auto"/>
                      <w:sz w:val="21"/>
                      <w:szCs w:val="21"/>
                    </w:rPr>
                    <w:t>0*</w:t>
                  </w:r>
                  <w:r>
                    <w:rPr>
                      <w:rFonts w:hint="default" w:ascii="Times New Roman" w:hAnsi="Times New Roman" w:cs="Times New Roman"/>
                      <w:bCs/>
                      <w:color w:val="auto"/>
                      <w:sz w:val="21"/>
                      <w:szCs w:val="21"/>
                    </w:rPr>
                    <w:t>10</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p>
              </w:tc>
              <w:tc>
                <w:tcPr>
                  <w:tcW w:w="10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w:t>
                  </w:r>
                  <w:r>
                    <w:rPr>
                      <w:rFonts w:ascii="Times New Roman" w:hAnsi="Times New Roman" w:cs="Times New Roman"/>
                      <w:bCs/>
                      <w:color w:val="auto"/>
                      <w:sz w:val="21"/>
                      <w:szCs w:val="21"/>
                    </w:rPr>
                    <w:t>50*</w:t>
                  </w:r>
                  <w:r>
                    <w:rPr>
                      <w:rFonts w:hint="default" w:ascii="Times New Roman" w:hAnsi="Times New Roman" w:cs="Times New Roman"/>
                      <w:bCs/>
                      <w:color w:val="auto"/>
                      <w:sz w:val="21"/>
                      <w:szCs w:val="21"/>
                    </w:rPr>
                    <w:t>10</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w:t>
                  </w:r>
                  <w:r>
                    <w:rPr>
                      <w:rFonts w:ascii="Times New Roman" w:hAnsi="Times New Roman" w:cs="Times New Roman"/>
                      <w:bCs/>
                      <w:color w:val="auto"/>
                      <w:sz w:val="21"/>
                      <w:szCs w:val="21"/>
                    </w:rPr>
                    <w:t>50*9m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电杆模具</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19</w:t>
                  </w:r>
                  <w:r>
                    <w:rPr>
                      <w:rFonts w:ascii="Times New Roman" w:hAnsi="Times New Roman" w:cs="Times New Roman"/>
                      <w:bCs/>
                      <w:color w:val="auto"/>
                      <w:sz w:val="21"/>
                      <w:szCs w:val="21"/>
                    </w:rPr>
                    <w:t>0*9m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根</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打圈机</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8m</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滚焊机</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hint="default" w:ascii="Times New Roman" w:hAnsi="Times New Roman" w:cs="Times New Roman"/>
                      <w:bCs/>
                      <w:color w:val="auto"/>
                      <w:sz w:val="21"/>
                      <w:szCs w:val="21"/>
                    </w:rPr>
                    <w:t>15m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76"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2387" w:type="dxa"/>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调直机</w:t>
                  </w:r>
                </w:p>
              </w:tc>
              <w:tc>
                <w:tcPr>
                  <w:tcW w:w="2073" w:type="dxa"/>
                  <w:vAlign w:val="center"/>
                </w:tcPr>
                <w:p>
                  <w:pPr>
                    <w:widowControl/>
                    <w:jc w:val="center"/>
                    <w:textAlignment w:val="center"/>
                    <w:rPr>
                      <w:rFonts w:ascii="Times New Roman" w:hAnsi="Times New Roman" w:cs="Times New Roman"/>
                      <w:bCs/>
                      <w:color w:val="auto"/>
                      <w:sz w:val="21"/>
                      <w:szCs w:val="21"/>
                    </w:rPr>
                  </w:pPr>
                  <w:r>
                    <w:rPr>
                      <w:rFonts w:ascii="Times New Roman" w:hAnsi="Times New Roman" w:cs="Times New Roman"/>
                      <w:bCs/>
                      <w:color w:val="auto"/>
                      <w:sz w:val="21"/>
                      <w:szCs w:val="21"/>
                    </w:rPr>
                    <w:t>Φ</w:t>
                  </w:r>
                  <w:r>
                    <w:rPr>
                      <w:rFonts w:hint="default" w:ascii="Times New Roman" w:hAnsi="Times New Roman" w:cs="Times New Roman"/>
                      <w:bCs/>
                      <w:color w:val="auto"/>
                      <w:sz w:val="21"/>
                      <w:szCs w:val="21"/>
                    </w:rPr>
                    <w:t>16m</w:t>
                  </w:r>
                  <w:r>
                    <w:rPr>
                      <w:rFonts w:ascii="Times New Roman" w:hAnsi="Times New Roman" w:cs="Times New Roman"/>
                      <w:bCs/>
                      <w:color w:val="auto"/>
                      <w:sz w:val="21"/>
                      <w:szCs w:val="21"/>
                    </w:rPr>
                    <w:t>m</w:t>
                  </w:r>
                </w:p>
              </w:tc>
              <w:tc>
                <w:tcPr>
                  <w:tcW w:w="1186" w:type="dxa"/>
                  <w:vMerge w:val="continue"/>
                  <w:tcBorders>
                    <w:left w:val="single" w:color="000000" w:sz="8" w:space="0"/>
                    <w:right w:val="single" w:color="000000" w:sz="8" w:space="0"/>
                  </w:tcBorders>
                  <w:vAlign w:val="center"/>
                </w:tcPr>
                <w:p>
                  <w:pPr>
                    <w:autoSpaceDE/>
                    <w:autoSpaceDN/>
                    <w:jc w:val="center"/>
                    <w:rPr>
                      <w:rFonts w:ascii="Times New Roman" w:hAnsi="Times New Roman" w:cs="Times New Roman"/>
                      <w:color w:val="auto"/>
                      <w:sz w:val="21"/>
                      <w:szCs w:val="21"/>
                    </w:rPr>
                  </w:pPr>
                </w:p>
              </w:tc>
              <w:tc>
                <w:tcPr>
                  <w:tcW w:w="1063"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台</w:t>
                  </w:r>
                </w:p>
              </w:tc>
              <w:tc>
                <w:tcPr>
                  <w:tcW w:w="1214" w:type="dxa"/>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r>
          </w:tbl>
          <w:p>
            <w:pPr>
              <w:pStyle w:val="38"/>
              <w:rPr>
                <w:rFonts w:ascii="Times New Roman" w:hAnsi="Times New Roman" w:cs="Times New Roman"/>
                <w:bCs/>
                <w:color w:val="auto"/>
                <w:sz w:val="21"/>
                <w:szCs w:val="28"/>
              </w:rPr>
            </w:pPr>
          </w:p>
          <w:p>
            <w:pPr>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（三）主要原辅材料</w:t>
            </w:r>
          </w:p>
          <w:p>
            <w:pPr>
              <w:spacing w:line="360" w:lineRule="auto"/>
              <w:ind w:firstLine="480" w:firstLineChars="200"/>
              <w:jc w:val="both"/>
              <w:rPr>
                <w:rFonts w:ascii="Times New Roman" w:hAnsi="Times New Roman" w:cs="Times New Roman"/>
                <w:b/>
                <w:color w:val="auto"/>
                <w:sz w:val="21"/>
                <w:szCs w:val="28"/>
              </w:rPr>
            </w:pPr>
            <w:r>
              <w:rPr>
                <w:rFonts w:hint="default" w:ascii="Times New Roman" w:hAnsi="Times New Roman" w:cs="Times New Roman"/>
                <w:color w:val="auto"/>
                <w:sz w:val="24"/>
                <w:szCs w:val="32"/>
              </w:rPr>
              <w:t>本项目主要原辅材料种类和用量详见下表：</w:t>
            </w:r>
          </w:p>
          <w:p>
            <w:pPr>
              <w:ind w:firstLine="422" w:firstLineChars="200"/>
              <w:jc w:val="center"/>
              <w:rPr>
                <w:rFonts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ascii="Times New Roman" w:hAnsi="Times New Roman" w:cs="Times New Roman"/>
                <w:b/>
                <w:color w:val="auto"/>
                <w:sz w:val="21"/>
                <w:szCs w:val="21"/>
              </w:rPr>
              <w:t>2-</w:t>
            </w:r>
            <w:r>
              <w:rPr>
                <w:rFonts w:hint="default" w:ascii="Times New Roman" w:hAnsi="Times New Roman" w:cs="Times New Roman"/>
                <w:b/>
                <w:color w:val="auto"/>
                <w:sz w:val="21"/>
                <w:szCs w:val="21"/>
              </w:rPr>
              <w:t>4</w:t>
            </w:r>
            <w:r>
              <w:rPr>
                <w:rFonts w:ascii="Times New Roman" w:hAnsi="Times New Roman" w:cs="Times New Roman"/>
                <w:b/>
                <w:color w:val="auto"/>
                <w:sz w:val="21"/>
                <w:szCs w:val="21"/>
              </w:rPr>
              <w:t xml:space="preserve"> </w:t>
            </w:r>
            <w:r>
              <w:rPr>
                <w:rFonts w:hint="default" w:ascii="Times New Roman" w:hAnsi="Times New Roman" w:cs="Times New Roman"/>
                <w:b/>
                <w:bCs/>
                <w:color w:val="auto"/>
                <w:sz w:val="21"/>
                <w:szCs w:val="21"/>
                <w:lang w:val="en-US" w:eastAsia="zh-CN"/>
              </w:rPr>
              <w:t>水泥</w:t>
            </w:r>
            <w:r>
              <w:rPr>
                <w:rFonts w:hint="default" w:ascii="Times New Roman" w:hAnsi="Times New Roman" w:cs="Times New Roman"/>
                <w:b/>
                <w:color w:val="auto"/>
                <w:sz w:val="21"/>
                <w:szCs w:val="21"/>
              </w:rPr>
              <w:t>制品主要原辅材料消耗情况表</w:t>
            </w:r>
          </w:p>
          <w:tbl>
            <w:tblPr>
              <w:tblStyle w:val="24"/>
              <w:tblW w:w="8463"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61"/>
              <w:gridCol w:w="1780"/>
              <w:gridCol w:w="1263"/>
              <w:gridCol w:w="915"/>
              <w:gridCol w:w="1703"/>
              <w:gridCol w:w="2041"/>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39"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原（辅）料名称</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年用量</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来源</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包装方式</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规格</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1</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砂子</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ascii="Times New Roman" w:hAnsi="Times New Roman" w:cs="Times New Roman"/>
                      <w:color w:val="auto"/>
                      <w:szCs w:val="21"/>
                    </w:rPr>
                  </w:pPr>
                  <w:r>
                    <w:rPr>
                      <w:rStyle w:val="39"/>
                      <w:rFonts w:hint="default" w:ascii="Times New Roman" w:hAnsi="Times New Roman" w:eastAsia="宋体" w:cs="Times New Roman"/>
                      <w:color w:val="auto"/>
                      <w:szCs w:val="21"/>
                    </w:rPr>
                    <w:t>2万吨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lang w:val="en-US"/>
                    </w:rPr>
                  </w:pPr>
                  <w:r>
                    <w:rPr>
                      <w:rStyle w:val="39"/>
                      <w:rFonts w:hint="default" w:ascii="Times New Roman" w:hAnsi="Times New Roman" w:cs="Times New Roman"/>
                      <w:color w:val="auto"/>
                      <w:szCs w:val="21"/>
                    </w:rPr>
                    <w:t>固体/</w:t>
                  </w:r>
                  <w:r>
                    <w:rPr>
                      <w:rStyle w:val="39"/>
                      <w:rFonts w:hint="default" w:ascii="Times New Roman" w:hAnsi="Times New Roman" w:cs="Times New Roman"/>
                      <w:color w:val="auto"/>
                      <w:szCs w:val="21"/>
                      <w:lang w:val="en-US"/>
                    </w:rPr>
                    <w:t>无包装</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20吨/车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2</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石子</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ascii="Times New Roman" w:hAnsi="Times New Roman" w:cs="Times New Roman"/>
                      <w:color w:val="auto"/>
                      <w:szCs w:val="21"/>
                    </w:rPr>
                  </w:pPr>
                  <w:r>
                    <w:rPr>
                      <w:rStyle w:val="39"/>
                      <w:rFonts w:hint="default" w:ascii="Times New Roman" w:hAnsi="Times New Roman" w:eastAsia="宋体" w:cs="Times New Roman"/>
                      <w:color w:val="auto"/>
                      <w:szCs w:val="21"/>
                    </w:rPr>
                    <w:t>2.7万吨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lang w:val="en-US"/>
                    </w:rPr>
                  </w:pPr>
                  <w:r>
                    <w:rPr>
                      <w:rStyle w:val="39"/>
                      <w:rFonts w:hint="default" w:ascii="Times New Roman" w:hAnsi="Times New Roman" w:cs="Times New Roman"/>
                      <w:color w:val="auto"/>
                      <w:szCs w:val="21"/>
                    </w:rPr>
                    <w:t>固体/</w:t>
                  </w:r>
                  <w:r>
                    <w:rPr>
                      <w:rStyle w:val="39"/>
                      <w:rFonts w:hint="default" w:ascii="Times New Roman" w:hAnsi="Times New Roman" w:cs="Times New Roman"/>
                      <w:color w:val="auto"/>
                      <w:szCs w:val="21"/>
                      <w:lang w:val="en-US"/>
                    </w:rPr>
                    <w:t>无包装</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20吨/车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3</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Style w:val="39"/>
                      <w:rFonts w:hint="default" w:ascii="Times New Roman" w:hAnsi="Times New Roman" w:cs="Times New Roman"/>
                      <w:color w:val="auto"/>
                      <w:szCs w:val="21"/>
                    </w:rPr>
                    <w:t>水泥</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ascii="Times New Roman" w:hAnsi="Times New Roman" w:cs="Times New Roman"/>
                      <w:color w:val="auto"/>
                      <w:szCs w:val="21"/>
                    </w:rPr>
                  </w:pPr>
                  <w:r>
                    <w:rPr>
                      <w:rStyle w:val="39"/>
                      <w:rFonts w:hint="default" w:ascii="Times New Roman" w:hAnsi="Times New Roman" w:eastAsia="宋体" w:cs="Times New Roman"/>
                      <w:color w:val="auto"/>
                      <w:szCs w:val="21"/>
                    </w:rPr>
                    <w:t>2.1万吨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固体/散装</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32吨/车</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kern w:val="2"/>
                      <w:sz w:val="21"/>
                      <w:szCs w:val="21"/>
                    </w:rPr>
                  </w:pPr>
                  <w:r>
                    <w:rPr>
                      <w:rFonts w:hint="default" w:ascii="Times New Roman" w:hAnsi="Times New Roman" w:cs="Times New Roman"/>
                      <w:color w:val="auto"/>
                      <w:sz w:val="21"/>
                      <w:szCs w:val="21"/>
                    </w:rPr>
                    <w:t>4</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sz w:val="21"/>
                      <w:szCs w:val="21"/>
                    </w:rPr>
                  </w:pPr>
                  <w:r>
                    <w:rPr>
                      <w:rStyle w:val="39"/>
                      <w:rFonts w:hint="default" w:ascii="Times New Roman" w:hAnsi="Times New Roman" w:cs="Times New Roman"/>
                      <w:color w:val="auto"/>
                      <w:szCs w:val="21"/>
                    </w:rPr>
                    <w:t>钢筋</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ascii="Times New Roman" w:hAnsi="Times New Roman" w:cs="Times New Roman"/>
                      <w:color w:val="auto"/>
                      <w:szCs w:val="21"/>
                    </w:rPr>
                  </w:pPr>
                  <w:r>
                    <w:rPr>
                      <w:rStyle w:val="39"/>
                      <w:rFonts w:hint="default" w:ascii="Times New Roman" w:hAnsi="Times New Roman" w:eastAsia="宋体" w:cs="Times New Roman"/>
                      <w:color w:val="auto"/>
                      <w:szCs w:val="21"/>
                    </w:rPr>
                    <w:t>1.5万吨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固体</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ascii="Times New Roman" w:hAnsi="Times New Roman" w:cs="Times New Roman"/>
                      <w:color w:val="auto"/>
                      <w:szCs w:val="21"/>
                    </w:rPr>
                  </w:pPr>
                  <w:r>
                    <w:rPr>
                      <w:rStyle w:val="39"/>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脱膜剂A型</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Style w:val="39"/>
                      <w:rFonts w:hint="default" w:ascii="Times New Roman" w:hAnsi="Times New Roman" w:eastAsia="宋体" w:cs="Times New Roman"/>
                      <w:color w:val="auto"/>
                      <w:szCs w:val="21"/>
                      <w:highlight w:val="none"/>
                      <w:lang w:val="en-US"/>
                    </w:rPr>
                  </w:pPr>
                  <w:r>
                    <w:rPr>
                      <w:rStyle w:val="39"/>
                      <w:rFonts w:hint="default" w:ascii="Times New Roman" w:hAnsi="Times New Roman" w:eastAsia="宋体" w:cs="Times New Roman"/>
                      <w:color w:val="auto"/>
                      <w:szCs w:val="21"/>
                      <w:highlight w:val="none"/>
                      <w:lang w:val="en-US"/>
                    </w:rPr>
                    <w:t>0.5吨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液态/铁桶贮存</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100kg/桶</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6</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焊条</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Style w:val="39"/>
                      <w:rFonts w:hint="default" w:ascii="Times New Roman" w:hAnsi="Times New Roman" w:eastAsia="宋体" w:cs="Times New Roman"/>
                      <w:color w:val="auto"/>
                      <w:szCs w:val="21"/>
                      <w:highlight w:val="none"/>
                      <w:lang w:val="en-US"/>
                    </w:rPr>
                  </w:pPr>
                  <w:r>
                    <w:rPr>
                      <w:rStyle w:val="39"/>
                      <w:rFonts w:hint="eastAsia" w:ascii="Times New Roman" w:hAnsi="Times New Roman" w:eastAsia="宋体" w:cs="Times New Roman"/>
                      <w:color w:val="auto"/>
                      <w:szCs w:val="21"/>
                      <w:highlight w:val="none"/>
                      <w:lang w:val="en-US"/>
                    </w:rPr>
                    <w:t>2</w:t>
                  </w:r>
                  <w:r>
                    <w:rPr>
                      <w:rStyle w:val="39"/>
                      <w:rFonts w:hint="default" w:ascii="Times New Roman" w:hAnsi="Times New Roman" w:eastAsia="宋体" w:cs="Times New Roman"/>
                      <w:color w:val="auto"/>
                      <w:szCs w:val="21"/>
                      <w:highlight w:val="none"/>
                      <w:lang w:val="en-US"/>
                    </w:rPr>
                    <w:t>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cs="Times New Roman"/>
                      <w:color w:val="auto"/>
                      <w:szCs w:val="21"/>
                    </w:rPr>
                    <w:t>外购</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cs="Times New Roman"/>
                      <w:color w:val="auto"/>
                      <w:szCs w:val="21"/>
                    </w:rPr>
                    <w:t>固体</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highlight w:val="none"/>
                      <w:lang w:val="en-US"/>
                    </w:rPr>
                  </w:pPr>
                  <w:r>
                    <w:rPr>
                      <w:rStyle w:val="39"/>
                      <w:rFonts w:hint="default" w:ascii="Times New Roman" w:hAnsi="Times New Roman" w:cs="Times New Roman"/>
                      <w:color w:val="auto"/>
                      <w:szCs w:val="21"/>
                      <w:highlight w:val="none"/>
                      <w:lang w:val="en-US"/>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7</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电</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ascii="Times New Roman" w:hAnsi="Times New Roman" w:cs="Times New Roman"/>
                      <w:color w:val="auto"/>
                      <w:szCs w:val="21"/>
                    </w:rPr>
                  </w:pPr>
                  <w:r>
                    <w:rPr>
                      <w:rStyle w:val="39"/>
                      <w:rFonts w:hint="default" w:ascii="Times New Roman" w:hAnsi="Times New Roman" w:eastAsia="宋体" w:cs="Times New Roman"/>
                      <w:color w:val="auto"/>
                      <w:sz w:val="21"/>
                      <w:szCs w:val="21"/>
                      <w:highlight w:val="none"/>
                      <w:lang w:val="en-US" w:eastAsia="zh-CN"/>
                    </w:rPr>
                    <w:t>40万</w:t>
                  </w:r>
                  <w:r>
                    <w:rPr>
                      <w:rStyle w:val="39"/>
                      <w:rFonts w:hint="default" w:ascii="Times New Roman" w:hAnsi="Times New Roman" w:eastAsia="宋体" w:cs="Times New Roman"/>
                      <w:color w:val="auto"/>
                      <w:sz w:val="21"/>
                      <w:szCs w:val="21"/>
                      <w:highlight w:val="none"/>
                      <w:lang w:val="en-US"/>
                    </w:rPr>
                    <w:t>kwh</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8</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cs="Times New Roman"/>
                      <w:color w:val="auto"/>
                      <w:szCs w:val="21"/>
                    </w:rPr>
                    <w:t>水</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Fonts w:hint="default" w:ascii="Times New Roman" w:hAnsi="Times New Roman" w:eastAsia="仿宋_GB2312" w:cs="Times New Roman"/>
                      <w:color w:val="auto"/>
                      <w:kern w:val="2"/>
                      <w:sz w:val="21"/>
                      <w:szCs w:val="21"/>
                      <w:lang w:val="en-US" w:eastAsia="zh-CN" w:bidi="ar-SA"/>
                    </w:rPr>
                  </w:pPr>
                  <w:r>
                    <w:rPr>
                      <w:rStyle w:val="39"/>
                      <w:rFonts w:hint="default" w:ascii="Times New Roman" w:hAnsi="Times New Roman" w:eastAsia="宋体" w:cs="Times New Roman"/>
                      <w:color w:val="auto"/>
                      <w:szCs w:val="21"/>
                    </w:rPr>
                    <w:t>0.7</w:t>
                  </w:r>
                  <w:r>
                    <w:rPr>
                      <w:rStyle w:val="39"/>
                      <w:rFonts w:hint="eastAsia" w:ascii="Times New Roman" w:hAnsi="Times New Roman" w:eastAsia="宋体" w:cs="Times New Roman"/>
                      <w:color w:val="auto"/>
                      <w:szCs w:val="21"/>
                      <w:lang w:val="en-US"/>
                    </w:rPr>
                    <w:t>2</w:t>
                  </w:r>
                  <w:r>
                    <w:rPr>
                      <w:rStyle w:val="39"/>
                      <w:rFonts w:hint="default" w:ascii="Times New Roman" w:hAnsi="Times New Roman" w:eastAsia="宋体" w:cs="Times New Roman"/>
                      <w:color w:val="auto"/>
                      <w:szCs w:val="21"/>
                    </w:rPr>
                    <w:t>万吨</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cs="Times New Roman"/>
                      <w:color w:val="auto"/>
                      <w:szCs w:val="21"/>
                      <w:lang w:val="en-US"/>
                    </w:rPr>
                    <w:t>/</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PrEx>
              <w:trPr>
                <w:trHeight w:val="245" w:hRule="atLeast"/>
                <w:jc w:val="center"/>
              </w:trPr>
              <w:tc>
                <w:tcPr>
                  <w:tcW w:w="76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w:t>
                  </w:r>
                </w:p>
              </w:tc>
              <w:tc>
                <w:tcPr>
                  <w:tcW w:w="1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lang w:val="en-US"/>
                    </w:rPr>
                  </w:pPr>
                  <w:r>
                    <w:rPr>
                      <w:rStyle w:val="39"/>
                      <w:rFonts w:hint="eastAsia" w:ascii="Times New Roman" w:hAnsi="Times New Roman" w:cs="Times New Roman"/>
                      <w:color w:val="auto"/>
                      <w:szCs w:val="21"/>
                      <w:lang w:val="en-US"/>
                    </w:rPr>
                    <w:t>天然气</w:t>
                  </w:r>
                </w:p>
              </w:tc>
              <w:tc>
                <w:tcPr>
                  <w:tcW w:w="12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40"/>
                    <w:widowControl/>
                    <w:autoSpaceDE/>
                    <w:autoSpaceDN/>
                    <w:spacing w:line="240" w:lineRule="auto"/>
                    <w:rPr>
                      <w:rStyle w:val="39"/>
                      <w:rFonts w:hint="default" w:ascii="Times New Roman" w:hAnsi="Times New Roman" w:eastAsia="宋体" w:cs="Times New Roman"/>
                      <w:color w:val="auto"/>
                      <w:szCs w:val="21"/>
                      <w:lang w:val="en-US"/>
                    </w:rPr>
                  </w:pPr>
                  <w:r>
                    <w:rPr>
                      <w:rStyle w:val="39"/>
                      <w:rFonts w:hint="default" w:ascii="Times New Roman" w:hAnsi="Times New Roman" w:eastAsia="宋体" w:cs="Times New Roman"/>
                      <w:color w:val="auto"/>
                      <w:szCs w:val="21"/>
                      <w:lang w:val="en-US"/>
                    </w:rPr>
                    <w:t>2万m</w:t>
                  </w:r>
                  <w:r>
                    <w:rPr>
                      <w:rStyle w:val="39"/>
                      <w:rFonts w:hint="default" w:ascii="Times New Roman" w:hAnsi="Times New Roman" w:eastAsia="宋体" w:cs="Times New Roman"/>
                      <w:color w:val="auto"/>
                      <w:szCs w:val="21"/>
                      <w:vertAlign w:val="superscript"/>
                      <w:lang w:val="en-US"/>
                    </w:rPr>
                    <w:t>3</w:t>
                  </w:r>
                </w:p>
              </w:tc>
              <w:tc>
                <w:tcPr>
                  <w:tcW w:w="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17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Style w:val="39"/>
                      <w:rFonts w:hint="default" w:ascii="Times New Roman" w:hAnsi="Times New Roman" w:cs="Times New Roman"/>
                      <w:color w:val="auto"/>
                      <w:szCs w:val="21"/>
                      <w:lang w:val="en-US"/>
                    </w:rPr>
                  </w:pPr>
                  <w:r>
                    <w:rPr>
                      <w:rStyle w:val="39"/>
                      <w:rFonts w:hint="default" w:ascii="Times New Roman" w:hAnsi="Times New Roman" w:cs="Times New Roman"/>
                      <w:color w:val="auto"/>
                      <w:szCs w:val="21"/>
                      <w:lang w:val="en-US"/>
                    </w:rPr>
                    <w:t>/</w:t>
                  </w:r>
                </w:p>
              </w:tc>
              <w:tc>
                <w:tcPr>
                  <w:tcW w:w="20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r>
          </w:tbl>
          <w:p>
            <w:pPr>
              <w:pStyle w:val="34"/>
              <w:ind w:firstLine="480"/>
              <w:rPr>
                <w:rFonts w:ascii="Times New Roman" w:hAnsi="Times New Roman" w:cs="Times New Roman"/>
                <w:color w:val="auto"/>
              </w:rPr>
            </w:pPr>
          </w:p>
          <w:p>
            <w:pPr>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主要原辅料理化性质：</w:t>
            </w:r>
          </w:p>
          <w:p>
            <w:pPr>
              <w:pStyle w:val="19"/>
              <w:spacing w:beforeAutospacing="0" w:afterAutospacing="0" w:line="360" w:lineRule="auto"/>
              <w:jc w:val="both"/>
              <w:rPr>
                <w:rStyle w:val="39"/>
                <w:rFonts w:ascii="Times New Roman" w:hAnsi="Times New Roman" w:cs="Times New Roman"/>
                <w:color w:val="auto"/>
                <w:sz w:val="24"/>
              </w:rPr>
            </w:pPr>
            <w:r>
              <w:rPr>
                <w:rStyle w:val="39"/>
                <w:rFonts w:hint="default" w:ascii="Times New Roman" w:hAnsi="Times New Roman" w:cs="Times New Roman"/>
                <w:color w:val="auto"/>
                <w:sz w:val="24"/>
              </w:rPr>
              <w:t>（1）砂石</w:t>
            </w:r>
          </w:p>
          <w:p>
            <w:pPr>
              <w:widowControl/>
              <w:spacing w:line="360" w:lineRule="auto"/>
              <w:ind w:firstLine="480" w:firstLineChars="200"/>
              <w:jc w:val="both"/>
              <w:rPr>
                <w:rFonts w:ascii="Times New Roman" w:hAnsi="Times New Roman" w:cs="Times New Roman"/>
                <w:color w:val="auto"/>
                <w:sz w:val="24"/>
                <w:szCs w:val="24"/>
                <w:shd w:val="clear" w:color="auto" w:fill="FFFFFF"/>
              </w:rPr>
            </w:pPr>
            <w:r>
              <w:rPr>
                <w:rFonts w:hint="default" w:ascii="Times New Roman" w:hAnsi="Times New Roman" w:cs="Times New Roman"/>
                <w:color w:val="auto"/>
                <w:sz w:val="24"/>
                <w:szCs w:val="24"/>
                <w:shd w:val="clear" w:color="auto" w:fill="FFFFFF"/>
              </w:rPr>
              <w:t>指</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"https://baike.baidu.com/item/%E7%A0%82%E7%B2%92/10362792" \t "https://baike.baidu.com/item/%E7%A0%82%E7%9F%B3/_blank" </w:instrText>
            </w:r>
            <w:r>
              <w:rPr>
                <w:rFonts w:ascii="Times New Roman" w:hAnsi="Times New Roman" w:cs="Times New Roman"/>
                <w:color w:val="auto"/>
              </w:rPr>
              <w:fldChar w:fldCharType="separate"/>
            </w:r>
            <w:r>
              <w:rPr>
                <w:rFonts w:ascii="Times New Roman" w:hAnsi="Times New Roman" w:cs="Times New Roman"/>
                <w:color w:val="auto"/>
                <w:sz w:val="24"/>
                <w:szCs w:val="24"/>
                <w:shd w:val="clear" w:color="auto" w:fill="FFFFFF"/>
              </w:rPr>
              <w:t>砂粒</w:t>
            </w:r>
            <w:r>
              <w:rPr>
                <w:rFonts w:ascii="Times New Roman" w:hAnsi="Times New Roman" w:cs="Times New Roman"/>
                <w:color w:val="auto"/>
                <w:sz w:val="24"/>
                <w:szCs w:val="24"/>
                <w:shd w:val="clear" w:color="auto" w:fill="FFFFFF"/>
              </w:rPr>
              <w:fldChar w:fldCharType="end"/>
            </w:r>
            <w:r>
              <w:rPr>
                <w:rFonts w:ascii="Times New Roman" w:hAnsi="Times New Roman" w:cs="Times New Roman"/>
                <w:color w:val="auto"/>
                <w:sz w:val="24"/>
                <w:szCs w:val="24"/>
                <w:shd w:val="clear" w:color="auto" w:fill="FFFFFF"/>
              </w:rPr>
              <w:t>和</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"https://baike.baidu.com/item/%E7%A2%8E%E7%9F%B3/8490506" \t "https://baike.baidu.com/item/%E7%A0%82%E7%9F%B3/_blank" </w:instrText>
            </w:r>
            <w:r>
              <w:rPr>
                <w:rFonts w:ascii="Times New Roman" w:hAnsi="Times New Roman" w:cs="Times New Roman"/>
                <w:color w:val="auto"/>
              </w:rPr>
              <w:fldChar w:fldCharType="separate"/>
            </w:r>
            <w:r>
              <w:rPr>
                <w:rFonts w:ascii="Times New Roman" w:hAnsi="Times New Roman" w:cs="Times New Roman"/>
                <w:color w:val="auto"/>
                <w:sz w:val="24"/>
                <w:szCs w:val="24"/>
                <w:shd w:val="clear" w:color="auto" w:fill="FFFFFF"/>
              </w:rPr>
              <w:t>碎石</w:t>
            </w:r>
            <w:r>
              <w:rPr>
                <w:rFonts w:ascii="Times New Roman" w:hAnsi="Times New Roman" w:cs="Times New Roman"/>
                <w:color w:val="auto"/>
                <w:sz w:val="24"/>
                <w:szCs w:val="24"/>
                <w:shd w:val="clear" w:color="auto" w:fill="FFFFFF"/>
              </w:rPr>
              <w:fldChar w:fldCharType="end"/>
            </w:r>
            <w:r>
              <w:rPr>
                <w:rFonts w:ascii="Times New Roman" w:hAnsi="Times New Roman" w:cs="Times New Roman"/>
                <w:color w:val="auto"/>
                <w:sz w:val="24"/>
                <w:szCs w:val="24"/>
                <w:shd w:val="clear" w:color="auto" w:fill="FFFFFF"/>
              </w:rPr>
              <w:t>的松散混合物。</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"https://baike.baidu.com/item/%E5%9C%B0%E8%B4%A8%E5%AD%A6/647909" \t "https://baike.baidu.com/item/%E7%A0%82%E7%9F%B3/_blank" </w:instrText>
            </w:r>
            <w:r>
              <w:rPr>
                <w:rFonts w:ascii="Times New Roman" w:hAnsi="Times New Roman" w:cs="Times New Roman"/>
                <w:color w:val="auto"/>
              </w:rPr>
              <w:fldChar w:fldCharType="separate"/>
            </w:r>
            <w:r>
              <w:rPr>
                <w:rFonts w:ascii="Times New Roman" w:hAnsi="Times New Roman" w:cs="Times New Roman"/>
                <w:color w:val="auto"/>
                <w:sz w:val="24"/>
                <w:szCs w:val="24"/>
                <w:shd w:val="clear" w:color="auto" w:fill="FFFFFF"/>
              </w:rPr>
              <w:t>地质学</w:t>
            </w:r>
            <w:r>
              <w:rPr>
                <w:rFonts w:ascii="Times New Roman" w:hAnsi="Times New Roman" w:cs="Times New Roman"/>
                <w:color w:val="auto"/>
                <w:sz w:val="24"/>
                <w:szCs w:val="24"/>
                <w:shd w:val="clear" w:color="auto" w:fill="FFFFFF"/>
              </w:rPr>
              <w:fldChar w:fldCharType="end"/>
            </w:r>
            <w:r>
              <w:rPr>
                <w:rFonts w:ascii="Times New Roman" w:hAnsi="Times New Roman" w:cs="Times New Roman"/>
                <w:color w:val="auto"/>
                <w:sz w:val="24"/>
                <w:szCs w:val="24"/>
                <w:shd w:val="clear" w:color="auto" w:fill="FFFFFF"/>
              </w:rPr>
              <w:t>上，把</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"https://baike.baidu.com/item/%E7%B2%92%E5%BE%84/3859420" \t "https://baike.baidu.com/item/%E7%A0%82%E7%9F%B3/_blank" </w:instrText>
            </w:r>
            <w:r>
              <w:rPr>
                <w:rFonts w:ascii="Times New Roman" w:hAnsi="Times New Roman" w:cs="Times New Roman"/>
                <w:color w:val="auto"/>
              </w:rPr>
              <w:fldChar w:fldCharType="separate"/>
            </w:r>
            <w:r>
              <w:rPr>
                <w:rFonts w:ascii="Times New Roman" w:hAnsi="Times New Roman" w:cs="Times New Roman"/>
                <w:color w:val="auto"/>
                <w:sz w:val="24"/>
                <w:szCs w:val="24"/>
                <w:shd w:val="clear" w:color="auto" w:fill="FFFFFF"/>
              </w:rPr>
              <w:t>粒径</w:t>
            </w:r>
            <w:r>
              <w:rPr>
                <w:rFonts w:ascii="Times New Roman" w:hAnsi="Times New Roman" w:cs="Times New Roman"/>
                <w:color w:val="auto"/>
                <w:sz w:val="24"/>
                <w:szCs w:val="24"/>
                <w:shd w:val="clear" w:color="auto" w:fill="FFFFFF"/>
              </w:rPr>
              <w:fldChar w:fldCharType="end"/>
            </w:r>
            <w:r>
              <w:rPr>
                <w:rFonts w:ascii="Times New Roman" w:hAnsi="Times New Roman" w:cs="Times New Roman"/>
                <w:color w:val="auto"/>
                <w:sz w:val="24"/>
                <w:szCs w:val="24"/>
                <w:shd w:val="clear" w:color="auto" w:fill="FFFFFF"/>
              </w:rPr>
              <w:t>为0.074～2mm的矿物或岩石颗粒称为砂</w:t>
            </w:r>
            <w:r>
              <w:rPr>
                <w:rFonts w:hint="default" w:ascii="Times New Roman" w:hAnsi="Times New Roman" w:cs="Times New Roman"/>
                <w:color w:val="auto"/>
                <w:sz w:val="24"/>
                <w:szCs w:val="24"/>
                <w:shd w:val="clear" w:color="auto" w:fill="FFFFFF"/>
              </w:rPr>
              <w:t>，</w:t>
            </w:r>
            <w:r>
              <w:rPr>
                <w:rFonts w:ascii="Times New Roman" w:hAnsi="Times New Roman" w:cs="Times New Roman"/>
                <w:color w:val="auto"/>
                <w:sz w:val="24"/>
                <w:szCs w:val="24"/>
                <w:shd w:val="clear" w:color="auto" w:fill="FFFFFF"/>
              </w:rPr>
              <w:t>砂石因其良好的硬度和稳定的化学性质，常常作为优质的建筑材料、混凝土原料而广泛应用于房屋、道路、公路、铁路、工程等领域。</w:t>
            </w:r>
          </w:p>
          <w:p>
            <w:pPr>
              <w:pStyle w:val="19"/>
              <w:spacing w:beforeAutospacing="0" w:afterAutospacing="0" w:line="360" w:lineRule="auto"/>
              <w:jc w:val="both"/>
              <w:rPr>
                <w:rFonts w:ascii="Times New Roman" w:hAnsi="Times New Roman" w:cs="Times New Roman"/>
                <w:color w:val="auto"/>
              </w:rPr>
            </w:pPr>
            <w:r>
              <w:rPr>
                <w:rFonts w:hint="default" w:ascii="Times New Roman" w:hAnsi="Times New Roman" w:cs="Times New Roman"/>
                <w:color w:val="auto"/>
              </w:rPr>
              <w:t>（2）水泥</w:t>
            </w:r>
          </w:p>
          <w:p>
            <w:pPr>
              <w:pStyle w:val="19"/>
              <w:spacing w:beforeAutospacing="0" w:afterAutospacing="0" w:line="360" w:lineRule="auto"/>
              <w:ind w:firstLine="480" w:firstLineChars="200"/>
              <w:jc w:val="both"/>
              <w:rPr>
                <w:rFonts w:ascii="Times New Roman" w:hAnsi="Times New Roman" w:cs="Times New Roman"/>
                <w:color w:val="auto"/>
                <w:szCs w:val="24"/>
                <w:shd w:val="clear" w:color="auto" w:fill="FFFFFF"/>
              </w:rPr>
            </w:pPr>
            <w:r>
              <w:rPr>
                <w:rFonts w:hint="default" w:ascii="Times New Roman" w:hAnsi="Times New Roman" w:cs="Times New Roman"/>
                <w:color w:val="auto"/>
                <w:szCs w:val="24"/>
                <w:shd w:val="clear" w:color="auto" w:fill="FFFFFF"/>
              </w:rPr>
              <w:t>粉状水硬性</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"https://baike.baidu.com/item/%E6%97%A0%E6%9C%BA%E8%83%B6%E5%87%9D%E6%9D%90%E6%96%99/7802050" \t "https://baike.baidu.com/item/%E6%B0%B4%E6%B3%A5/_blank"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无机胶凝材料</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。加水</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"https://baike.baidu.com/item/%E6%90%85%E6%8B%8C/1318618" \t "https://baike.baidu.com/item/%E6%B0%B4%E6%B3%A5/_blank"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搅拌</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后成</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"https://baike.baidu.com/item/%E6%B5%86%E4%BD%93/56169892" \t "https://baike.baidu.com/item/%E6%B0%B4%E6%B3%A5/_blank"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浆体</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，能在空气中</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"https://baike.baidu.com/item/%E7%A1%AC%E5%8C%96/1588938" \t "https://baike.baidu.com/item/%E6%B0%B4%E6%B3%A5/_blank"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硬化</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或者在水中硬化，并能把砂、石等材料牢固地</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"https://baike.baidu.com/item/%E8%83%B6%E7%BB%93/6481488" \t "https://baike.baidu.com/item/%E6%B0%B4%E6%B3%A5/_blank"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胶结</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在一起。</w:t>
            </w:r>
          </w:p>
          <w:p>
            <w:pPr>
              <w:pStyle w:val="19"/>
              <w:spacing w:beforeAutospacing="0" w:afterAutospacing="0" w:line="360" w:lineRule="auto"/>
              <w:jc w:val="both"/>
              <w:rPr>
                <w:rFonts w:ascii="Times New Roman" w:hAnsi="Times New Roman" w:cs="Times New Roman"/>
                <w:color w:val="auto"/>
                <w:szCs w:val="24"/>
              </w:rPr>
            </w:pPr>
            <w:r>
              <w:rPr>
                <w:rFonts w:hint="default" w:ascii="Times New Roman" w:hAnsi="Times New Roman" w:cs="Times New Roman"/>
                <w:color w:val="auto"/>
              </w:rPr>
              <w:t>（3）钢筋</w:t>
            </w:r>
          </w:p>
          <w:p>
            <w:pPr>
              <w:pStyle w:val="19"/>
              <w:spacing w:beforeAutospacing="0" w:afterAutospacing="0" w:line="360" w:lineRule="auto"/>
              <w:ind w:firstLine="480" w:firstLineChars="200"/>
              <w:jc w:val="both"/>
              <w:rPr>
                <w:rFonts w:ascii="Times New Roman" w:hAnsi="Times New Roman" w:cs="Times New Roman"/>
                <w:color w:val="auto"/>
                <w:szCs w:val="24"/>
                <w:shd w:val="clear" w:color="auto" w:fill="FFFFFF"/>
              </w:rPr>
            </w:pPr>
            <w:r>
              <w:rPr>
                <w:rFonts w:hint="default" w:ascii="Times New Roman" w:hAnsi="Times New Roman" w:cs="Times New Roman"/>
                <w:color w:val="auto"/>
                <w:szCs w:val="24"/>
                <w:shd w:val="clear" w:color="auto" w:fill="FFFFFF"/>
              </w:rPr>
              <w:t>指</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"https://baike.baidu.com/item/%E9%92%A2%E7%AD%8B%E6%B7%B7%E5%87%9D%E5%9C%9F/2067974" \t "https://baike.baidu.com/item/%E9%92%A2%E7%AD%8B/_blank"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钢筋混凝土</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用和</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"https://baike.baidu.com/item/%E9%A2%84%E5%BA%94%E5%8A%9B" \t "https://baike.baidu.com/item/%E9%92%A2%E7%AD%8B/_blank"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预应力</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钢筋混凝土用钢材，其</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"https://baike.baidu.com/item/%E6%A8%AA%E6%88%AA%E9%9D%A2/3338627" \t "https://baike.baidu.com/item/%E9%92%A2%E7%AD%8B/_blank"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横截面</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为圆形，有时为带有圆角的方形。包括</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"https://baike.baidu.com/item/%E5%85%89%E5%9C%86%E9%92%A2%E7%AD%8B/7751040" \t "https://baike.baidu.com/item/%E9%92%A2%E7%AD%8B/_blank"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光圆钢筋</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、带肋钢筋、扭转钢筋。</w:t>
            </w:r>
            <w:r>
              <w:rPr>
                <w:rFonts w:hint="default" w:ascii="Times New Roman" w:hAnsi="Times New Roman" w:cs="Times New Roman"/>
                <w:color w:val="auto"/>
                <w:szCs w:val="24"/>
                <w:shd w:val="clear" w:color="auto" w:fill="FFFFFF"/>
              </w:rPr>
              <w:t> 钢筋在混凝土中主要承受拉应力。变形钢筋由于肋的作用，和混凝土有较大的粘结能力，因而能更好地承受外力的作用。钢筋广泛用于各种建筑结构。特别是大型、重型、轻型</w:t>
            </w:r>
            <w:r>
              <w:rPr>
                <w:rFonts w:ascii="Times New Roman" w:hAnsi="Times New Roman" w:cs="Times New Roman"/>
                <w:color w:val="auto"/>
              </w:rPr>
              <w:fldChar w:fldCharType="begin"/>
            </w:r>
            <w:r>
              <w:rPr>
                <w:rFonts w:ascii="Times New Roman" w:hAnsi="Times New Roman" w:cs="Times New Roman"/>
                <w:color w:val="auto"/>
              </w:rPr>
              <w:instrText xml:space="preserve"> HYPERLINK "https://baike.baidu.com/item/%E8%96%84%E5%A3%81/367309" \t "https://baike.baidu.com/item/%E9%92%A2%E7%AD%8B/_blank" </w:instrText>
            </w:r>
            <w:r>
              <w:rPr>
                <w:rFonts w:ascii="Times New Roman" w:hAnsi="Times New Roman" w:cs="Times New Roman"/>
                <w:color w:val="auto"/>
              </w:rPr>
              <w:fldChar w:fldCharType="separate"/>
            </w:r>
            <w:r>
              <w:rPr>
                <w:rFonts w:ascii="Times New Roman" w:hAnsi="Times New Roman" w:cs="Times New Roman"/>
                <w:color w:val="auto"/>
                <w:szCs w:val="24"/>
                <w:shd w:val="clear" w:color="auto" w:fill="FFFFFF"/>
              </w:rPr>
              <w:t>薄壁</w:t>
            </w:r>
            <w:r>
              <w:rPr>
                <w:rFonts w:ascii="Times New Roman" w:hAnsi="Times New Roman" w:cs="Times New Roman"/>
                <w:color w:val="auto"/>
                <w:szCs w:val="24"/>
                <w:shd w:val="clear" w:color="auto" w:fill="FFFFFF"/>
              </w:rPr>
              <w:fldChar w:fldCharType="end"/>
            </w:r>
            <w:r>
              <w:rPr>
                <w:rFonts w:ascii="Times New Roman" w:hAnsi="Times New Roman" w:cs="Times New Roman"/>
                <w:color w:val="auto"/>
                <w:szCs w:val="24"/>
                <w:shd w:val="clear" w:color="auto" w:fill="FFFFFF"/>
              </w:rPr>
              <w:t>和高层建筑结构。</w:t>
            </w:r>
          </w:p>
          <w:p>
            <w:pPr>
              <w:pStyle w:val="19"/>
              <w:numPr>
                <w:ilvl w:val="0"/>
                <w:numId w:val="5"/>
              </w:numPr>
              <w:spacing w:beforeAutospacing="0" w:afterAutospacing="0" w:line="360" w:lineRule="auto"/>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脱膜剂A型</w:t>
            </w:r>
          </w:p>
          <w:p>
            <w:pPr>
              <w:pStyle w:val="19"/>
              <w:numPr>
                <w:ilvl w:val="0"/>
                <w:numId w:val="0"/>
              </w:numPr>
              <w:spacing w:beforeAutospacing="0" w:afterAutospacing="0" w:line="360" w:lineRule="auto"/>
              <w:ind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本产品主要成分为矿物基础油、表面活性剂、防锈剂、松香油等其他成分。溶于水，半透明液态，具有轻微碱味，PH</w:t>
            </w:r>
            <w:bookmarkStart w:id="4" w:name="_GoBack"/>
            <w:bookmarkEnd w:id="4"/>
            <w:r>
              <w:rPr>
                <w:rFonts w:hint="default" w:ascii="Times New Roman" w:hAnsi="Times New Roman" w:cs="Times New Roman"/>
                <w:color w:val="auto"/>
                <w:lang w:val="en-US" w:eastAsia="zh-CN"/>
              </w:rPr>
              <w:t>值：7.5-8.5，沸点范围：85-107℃，蒸汽密度与溶解度为1:34，蒸气压：300，密度：1:0.69，稳定性较好，易溶于水注意避免泄露，无毒性。</w:t>
            </w:r>
          </w:p>
          <w:p>
            <w:pPr>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（四）劳动定员及工作制度</w:t>
            </w:r>
          </w:p>
          <w:p>
            <w:pPr>
              <w:pStyle w:val="19"/>
              <w:spacing w:beforeAutospacing="0" w:afterAutospacing="0" w:line="360" w:lineRule="auto"/>
              <w:ind w:firstLine="480" w:firstLineChars="200"/>
              <w:jc w:val="both"/>
              <w:rPr>
                <w:rFonts w:ascii="Times New Roman" w:hAnsi="Times New Roman" w:cs="Times New Roman"/>
                <w:color w:val="auto"/>
                <w:szCs w:val="24"/>
                <w:shd w:val="clear" w:color="auto" w:fill="FFFFFF"/>
              </w:rPr>
            </w:pPr>
            <w:r>
              <w:rPr>
                <w:rFonts w:ascii="Times New Roman" w:hAnsi="Times New Roman" w:cs="Times New Roman"/>
                <w:color w:val="auto"/>
                <w:szCs w:val="24"/>
                <w:shd w:val="clear" w:color="auto" w:fill="FFFFFF"/>
              </w:rPr>
              <w:t>本项目劳动定员20人，生产模式采取一班制，一般8h，年工作日300天。</w:t>
            </w:r>
          </w:p>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lang w:val="en-US" w:eastAsia="zh-CN"/>
              </w:rPr>
              <w:t>四</w:t>
            </w:r>
            <w:r>
              <w:rPr>
                <w:rFonts w:hint="default" w:ascii="Times New Roman" w:hAnsi="Times New Roman" w:cs="Times New Roman"/>
                <w:b/>
                <w:bCs/>
                <w:color w:val="auto"/>
                <w:sz w:val="24"/>
                <w:szCs w:val="32"/>
              </w:rPr>
              <w:t>、物料平衡</w:t>
            </w:r>
          </w:p>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default" w:ascii="Times New Roman" w:hAnsi="Times New Roman" w:cs="Times New Roman"/>
                <w:b/>
                <w:bCs/>
                <w:color w:val="auto"/>
                <w:sz w:val="21"/>
                <w:szCs w:val="21"/>
              </w:rPr>
              <w:t xml:space="preserve">2-5 </w:t>
            </w:r>
            <w:r>
              <w:rPr>
                <w:rFonts w:hint="default" w:ascii="Times New Roman" w:hAnsi="Times New Roman" w:cs="Times New Roman"/>
                <w:b/>
                <w:bCs/>
                <w:color w:val="auto"/>
                <w:sz w:val="21"/>
                <w:szCs w:val="21"/>
                <w:lang w:val="en-US" w:eastAsia="zh-CN"/>
              </w:rPr>
              <w:t>水泥制品</w:t>
            </w:r>
            <w:r>
              <w:rPr>
                <w:rFonts w:ascii="Times New Roman" w:hAnsi="Times New Roman" w:cs="Times New Roman"/>
                <w:b/>
                <w:bCs/>
                <w:color w:val="auto"/>
                <w:sz w:val="21"/>
                <w:szCs w:val="21"/>
              </w:rPr>
              <w:t>物料平衡表</w:t>
            </w:r>
          </w:p>
          <w:tbl>
            <w:tblPr>
              <w:tblStyle w:val="25"/>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770"/>
              <w:gridCol w:w="1770"/>
              <w:gridCol w:w="1771"/>
              <w:gridCol w:w="1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40" w:type="dxa"/>
                  <w:gridSpan w:val="2"/>
                  <w:vAlign w:val="center"/>
                </w:tcPr>
                <w:p>
                  <w:pPr>
                    <w:pStyle w:val="36"/>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输入（t/a）</w:t>
                  </w:r>
                </w:p>
              </w:tc>
              <w:tc>
                <w:tcPr>
                  <w:tcW w:w="5312" w:type="dxa"/>
                  <w:gridSpan w:val="3"/>
                  <w:vAlign w:val="center"/>
                </w:tcPr>
                <w:p>
                  <w:pPr>
                    <w:pStyle w:val="36"/>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产出（t/a）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0" w:type="dxa"/>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1770" w:type="dxa"/>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用量</w:t>
                  </w:r>
                </w:p>
              </w:tc>
              <w:tc>
                <w:tcPr>
                  <w:tcW w:w="3541" w:type="dxa"/>
                  <w:gridSpan w:val="2"/>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1771" w:type="dxa"/>
                  <w:vAlign w:val="center"/>
                </w:tcPr>
                <w:p>
                  <w:pPr>
                    <w:widowControl/>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770" w:type="dxa"/>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砂子</w:t>
                  </w:r>
                </w:p>
              </w:tc>
              <w:tc>
                <w:tcPr>
                  <w:tcW w:w="1770" w:type="dxa"/>
                  <w:vAlign w:val="center"/>
                </w:tcPr>
                <w:p>
                  <w:pPr>
                    <w:pStyle w:val="40"/>
                    <w:widowControl/>
                    <w:autoSpaceDE/>
                    <w:autoSpaceDN/>
                    <w:spacing w:line="240" w:lineRule="auto"/>
                    <w:rPr>
                      <w:rFonts w:ascii="Times New Roman" w:hAnsi="Times New Roman" w:eastAsia="宋体" w:cs="Times New Roman"/>
                      <w:color w:val="auto"/>
                      <w:szCs w:val="21"/>
                    </w:rPr>
                  </w:pPr>
                  <w:r>
                    <w:rPr>
                      <w:rStyle w:val="39"/>
                      <w:rFonts w:hint="default" w:ascii="Times New Roman" w:hAnsi="Times New Roman" w:eastAsia="宋体" w:cs="Times New Roman"/>
                      <w:color w:val="auto"/>
                      <w:szCs w:val="21"/>
                    </w:rPr>
                    <w:t>2</w:t>
                  </w:r>
                  <w:r>
                    <w:rPr>
                      <w:rStyle w:val="39"/>
                      <w:rFonts w:hint="eastAsia" w:ascii="Times New Roman" w:hAnsi="Times New Roman" w:eastAsia="宋体" w:cs="Times New Roman"/>
                      <w:color w:val="auto"/>
                      <w:szCs w:val="21"/>
                      <w:lang w:val="en-US"/>
                    </w:rPr>
                    <w:t>.1</w:t>
                  </w:r>
                  <w:r>
                    <w:rPr>
                      <w:rStyle w:val="39"/>
                      <w:rFonts w:hint="default" w:ascii="Times New Roman" w:hAnsi="Times New Roman" w:eastAsia="宋体" w:cs="Times New Roman"/>
                      <w:color w:val="auto"/>
                      <w:szCs w:val="21"/>
                    </w:rPr>
                    <w:t>万吨</w:t>
                  </w:r>
                </w:p>
              </w:tc>
              <w:tc>
                <w:tcPr>
                  <w:tcW w:w="3541" w:type="dxa"/>
                  <w:gridSpan w:val="2"/>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产品</w:t>
                  </w:r>
                </w:p>
              </w:tc>
              <w:tc>
                <w:tcPr>
                  <w:tcW w:w="1771"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8.99</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1770" w:type="dxa"/>
                  <w:vAlign w:val="center"/>
                </w:tcPr>
                <w:p>
                  <w:pPr>
                    <w:autoSpaceDE/>
                    <w:autoSpaceDN/>
                    <w:jc w:val="center"/>
                    <w:rPr>
                      <w:rFonts w:ascii="Times New Roman" w:hAnsi="Times New Roman" w:cs="Times New Roman"/>
                      <w:color w:val="auto"/>
                      <w:kern w:val="2"/>
                      <w:sz w:val="21"/>
                      <w:szCs w:val="21"/>
                    </w:rPr>
                  </w:pPr>
                  <w:r>
                    <w:rPr>
                      <w:rStyle w:val="39"/>
                      <w:rFonts w:hint="default" w:ascii="Times New Roman" w:hAnsi="Times New Roman" w:cs="Times New Roman"/>
                      <w:color w:val="auto"/>
                      <w:szCs w:val="21"/>
                    </w:rPr>
                    <w:t>石子</w:t>
                  </w:r>
                </w:p>
              </w:tc>
              <w:tc>
                <w:tcPr>
                  <w:tcW w:w="1770" w:type="dxa"/>
                  <w:vAlign w:val="center"/>
                </w:tcPr>
                <w:p>
                  <w:pPr>
                    <w:pStyle w:val="40"/>
                    <w:widowControl/>
                    <w:autoSpaceDE/>
                    <w:autoSpaceDN/>
                    <w:spacing w:line="240" w:lineRule="auto"/>
                    <w:rPr>
                      <w:rFonts w:ascii="Times New Roman" w:hAnsi="Times New Roman" w:eastAsia="宋体" w:cs="Times New Roman"/>
                      <w:color w:val="auto"/>
                      <w:szCs w:val="21"/>
                    </w:rPr>
                  </w:pPr>
                  <w:r>
                    <w:rPr>
                      <w:rStyle w:val="39"/>
                      <w:rFonts w:hint="default" w:ascii="Times New Roman" w:hAnsi="Times New Roman" w:eastAsia="宋体" w:cs="Times New Roman"/>
                      <w:color w:val="auto"/>
                      <w:szCs w:val="21"/>
                    </w:rPr>
                    <w:t>2.7万吨</w:t>
                  </w:r>
                </w:p>
              </w:tc>
              <w:tc>
                <w:tcPr>
                  <w:tcW w:w="1770" w:type="dxa"/>
                  <w:vMerge w:val="restart"/>
                  <w:vAlign w:val="center"/>
                </w:tcPr>
                <w:p>
                  <w:pPr>
                    <w:pStyle w:val="34"/>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废气损失</w:t>
                  </w:r>
                </w:p>
              </w:tc>
              <w:tc>
                <w:tcPr>
                  <w:tcW w:w="1771" w:type="dxa"/>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有组织排放</w:t>
                  </w:r>
                </w:p>
              </w:tc>
              <w:tc>
                <w:tcPr>
                  <w:tcW w:w="1771" w:type="dxa"/>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0.127</w:t>
                  </w:r>
                  <w:r>
                    <w:rPr>
                      <w:rFonts w:hint="default" w:ascii="Times New Roman" w:hAnsi="Times New Roman"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1770" w:type="dxa"/>
                  <w:vAlign w:val="center"/>
                </w:tcPr>
                <w:p>
                  <w:pPr>
                    <w:autoSpaceDE/>
                    <w:autoSpaceDN/>
                    <w:jc w:val="center"/>
                    <w:rPr>
                      <w:rFonts w:ascii="Times New Roman" w:hAnsi="Times New Roman" w:cs="Times New Roman"/>
                      <w:color w:val="auto"/>
                      <w:sz w:val="21"/>
                      <w:szCs w:val="21"/>
                    </w:rPr>
                  </w:pPr>
                  <w:r>
                    <w:rPr>
                      <w:rStyle w:val="39"/>
                      <w:rFonts w:hint="default" w:ascii="Times New Roman" w:hAnsi="Times New Roman" w:cs="Times New Roman"/>
                      <w:color w:val="auto"/>
                      <w:szCs w:val="21"/>
                    </w:rPr>
                    <w:t>水泥</w:t>
                  </w:r>
                </w:p>
              </w:tc>
              <w:tc>
                <w:tcPr>
                  <w:tcW w:w="1770" w:type="dxa"/>
                  <w:vAlign w:val="center"/>
                </w:tcPr>
                <w:p>
                  <w:pPr>
                    <w:pStyle w:val="40"/>
                    <w:widowControl/>
                    <w:autoSpaceDE/>
                    <w:autoSpaceDN/>
                    <w:spacing w:line="240" w:lineRule="auto"/>
                    <w:rPr>
                      <w:rFonts w:ascii="Times New Roman" w:hAnsi="Times New Roman" w:eastAsia="宋体" w:cs="Times New Roman"/>
                      <w:color w:val="auto"/>
                      <w:szCs w:val="21"/>
                    </w:rPr>
                  </w:pPr>
                  <w:r>
                    <w:rPr>
                      <w:rStyle w:val="39"/>
                      <w:rFonts w:hint="default" w:ascii="Times New Roman" w:hAnsi="Times New Roman" w:eastAsia="宋体" w:cs="Times New Roman"/>
                      <w:color w:val="auto"/>
                      <w:szCs w:val="21"/>
                    </w:rPr>
                    <w:t>2.1万吨</w:t>
                  </w:r>
                </w:p>
              </w:tc>
              <w:tc>
                <w:tcPr>
                  <w:tcW w:w="1770" w:type="dxa"/>
                  <w:vMerge w:val="continue"/>
                  <w:vAlign w:val="center"/>
                </w:tcPr>
                <w:p>
                  <w:pPr>
                    <w:pStyle w:val="34"/>
                    <w:spacing w:line="240" w:lineRule="auto"/>
                    <w:ind w:firstLine="0" w:firstLineChars="0"/>
                    <w:jc w:val="center"/>
                    <w:rPr>
                      <w:rFonts w:ascii="Times New Roman" w:hAnsi="Times New Roman" w:cs="Times New Roman"/>
                      <w:color w:val="auto"/>
                      <w:sz w:val="21"/>
                      <w:szCs w:val="21"/>
                    </w:rPr>
                  </w:pPr>
                </w:p>
              </w:tc>
              <w:tc>
                <w:tcPr>
                  <w:tcW w:w="1771" w:type="dxa"/>
                  <w:vAlign w:val="center"/>
                </w:tcPr>
                <w:p>
                  <w:pPr>
                    <w:widowControl/>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c>
                <w:tcPr>
                  <w:tcW w:w="1771"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2.1226</w:t>
                  </w:r>
                  <w:r>
                    <w:rPr>
                      <w:rFonts w:hint="default" w:ascii="Times New Roman" w:hAnsi="Times New Roman"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1770" w:type="dxa"/>
                  <w:vAlign w:val="center"/>
                </w:tcPr>
                <w:p>
                  <w:pPr>
                    <w:autoSpaceDE/>
                    <w:autoSpaceDN/>
                    <w:jc w:val="center"/>
                    <w:rPr>
                      <w:rFonts w:ascii="Times New Roman" w:hAnsi="Times New Roman" w:cs="Times New Roman"/>
                      <w:color w:val="auto"/>
                      <w:sz w:val="21"/>
                      <w:szCs w:val="21"/>
                    </w:rPr>
                  </w:pPr>
                  <w:r>
                    <w:rPr>
                      <w:rStyle w:val="39"/>
                      <w:rFonts w:hint="default" w:ascii="Times New Roman" w:hAnsi="Times New Roman" w:cs="Times New Roman"/>
                      <w:color w:val="auto"/>
                      <w:szCs w:val="21"/>
                    </w:rPr>
                    <w:t>钢筋</w:t>
                  </w:r>
                </w:p>
              </w:tc>
              <w:tc>
                <w:tcPr>
                  <w:tcW w:w="1770" w:type="dxa"/>
                  <w:vAlign w:val="center"/>
                </w:tcPr>
                <w:p>
                  <w:pPr>
                    <w:pStyle w:val="40"/>
                    <w:widowControl/>
                    <w:autoSpaceDE/>
                    <w:autoSpaceDN/>
                    <w:spacing w:line="240" w:lineRule="auto"/>
                    <w:rPr>
                      <w:rFonts w:ascii="Times New Roman" w:hAnsi="Times New Roman" w:eastAsia="宋体" w:cs="Times New Roman"/>
                      <w:color w:val="auto"/>
                      <w:szCs w:val="21"/>
                    </w:rPr>
                  </w:pPr>
                  <w:r>
                    <w:rPr>
                      <w:rStyle w:val="39"/>
                      <w:rFonts w:hint="default" w:ascii="Times New Roman" w:hAnsi="Times New Roman" w:eastAsia="宋体" w:cs="Times New Roman"/>
                      <w:color w:val="auto"/>
                      <w:szCs w:val="21"/>
                    </w:rPr>
                    <w:t>1.</w:t>
                  </w:r>
                  <w:r>
                    <w:rPr>
                      <w:rStyle w:val="39"/>
                      <w:rFonts w:hint="default" w:ascii="Times New Roman" w:hAnsi="Times New Roman" w:eastAsia="宋体" w:cs="Times New Roman"/>
                      <w:color w:val="auto"/>
                      <w:szCs w:val="21"/>
                      <w:lang w:val="en-US"/>
                    </w:rPr>
                    <w:t>5</w:t>
                  </w:r>
                  <w:r>
                    <w:rPr>
                      <w:rStyle w:val="39"/>
                      <w:rFonts w:hint="default" w:ascii="Times New Roman" w:hAnsi="Times New Roman" w:eastAsia="宋体" w:cs="Times New Roman"/>
                      <w:color w:val="auto"/>
                      <w:szCs w:val="21"/>
                    </w:rPr>
                    <w:t>万吨</w:t>
                  </w:r>
                </w:p>
              </w:tc>
              <w:tc>
                <w:tcPr>
                  <w:tcW w:w="1770" w:type="dxa"/>
                  <w:vMerge w:val="continue"/>
                  <w:vAlign w:val="center"/>
                </w:tcPr>
                <w:p>
                  <w:pPr>
                    <w:pStyle w:val="34"/>
                    <w:spacing w:line="240" w:lineRule="auto"/>
                    <w:ind w:firstLine="0" w:firstLineChars="0"/>
                    <w:jc w:val="center"/>
                    <w:rPr>
                      <w:rFonts w:ascii="Times New Roman" w:hAnsi="Times New Roman" w:cs="Times New Roman"/>
                      <w:color w:val="auto"/>
                      <w:sz w:val="21"/>
                      <w:szCs w:val="21"/>
                    </w:rPr>
                  </w:pPr>
                </w:p>
              </w:tc>
              <w:tc>
                <w:tcPr>
                  <w:tcW w:w="1771" w:type="dxa"/>
                  <w:vAlign w:val="center"/>
                </w:tcPr>
                <w:p>
                  <w:pPr>
                    <w:widowControl/>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布袋除尘</w:t>
                  </w:r>
                  <w:r>
                    <w:rPr>
                      <w:rFonts w:ascii="Times New Roman" w:hAnsi="Times New Roman" w:cs="Times New Roman"/>
                      <w:color w:val="auto"/>
                      <w:sz w:val="21"/>
                      <w:szCs w:val="21"/>
                    </w:rPr>
                    <w:t>处理</w:t>
                  </w:r>
                </w:p>
              </w:tc>
              <w:tc>
                <w:tcPr>
                  <w:tcW w:w="1771"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42.236</w:t>
                  </w:r>
                  <w:r>
                    <w:rPr>
                      <w:rFonts w:hint="default" w:ascii="Times New Roman" w:hAnsi="Times New Roman" w:cs="Times New Roman"/>
                      <w:color w:val="auto"/>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1770" w:type="dxa"/>
                  <w:vMerge w:val="restart"/>
                  <w:vAlign w:val="center"/>
                </w:tcPr>
                <w:p>
                  <w:pPr>
                    <w:autoSpaceDE/>
                    <w:autoSpaceDN/>
                    <w:jc w:val="center"/>
                    <w:rPr>
                      <w:rStyle w:val="39"/>
                      <w:rFonts w:ascii="Times New Roman" w:hAnsi="Times New Roman" w:cs="Times New Roman"/>
                      <w:color w:val="auto"/>
                      <w:szCs w:val="21"/>
                      <w:highlight w:val="none"/>
                    </w:rPr>
                  </w:pPr>
                  <w:r>
                    <w:rPr>
                      <w:rStyle w:val="39"/>
                      <w:rFonts w:hint="default" w:ascii="Times New Roman" w:hAnsi="Times New Roman" w:cs="Times New Roman"/>
                      <w:color w:val="auto"/>
                      <w:szCs w:val="21"/>
                      <w:highlight w:val="none"/>
                    </w:rPr>
                    <w:t>水</w:t>
                  </w:r>
                  <w:r>
                    <w:rPr>
                      <w:rStyle w:val="39"/>
                      <w:rFonts w:hint="eastAsia" w:ascii="Times New Roman" w:hAnsi="Times New Roman" w:cs="Times New Roman"/>
                      <w:color w:val="auto"/>
                      <w:szCs w:val="21"/>
                      <w:highlight w:val="none"/>
                    </w:rPr>
                    <w:t>（</w:t>
                  </w:r>
                  <w:r>
                    <w:rPr>
                      <w:rStyle w:val="39"/>
                      <w:rFonts w:hint="eastAsia" w:ascii="Times New Roman" w:hAnsi="Times New Roman" w:cs="Times New Roman"/>
                      <w:color w:val="auto"/>
                      <w:szCs w:val="21"/>
                      <w:highlight w:val="none"/>
                      <w:lang w:val="en-US"/>
                    </w:rPr>
                    <w:t>进入产品</w:t>
                  </w:r>
                  <w:r>
                    <w:rPr>
                      <w:rStyle w:val="39"/>
                      <w:rFonts w:hint="eastAsia" w:ascii="Times New Roman" w:hAnsi="Times New Roman" w:cs="Times New Roman"/>
                      <w:color w:val="auto"/>
                      <w:szCs w:val="21"/>
                      <w:highlight w:val="none"/>
                    </w:rPr>
                    <w:t>）</w:t>
                  </w:r>
                </w:p>
              </w:tc>
              <w:tc>
                <w:tcPr>
                  <w:tcW w:w="1770" w:type="dxa"/>
                  <w:vMerge w:val="restart"/>
                  <w:vAlign w:val="center"/>
                </w:tcPr>
                <w:p>
                  <w:pPr>
                    <w:pStyle w:val="40"/>
                    <w:widowControl/>
                    <w:autoSpaceDE/>
                    <w:autoSpaceDN/>
                    <w:spacing w:line="240" w:lineRule="auto"/>
                    <w:rPr>
                      <w:rStyle w:val="39"/>
                      <w:rFonts w:ascii="Times New Roman" w:hAnsi="Times New Roman" w:eastAsia="宋体" w:cs="Times New Roman"/>
                      <w:color w:val="auto"/>
                      <w:szCs w:val="21"/>
                      <w:highlight w:val="none"/>
                    </w:rPr>
                  </w:pPr>
                  <w:r>
                    <w:rPr>
                      <w:rStyle w:val="39"/>
                      <w:rFonts w:hint="default" w:ascii="Times New Roman" w:hAnsi="Times New Roman" w:eastAsia="宋体" w:cs="Times New Roman"/>
                      <w:color w:val="auto"/>
                      <w:szCs w:val="21"/>
                      <w:highlight w:val="none"/>
                    </w:rPr>
                    <w:t>0.</w:t>
                  </w:r>
                  <w:r>
                    <w:rPr>
                      <w:rStyle w:val="39"/>
                      <w:rFonts w:hint="default" w:ascii="Times New Roman" w:hAnsi="Times New Roman" w:eastAsia="宋体" w:cs="Times New Roman"/>
                      <w:color w:val="auto"/>
                      <w:szCs w:val="21"/>
                      <w:highlight w:val="none"/>
                      <w:lang w:val="en-US"/>
                    </w:rPr>
                    <w:t>6</w:t>
                  </w:r>
                  <w:r>
                    <w:rPr>
                      <w:rStyle w:val="39"/>
                      <w:rFonts w:hint="default" w:ascii="Times New Roman" w:hAnsi="Times New Roman" w:eastAsia="宋体" w:cs="Times New Roman"/>
                      <w:color w:val="auto"/>
                      <w:szCs w:val="21"/>
                      <w:highlight w:val="none"/>
                    </w:rPr>
                    <w:t>万吨</w:t>
                  </w:r>
                </w:p>
              </w:tc>
              <w:tc>
                <w:tcPr>
                  <w:tcW w:w="1770" w:type="dxa"/>
                  <w:vMerge w:val="restart"/>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1771" w:type="dxa"/>
                  <w:vAlign w:val="center"/>
                </w:tcPr>
                <w:p>
                  <w:pPr>
                    <w:widowControl/>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不合格产品</w:t>
                  </w:r>
                </w:p>
              </w:tc>
              <w:tc>
                <w:tcPr>
                  <w:tcW w:w="1771" w:type="dxa"/>
                  <w:vAlign w:val="center"/>
                </w:tcPr>
                <w:p>
                  <w:pPr>
                    <w:pStyle w:val="34"/>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1770" w:type="dxa"/>
                  <w:vMerge w:val="continue"/>
                  <w:vAlign w:val="center"/>
                </w:tcPr>
                <w:p>
                  <w:pPr>
                    <w:autoSpaceDE/>
                    <w:autoSpaceDN/>
                    <w:jc w:val="center"/>
                    <w:rPr>
                      <w:rStyle w:val="39"/>
                      <w:rFonts w:hint="default" w:ascii="Times New Roman" w:hAnsi="Times New Roman" w:cs="Times New Roman"/>
                      <w:color w:val="auto"/>
                      <w:szCs w:val="21"/>
                      <w:highlight w:val="none"/>
                    </w:rPr>
                  </w:pPr>
                </w:p>
              </w:tc>
              <w:tc>
                <w:tcPr>
                  <w:tcW w:w="1770" w:type="dxa"/>
                  <w:vMerge w:val="continue"/>
                  <w:vAlign w:val="center"/>
                </w:tcPr>
                <w:p>
                  <w:pPr>
                    <w:pStyle w:val="40"/>
                    <w:widowControl/>
                    <w:autoSpaceDE/>
                    <w:autoSpaceDN/>
                    <w:spacing w:line="240" w:lineRule="auto"/>
                    <w:rPr>
                      <w:rStyle w:val="39"/>
                      <w:rFonts w:hint="default" w:ascii="Times New Roman" w:hAnsi="Times New Roman" w:eastAsia="宋体" w:cs="Times New Roman"/>
                      <w:color w:val="auto"/>
                      <w:szCs w:val="21"/>
                      <w:highlight w:val="none"/>
                    </w:rPr>
                  </w:pPr>
                </w:p>
              </w:tc>
              <w:tc>
                <w:tcPr>
                  <w:tcW w:w="1770" w:type="dxa"/>
                  <w:vMerge w:val="continue"/>
                  <w:vAlign w:val="center"/>
                </w:tcPr>
                <w:p>
                  <w:pPr>
                    <w:pStyle w:val="34"/>
                    <w:spacing w:line="240" w:lineRule="auto"/>
                    <w:ind w:firstLine="0" w:firstLineChars="0"/>
                    <w:jc w:val="center"/>
                    <w:rPr>
                      <w:rFonts w:hint="default" w:ascii="Times New Roman" w:hAnsi="Times New Roman" w:cs="Times New Roman"/>
                      <w:color w:val="auto"/>
                      <w:sz w:val="21"/>
                      <w:szCs w:val="21"/>
                      <w:lang w:val="en-US" w:eastAsia="zh-CN"/>
                    </w:rPr>
                  </w:pPr>
                </w:p>
              </w:tc>
              <w:tc>
                <w:tcPr>
                  <w:tcW w:w="1771" w:type="dxa"/>
                  <w:vAlign w:val="center"/>
                </w:tcPr>
                <w:p>
                  <w:pPr>
                    <w:widowControl/>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废钢筋</w:t>
                  </w:r>
                </w:p>
              </w:tc>
              <w:tc>
                <w:tcPr>
                  <w:tcW w:w="1771" w:type="dxa"/>
                  <w:vAlign w:val="center"/>
                </w:tcPr>
                <w:p>
                  <w:pPr>
                    <w:pStyle w:val="34"/>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770"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770"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9万</w:t>
                  </w:r>
                  <w:r>
                    <w:rPr>
                      <w:rFonts w:ascii="Times New Roman" w:hAnsi="Times New Roman" w:cs="Times New Roman"/>
                      <w:color w:val="auto"/>
                      <w:sz w:val="21"/>
                      <w:szCs w:val="21"/>
                    </w:rPr>
                    <w:t>吨</w:t>
                  </w:r>
                </w:p>
              </w:tc>
              <w:tc>
                <w:tcPr>
                  <w:tcW w:w="3541" w:type="dxa"/>
                  <w:gridSpan w:val="2"/>
                  <w:vAlign w:val="center"/>
                </w:tcPr>
                <w:p>
                  <w:pPr>
                    <w:pStyle w:val="34"/>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1771" w:type="dxa"/>
                  <w:vAlign w:val="center"/>
                </w:tcPr>
                <w:p>
                  <w:pPr>
                    <w:pStyle w:val="34"/>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9万</w:t>
                  </w:r>
                  <w:r>
                    <w:rPr>
                      <w:rFonts w:ascii="Times New Roman" w:hAnsi="Times New Roman" w:cs="Times New Roman"/>
                      <w:color w:val="auto"/>
                      <w:sz w:val="21"/>
                      <w:szCs w:val="21"/>
                    </w:rPr>
                    <w:t>吨</w:t>
                  </w:r>
                </w:p>
              </w:tc>
            </w:tr>
          </w:tbl>
          <w:p>
            <w:pPr>
              <w:pStyle w:val="16"/>
              <w:jc w:val="both"/>
              <w:rPr>
                <w:rFonts w:ascii="Times New Roman" w:hAnsi="Times New Roman" w:cs="Times New Roman"/>
                <w:color w:val="auto"/>
              </w:rPr>
            </w:pPr>
          </w:p>
          <w:p>
            <w:pPr>
              <w:widowControl/>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四、</w:t>
            </w:r>
            <w:r>
              <w:rPr>
                <w:rFonts w:ascii="Times New Roman" w:hAnsi="Times New Roman" w:cs="Times New Roman"/>
                <w:b/>
                <w:bCs/>
                <w:color w:val="auto"/>
                <w:sz w:val="24"/>
                <w:szCs w:val="24"/>
              </w:rPr>
              <w:t xml:space="preserve">项目用水及水量平衡 </w:t>
            </w:r>
          </w:p>
          <w:p>
            <w:pPr>
              <w:widowControl/>
              <w:spacing w:line="360" w:lineRule="auto"/>
              <w:ind w:firstLine="480" w:firstLineChars="200"/>
              <w:jc w:val="both"/>
              <w:rPr>
                <w:rFonts w:ascii="Times New Roman" w:hAnsi="Times New Roman" w:cs="Times New Roman"/>
                <w:color w:val="auto"/>
                <w:sz w:val="32"/>
                <w:szCs w:val="32"/>
              </w:rPr>
            </w:pPr>
            <w:r>
              <w:rPr>
                <w:rFonts w:ascii="Times New Roman" w:hAnsi="Times New Roman" w:cs="Times New Roman"/>
                <w:color w:val="auto"/>
                <w:sz w:val="24"/>
                <w:szCs w:val="24"/>
              </w:rPr>
              <w:t>项目总用水量为</w:t>
            </w:r>
            <w:r>
              <w:rPr>
                <w:rFonts w:hint="default" w:ascii="Times New Roman" w:hAnsi="Times New Roman" w:cs="Times New Roman"/>
                <w:color w:val="auto"/>
                <w:sz w:val="24"/>
                <w:szCs w:val="24"/>
              </w:rPr>
              <w:t>7</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00</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rPr>
              <w:t>/a，</w:t>
            </w:r>
            <w:r>
              <w:rPr>
                <w:rFonts w:hint="eastAsia" w:ascii="Times New Roman" w:hAnsi="Times New Roman" w:cs="Times New Roman"/>
                <w:color w:val="auto"/>
                <w:sz w:val="24"/>
                <w:szCs w:val="24"/>
                <w:lang w:val="en-US" w:eastAsia="zh-CN"/>
              </w:rPr>
              <w:t>其中生产用水69</w:t>
            </w:r>
            <w:r>
              <w:rPr>
                <w:rFonts w:hint="default" w:ascii="Times New Roman" w:hAnsi="Times New Roman" w:cs="Times New Roman"/>
                <w:color w:val="auto"/>
                <w:sz w:val="24"/>
                <w:szCs w:val="24"/>
              </w:rPr>
              <w:t>00</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生活用水300m</w:t>
            </w:r>
            <w:r>
              <w:rPr>
                <w:rFonts w:hint="eastAsia" w:ascii="Times New Roman" w:hAnsi="Times New Roman" w:cs="Times New Roman"/>
                <w:color w:val="auto"/>
                <w:sz w:val="24"/>
                <w:szCs w:val="24"/>
                <w:vertAlign w:val="superscript"/>
                <w:lang w:val="en-US" w:eastAsia="zh-CN"/>
              </w:rPr>
              <w:t>3</w:t>
            </w:r>
            <w:r>
              <w:rPr>
                <w:rFonts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ascii="Times New Roman" w:hAnsi="Times New Roman" w:cs="Times New Roman"/>
                <w:color w:val="auto"/>
                <w:sz w:val="24"/>
                <w:szCs w:val="24"/>
              </w:rPr>
              <w:t>生活用水由市政管网供应，可以满足本项目生产生活需求。项目水平衡表见下表所示：</w:t>
            </w:r>
            <w:r>
              <w:rPr>
                <w:rFonts w:ascii="Times New Roman" w:hAnsi="Times New Roman" w:cs="Times New Roman"/>
                <w:color w:val="auto"/>
                <w:sz w:val="32"/>
                <w:szCs w:val="32"/>
              </w:rPr>
              <w:t xml:space="preserve"> </w:t>
            </w:r>
          </w:p>
          <w:p>
            <w:pPr>
              <w:widowControl/>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 2-</w:t>
            </w:r>
            <w:r>
              <w:rPr>
                <w:rFonts w:hint="default" w:ascii="Times New Roman" w:hAnsi="Times New Roman" w:cs="Times New Roman"/>
                <w:b/>
                <w:bCs/>
                <w:color w:val="auto"/>
                <w:sz w:val="21"/>
                <w:szCs w:val="21"/>
              </w:rPr>
              <w:t>6</w:t>
            </w:r>
            <w:r>
              <w:rPr>
                <w:rFonts w:ascii="Times New Roman" w:hAnsi="Times New Roman" w:cs="Times New Roman"/>
                <w:b/>
                <w:bCs/>
                <w:color w:val="auto"/>
                <w:sz w:val="21"/>
                <w:szCs w:val="21"/>
              </w:rPr>
              <w:t xml:space="preserve"> 项目水平衡表</w:t>
            </w:r>
          </w:p>
          <w:tbl>
            <w:tblPr>
              <w:tblStyle w:val="25"/>
              <w:tblW w:w="8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45"/>
              <w:gridCol w:w="1890"/>
              <w:gridCol w:w="1605"/>
              <w:gridCol w:w="1155"/>
              <w:gridCol w:w="945"/>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cs="Times New Roman"/>
                      <w:b/>
                      <w:bCs/>
                      <w:sz w:val="21"/>
                      <w:szCs w:val="21"/>
                      <w:vertAlign w:val="baseline"/>
                    </w:rPr>
                  </w:pPr>
                  <w:r>
                    <w:rPr>
                      <w:rFonts w:hint="default" w:ascii="Times New Roman" w:hAnsi="Times New Roman" w:cs="Times New Roman"/>
                      <w:b/>
                      <w:bCs/>
                      <w:color w:val="auto"/>
                      <w:sz w:val="21"/>
                      <w:szCs w:val="21"/>
                    </w:rPr>
                    <w:t>序号</w:t>
                  </w:r>
                </w:p>
              </w:tc>
              <w:tc>
                <w:tcPr>
                  <w:tcW w:w="2435" w:type="dxa"/>
                  <w:gridSpan w:val="2"/>
                  <w:vAlign w:val="center"/>
                </w:tcPr>
                <w:p>
                  <w:pPr>
                    <w:pStyle w:val="2"/>
                    <w:spacing w:line="240" w:lineRule="auto"/>
                    <w:jc w:val="center"/>
                    <w:rPr>
                      <w:rFonts w:hint="default" w:ascii="Times New Roman" w:hAnsi="Times New Roman" w:cs="Times New Roman"/>
                      <w:b/>
                      <w:bCs/>
                      <w:sz w:val="21"/>
                      <w:szCs w:val="21"/>
                      <w:vertAlign w:val="baseline"/>
                    </w:rPr>
                  </w:pPr>
                  <w:r>
                    <w:rPr>
                      <w:rFonts w:hint="default" w:ascii="Times New Roman" w:hAnsi="Times New Roman" w:cs="Times New Roman"/>
                      <w:b/>
                      <w:bCs/>
                      <w:sz w:val="21"/>
                      <w:szCs w:val="21"/>
                      <w:vertAlign w:val="baseline"/>
                      <w:lang w:val="en-US" w:eastAsia="zh-CN"/>
                    </w:rPr>
                    <w:t>项目</w:t>
                  </w:r>
                </w:p>
              </w:tc>
              <w:tc>
                <w:tcPr>
                  <w:tcW w:w="1605" w:type="dxa"/>
                  <w:vAlign w:val="center"/>
                </w:tcPr>
                <w:p>
                  <w:pPr>
                    <w:pStyle w:val="2"/>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用水量（m</w:t>
                  </w:r>
                  <w:r>
                    <w:rPr>
                      <w:rFonts w:hint="default" w:ascii="Times New Roman" w:hAnsi="Times New Roman" w:cs="Times New Roman"/>
                      <w:b/>
                      <w:bCs/>
                      <w:sz w:val="21"/>
                      <w:szCs w:val="21"/>
                      <w:vertAlign w:val="superscript"/>
                      <w:lang w:val="en-US" w:eastAsia="zh-CN"/>
                    </w:rPr>
                    <w:t>3</w:t>
                  </w:r>
                  <w:r>
                    <w:rPr>
                      <w:rFonts w:hint="default" w:ascii="Times New Roman" w:hAnsi="Times New Roman" w:cs="Times New Roman"/>
                      <w:b/>
                      <w:bCs/>
                      <w:sz w:val="21"/>
                      <w:szCs w:val="21"/>
                      <w:vertAlign w:val="baseline"/>
                      <w:lang w:val="en-US" w:eastAsia="zh-CN"/>
                    </w:rPr>
                    <w:t>/a）</w:t>
                  </w:r>
                </w:p>
              </w:tc>
              <w:tc>
                <w:tcPr>
                  <w:tcW w:w="1155" w:type="dxa"/>
                  <w:vAlign w:val="center"/>
                </w:tcPr>
                <w:p>
                  <w:pPr>
                    <w:pStyle w:val="2"/>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排污系数</w:t>
                  </w:r>
                </w:p>
              </w:tc>
              <w:tc>
                <w:tcPr>
                  <w:tcW w:w="945" w:type="dxa"/>
                  <w:vAlign w:val="center"/>
                </w:tcPr>
                <w:p>
                  <w:pPr>
                    <w:pStyle w:val="2"/>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排水量</w:t>
                  </w:r>
                </w:p>
              </w:tc>
              <w:tc>
                <w:tcPr>
                  <w:tcW w:w="1959" w:type="dxa"/>
                  <w:vAlign w:val="center"/>
                </w:tcPr>
                <w:p>
                  <w:pPr>
                    <w:pStyle w:val="2"/>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废水去向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545" w:type="dxa"/>
                  <w:vMerge w:val="restart"/>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生产用水</w:t>
                  </w:r>
                </w:p>
              </w:tc>
              <w:tc>
                <w:tcPr>
                  <w:tcW w:w="1890"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混料搅拌</w:t>
                  </w:r>
                  <w:r>
                    <w:rPr>
                      <w:rFonts w:hint="eastAsia" w:ascii="Times New Roman" w:hAnsi="Times New Roman" w:cs="Times New Roman"/>
                      <w:sz w:val="21"/>
                      <w:szCs w:val="21"/>
                      <w:vertAlign w:val="baseline"/>
                      <w:lang w:val="en-US" w:eastAsia="zh-CN"/>
                    </w:rPr>
                    <w:t>用</w:t>
                  </w:r>
                  <w:r>
                    <w:rPr>
                      <w:rFonts w:hint="default" w:ascii="Times New Roman" w:hAnsi="Times New Roman" w:cs="Times New Roman"/>
                      <w:sz w:val="21"/>
                      <w:szCs w:val="21"/>
                      <w:vertAlign w:val="baseline"/>
                      <w:lang w:val="en-US" w:eastAsia="zh-CN"/>
                    </w:rPr>
                    <w:t>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5840</w:t>
                  </w:r>
                </w:p>
              </w:tc>
              <w:tc>
                <w:tcPr>
                  <w:tcW w:w="115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4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c>
                <w:tcPr>
                  <w:tcW w:w="1959"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进入产品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545"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c>
                <w:tcPr>
                  <w:tcW w:w="1890"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搅拌机冲洗用水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10</w:t>
                  </w:r>
                </w:p>
              </w:tc>
              <w:tc>
                <w:tcPr>
                  <w:tcW w:w="115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4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c>
                <w:tcPr>
                  <w:tcW w:w="1959" w:type="dxa"/>
                  <w:vMerge w:val="restart"/>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经沉淀回用于生产，进入产品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545"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c>
                <w:tcPr>
                  <w:tcW w:w="1890"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地面冲洗用水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150</w:t>
                  </w:r>
                </w:p>
              </w:tc>
              <w:tc>
                <w:tcPr>
                  <w:tcW w:w="115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4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c>
                <w:tcPr>
                  <w:tcW w:w="1959"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545"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c>
                <w:tcPr>
                  <w:tcW w:w="1890"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养护用水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600</w:t>
                  </w:r>
                </w:p>
              </w:tc>
              <w:tc>
                <w:tcPr>
                  <w:tcW w:w="115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4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c>
                <w:tcPr>
                  <w:tcW w:w="1959" w:type="dxa"/>
                  <w:vMerge w:val="restart"/>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蒸发损耗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545"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c>
                <w:tcPr>
                  <w:tcW w:w="1890"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控尘用水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15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w:t>
                  </w:r>
                </w:p>
              </w:tc>
              <w:tc>
                <w:tcPr>
                  <w:tcW w:w="945" w:type="dxa"/>
                  <w:vAlign w:val="center"/>
                </w:tcPr>
                <w:p>
                  <w:pPr>
                    <w:pStyle w:val="2"/>
                    <w:spacing w:line="240" w:lineRule="auto"/>
                    <w:jc w:val="center"/>
                    <w:rPr>
                      <w:rFonts w:hint="eastAsia"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w:t>
                  </w:r>
                </w:p>
              </w:tc>
              <w:tc>
                <w:tcPr>
                  <w:tcW w:w="1959" w:type="dxa"/>
                  <w:vMerge w:val="continue"/>
                  <w:vAlign w:val="center"/>
                </w:tcPr>
                <w:p>
                  <w:pPr>
                    <w:pStyle w:val="2"/>
                    <w:spacing w:line="240" w:lineRule="auto"/>
                    <w:jc w:val="center"/>
                    <w:rPr>
                      <w:rFonts w:hint="default" w:ascii="Times New Roman" w:hAnsi="Times New Roman" w:cs="Times New Roman"/>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pStyle w:val="2"/>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2435" w:type="dxa"/>
                  <w:gridSpan w:val="2"/>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员工生活用水</w:t>
                  </w:r>
                </w:p>
              </w:tc>
              <w:tc>
                <w:tcPr>
                  <w:tcW w:w="160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300</w:t>
                  </w:r>
                </w:p>
              </w:tc>
              <w:tc>
                <w:tcPr>
                  <w:tcW w:w="115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0.8</w:t>
                  </w:r>
                </w:p>
              </w:tc>
              <w:tc>
                <w:tcPr>
                  <w:tcW w:w="945"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240</w:t>
                  </w:r>
                </w:p>
              </w:tc>
              <w:tc>
                <w:tcPr>
                  <w:tcW w:w="1959" w:type="dxa"/>
                  <w:vAlign w:val="center"/>
                </w:tcPr>
                <w:p>
                  <w:pPr>
                    <w:pStyle w:val="2"/>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排入市政污水管网</w:t>
                  </w:r>
                </w:p>
              </w:tc>
            </w:tr>
          </w:tbl>
          <w:p>
            <w:pPr>
              <w:spacing w:line="360" w:lineRule="auto"/>
              <w:jc w:val="both"/>
              <w:rPr>
                <w:rFonts w:ascii="Times New Roman" w:hAnsi="Times New Roman" w:cs="Times New Roman"/>
                <w:b/>
                <w:bCs/>
                <w:color w:val="auto"/>
                <w:sz w:val="24"/>
                <w:szCs w:val="32"/>
              </w:rPr>
            </w:pPr>
          </w:p>
          <w:p>
            <w:pPr>
              <w:pStyle w:val="34"/>
              <w:ind w:firstLine="0" w:firstLineChars="0"/>
              <w:jc w:val="center"/>
              <w:rPr>
                <w:rFonts w:hint="default" w:ascii="Times New Roman" w:hAnsi="Times New Roman" w:eastAsia="宋体" w:cs="Times New Roman"/>
                <w:b/>
                <w:bCs/>
                <w:color w:val="auto"/>
                <w:szCs w:val="32"/>
                <w:lang w:eastAsia="zh-CN"/>
              </w:rPr>
            </w:pPr>
            <w:r>
              <w:rPr>
                <w:rFonts w:hint="default" w:ascii="Times New Roman" w:hAnsi="Times New Roman" w:eastAsia="宋体" w:cs="Times New Roman"/>
                <w:b/>
                <w:bCs/>
                <w:color w:val="auto"/>
                <w:szCs w:val="32"/>
                <w:lang w:eastAsia="zh-CN"/>
              </w:rPr>
              <w:drawing>
                <wp:inline distT="0" distB="0" distL="114300" distR="114300">
                  <wp:extent cx="5160010" cy="3409315"/>
                  <wp:effectExtent l="0" t="0" r="0" b="0"/>
                  <wp:docPr id="3" name="ECB019B1-382A-4266-B25C-5B523AA43C14-1" descr="C:/Users/dyxz1/AppData/Local/Temp/wps.tdLEU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dyxz1/AppData/Local/Temp/wps.tdLEUywps"/>
                          <pic:cNvPicPr>
                            <a:picLocks noChangeAspect="1"/>
                          </pic:cNvPicPr>
                        </pic:nvPicPr>
                        <pic:blipFill>
                          <a:blip r:embed="rId8"/>
                          <a:stretch>
                            <a:fillRect/>
                          </a:stretch>
                        </pic:blipFill>
                        <pic:spPr>
                          <a:xfrm>
                            <a:off x="0" y="0"/>
                            <a:ext cx="5160010" cy="3409315"/>
                          </a:xfrm>
                          <a:prstGeom prst="rect">
                            <a:avLst/>
                          </a:prstGeom>
                        </pic:spPr>
                      </pic:pic>
                    </a:graphicData>
                  </a:graphic>
                </wp:inline>
              </w:drawing>
            </w:r>
          </w:p>
          <w:p>
            <w:pPr>
              <w:spacing w:line="360" w:lineRule="auto"/>
              <w:jc w:val="center"/>
              <w:rPr>
                <w:rFonts w:ascii="Times New Roman" w:hAnsi="Times New Roman" w:cs="Times New Roman"/>
                <w:b/>
                <w:bCs/>
                <w:color w:val="auto"/>
                <w:sz w:val="21"/>
                <w:szCs w:val="24"/>
              </w:rPr>
            </w:pPr>
            <w:r>
              <w:rPr>
                <w:rFonts w:ascii="Times New Roman" w:hAnsi="Times New Roman" w:cs="Times New Roman"/>
                <w:b/>
                <w:bCs/>
                <w:color w:val="auto"/>
                <w:sz w:val="21"/>
                <w:szCs w:val="24"/>
              </w:rPr>
              <w:t>图2-1 水平衡图</w:t>
            </w:r>
          </w:p>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五、公用工程</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1、供水</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①生活用水</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本项目员工劳动定</w:t>
            </w:r>
            <w:r>
              <w:rPr>
                <w:rFonts w:ascii="Times New Roman" w:hAnsi="Times New Roman" w:cs="Times New Roman"/>
                <w:color w:val="auto"/>
                <w:sz w:val="24"/>
                <w:szCs w:val="24"/>
              </w:rPr>
              <w:t>员</w:t>
            </w:r>
            <w:r>
              <w:rPr>
                <w:rFonts w:hint="default" w:ascii="Times New Roman" w:hAnsi="Times New Roman" w:cs="Times New Roman"/>
                <w:color w:val="auto"/>
                <w:sz w:val="24"/>
                <w:szCs w:val="24"/>
              </w:rPr>
              <w:t>20</w:t>
            </w:r>
            <w:r>
              <w:rPr>
                <w:rFonts w:ascii="Times New Roman" w:hAnsi="Times New Roman" w:cs="Times New Roman"/>
                <w:color w:val="auto"/>
                <w:sz w:val="24"/>
                <w:szCs w:val="24"/>
              </w:rPr>
              <w:t>人，本项目全年工作日为300天，</w:t>
            </w:r>
            <w:r>
              <w:rPr>
                <w:rFonts w:hint="default" w:ascii="Times New Roman" w:hAnsi="Times New Roman" w:cs="Times New Roman"/>
                <w:color w:val="auto"/>
                <w:sz w:val="24"/>
                <w:szCs w:val="24"/>
              </w:rPr>
              <w:t>一班制</w:t>
            </w:r>
            <w:r>
              <w:rPr>
                <w:rFonts w:ascii="Times New Roman" w:hAnsi="Times New Roman" w:cs="Times New Roman"/>
                <w:color w:val="auto"/>
                <w:sz w:val="24"/>
                <w:szCs w:val="24"/>
              </w:rPr>
              <w:t>。本项目提供员工食堂</w:t>
            </w:r>
            <w:r>
              <w:rPr>
                <w:rFonts w:hint="default" w:ascii="Times New Roman" w:hAnsi="Times New Roman" w:cs="Times New Roman"/>
                <w:color w:val="auto"/>
                <w:sz w:val="24"/>
                <w:szCs w:val="24"/>
              </w:rPr>
              <w:t>和</w:t>
            </w:r>
            <w:r>
              <w:rPr>
                <w:rFonts w:ascii="Times New Roman" w:hAnsi="Times New Roman" w:cs="Times New Roman"/>
                <w:color w:val="auto"/>
                <w:sz w:val="24"/>
                <w:szCs w:val="24"/>
              </w:rPr>
              <w:t>员工宿舍。参考《四川省地方标准-用水定额》（DB51/T2138-2016），并结合本项目实际情况考虑，员工生活用水按</w:t>
            </w:r>
            <w:r>
              <w:rPr>
                <w:rFonts w:hint="default" w:ascii="Times New Roman" w:hAnsi="Times New Roman" w:cs="Times New Roman"/>
                <w:color w:val="auto"/>
                <w:sz w:val="24"/>
                <w:szCs w:val="24"/>
              </w:rPr>
              <w:t>5</w:t>
            </w:r>
            <w:r>
              <w:rPr>
                <w:rFonts w:ascii="Times New Roman" w:hAnsi="Times New Roman" w:cs="Times New Roman"/>
                <w:color w:val="auto"/>
                <w:sz w:val="24"/>
                <w:szCs w:val="24"/>
              </w:rPr>
              <w:t>0L/人</w:t>
            </w:r>
            <w:r>
              <w:rPr>
                <w:rFonts w:hint="default" w:ascii="Times New Roman" w:hAnsi="Times New Roman" w:cs="Times New Roman"/>
                <w:color w:val="auto"/>
              </w:rPr>
              <w:t>*</w:t>
            </w:r>
            <w:r>
              <w:rPr>
                <w:rFonts w:ascii="Times New Roman" w:hAnsi="Times New Roman" w:cs="Times New Roman"/>
                <w:color w:val="auto"/>
                <w:sz w:val="24"/>
                <w:szCs w:val="24"/>
              </w:rPr>
              <w:t>d的计算，生活污水产生量按生活用水量的80%计算，则本项目生活污水产生量为</w:t>
            </w:r>
            <w:r>
              <w:rPr>
                <w:rFonts w:hint="default" w:ascii="Times New Roman" w:hAnsi="Times New Roman" w:cs="Times New Roman"/>
                <w:color w:val="auto"/>
                <w:sz w:val="24"/>
                <w:szCs w:val="24"/>
              </w:rPr>
              <w:t>0.8</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/d（</w:t>
            </w:r>
            <w:r>
              <w:rPr>
                <w:rFonts w:hint="default" w:ascii="Times New Roman" w:hAnsi="Times New Roman" w:cs="Times New Roman"/>
                <w:color w:val="auto"/>
                <w:sz w:val="24"/>
                <w:szCs w:val="24"/>
              </w:rPr>
              <w:t>240</w:t>
            </w:r>
            <w:r>
              <w:rPr>
                <w:rFonts w:ascii="Times New Roman" w:hAnsi="Times New Roman" w:cs="Times New Roman"/>
                <w:color w:val="auto"/>
                <w:sz w:val="24"/>
                <w:szCs w:val="24"/>
              </w:rPr>
              <w:t>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/a）。</w:t>
            </w:r>
          </w:p>
          <w:p>
            <w:pPr>
              <w:widowControl/>
              <w:spacing w:line="360" w:lineRule="auto"/>
              <w:ind w:firstLine="480"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②搅拌机混料用水</w:t>
            </w:r>
          </w:p>
          <w:p>
            <w:pPr>
              <w:pStyle w:val="36"/>
              <w:spacing w:line="360" w:lineRule="auto"/>
              <w:ind w:firstLine="480" w:firstLineChars="200"/>
              <w:jc w:val="both"/>
              <w:rPr>
                <w:rFonts w:hint="default"/>
                <w:lang w:val="en-US" w:eastAsia="zh-CN"/>
              </w:rPr>
            </w:pPr>
            <w:r>
              <w:rPr>
                <w:rFonts w:hint="default" w:ascii="Times New Roman" w:hAnsi="Times New Roman" w:eastAsia="宋体" w:cs="Times New Roman"/>
                <w:color w:val="auto"/>
              </w:rPr>
              <w:t>混料阶段砂石、水泥需兑水搅拌，</w:t>
            </w:r>
            <w:r>
              <w:rPr>
                <w:rFonts w:hint="eastAsia" w:ascii="Times New Roman" w:hAnsi="Times New Roman" w:eastAsia="宋体" w:cs="Times New Roman"/>
                <w:color w:val="auto"/>
                <w:lang w:val="en-US" w:eastAsia="zh-CN"/>
              </w:rPr>
              <w:t>混料用水</w:t>
            </w:r>
            <w:r>
              <w:rPr>
                <w:rFonts w:ascii="Times New Roman" w:hAnsi="Times New Roman" w:eastAsia="宋体" w:cs="Times New Roman"/>
                <w:color w:val="auto"/>
              </w:rPr>
              <w:t>年</w:t>
            </w:r>
            <w:r>
              <w:rPr>
                <w:rFonts w:hint="default" w:ascii="Times New Roman" w:hAnsi="Times New Roman" w:eastAsia="宋体" w:cs="Times New Roman"/>
                <w:color w:val="auto"/>
              </w:rPr>
              <w:t>使用</w:t>
            </w:r>
            <w:r>
              <w:rPr>
                <w:rFonts w:ascii="Times New Roman" w:hAnsi="Times New Roman" w:eastAsia="宋体" w:cs="Times New Roman"/>
                <w:color w:val="auto"/>
              </w:rPr>
              <w:t>水量约为</w:t>
            </w:r>
            <w:r>
              <w:rPr>
                <w:rFonts w:hint="eastAsia" w:ascii="Times New Roman" w:hAnsi="Times New Roman" w:eastAsia="宋体" w:cs="Times New Roman"/>
                <w:color w:val="auto"/>
                <w:lang w:val="en-US" w:eastAsia="zh-CN"/>
              </w:rPr>
              <w:t>584</w:t>
            </w:r>
            <w:r>
              <w:rPr>
                <w:rFonts w:hint="default" w:ascii="Times New Roman" w:hAnsi="Times New Roman" w:eastAsia="宋体" w:cs="Times New Roman"/>
                <w:color w:val="auto"/>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ascii="Times New Roman" w:hAnsi="Times New Roman" w:eastAsia="宋体" w:cs="Times New Roman"/>
                <w:color w:val="auto"/>
              </w:rPr>
              <w:t>/a。</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③搅拌机冲洗用水</w:t>
            </w:r>
          </w:p>
          <w:p>
            <w:pPr>
              <w:pStyle w:val="36"/>
              <w:spacing w:line="360" w:lineRule="auto"/>
              <w:ind w:firstLine="480" w:firstLineChars="200"/>
              <w:jc w:val="both"/>
              <w:rPr>
                <w:rFonts w:ascii="Times New Roman" w:hAnsi="Times New Roman" w:eastAsia="宋体" w:cs="Times New Roman"/>
                <w:color w:val="auto"/>
              </w:rPr>
            </w:pPr>
            <w:r>
              <w:rPr>
                <w:rFonts w:hint="default" w:ascii="Times New Roman" w:hAnsi="Times New Roman" w:eastAsia="宋体" w:cs="Times New Roman"/>
                <w:color w:val="auto"/>
              </w:rPr>
              <w:t>项目搅拌机在暂时停止生产时须进行冲洗。根据建设单位提供资料，项目搅拌机</w:t>
            </w:r>
            <w:r>
              <w:rPr>
                <w:rFonts w:hint="eastAsia" w:ascii="Times New Roman" w:eastAsia="宋体" w:cs="Times New Roman"/>
                <w:color w:val="auto"/>
                <w:lang w:val="en-US" w:eastAsia="zh-CN"/>
              </w:rPr>
              <w:t>一年</w:t>
            </w:r>
            <w:r>
              <w:rPr>
                <w:rFonts w:hint="default" w:ascii="Times New Roman" w:hAnsi="Times New Roman" w:eastAsia="宋体" w:cs="Times New Roman"/>
                <w:color w:val="auto"/>
              </w:rPr>
              <w:t>冲洗1</w:t>
            </w:r>
            <w:r>
              <w:rPr>
                <w:rFonts w:hint="eastAsia" w:ascii="Times New Roman" w:eastAsia="宋体" w:cs="Times New Roman"/>
                <w:color w:val="auto"/>
                <w:lang w:val="en-US" w:eastAsia="zh-CN"/>
              </w:rPr>
              <w:t>0</w:t>
            </w:r>
            <w:r>
              <w:rPr>
                <w:rFonts w:hint="default" w:ascii="Times New Roman" w:hAnsi="Times New Roman" w:eastAsia="宋体" w:cs="Times New Roman"/>
                <w:color w:val="auto"/>
              </w:rPr>
              <w:t>次，搅拌机冲洗用水按1.0m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/次计，则项目搅拌机冲洗用水量为 1</w:t>
            </w:r>
            <w:r>
              <w:rPr>
                <w:rFonts w:hint="eastAsia" w:ascii="Times New Roman" w:eastAsia="宋体" w:cs="Times New Roman"/>
                <w:color w:val="auto"/>
                <w:lang w:val="en-US" w:eastAsia="zh-CN"/>
              </w:rPr>
              <w:t>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p>
            <w:pPr>
              <w:widowControl/>
              <w:spacing w:line="360" w:lineRule="auto"/>
              <w:ind w:firstLine="480" w:firstLineChars="200"/>
              <w:jc w:val="both"/>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④</w:t>
            </w:r>
            <w:r>
              <w:rPr>
                <w:rFonts w:hint="default" w:ascii="Times New Roman" w:hAnsi="Times New Roman" w:cs="Times New Roman"/>
                <w:color w:val="auto"/>
                <w:sz w:val="24"/>
                <w:szCs w:val="24"/>
              </w:rPr>
              <w:t>地面冲洗水</w:t>
            </w:r>
          </w:p>
          <w:p>
            <w:pPr>
              <w:widowControl/>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本项目搅拌工序作业面需冲洗，其面积约</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，每天进行冲洗，冲洗水量按 5L/m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·d，则用水量为 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150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p>
          <w:p>
            <w:pPr>
              <w:widowControl/>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⑤控尘用水</w:t>
            </w:r>
          </w:p>
          <w:p>
            <w:pPr>
              <w:widowControl/>
              <w:spacing w:line="360" w:lineRule="auto"/>
              <w:ind w:firstLine="480"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本项目厂区内控尘喷淋及洒水用水按 1.0m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 计，则年用水 300m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w:t>
            </w:r>
          </w:p>
          <w:p>
            <w:pPr>
              <w:widowControl/>
              <w:spacing w:line="360" w:lineRule="auto"/>
              <w:ind w:firstLine="480" w:firstLineChars="200"/>
              <w:jc w:val="both"/>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⑥</w:t>
            </w:r>
            <w:r>
              <w:rPr>
                <w:rFonts w:hint="default" w:ascii="Times New Roman" w:hAnsi="Times New Roman" w:cs="Times New Roman"/>
                <w:color w:val="auto"/>
                <w:sz w:val="24"/>
                <w:szCs w:val="24"/>
                <w:lang w:val="en-US" w:eastAsia="zh-CN"/>
              </w:rPr>
              <w:t>养护</w:t>
            </w:r>
            <w:r>
              <w:rPr>
                <w:rFonts w:hint="default" w:ascii="Times New Roman" w:hAnsi="Times New Roman" w:cs="Times New Roman"/>
                <w:color w:val="auto"/>
                <w:sz w:val="24"/>
                <w:szCs w:val="24"/>
              </w:rPr>
              <w:t>用水</w:t>
            </w:r>
          </w:p>
          <w:p>
            <w:pPr>
              <w:pStyle w:val="36"/>
              <w:spacing w:line="360" w:lineRule="auto"/>
              <w:ind w:firstLine="480" w:firstLineChars="200"/>
              <w:jc w:val="both"/>
              <w:rPr>
                <w:rFonts w:ascii="Times New Roman" w:hAnsi="Times New Roman"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养护用水用于锅炉燃烧产生蒸汽输送至养护池</w:t>
            </w:r>
            <w:r>
              <w:rPr>
                <w:rFonts w:hint="default" w:ascii="Times New Roman" w:hAnsi="Times New Roman" w:eastAsia="宋体" w:cs="Times New Roman"/>
                <w:color w:val="auto"/>
              </w:rPr>
              <w:t>，约</w:t>
            </w:r>
            <w:r>
              <w:rPr>
                <w:rFonts w:hint="eastAsia" w:ascii="Times New Roman" w:eastAsia="宋体" w:cs="Times New Roman"/>
                <w:color w:val="auto"/>
                <w:lang w:val="en-US" w:eastAsia="zh-CN"/>
              </w:rPr>
              <w:t>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eastAsia="宋体" w:cs="Times New Roman"/>
                <w:color w:val="auto"/>
                <w:lang w:val="en-US" w:eastAsia="zh-CN"/>
              </w:rPr>
              <w:t>6</w:t>
            </w:r>
            <w:r>
              <w:rPr>
                <w:rFonts w:hint="default" w:ascii="Times New Roman" w:hAnsi="Times New Roman" w:eastAsia="宋体" w:cs="Times New Roman"/>
                <w:color w:val="auto"/>
              </w:rPr>
              <w:t>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养护水自然蒸发不外排</w:t>
            </w:r>
            <w:r>
              <w:rPr>
                <w:rFonts w:hint="default" w:ascii="Times New Roman" w:hAnsi="Times New Roman" w:eastAsia="宋体" w:cs="Times New Roman"/>
                <w:color w:val="auto"/>
              </w:rPr>
              <w:t>。</w:t>
            </w:r>
          </w:p>
          <w:p>
            <w:pPr>
              <w:pStyle w:val="41"/>
              <w:widowControl w:val="0"/>
              <w:spacing w:beforeLines="0" w:afterLines="0"/>
              <w:ind w:firstLine="480"/>
              <w:rPr>
                <w:rFonts w:ascii="Times New Roman" w:hAnsi="Times New Roman" w:cs="Times New Roman"/>
                <w:color w:val="auto"/>
                <w:kern w:val="2"/>
              </w:rPr>
            </w:pPr>
            <w:r>
              <w:rPr>
                <w:rFonts w:hint="default" w:ascii="Times New Roman" w:hAnsi="Times New Roman" w:cs="Times New Roman"/>
                <w:color w:val="auto"/>
                <w:kern w:val="2"/>
              </w:rPr>
              <w:t>2</w:t>
            </w:r>
            <w:r>
              <w:rPr>
                <w:rFonts w:ascii="Times New Roman" w:hAnsi="Times New Roman" w:cs="Times New Roman"/>
                <w:color w:val="auto"/>
                <w:kern w:val="2"/>
              </w:rPr>
              <w:t>、排水</w:t>
            </w:r>
          </w:p>
          <w:p>
            <w:pPr>
              <w:snapToGrid w:val="0"/>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排水系统采用雨污分流制，雨水由厂区现有雨水排水管收集后城市雨水管网。</w:t>
            </w:r>
          </w:p>
          <w:p>
            <w:pPr>
              <w:pStyle w:val="41"/>
              <w:widowControl w:val="0"/>
              <w:spacing w:beforeLines="0" w:afterLines="0"/>
              <w:ind w:firstLine="480"/>
              <w:rPr>
                <w:rFonts w:ascii="Times New Roman" w:hAnsi="Times New Roman" w:cs="Times New Roman"/>
                <w:color w:val="auto"/>
                <w:kern w:val="2"/>
              </w:rPr>
            </w:pPr>
            <w:r>
              <w:rPr>
                <w:rFonts w:hint="default" w:ascii="Times New Roman" w:hAnsi="Times New Roman" w:cs="Times New Roman"/>
                <w:color w:val="auto"/>
                <w:kern w:val="2"/>
              </w:rPr>
              <w:t>本项目项目生产废水（搅拌机冲洗废水、地面冲洗废水）均排入沉淀池，经沉淀后上清液回用于混凝土搅拌工序，不外排；员工生活污水经园区化粪池处理后，达到《污水综合排放标准》（GB8978-1996）三级标准，排入园区管网。</w:t>
            </w:r>
          </w:p>
          <w:p>
            <w:pPr>
              <w:pStyle w:val="41"/>
              <w:widowControl w:val="0"/>
              <w:spacing w:beforeLines="0" w:afterLines="0"/>
              <w:ind w:firstLine="480"/>
              <w:rPr>
                <w:rFonts w:ascii="Times New Roman" w:hAnsi="Times New Roman" w:cs="Times New Roman"/>
                <w:color w:val="auto"/>
                <w:kern w:val="2"/>
              </w:rPr>
            </w:pPr>
            <w:r>
              <w:rPr>
                <w:rFonts w:hint="default" w:ascii="Times New Roman" w:hAnsi="Times New Roman" w:cs="Times New Roman"/>
                <w:color w:val="auto"/>
                <w:kern w:val="2"/>
              </w:rPr>
              <w:t>3、能源</w:t>
            </w:r>
          </w:p>
          <w:p>
            <w:pPr>
              <w:widowControl/>
              <w:spacing w:line="360" w:lineRule="auto"/>
              <w:ind w:firstLine="480" w:firstLineChars="200"/>
              <w:jc w:val="both"/>
              <w:rPr>
                <w:rFonts w:ascii="Times New Roman" w:hAnsi="Times New Roman" w:cs="Times New Roman"/>
                <w:color w:val="auto"/>
              </w:rPr>
            </w:pPr>
            <w:r>
              <w:rPr>
                <w:rFonts w:hint="default" w:ascii="Times New Roman" w:hAnsi="Times New Roman" w:cs="Times New Roman"/>
                <w:color w:val="auto"/>
                <w:sz w:val="24"/>
                <w:szCs w:val="24"/>
              </w:rPr>
              <w:t xml:space="preserve">本项目用电依托厂区已建供电设施。 </w:t>
            </w:r>
          </w:p>
          <w:p>
            <w:pPr>
              <w:pStyle w:val="41"/>
              <w:widowControl w:val="0"/>
              <w:spacing w:beforeLines="0" w:afterLines="0"/>
              <w:ind w:firstLine="480"/>
              <w:rPr>
                <w:rFonts w:ascii="Times New Roman" w:hAnsi="Times New Roman" w:cs="Times New Roman"/>
                <w:color w:val="auto"/>
                <w:kern w:val="2"/>
              </w:rPr>
            </w:pPr>
            <w:r>
              <w:rPr>
                <w:rFonts w:hint="default" w:ascii="Times New Roman" w:hAnsi="Times New Roman" w:cs="Times New Roman"/>
                <w:color w:val="auto"/>
                <w:kern w:val="2"/>
              </w:rPr>
              <w:t>4、消防</w:t>
            </w:r>
          </w:p>
          <w:p>
            <w:pPr>
              <w:widowControl/>
              <w:spacing w:line="360" w:lineRule="auto"/>
              <w:ind w:firstLine="480" w:firstLineChars="200"/>
              <w:jc w:val="both"/>
              <w:rPr>
                <w:rFonts w:ascii="Times New Roman" w:hAnsi="Times New Roman" w:cs="Times New Roman"/>
                <w:color w:val="auto"/>
              </w:rPr>
            </w:pPr>
            <w:r>
              <w:rPr>
                <w:rFonts w:hint="default" w:ascii="Times New Roman" w:hAnsi="Times New Roman" w:cs="Times New Roman"/>
                <w:color w:val="auto"/>
                <w:sz w:val="24"/>
                <w:szCs w:val="24"/>
              </w:rPr>
              <w:t>本项目消防设施依托厂区已建的消防措施，室内消防给水系统采用专用消防供水管道，并设置消防箱、水带，室外消防给水系统采用地上式消火栓。</w:t>
            </w:r>
          </w:p>
          <w:p>
            <w:pPr>
              <w:snapToGrid w:val="0"/>
              <w:spacing w:line="360" w:lineRule="auto"/>
              <w:jc w:val="both"/>
              <w:rPr>
                <w:rFonts w:ascii="Times New Roman" w:hAnsi="Times New Roman" w:cs="Times New Roman"/>
                <w:b/>
                <w:bCs/>
                <w:color w:val="auto"/>
                <w:sz w:val="24"/>
                <w:szCs w:val="24"/>
                <w:u w:val="single"/>
              </w:rPr>
            </w:pPr>
            <w:r>
              <w:rPr>
                <w:rFonts w:hint="default" w:ascii="Times New Roman" w:hAnsi="Times New Roman" w:cs="Times New Roman"/>
                <w:b/>
                <w:bCs/>
                <w:color w:val="auto"/>
                <w:sz w:val="24"/>
                <w:szCs w:val="24"/>
              </w:rPr>
              <w:t>六、</w:t>
            </w:r>
            <w:r>
              <w:rPr>
                <w:rFonts w:ascii="Times New Roman" w:hAnsi="Times New Roman" w:cs="Times New Roman"/>
                <w:b/>
                <w:bCs/>
                <w:color w:val="auto"/>
                <w:sz w:val="24"/>
                <w:szCs w:val="24"/>
              </w:rPr>
              <w:t>平面布置合理性分析</w:t>
            </w:r>
          </w:p>
          <w:p>
            <w:pPr>
              <w:widowControl/>
              <w:autoSpaceDE/>
              <w:autoSpaceDN/>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本项目用地为规则的矩形，功能分区明确，布局紧凑。项目设置有1个出入口，大门出入口实现了人车分流。厂房整个东北侧为生产区域，厂房中部设有钢筋车间，厂房南侧设有，西北侧为半成品堆放处；砂石堆放在厂房外，厂房外设有成品库，便于物料运输原料以及成品堆场；办公室、宿舍食堂设置在厂房外（详见附图4）。</w:t>
            </w:r>
          </w:p>
          <w:p>
            <w:pPr>
              <w:pStyle w:val="36"/>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drawing>
                <wp:inline distT="0" distB="0" distL="114300" distR="114300">
                  <wp:extent cx="5612765" cy="2678430"/>
                  <wp:effectExtent l="0" t="0" r="6985" b="7620"/>
                  <wp:docPr id="6" name="图片 6" descr="6e2de251ea761be8c02305f922bb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e2de251ea761be8c02305f922bb2c5"/>
                          <pic:cNvPicPr>
                            <a:picLocks noChangeAspect="1"/>
                          </pic:cNvPicPr>
                        </pic:nvPicPr>
                        <pic:blipFill>
                          <a:blip r:embed="rId9"/>
                          <a:stretch>
                            <a:fillRect/>
                          </a:stretch>
                        </pic:blipFill>
                        <pic:spPr>
                          <a:xfrm>
                            <a:off x="0" y="0"/>
                            <a:ext cx="5612765" cy="2678430"/>
                          </a:xfrm>
                          <a:prstGeom prst="rect">
                            <a:avLst/>
                          </a:prstGeom>
                        </pic:spPr>
                      </pic:pic>
                    </a:graphicData>
                  </a:graphic>
                </wp:inline>
              </w:drawing>
            </w:r>
          </w:p>
          <w:p>
            <w:pPr>
              <w:autoSpaceDE/>
              <w:autoSpaceDN/>
              <w:spacing w:line="360" w:lineRule="auto"/>
              <w:jc w:val="center"/>
              <w:rPr>
                <w:rFonts w:ascii="Times New Roman" w:hAnsi="Times New Roman" w:cs="Times New Roman"/>
                <w:color w:val="auto"/>
              </w:rPr>
            </w:pPr>
            <w:r>
              <w:rPr>
                <w:rFonts w:ascii="Times New Roman" w:hAnsi="Times New Roman" w:cs="Times New Roman"/>
                <w:b/>
                <w:bCs/>
                <w:color w:val="auto"/>
                <w:sz w:val="21"/>
                <w:szCs w:val="21"/>
              </w:rPr>
              <w:t>图2-2 厂区平面布置图</w:t>
            </w:r>
          </w:p>
          <w:p>
            <w:pPr>
              <w:autoSpaceDE/>
              <w:autoSpaceDN/>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综上所述，本项目总图布置符合厂区</w:t>
            </w:r>
            <w:r>
              <w:rPr>
                <w:rFonts w:hint="default" w:ascii="Times New Roman" w:hAnsi="Times New Roman" w:cs="Times New Roman"/>
                <w:color w:val="auto"/>
                <w:sz w:val="24"/>
                <w:szCs w:val="24"/>
                <w:lang w:eastAsia="zh-CN"/>
              </w:rPr>
              <w:t>“</w:t>
            </w:r>
            <w:r>
              <w:rPr>
                <w:rFonts w:ascii="Times New Roman" w:hAnsi="Times New Roman" w:cs="Times New Roman"/>
                <w:color w:val="auto"/>
                <w:sz w:val="24"/>
                <w:szCs w:val="24"/>
              </w:rPr>
              <w:t>分区合理、</w:t>
            </w:r>
            <w:r>
              <w:rPr>
                <w:rFonts w:hint="default" w:ascii="Times New Roman" w:hAnsi="Times New Roman" w:cs="Times New Roman"/>
                <w:color w:val="auto"/>
                <w:sz w:val="24"/>
                <w:szCs w:val="24"/>
              </w:rPr>
              <w:t>工艺流畅、物流短捷；突出环保与安全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的原则。项目在尽量满足运输、防火、卫生及安全要求的前提下，合理利用土地、功能分区明确、组织协作良好，方便生产联系和管理，避免人流、物流交叉干扰、污染。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工艺流程和产排污环节</w:t>
            </w:r>
          </w:p>
        </w:tc>
        <w:tc>
          <w:tcPr>
            <w:tcW w:w="9068" w:type="dxa"/>
          </w:tcPr>
          <w:p>
            <w:pPr>
              <w:pStyle w:val="42"/>
              <w:suppressAutoHyphens/>
              <w:ind w:firstLine="0" w:firstLineChars="0"/>
              <w:rPr>
                <w:rFonts w:ascii="Times New Roman" w:hAnsi="Times New Roman" w:cs="Times New Roman"/>
                <w:b/>
                <w:color w:val="auto"/>
                <w:szCs w:val="24"/>
              </w:rPr>
            </w:pPr>
            <w:r>
              <w:rPr>
                <w:rFonts w:hint="default" w:ascii="Times New Roman" w:hAnsi="Times New Roman" w:cs="Times New Roman"/>
                <w:b/>
                <w:color w:val="auto"/>
                <w:szCs w:val="24"/>
              </w:rPr>
              <w:t>一、施工期产污环节分析</w:t>
            </w:r>
          </w:p>
          <w:p>
            <w:pPr>
              <w:spacing w:line="360" w:lineRule="auto"/>
              <w:ind w:firstLine="480" w:firstLineChars="200"/>
              <w:jc w:val="both"/>
              <w:rPr>
                <w:rFonts w:ascii="Times New Roman" w:hAnsi="Times New Roman" w:cs="Times New Roman"/>
                <w:bCs/>
                <w:color w:val="auto"/>
                <w:sz w:val="24"/>
                <w:szCs w:val="24"/>
              </w:rPr>
            </w:pPr>
            <w:r>
              <w:rPr>
                <w:rFonts w:hint="default" w:ascii="Times New Roman" w:hAnsi="Times New Roman" w:cs="Times New Roman"/>
                <w:color w:val="auto"/>
                <w:sz w:val="24"/>
                <w:szCs w:val="24"/>
              </w:rPr>
              <w:t>本项目系</w:t>
            </w:r>
            <w:r>
              <w:rPr>
                <w:rFonts w:hint="default" w:ascii="Times New Roman" w:hAnsi="Times New Roman" w:cs="Times New Roman"/>
                <w:color w:val="auto"/>
                <w:sz w:val="24"/>
                <w:szCs w:val="24"/>
                <w:lang w:val="en-US" w:eastAsia="zh-CN"/>
              </w:rPr>
              <w:t>利用</w:t>
            </w:r>
            <w:r>
              <w:rPr>
                <w:rFonts w:hint="default" w:ascii="Times New Roman" w:hAnsi="Times New Roman" w:cs="Times New Roman"/>
                <w:color w:val="auto"/>
                <w:sz w:val="24"/>
                <w:szCs w:val="24"/>
              </w:rPr>
              <w:t>四川省遂宁市蓬溪县上游工业园区四川澳峰橡胶有限公司现有房屋结构，不涉及基础开挖、土石方修建等工程，仅在企业入驻时对自身设备进行安装、调试，该过程主要污染物为噪声、废包装、生活污水等。</w:t>
            </w:r>
          </w:p>
          <w:p>
            <w:pPr>
              <w:pStyle w:val="34"/>
              <w:ind w:firstLine="0" w:firstLineChars="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828540" cy="1501775"/>
                  <wp:effectExtent l="0" t="0" r="0"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0"/>
                          <a:srcRect l="3839" t="-5966" r="2778" b="7583"/>
                          <a:stretch>
                            <a:fillRect/>
                          </a:stretch>
                        </pic:blipFill>
                        <pic:spPr>
                          <a:xfrm>
                            <a:off x="0" y="0"/>
                            <a:ext cx="4828540" cy="1501775"/>
                          </a:xfrm>
                          <a:prstGeom prst="rect">
                            <a:avLst/>
                          </a:prstGeom>
                          <a:noFill/>
                          <a:ln>
                            <a:noFill/>
                          </a:ln>
                        </pic:spPr>
                      </pic:pic>
                    </a:graphicData>
                  </a:graphic>
                </wp:inline>
              </w:drawing>
            </w:r>
          </w:p>
          <w:p>
            <w:pPr>
              <w:jc w:val="center"/>
              <w:rPr>
                <w:rFonts w:ascii="Times New Roman" w:hAnsi="Times New Roman" w:cs="Times New Roman"/>
                <w:color w:val="auto"/>
                <w:sz w:val="21"/>
                <w:szCs w:val="21"/>
              </w:rPr>
            </w:pPr>
            <w:r>
              <w:rPr>
                <w:rFonts w:ascii="Times New Roman" w:hAnsi="Times New Roman" w:cs="Times New Roman"/>
                <w:b/>
                <w:bCs/>
                <w:color w:val="auto"/>
                <w:sz w:val="21"/>
                <w:szCs w:val="21"/>
              </w:rPr>
              <w:t>图2-</w:t>
            </w:r>
            <w:r>
              <w:rPr>
                <w:rFonts w:hint="default" w:ascii="Times New Roman" w:hAnsi="Times New Roman" w:cs="Times New Roman"/>
                <w:b/>
                <w:bCs/>
                <w:color w:val="auto"/>
                <w:sz w:val="21"/>
                <w:szCs w:val="21"/>
              </w:rPr>
              <w:t>3</w:t>
            </w:r>
            <w:r>
              <w:rPr>
                <w:rFonts w:ascii="Times New Roman" w:hAnsi="Times New Roman" w:cs="Times New Roman"/>
                <w:b/>
                <w:bCs/>
                <w:color w:val="auto"/>
                <w:sz w:val="21"/>
                <w:szCs w:val="21"/>
              </w:rPr>
              <w:t xml:space="preserve">  施工流程图及产污节点</w:t>
            </w:r>
          </w:p>
          <w:p>
            <w:pPr>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rPr>
              <w:t>本项目在既有厂房内建设，</w:t>
            </w:r>
            <w:r>
              <w:rPr>
                <w:rFonts w:hint="default" w:ascii="Times New Roman" w:hAnsi="Times New Roman" w:cs="Times New Roman"/>
                <w:color w:val="auto"/>
                <w:sz w:val="24"/>
                <w:szCs w:val="24"/>
              </w:rPr>
              <w:t>由于设备均安装于厂房内部，</w:t>
            </w:r>
            <w:r>
              <w:rPr>
                <w:rFonts w:ascii="Times New Roman" w:hAnsi="Times New Roman" w:cs="Times New Roman"/>
                <w:color w:val="auto"/>
                <w:sz w:val="24"/>
              </w:rPr>
              <w:t>利用厂房隔音可以消除施工期噪声对外界的影响。施工期包装设备产生的废弃包装材料收集后，由业主方外卖给资源回收部门；施工期产生的生活垃圾经生活垃圾收集桶收集后交由环卫部门统一处置。施工期人员生活废水依托厂房既有设施收集处理，生活污水排入厂区已建化粪池收集处理达《污水综合排放标准》（GB8978-1996）三级标准后，经园区污水管网排放至</w:t>
            </w:r>
            <w:r>
              <w:rPr>
                <w:rFonts w:hint="default" w:ascii="Times New Roman" w:hAnsi="Times New Roman" w:cs="Times New Roman"/>
                <w:color w:val="auto"/>
                <w:sz w:val="24"/>
              </w:rPr>
              <w:t>污水</w:t>
            </w:r>
            <w:r>
              <w:rPr>
                <w:rFonts w:ascii="Times New Roman" w:hAnsi="Times New Roman" w:cs="Times New Roman"/>
                <w:color w:val="auto"/>
                <w:sz w:val="24"/>
              </w:rPr>
              <w:t>处理厂进行处理。</w:t>
            </w:r>
          </w:p>
          <w:p>
            <w:pPr>
              <w:pStyle w:val="42"/>
              <w:suppressAutoHyphens/>
              <w:ind w:firstLine="0" w:firstLineChars="0"/>
              <w:rPr>
                <w:rFonts w:ascii="Times New Roman" w:hAnsi="Times New Roman" w:cs="Times New Roman"/>
                <w:b/>
                <w:color w:val="auto"/>
                <w:szCs w:val="24"/>
              </w:rPr>
            </w:pPr>
            <w:r>
              <w:rPr>
                <w:rFonts w:hint="default" w:ascii="Times New Roman" w:hAnsi="Times New Roman" w:cs="Times New Roman"/>
                <w:b/>
                <w:color w:val="auto"/>
                <w:szCs w:val="24"/>
              </w:rPr>
              <w:t>二、运营期工艺流程及产污环节分析</w:t>
            </w:r>
          </w:p>
          <w:p>
            <w:pPr>
              <w:pStyle w:val="42"/>
              <w:suppressAutoHyphens/>
              <w:ind w:firstLine="482"/>
              <w:rPr>
                <w:rFonts w:ascii="Times New Roman" w:hAnsi="Times New Roman" w:cs="Times New Roman"/>
                <w:color w:val="auto"/>
              </w:rPr>
            </w:pPr>
            <w:r>
              <w:rPr>
                <w:rFonts w:ascii="Times New Roman" w:hAnsi="Times New Roman" w:cs="Times New Roman"/>
                <w:b/>
                <w:color w:val="auto"/>
                <w:szCs w:val="24"/>
              </w:rPr>
              <w:t>生产工艺流程简述：</w:t>
            </w:r>
          </w:p>
          <w:p>
            <w:pPr>
              <w:pStyle w:val="19"/>
              <w:spacing w:beforeAutospacing="0" w:afterAutospacing="0" w:line="360" w:lineRule="auto"/>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612765" cy="6894830"/>
                  <wp:effectExtent l="0" t="0" r="0" b="0"/>
                  <wp:docPr id="1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wps"/>
                          <pic:cNvPicPr>
                            <a:picLocks noChangeAspect="1"/>
                          </pic:cNvPicPr>
                        </pic:nvPicPr>
                        <pic:blipFill>
                          <a:blip r:embed="rId11"/>
                          <a:stretch>
                            <a:fillRect/>
                          </a:stretch>
                        </pic:blipFill>
                        <pic:spPr>
                          <a:xfrm>
                            <a:off x="0" y="0"/>
                            <a:ext cx="5612765" cy="6894830"/>
                          </a:xfrm>
                          <a:prstGeom prst="rect">
                            <a:avLst/>
                          </a:prstGeom>
                        </pic:spPr>
                      </pic:pic>
                    </a:graphicData>
                  </a:graphic>
                </wp:inline>
              </w:drawing>
            </w:r>
          </w:p>
          <w:p>
            <w:pPr>
              <w:pStyle w:val="8"/>
              <w:tabs>
                <w:tab w:val="left" w:pos="2940"/>
              </w:tabs>
              <w:ind w:firstLine="0" w:firstLineChars="0"/>
              <w:jc w:val="center"/>
              <w:rPr>
                <w:rStyle w:val="31"/>
                <w:rFonts w:ascii="Times New Roman" w:hAnsi="Times New Roman" w:cs="Times New Roman"/>
                <w:color w:val="auto"/>
                <w:sz w:val="20"/>
                <w:szCs w:val="21"/>
                <w:u w:val="single"/>
              </w:rPr>
            </w:pPr>
            <w:r>
              <w:rPr>
                <w:rFonts w:ascii="Times New Roman" w:hAnsi="Times New Roman" w:cs="Times New Roman"/>
                <w:b/>
                <w:color w:val="auto"/>
                <w:kern w:val="2"/>
                <w:sz w:val="21"/>
                <w:szCs w:val="21"/>
              </w:rPr>
              <w:t>图2-</w:t>
            </w:r>
            <w:r>
              <w:rPr>
                <w:rFonts w:hint="default" w:ascii="Times New Roman" w:hAnsi="Times New Roman" w:cs="Times New Roman"/>
                <w:b/>
                <w:color w:val="auto"/>
                <w:kern w:val="2"/>
                <w:sz w:val="21"/>
                <w:szCs w:val="21"/>
              </w:rPr>
              <w:t>4</w:t>
            </w:r>
            <w:r>
              <w:rPr>
                <w:rFonts w:ascii="Times New Roman" w:hAnsi="Times New Roman" w:cs="Times New Roman"/>
                <w:b/>
                <w:color w:val="auto"/>
                <w:kern w:val="2"/>
                <w:sz w:val="21"/>
                <w:szCs w:val="21"/>
              </w:rPr>
              <w:t xml:space="preserve"> </w:t>
            </w:r>
            <w:r>
              <w:rPr>
                <w:rFonts w:hint="default" w:ascii="Times New Roman" w:hAnsi="Times New Roman" w:cs="Times New Roman"/>
                <w:b/>
                <w:color w:val="auto"/>
                <w:kern w:val="2"/>
                <w:sz w:val="21"/>
                <w:szCs w:val="21"/>
                <w:lang w:val="en-US" w:eastAsia="zh-CN"/>
              </w:rPr>
              <w:t>水泥</w:t>
            </w:r>
            <w:r>
              <w:rPr>
                <w:rFonts w:hint="default" w:ascii="Times New Roman" w:hAnsi="Times New Roman" w:cs="Times New Roman"/>
                <w:b/>
                <w:color w:val="auto"/>
                <w:kern w:val="2"/>
                <w:sz w:val="21"/>
                <w:szCs w:val="21"/>
              </w:rPr>
              <w:t>制品项目</w:t>
            </w:r>
            <w:r>
              <w:rPr>
                <w:rFonts w:ascii="Times New Roman" w:hAnsi="Times New Roman" w:cs="Times New Roman"/>
                <w:b/>
                <w:color w:val="auto"/>
                <w:kern w:val="2"/>
                <w:sz w:val="21"/>
                <w:szCs w:val="21"/>
              </w:rPr>
              <w:t>生产工艺流程及产污节点图</w:t>
            </w:r>
          </w:p>
          <w:p>
            <w:pPr>
              <w:pStyle w:val="9"/>
              <w:numPr>
                <w:ilvl w:val="0"/>
                <w:numId w:val="0"/>
              </w:numPr>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原料运输、装卸粉尘、原料存放扬尘需在厂区四周安装喷淋降尘系统、原料入棚、原料堆放区和生产区地面硬化、遮盖篷布等</w:t>
            </w:r>
            <w:r>
              <w:rPr>
                <w:rFonts w:hint="default" w:ascii="Times New Roman" w:hAnsi="Times New Roman" w:cs="Times New Roman"/>
                <w:color w:val="auto"/>
                <w:sz w:val="24"/>
                <w:szCs w:val="24"/>
                <w:lang w:eastAsia="zh-CN"/>
              </w:rPr>
              <w:t>。</w:t>
            </w:r>
          </w:p>
          <w:p>
            <w:pPr>
              <w:pStyle w:val="9"/>
              <w:numPr>
                <w:ilvl w:val="0"/>
                <w:numId w:val="0"/>
              </w:numPr>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val="en-US" w:eastAsia="zh-CN"/>
              </w:rPr>
              <w:t>水泥</w:t>
            </w:r>
            <w:r>
              <w:rPr>
                <w:rFonts w:hint="default" w:ascii="Times New Roman" w:hAnsi="Times New Roman" w:cs="Times New Roman"/>
                <w:color w:val="auto"/>
                <w:sz w:val="24"/>
                <w:szCs w:val="24"/>
              </w:rPr>
              <w:t>制品的主要原材料为砂石、水泥、钢筋等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首先钢筋会在车间北侧的钢筋车间通过调直机调直，放入模具，捆绑，放入电线杆模具，再使用张拉机张拉，制成笼骨架</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进行初步制作</w:t>
            </w:r>
            <w:r>
              <w:rPr>
                <w:rFonts w:hint="eastAsia" w:ascii="Times New Roman" w:hAnsi="Times New Roman" w:cs="Times New Roman"/>
                <w:color w:val="auto"/>
                <w:sz w:val="24"/>
                <w:szCs w:val="24"/>
                <w:lang w:val="en-US" w:eastAsia="zh-CN"/>
              </w:rPr>
              <w:t>。</w:t>
            </w:r>
          </w:p>
          <w:p>
            <w:pPr>
              <w:pStyle w:val="9"/>
              <w:numPr>
                <w:ilvl w:val="0"/>
                <w:numId w:val="0"/>
              </w:numPr>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lang w:val="en-US" w:eastAsia="zh-CN"/>
              </w:rPr>
              <w:t>砂石位于车间东侧的砂石料厂，采用自动计量系统，通过铲车将砂石运至输送带上，进而进入搅拌机；水泥则经自动计量系统将圆筒仓内的水泥加入搅拌机内；配套用的水则采用自动计量系统加入搅拌机内。搅拌机将上述材料搅拌均匀形成混凝土浆液，然后灌入已填充了钢筋龙骨架的模具中。</w:t>
            </w:r>
          </w:p>
          <w:p>
            <w:pPr>
              <w:pStyle w:val="9"/>
              <w:numPr>
                <w:ilvl w:val="0"/>
                <w:numId w:val="0"/>
              </w:numPr>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③将灌浆模具通过吊机放入离心系统中，每根电线杆离心时间 8min，模具内的混凝土电线杆基本成型。</w:t>
            </w:r>
          </w:p>
          <w:p>
            <w:pPr>
              <w:pStyle w:val="9"/>
              <w:numPr>
                <w:ilvl w:val="0"/>
                <w:numId w:val="0"/>
              </w:numPr>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④水泥电线杆成型后需采用锅炉蒸汽养护，离心后的产品经行车吊人养护池蒸汽养护，在 80℃条件下蒸养约 6h，达到产品要求的强度等标准。</w:t>
            </w:r>
          </w:p>
          <w:p>
            <w:pPr>
              <w:pStyle w:val="9"/>
              <w:numPr>
                <w:ilvl w:val="0"/>
                <w:numId w:val="0"/>
              </w:numPr>
              <w:ind w:firstLine="480" w:firstLineChars="200"/>
              <w:rPr>
                <w:rFonts w:ascii="Times New Roman" w:hAnsi="Times New Roman" w:cs="Times New Roman"/>
                <w:color w:val="auto"/>
              </w:rPr>
            </w:pPr>
            <w:r>
              <w:rPr>
                <w:rFonts w:hint="eastAsia" w:ascii="Times New Roman" w:hAnsi="Times New Roman" w:cs="Times New Roman"/>
                <w:color w:val="auto"/>
                <w:sz w:val="24"/>
                <w:szCs w:val="24"/>
                <w:lang w:val="en-US" w:eastAsia="zh-CN"/>
              </w:rPr>
              <w:t>⑤蒸汽养护后电杆经放张、脱模即可作为成品，拆去蒸汽养护完毕后的电杆模具，模型用行车运回装模车间用于下一批次产品的装模。</w:t>
            </w:r>
          </w:p>
          <w:p>
            <w:pPr>
              <w:pStyle w:val="19"/>
              <w:spacing w:beforeAutospacing="0" w:afterAutospacing="0" w:line="360" w:lineRule="auto"/>
              <w:jc w:val="both"/>
              <w:rPr>
                <w:rFonts w:ascii="Times New Roman" w:hAnsi="Times New Roman" w:cs="Times New Roman"/>
                <w:b/>
                <w:bCs/>
                <w:color w:val="auto"/>
              </w:rPr>
            </w:pPr>
            <w:r>
              <w:rPr>
                <w:rFonts w:ascii="Times New Roman" w:hAnsi="Times New Roman" w:cs="Times New Roman"/>
                <w:b/>
                <w:bCs/>
                <w:color w:val="auto"/>
              </w:rPr>
              <w:t>产污环节</w:t>
            </w:r>
          </w:p>
          <w:p>
            <w:pPr>
              <w:pStyle w:val="19"/>
              <w:spacing w:beforeAutospacing="0" w:afterAutospacing="0" w:line="360" w:lineRule="auto"/>
              <w:jc w:val="both"/>
              <w:rPr>
                <w:rFonts w:ascii="Times New Roman" w:hAnsi="Times New Roman" w:cs="Times New Roman"/>
                <w:color w:val="auto"/>
              </w:rPr>
            </w:pPr>
            <w:r>
              <w:rPr>
                <w:rFonts w:ascii="Times New Roman" w:hAnsi="Times New Roman" w:cs="Times New Roman"/>
                <w:color w:val="auto"/>
              </w:rPr>
              <w:t>废气∶</w:t>
            </w:r>
            <w:r>
              <w:rPr>
                <w:rFonts w:hint="default" w:ascii="Times New Roman" w:hAnsi="Times New Roman" w:cs="Times New Roman"/>
                <w:color w:val="auto"/>
                <w:lang w:val="en-US" w:eastAsia="zh-CN"/>
              </w:rPr>
              <w:t>原料运输</w:t>
            </w:r>
            <w:r>
              <w:rPr>
                <w:rFonts w:hint="eastAsia" w:ascii="Times New Roman" w:hAnsi="Times New Roman" w:cs="Times New Roman"/>
                <w:color w:val="auto"/>
                <w:lang w:val="en-US" w:eastAsia="zh-CN"/>
              </w:rPr>
              <w:t>扬尘</w:t>
            </w:r>
            <w:r>
              <w:rPr>
                <w:rFonts w:hint="default" w:ascii="Times New Roman" w:hAnsi="Times New Roman" w:cs="Times New Roman"/>
                <w:color w:val="auto"/>
                <w:lang w:val="en-US" w:eastAsia="zh-CN"/>
              </w:rPr>
              <w:t>、装卸粉尘、</w:t>
            </w:r>
            <w:r>
              <w:rPr>
                <w:rFonts w:hint="default" w:ascii="Times New Roman" w:hAnsi="Times New Roman" w:cs="Times New Roman"/>
                <w:color w:val="auto"/>
              </w:rPr>
              <w:t>搅拌</w:t>
            </w:r>
            <w:r>
              <w:rPr>
                <w:rFonts w:hint="eastAsia" w:ascii="Times New Roman" w:hAnsi="Times New Roman" w:cs="Times New Roman"/>
                <w:color w:val="auto"/>
                <w:lang w:val="en-US" w:eastAsia="zh-CN"/>
              </w:rPr>
              <w:t>粉尘</w:t>
            </w:r>
            <w:r>
              <w:rPr>
                <w:rFonts w:hint="default" w:ascii="Times New Roman" w:hAnsi="Times New Roman" w:cs="Times New Roman"/>
                <w:color w:val="auto"/>
              </w:rPr>
              <w:t>、油烟废气、锅炉废气</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焊接烟尘</w:t>
            </w:r>
            <w:r>
              <w:rPr>
                <w:rFonts w:hint="default" w:ascii="Times New Roman" w:hAnsi="Times New Roman" w:cs="Times New Roman"/>
                <w:color w:val="auto"/>
              </w:rPr>
              <w:t>。</w:t>
            </w:r>
          </w:p>
          <w:p>
            <w:pPr>
              <w:pStyle w:val="19"/>
              <w:spacing w:beforeAutospacing="0" w:afterAutospacing="0" w:line="360" w:lineRule="auto"/>
              <w:jc w:val="both"/>
              <w:rPr>
                <w:rFonts w:ascii="Times New Roman" w:hAnsi="Times New Roman" w:cs="Times New Roman"/>
                <w:color w:val="auto"/>
              </w:rPr>
            </w:pPr>
            <w:r>
              <w:rPr>
                <w:rFonts w:ascii="Times New Roman" w:hAnsi="Times New Roman" w:cs="Times New Roman"/>
                <w:color w:val="auto"/>
              </w:rPr>
              <w:t>废水∶生活污水</w:t>
            </w:r>
            <w:r>
              <w:rPr>
                <w:rFonts w:hint="default" w:ascii="Times New Roman" w:hAnsi="Times New Roman" w:cs="Times New Roman"/>
                <w:color w:val="auto"/>
              </w:rPr>
              <w:t>。</w:t>
            </w:r>
          </w:p>
          <w:p>
            <w:pPr>
              <w:pStyle w:val="19"/>
              <w:spacing w:beforeAutospacing="0" w:afterAutospacing="0" w:line="360" w:lineRule="auto"/>
              <w:jc w:val="both"/>
              <w:rPr>
                <w:rFonts w:ascii="Times New Roman" w:hAnsi="Times New Roman" w:cs="Times New Roman"/>
                <w:color w:val="auto"/>
              </w:rPr>
            </w:pPr>
            <w:r>
              <w:rPr>
                <w:rFonts w:ascii="Times New Roman" w:hAnsi="Times New Roman" w:cs="Times New Roman"/>
                <w:color w:val="auto"/>
              </w:rPr>
              <w:t>噪声∶</w:t>
            </w:r>
            <w:r>
              <w:rPr>
                <w:rFonts w:hint="default" w:ascii="Times New Roman" w:hAnsi="Times New Roman" w:cs="Times New Roman"/>
                <w:color w:val="auto"/>
              </w:rPr>
              <w:t>离心</w:t>
            </w:r>
            <w:r>
              <w:rPr>
                <w:rFonts w:ascii="Times New Roman" w:hAnsi="Times New Roman" w:cs="Times New Roman"/>
                <w:color w:val="auto"/>
              </w:rPr>
              <w:t>机、</w:t>
            </w:r>
            <w:r>
              <w:rPr>
                <w:rFonts w:hint="default" w:ascii="Times New Roman" w:hAnsi="Times New Roman" w:cs="Times New Roman"/>
                <w:color w:val="auto"/>
              </w:rPr>
              <w:t>电焊</w:t>
            </w:r>
            <w:r>
              <w:rPr>
                <w:rFonts w:ascii="Times New Roman" w:hAnsi="Times New Roman" w:cs="Times New Roman"/>
                <w:color w:val="auto"/>
              </w:rPr>
              <w:t>机</w:t>
            </w:r>
            <w:r>
              <w:rPr>
                <w:rFonts w:hint="default" w:ascii="Times New Roman" w:hAnsi="Times New Roman" w:cs="Times New Roman"/>
                <w:color w:val="auto"/>
              </w:rPr>
              <w:t>、搅拌机、打圈机、滚焊机</w:t>
            </w:r>
            <w:r>
              <w:rPr>
                <w:rFonts w:ascii="Times New Roman" w:hAnsi="Times New Roman" w:cs="Times New Roman"/>
                <w:color w:val="auto"/>
              </w:rPr>
              <w:t>等机械设备噪声以及辅助设备噪声</w:t>
            </w:r>
            <w:r>
              <w:rPr>
                <w:rFonts w:hint="default" w:ascii="Times New Roman" w:hAnsi="Times New Roman" w:cs="Times New Roman"/>
                <w:color w:val="auto"/>
              </w:rPr>
              <w:t>。</w:t>
            </w:r>
          </w:p>
          <w:p>
            <w:pPr>
              <w:pStyle w:val="19"/>
              <w:spacing w:beforeAutospacing="0" w:afterAutospacing="0" w:line="360" w:lineRule="auto"/>
              <w:jc w:val="both"/>
              <w:rPr>
                <w:rFonts w:ascii="Times New Roman" w:hAnsi="Times New Roman" w:cs="Times New Roman"/>
                <w:color w:val="auto"/>
                <w:szCs w:val="32"/>
              </w:rPr>
            </w:pPr>
            <w:r>
              <w:rPr>
                <w:rFonts w:ascii="Times New Roman" w:hAnsi="Times New Roman" w:cs="Times New Roman"/>
                <w:color w:val="auto"/>
              </w:rPr>
              <w:t>固废∶</w:t>
            </w:r>
            <w:r>
              <w:rPr>
                <w:rFonts w:hint="default" w:ascii="Times New Roman" w:hAnsi="Times New Roman" w:cs="Times New Roman"/>
                <w:color w:val="auto"/>
              </w:rPr>
              <w:t>废料（</w:t>
            </w:r>
            <w:r>
              <w:rPr>
                <w:rFonts w:ascii="Times New Roman" w:hAnsi="Times New Roman" w:cs="Times New Roman"/>
                <w:color w:val="auto"/>
              </w:rPr>
              <w:t>布袋装置收集的粉尘</w:t>
            </w:r>
            <w:r>
              <w:rPr>
                <w:rFonts w:hint="default" w:ascii="Times New Roman" w:hAnsi="Times New Roman" w:cs="Times New Roman"/>
                <w:color w:val="auto"/>
              </w:rPr>
              <w:t>）、</w:t>
            </w:r>
            <w:r>
              <w:rPr>
                <w:rFonts w:ascii="Times New Roman" w:hAnsi="Times New Roman" w:cs="Times New Roman"/>
                <w:color w:val="auto"/>
              </w:rPr>
              <w:t>生活垃圾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不合格产品、废钢筋</w:t>
            </w:r>
            <w:r>
              <w:rPr>
                <w:rFonts w:ascii="Times New Roman" w:hAnsi="Times New Roman"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4"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bCs/>
                <w:color w:val="auto"/>
                <w:kern w:val="2"/>
                <w:sz w:val="24"/>
                <w:szCs w:val="24"/>
                <w:u w:color="FF0000"/>
              </w:rPr>
              <w:t>与项目有关的原有环境污染问题</w:t>
            </w:r>
          </w:p>
        </w:tc>
        <w:tc>
          <w:tcPr>
            <w:tcW w:w="9068" w:type="dxa"/>
          </w:tcPr>
          <w:p>
            <w:pPr>
              <w:pStyle w:val="57"/>
              <w:spacing w:line="360" w:lineRule="auto"/>
              <w:rPr>
                <w:rFonts w:ascii="Times New Roman" w:hAnsi="Times New Roman" w:cs="Times New Roman"/>
                <w:b/>
                <w:bCs/>
                <w:color w:val="auto"/>
                <w:sz w:val="24"/>
                <w:szCs w:val="32"/>
                <w:u w:color="FF0000"/>
              </w:rPr>
            </w:pPr>
            <w:r>
              <w:rPr>
                <w:rFonts w:hint="default" w:ascii="Times New Roman" w:hAnsi="Times New Roman" w:cs="Times New Roman"/>
                <w:b/>
                <w:bCs/>
                <w:color w:val="auto"/>
                <w:sz w:val="24"/>
                <w:szCs w:val="32"/>
                <w:u w:color="FF0000"/>
              </w:rPr>
              <w:t>一、原有工程概况</w:t>
            </w:r>
          </w:p>
          <w:p>
            <w:pPr>
              <w:adjustRightInd w:val="0"/>
              <w:snapToGrid w:val="0"/>
              <w:spacing w:line="360" w:lineRule="auto"/>
              <w:ind w:firstLine="480" w:firstLineChars="200"/>
              <w:rPr>
                <w:rFonts w:ascii="Times New Roman" w:hAnsi="Times New Roman" w:cs="Times New Roman"/>
                <w:color w:val="auto"/>
                <w:sz w:val="24"/>
                <w:szCs w:val="32"/>
              </w:rPr>
            </w:pPr>
            <w:r>
              <w:rPr>
                <w:rFonts w:ascii="Times New Roman" w:hAnsi="Times New Roman" w:cs="Times New Roman"/>
                <w:color w:val="auto"/>
                <w:sz w:val="24"/>
                <w:szCs w:val="32"/>
              </w:rPr>
              <w:t>四川澳峰橡胶有限公司于2008年取得《新建生产再生橡胶及橡胶制品厂项目》批复（蓬环函【2008】3号）</w:t>
            </w:r>
            <w:r>
              <w:rPr>
                <w:rFonts w:hint="default" w:ascii="Times New Roman" w:hAnsi="Times New Roman" w:cs="Times New Roman"/>
                <w:color w:val="auto"/>
                <w:sz w:val="24"/>
                <w:szCs w:val="32"/>
              </w:rPr>
              <w:t>。项目主要内容如下：项目总投资900万，征地三十亩进行新建生产再生橡胶及橡胶制品厂，拟形成年产再生橡胶3000吨的生产能力。</w:t>
            </w:r>
          </w:p>
          <w:p>
            <w:pPr>
              <w:adjustRightInd w:val="0"/>
              <w:snapToGrid w:val="0"/>
              <w:jc w:val="center"/>
              <w:rPr>
                <w:rFonts w:ascii="Times New Roman" w:hAnsi="Times New Roman" w:cs="Times New Roman"/>
                <w:color w:val="auto"/>
                <w:sz w:val="24"/>
                <w:szCs w:val="32"/>
              </w:rPr>
            </w:pPr>
            <w:r>
              <w:rPr>
                <w:rFonts w:ascii="Times New Roman" w:hAnsi="Times New Roman" w:cs="Times New Roman"/>
                <w:b/>
                <w:bCs/>
                <w:color w:val="auto"/>
                <w:sz w:val="21"/>
                <w:szCs w:val="24"/>
              </w:rPr>
              <w:t xml:space="preserve">表2-7 </w:t>
            </w:r>
            <w:r>
              <w:rPr>
                <w:rFonts w:hint="default" w:ascii="Times New Roman" w:hAnsi="Times New Roman" w:cs="Times New Roman"/>
                <w:b/>
                <w:bCs/>
                <w:color w:val="auto"/>
                <w:sz w:val="21"/>
                <w:szCs w:val="24"/>
              </w:rPr>
              <w:t>原有</w:t>
            </w:r>
            <w:r>
              <w:rPr>
                <w:rFonts w:ascii="Times New Roman" w:hAnsi="Times New Roman" w:cs="Times New Roman"/>
                <w:b/>
                <w:bCs/>
                <w:color w:val="auto"/>
                <w:sz w:val="21"/>
                <w:szCs w:val="24"/>
              </w:rPr>
              <w:t>项目情况介绍</w:t>
            </w:r>
          </w:p>
          <w:tbl>
            <w:tblPr>
              <w:tblStyle w:val="25"/>
              <w:tblW w:w="8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45"/>
              <w:gridCol w:w="3180"/>
              <w:gridCol w:w="1590"/>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adjustRightInd w:val="0"/>
                    <w:snapToGrid w:val="0"/>
                    <w:jc w:val="center"/>
                    <w:rPr>
                      <w:rFonts w:ascii="Times New Roman" w:hAnsi="Times New Roman" w:cs="Times New Roman"/>
                      <w:b/>
                      <w:bCs/>
                      <w:color w:val="auto"/>
                      <w:sz w:val="21"/>
                      <w:szCs w:val="24"/>
                    </w:rPr>
                  </w:pPr>
                  <w:r>
                    <w:rPr>
                      <w:rFonts w:hint="default" w:ascii="Times New Roman" w:hAnsi="Times New Roman" w:cs="Times New Roman"/>
                      <w:b/>
                      <w:bCs/>
                      <w:color w:val="auto"/>
                      <w:sz w:val="21"/>
                      <w:szCs w:val="24"/>
                    </w:rPr>
                    <w:t>序号</w:t>
                  </w:r>
                </w:p>
              </w:tc>
              <w:tc>
                <w:tcPr>
                  <w:tcW w:w="1545" w:type="dxa"/>
                </w:tcPr>
                <w:p>
                  <w:pPr>
                    <w:adjustRightInd w:val="0"/>
                    <w:snapToGrid w:val="0"/>
                    <w:jc w:val="center"/>
                    <w:rPr>
                      <w:rFonts w:ascii="Times New Roman" w:hAnsi="Times New Roman" w:cs="Times New Roman"/>
                      <w:b/>
                      <w:bCs/>
                      <w:color w:val="auto"/>
                      <w:sz w:val="21"/>
                      <w:szCs w:val="24"/>
                    </w:rPr>
                  </w:pPr>
                  <w:r>
                    <w:rPr>
                      <w:rFonts w:hint="default" w:ascii="Times New Roman" w:hAnsi="Times New Roman" w:cs="Times New Roman"/>
                      <w:b/>
                      <w:bCs/>
                      <w:color w:val="auto"/>
                      <w:sz w:val="21"/>
                      <w:szCs w:val="24"/>
                    </w:rPr>
                    <w:t>项目名称</w:t>
                  </w:r>
                </w:p>
              </w:tc>
              <w:tc>
                <w:tcPr>
                  <w:tcW w:w="3180" w:type="dxa"/>
                </w:tcPr>
                <w:p>
                  <w:pPr>
                    <w:adjustRightInd w:val="0"/>
                    <w:snapToGrid w:val="0"/>
                    <w:jc w:val="center"/>
                    <w:rPr>
                      <w:rFonts w:ascii="Times New Roman" w:hAnsi="Times New Roman" w:cs="Times New Roman"/>
                      <w:b/>
                      <w:bCs/>
                      <w:color w:val="auto"/>
                      <w:sz w:val="21"/>
                      <w:szCs w:val="24"/>
                    </w:rPr>
                  </w:pPr>
                  <w:r>
                    <w:rPr>
                      <w:rFonts w:hint="default" w:ascii="Times New Roman" w:hAnsi="Times New Roman" w:cs="Times New Roman"/>
                      <w:b/>
                      <w:bCs/>
                      <w:color w:val="auto"/>
                      <w:sz w:val="21"/>
                      <w:szCs w:val="24"/>
                    </w:rPr>
                    <w:t>环评主要内容</w:t>
                  </w:r>
                </w:p>
              </w:tc>
              <w:tc>
                <w:tcPr>
                  <w:tcW w:w="1590" w:type="dxa"/>
                </w:tcPr>
                <w:p>
                  <w:pPr>
                    <w:adjustRightInd w:val="0"/>
                    <w:snapToGrid w:val="0"/>
                    <w:jc w:val="center"/>
                    <w:rPr>
                      <w:rFonts w:hint="default" w:ascii="Times New Roman" w:hAnsi="Times New Roman" w:eastAsia="宋体" w:cs="Times New Roman"/>
                      <w:b/>
                      <w:bCs/>
                      <w:color w:val="auto"/>
                      <w:sz w:val="21"/>
                      <w:szCs w:val="24"/>
                      <w:highlight w:val="none"/>
                      <w:lang w:val="en-US" w:eastAsia="zh-CN"/>
                    </w:rPr>
                  </w:pPr>
                  <w:r>
                    <w:rPr>
                      <w:rFonts w:hint="default" w:ascii="Times New Roman" w:hAnsi="Times New Roman" w:cs="Times New Roman"/>
                      <w:b/>
                      <w:bCs/>
                      <w:color w:val="auto"/>
                      <w:sz w:val="21"/>
                      <w:szCs w:val="24"/>
                      <w:highlight w:val="none"/>
                      <w:lang w:val="en-US" w:eastAsia="zh-CN"/>
                    </w:rPr>
                    <w:t>验收情况</w:t>
                  </w:r>
                </w:p>
              </w:tc>
              <w:tc>
                <w:tcPr>
                  <w:tcW w:w="1935" w:type="dxa"/>
                </w:tcPr>
                <w:p>
                  <w:pPr>
                    <w:adjustRightInd w:val="0"/>
                    <w:snapToGrid w:val="0"/>
                    <w:jc w:val="center"/>
                    <w:rPr>
                      <w:rFonts w:hint="default" w:ascii="Times New Roman" w:hAnsi="Times New Roman" w:eastAsia="宋体" w:cs="Times New Roman"/>
                      <w:b/>
                      <w:bCs/>
                      <w:color w:val="auto"/>
                      <w:sz w:val="21"/>
                      <w:szCs w:val="24"/>
                      <w:highlight w:val="none"/>
                      <w:lang w:val="en-US" w:eastAsia="zh-CN"/>
                    </w:rPr>
                  </w:pPr>
                  <w:r>
                    <w:rPr>
                      <w:rFonts w:hint="default" w:ascii="Times New Roman" w:hAnsi="Times New Roman" w:cs="Times New Roman"/>
                      <w:b/>
                      <w:bCs/>
                      <w:color w:val="auto"/>
                      <w:sz w:val="21"/>
                      <w:szCs w:val="24"/>
                      <w:highlight w:val="none"/>
                      <w:lang w:val="en-US" w:eastAsia="zh-CN"/>
                    </w:rPr>
                    <w:t>排污许可申办情况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adjustRightInd w:val="0"/>
                    <w:snapToGrid w:val="0"/>
                    <w:jc w:val="center"/>
                    <w:rPr>
                      <w:rFonts w:hint="default" w:ascii="Times New Roman" w:hAnsi="Times New Roman" w:cs="Times New Roman"/>
                      <w:color w:val="auto"/>
                      <w:sz w:val="21"/>
                      <w:szCs w:val="24"/>
                    </w:rPr>
                  </w:pPr>
                  <w:r>
                    <w:rPr>
                      <w:rFonts w:hint="default" w:ascii="Times New Roman" w:hAnsi="Times New Roman" w:cs="Times New Roman"/>
                      <w:color w:val="auto"/>
                      <w:sz w:val="21"/>
                      <w:szCs w:val="24"/>
                    </w:rPr>
                    <w:t>1</w:t>
                  </w:r>
                </w:p>
              </w:tc>
              <w:tc>
                <w:tcPr>
                  <w:tcW w:w="1545" w:type="dxa"/>
                  <w:vAlign w:val="center"/>
                </w:tcPr>
                <w:p>
                  <w:pPr>
                    <w:adjustRightInd w:val="0"/>
                    <w:snapToGrid w:val="0"/>
                    <w:jc w:val="center"/>
                    <w:rPr>
                      <w:rFonts w:ascii="Times New Roman" w:hAnsi="Times New Roman" w:cs="Times New Roman"/>
                      <w:color w:val="auto"/>
                      <w:sz w:val="21"/>
                      <w:szCs w:val="24"/>
                    </w:rPr>
                  </w:pPr>
                  <w:r>
                    <w:rPr>
                      <w:rFonts w:ascii="Times New Roman" w:hAnsi="Times New Roman" w:cs="Times New Roman"/>
                      <w:color w:val="auto"/>
                      <w:sz w:val="21"/>
                      <w:szCs w:val="24"/>
                    </w:rPr>
                    <w:t>四川澳峰橡胶有限公司新建生产再生橡胶及橡胶制品厂项目</w:t>
                  </w:r>
                </w:p>
              </w:tc>
              <w:tc>
                <w:tcPr>
                  <w:tcW w:w="3180"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同意该新建项目在遂宁市蓬溪县上游工业园集中发展区建设，新建厂房1000m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，办公室200m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，宿舍800m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，购置机械设备。年产再生橡胶3000t/a</w:t>
                  </w:r>
                </w:p>
              </w:tc>
              <w:tc>
                <w:tcPr>
                  <w:tcW w:w="1590"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2019年停产，未进行自主验收</w:t>
                  </w:r>
                </w:p>
              </w:tc>
              <w:tc>
                <w:tcPr>
                  <w:tcW w:w="1935" w:type="dxa"/>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bl>
          <w:p>
            <w:pPr>
              <w:pStyle w:val="57"/>
              <w:spacing w:line="360" w:lineRule="auto"/>
              <w:rPr>
                <w:rFonts w:hint="default" w:ascii="Times New Roman" w:hAnsi="Times New Roman" w:cs="Times New Roman"/>
                <w:b/>
                <w:bCs/>
                <w:color w:val="auto"/>
                <w:sz w:val="24"/>
                <w:szCs w:val="32"/>
                <w:u w:color="FF0000"/>
                <w:lang w:val="en-US" w:eastAsia="zh-CN"/>
              </w:rPr>
            </w:pPr>
            <w:r>
              <w:rPr>
                <w:rFonts w:hint="default" w:ascii="Times New Roman" w:hAnsi="Times New Roman" w:cs="Times New Roman"/>
                <w:b/>
                <w:bCs/>
                <w:color w:val="auto"/>
                <w:sz w:val="24"/>
                <w:szCs w:val="32"/>
                <w:u w:color="FF0000"/>
                <w:lang w:val="en-US" w:eastAsia="zh-CN"/>
              </w:rPr>
              <w:t>二、原有项目污染物产生及排放情况</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lang w:val="en-US" w:eastAsia="zh-CN"/>
              </w:rPr>
              <w:t>原有项目已于2019年停产，且未进行环保竣工验收，亦无近期污染源监测数据。根据《新建生产再生橡胶及橡胶制品厂项目环境影响报告表》，结合现场踏勘和业主提供的相关资料，原有项目污染物产排情况梳理如下：</w:t>
            </w:r>
          </w:p>
          <w:p>
            <w:pPr>
              <w:spacing w:line="360" w:lineRule="auto"/>
              <w:ind w:firstLine="482" w:firstLineChars="200"/>
              <w:rPr>
                <w:rFonts w:hint="default" w:ascii="Times New Roman" w:hAnsi="Times New Roman" w:cs="Times New Roman"/>
                <w:b/>
                <w:color w:val="auto"/>
                <w:sz w:val="24"/>
                <w:szCs w:val="32"/>
                <w:highlight w:val="none"/>
                <w:u w:color="FF0000"/>
                <w:lang w:eastAsia="zh-CN"/>
              </w:rPr>
            </w:pPr>
            <w:r>
              <w:rPr>
                <w:rFonts w:hint="default" w:ascii="Times New Roman" w:hAnsi="Times New Roman" w:cs="Times New Roman"/>
                <w:b/>
                <w:color w:val="auto"/>
                <w:sz w:val="24"/>
                <w:szCs w:val="32"/>
                <w:highlight w:val="none"/>
                <w:u w:color="FF0000"/>
                <w:lang w:eastAsia="zh-CN"/>
              </w:rPr>
              <w:t>（一）废气</w:t>
            </w:r>
          </w:p>
          <w:p>
            <w:pPr>
              <w:wordWrap w:val="0"/>
              <w:topLinePunct/>
              <w:autoSpaceDE/>
              <w:autoSpaceDN/>
              <w:spacing w:line="360" w:lineRule="auto"/>
              <w:ind w:left="480" w:leftChars="218" w:firstLine="0" w:firstLineChars="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废气：燃煤热炉产生的烟气、脱硫罐产生的尾气和职工食堂油烟。</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表2-8  废气污染物产生情况表</w:t>
            </w:r>
          </w:p>
          <w:tbl>
            <w:tblPr>
              <w:tblStyle w:val="25"/>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350"/>
              <w:gridCol w:w="1065"/>
              <w:gridCol w:w="1125"/>
              <w:gridCol w:w="3515"/>
              <w:gridCol w:w="1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720"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50"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产生环节</w:t>
                  </w:r>
                </w:p>
              </w:tc>
              <w:tc>
                <w:tcPr>
                  <w:tcW w:w="106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2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351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1030" w:type="dxa"/>
                  <w:vAlign w:val="center"/>
                </w:tcPr>
                <w:p>
                  <w:pPr>
                    <w:adjustRightInd w:val="0"/>
                    <w:snapToGrid w:val="0"/>
                    <w:spacing w:line="24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20"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5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食堂</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食堂废气</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val="en-US" w:eastAsia="zh-CN" w:bidi="ar-SA"/>
                    </w:rPr>
                    <w:t>/</w:t>
                  </w:r>
                </w:p>
              </w:tc>
              <w:tc>
                <w:tcPr>
                  <w:tcW w:w="351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油烟净化器</w:t>
                  </w:r>
                </w:p>
              </w:tc>
              <w:tc>
                <w:tcPr>
                  <w:tcW w:w="1030"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jc w:val="center"/>
              </w:trPr>
              <w:tc>
                <w:tcPr>
                  <w:tcW w:w="720"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50" w:type="dxa"/>
                  <w:vMerge w:val="restart"/>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燃煤热炉</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烟尘</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2.37t/a</w:t>
                  </w:r>
                </w:p>
              </w:tc>
              <w:tc>
                <w:tcPr>
                  <w:tcW w:w="3515" w:type="dxa"/>
                  <w:vMerge w:val="restart"/>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旋风除尘器处置，排入10m高烟囱，烟气在烟道中可再次沉降除尘后达标排放。</w:t>
                  </w:r>
                </w:p>
              </w:tc>
              <w:tc>
                <w:tcPr>
                  <w:tcW w:w="10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72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350" w:type="dxa"/>
                  <w:vMerge w:val="continue"/>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0.462t/a</w:t>
                  </w:r>
                </w:p>
              </w:tc>
              <w:tc>
                <w:tcPr>
                  <w:tcW w:w="3515" w:type="dxa"/>
                  <w:vMerge w:val="continue"/>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p>
              </w:tc>
              <w:tc>
                <w:tcPr>
                  <w:tcW w:w="1030"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0.462t/a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2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4</w:t>
                  </w:r>
                </w:p>
              </w:tc>
              <w:tc>
                <w:tcPr>
                  <w:tcW w:w="1350"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脱硫罐</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尾气</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1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尾气处理系统</w:t>
                  </w:r>
                </w:p>
              </w:tc>
              <w:tc>
                <w:tcPr>
                  <w:tcW w:w="10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color w:val="auto"/>
                <w:sz w:val="24"/>
                <w:szCs w:val="32"/>
                <w:highlight w:val="none"/>
                <w:u w:color="FF0000"/>
                <w:lang w:eastAsia="zh-CN"/>
              </w:rPr>
            </w:pPr>
            <w:r>
              <w:rPr>
                <w:rFonts w:hint="eastAsia"/>
                <w:sz w:val="24"/>
                <w:szCs w:val="32"/>
              </w:rPr>
              <w:t>废气处理措施：①脱硫罐卸料前需间歇，爆发式排出尾气，尾气中含有大量水蒸气和少量胶粉粒子，还有硫化物、苯等微量有害气体，脱硫罐废气采用一二级交换器进行处理。②胶粉粒子通过二级交换器收集回到脱硫罐不外排；粉碎车间的粉尘经布袋除尘收集回用于生产。③食堂油烟通过安装油烟净化器（去除率</w:t>
            </w:r>
            <w:r>
              <w:rPr>
                <w:rFonts w:ascii="Times New Roman" w:hAnsi="Times New Roman" w:cs="Times New Roman"/>
                <w:sz w:val="24"/>
                <w:szCs w:val="32"/>
              </w:rPr>
              <w:t>≥85%）</w:t>
            </w:r>
            <w:r>
              <w:rPr>
                <w:rFonts w:hint="eastAsia" w:ascii="Times New Roman" w:hAnsi="Times New Roman" w:cs="Times New Roman"/>
                <w:sz w:val="24"/>
                <w:szCs w:val="32"/>
              </w:rPr>
              <w:t>处理达标后经排气筒排放。④锅炉烟气由炉体自带的旋风除尘器处置，排入10m高烟囱，烟气在烟道中可再次沉降除尘后达标排放。</w:t>
            </w:r>
          </w:p>
          <w:p>
            <w:pPr>
              <w:spacing w:line="360" w:lineRule="auto"/>
              <w:ind w:firstLine="482" w:firstLineChars="200"/>
              <w:rPr>
                <w:rFonts w:hint="default" w:ascii="Times New Roman" w:hAnsi="Times New Roman" w:cs="Times New Roman"/>
                <w:b/>
                <w:color w:val="auto"/>
                <w:sz w:val="24"/>
                <w:szCs w:val="32"/>
                <w:highlight w:val="none"/>
                <w:u w:color="FF0000"/>
                <w:lang w:val="en-US" w:eastAsia="zh-CN"/>
              </w:rPr>
            </w:pPr>
            <w:r>
              <w:rPr>
                <w:rFonts w:hint="default" w:ascii="Times New Roman" w:hAnsi="Times New Roman" w:cs="Times New Roman"/>
                <w:b/>
                <w:color w:val="auto"/>
                <w:sz w:val="24"/>
                <w:szCs w:val="32"/>
                <w:highlight w:val="none"/>
                <w:u w:color="FF0000"/>
                <w:lang w:eastAsia="zh-CN"/>
              </w:rPr>
              <w:t>（</w:t>
            </w:r>
            <w:r>
              <w:rPr>
                <w:rFonts w:hint="default" w:ascii="Times New Roman" w:hAnsi="Times New Roman" w:cs="Times New Roman"/>
                <w:b/>
                <w:color w:val="auto"/>
                <w:sz w:val="24"/>
                <w:szCs w:val="32"/>
                <w:highlight w:val="none"/>
                <w:u w:color="FF0000"/>
                <w:lang w:val="en-US" w:eastAsia="zh-CN"/>
              </w:rPr>
              <w:t>二</w:t>
            </w:r>
            <w:r>
              <w:rPr>
                <w:rFonts w:hint="default" w:ascii="Times New Roman" w:hAnsi="Times New Roman" w:cs="Times New Roman"/>
                <w:b/>
                <w:color w:val="auto"/>
                <w:sz w:val="24"/>
                <w:szCs w:val="32"/>
                <w:highlight w:val="none"/>
                <w:u w:color="FF0000"/>
                <w:lang w:eastAsia="zh-CN"/>
              </w:rPr>
              <w:t>）废</w:t>
            </w:r>
            <w:r>
              <w:rPr>
                <w:rFonts w:hint="default" w:ascii="Times New Roman" w:hAnsi="Times New Roman" w:cs="Times New Roman"/>
                <w:b/>
                <w:color w:val="auto"/>
                <w:sz w:val="24"/>
                <w:szCs w:val="32"/>
                <w:highlight w:val="none"/>
                <w:u w:color="FF0000"/>
                <w:lang w:val="en-US" w:eastAsia="zh-CN"/>
              </w:rPr>
              <w:t>水</w:t>
            </w:r>
          </w:p>
          <w:p>
            <w:pPr>
              <w:wordWrap w:val="0"/>
              <w:topLinePunct/>
              <w:autoSpaceDE/>
              <w:autoSpaceDN/>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废水：生产工艺循环利用水，不外排；主要外排水为生活废水。</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表2-9  废水污染物产生情况表</w:t>
            </w:r>
          </w:p>
          <w:tbl>
            <w:tblPr>
              <w:tblStyle w:val="25"/>
              <w:tblW w:w="8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350"/>
              <w:gridCol w:w="1065"/>
              <w:gridCol w:w="1125"/>
              <w:gridCol w:w="2974"/>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4" w:hRule="atLeast"/>
                <w:jc w:val="center"/>
              </w:trPr>
              <w:tc>
                <w:tcPr>
                  <w:tcW w:w="1006"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50"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产生环节</w:t>
                  </w:r>
                </w:p>
              </w:tc>
              <w:tc>
                <w:tcPr>
                  <w:tcW w:w="106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2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2974"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1105" w:type="dxa"/>
                  <w:vAlign w:val="center"/>
                </w:tcPr>
                <w:p>
                  <w:pPr>
                    <w:adjustRightInd w:val="0"/>
                    <w:snapToGrid w:val="0"/>
                    <w:spacing w:line="24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006"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50" w:type="dxa"/>
                  <w:vMerge w:val="restart"/>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生活污水</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0.68t/a</w:t>
                  </w:r>
                </w:p>
              </w:tc>
              <w:tc>
                <w:tcPr>
                  <w:tcW w:w="2974" w:type="dxa"/>
                  <w:vMerge w:val="restart"/>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地埋式一体化污水处理设施处理后，排入集中发展区管网</w:t>
                  </w:r>
                </w:p>
              </w:tc>
              <w:tc>
                <w:tcPr>
                  <w:tcW w:w="110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0.20t/a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jc w:val="center"/>
              </w:trPr>
              <w:tc>
                <w:tcPr>
                  <w:tcW w:w="1006"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50" w:type="dxa"/>
                  <w:vMerge w:val="continue"/>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0.078t/a</w:t>
                  </w:r>
                </w:p>
              </w:tc>
              <w:tc>
                <w:tcPr>
                  <w:tcW w:w="2974" w:type="dxa"/>
                  <w:vMerge w:val="continue"/>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p>
              </w:tc>
              <w:tc>
                <w:tcPr>
                  <w:tcW w:w="110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06"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350" w:type="dxa"/>
                  <w:vMerge w:val="restart"/>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生产废水</w:t>
                  </w: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清洗废水</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p>
              </w:tc>
              <w:tc>
                <w:tcPr>
                  <w:tcW w:w="2974"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循</w:t>
                  </w:r>
                  <w:r>
                    <w:rPr>
                      <w:rFonts w:hint="default" w:ascii="Times New Roman" w:hAnsi="Times New Roman" w:cs="Times New Roman"/>
                      <w:color w:val="auto"/>
                      <w:sz w:val="21"/>
                      <w:szCs w:val="21"/>
                    </w:rPr>
                    <w:t>环水池利用不外排</w:t>
                  </w:r>
                </w:p>
              </w:tc>
              <w:tc>
                <w:tcPr>
                  <w:tcW w:w="110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6"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350" w:type="dxa"/>
                  <w:vMerge w:val="continue"/>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生产废水</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p>
              </w:tc>
              <w:tc>
                <w:tcPr>
                  <w:tcW w:w="2974"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经一二级交换器冷却，循环利用不外排</w:t>
                  </w:r>
                </w:p>
              </w:tc>
              <w:tc>
                <w:tcPr>
                  <w:tcW w:w="110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pPr>
              <w:spacing w:line="360" w:lineRule="auto"/>
              <w:ind w:firstLine="480" w:firstLineChars="200"/>
              <w:rPr>
                <w:rFonts w:hint="default" w:ascii="Times New Roman" w:hAnsi="Times New Roman" w:cs="Times New Roman"/>
                <w:b/>
                <w:color w:val="auto"/>
                <w:sz w:val="24"/>
                <w:szCs w:val="32"/>
                <w:highlight w:val="none"/>
                <w:u w:color="FF0000"/>
                <w:lang w:eastAsia="zh-CN"/>
              </w:rPr>
            </w:pPr>
            <w:r>
              <w:rPr>
                <w:rFonts w:hint="eastAsia"/>
                <w:sz w:val="24"/>
                <w:szCs w:val="32"/>
              </w:rPr>
              <w:t>废水处理措施：生产废水经一二级交换器冷却，循环利用不外排；清洗废水经循环水池利用不外排；生活废水经地埋式一体化污水处理设施处理后，排入集中发展区管网。</w:t>
            </w:r>
          </w:p>
          <w:p>
            <w:pPr>
              <w:spacing w:line="360" w:lineRule="auto"/>
              <w:ind w:firstLine="482" w:firstLineChars="200"/>
              <w:rPr>
                <w:rFonts w:hint="default" w:ascii="Times New Roman" w:hAnsi="Times New Roman" w:cs="Times New Roman"/>
                <w:b/>
                <w:color w:val="auto"/>
                <w:sz w:val="24"/>
                <w:szCs w:val="32"/>
                <w:highlight w:val="none"/>
                <w:u w:color="FF0000"/>
                <w:lang w:val="en-US" w:eastAsia="zh-CN"/>
              </w:rPr>
            </w:pPr>
            <w:r>
              <w:rPr>
                <w:rFonts w:hint="default" w:ascii="Times New Roman" w:hAnsi="Times New Roman" w:cs="Times New Roman"/>
                <w:b/>
                <w:color w:val="auto"/>
                <w:sz w:val="24"/>
                <w:szCs w:val="32"/>
                <w:highlight w:val="none"/>
                <w:u w:color="FF0000"/>
                <w:lang w:eastAsia="zh-CN"/>
              </w:rPr>
              <w:t>（</w:t>
            </w:r>
            <w:r>
              <w:rPr>
                <w:rFonts w:hint="default" w:ascii="Times New Roman" w:hAnsi="Times New Roman" w:cs="Times New Roman"/>
                <w:b/>
                <w:color w:val="auto"/>
                <w:sz w:val="24"/>
                <w:szCs w:val="32"/>
                <w:highlight w:val="none"/>
                <w:u w:color="FF0000"/>
                <w:lang w:val="en-US" w:eastAsia="zh-CN"/>
              </w:rPr>
              <w:t>三</w:t>
            </w:r>
            <w:r>
              <w:rPr>
                <w:rFonts w:hint="default" w:ascii="Times New Roman" w:hAnsi="Times New Roman" w:cs="Times New Roman"/>
                <w:b/>
                <w:color w:val="auto"/>
                <w:sz w:val="24"/>
                <w:szCs w:val="32"/>
                <w:highlight w:val="none"/>
                <w:u w:color="FF0000"/>
                <w:lang w:eastAsia="zh-CN"/>
              </w:rPr>
              <w:t>）</w:t>
            </w:r>
            <w:r>
              <w:rPr>
                <w:rFonts w:hint="default" w:ascii="Times New Roman" w:hAnsi="Times New Roman" w:cs="Times New Roman"/>
                <w:b/>
                <w:color w:val="auto"/>
                <w:sz w:val="24"/>
                <w:szCs w:val="32"/>
                <w:highlight w:val="none"/>
                <w:u w:color="FF0000"/>
                <w:lang w:val="en-US" w:eastAsia="zh-CN"/>
              </w:rPr>
              <w:t>噪声</w:t>
            </w:r>
          </w:p>
          <w:p>
            <w:pPr>
              <w:wordWrap w:val="0"/>
              <w:topLinePunct/>
              <w:autoSpaceDE/>
              <w:autoSpaceDN/>
              <w:spacing w:line="360" w:lineRule="auto"/>
              <w:ind w:firstLine="480" w:firstLineChars="200"/>
              <w:jc w:val="both"/>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噪声：主要是各设备运行产生的噪声。</w:t>
            </w:r>
          </w:p>
          <w:p>
            <w:pPr>
              <w:keepNext w:val="0"/>
              <w:keepLines w:val="0"/>
              <w:pageBreakBefore w:val="0"/>
              <w:widowControl w:val="0"/>
              <w:kinsoku/>
              <w:wordWrap w:val="0"/>
              <w:overflowPunct/>
              <w:topLinePunct/>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rPr>
              <w:t>噪声处理措施：①合理布局②选用低噪声优质设备，安装设置减震器减振③破碎车间强化建筑墙体、安装双层中空隔音门窗、进行吸音处理④厂周围种植乔木降噪⑤加强生产过程操作管理。</w:t>
            </w:r>
            <w:r>
              <w:rPr>
                <w:rFonts w:hint="default" w:ascii="Times New Roman" w:hAnsi="Times New Roman" w:cs="Times New Roman"/>
                <w:color w:val="auto"/>
                <w:sz w:val="24"/>
                <w:szCs w:val="32"/>
                <w:lang w:val="en-US" w:eastAsia="zh-CN"/>
              </w:rPr>
              <w:t>通过以上措施使得原项目运营期间声环境能够达到</w:t>
            </w:r>
            <w:r>
              <w:rPr>
                <w:rFonts w:hint="default" w:ascii="Times New Roman" w:hAnsi="Times New Roman" w:cs="Times New Roman"/>
                <w:color w:val="auto"/>
                <w:sz w:val="24"/>
                <w:szCs w:val="24"/>
              </w:rPr>
              <w:t>《工业企业厂界环境噪声排放标准》（GB12348-2008）中的3类标准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未出现噪声扰民情况。</w:t>
            </w:r>
            <w:r>
              <w:rPr>
                <w:rFonts w:hint="eastAsia" w:ascii="Times New Roman" w:hAnsi="Times New Roman" w:cs="Times New Roman"/>
                <w:color w:val="auto"/>
                <w:sz w:val="24"/>
                <w:szCs w:val="24"/>
                <w:lang w:val="en-US" w:eastAsia="zh-CN"/>
              </w:rPr>
              <w:t>19年停产之后所有设备全部拆除搬运处置，剩一闲置厂房。</w:t>
            </w:r>
          </w:p>
          <w:p>
            <w:pPr>
              <w:spacing w:line="360" w:lineRule="auto"/>
              <w:ind w:firstLine="482" w:firstLineChars="200"/>
              <w:rPr>
                <w:rFonts w:ascii="Times New Roman" w:hAnsi="Times New Roman" w:cs="Times New Roman"/>
                <w:b/>
                <w:color w:val="auto"/>
                <w:sz w:val="24"/>
                <w:highlight w:val="none"/>
                <w:u w:color="FF0000"/>
                <w:shd w:val="clear" w:color="auto" w:fill="FFFFFF"/>
              </w:rPr>
            </w:pPr>
            <w:r>
              <w:rPr>
                <w:rFonts w:hint="default" w:ascii="Times New Roman" w:hAnsi="Times New Roman" w:cs="Times New Roman"/>
                <w:b/>
                <w:color w:val="auto"/>
                <w:sz w:val="24"/>
                <w:highlight w:val="none"/>
                <w:u w:color="FF0000"/>
                <w:shd w:val="clear" w:color="auto" w:fill="FFFFFF"/>
              </w:rPr>
              <w:t>（四）</w:t>
            </w:r>
            <w:r>
              <w:rPr>
                <w:rFonts w:ascii="Times New Roman" w:hAnsi="Times New Roman" w:cs="Times New Roman"/>
                <w:b/>
                <w:color w:val="auto"/>
                <w:sz w:val="24"/>
                <w:highlight w:val="none"/>
                <w:u w:color="FF0000"/>
                <w:shd w:val="clear" w:color="auto" w:fill="FFFFFF"/>
              </w:rPr>
              <w:t>固废</w:t>
            </w:r>
          </w:p>
          <w:p>
            <w:pPr>
              <w:spacing w:line="360" w:lineRule="auto"/>
              <w:ind w:firstLine="480"/>
              <w:rPr>
                <w:rFonts w:hint="default" w:ascii="Times New Roman" w:hAnsi="Times New Roman" w:cs="Times New Roman"/>
                <w:b/>
                <w:bCs/>
                <w:color w:val="auto"/>
                <w:sz w:val="24"/>
                <w:szCs w:val="32"/>
                <w:highlight w:val="none"/>
                <w:u w:color="FF0000"/>
              </w:rPr>
            </w:pPr>
            <w:r>
              <w:rPr>
                <w:rFonts w:hint="eastAsia" w:ascii="Times New Roman" w:hAnsi="Times New Roman" w:cs="Times New Roman"/>
                <w:b w:val="0"/>
                <w:bCs w:val="0"/>
                <w:color w:val="auto"/>
                <w:sz w:val="24"/>
                <w:szCs w:val="32"/>
                <w:highlight w:val="none"/>
                <w:u w:color="FF0000"/>
                <w:lang w:val="en-US" w:eastAsia="zh-CN"/>
              </w:rPr>
              <w:t>原</w:t>
            </w:r>
            <w:r>
              <w:rPr>
                <w:rFonts w:hint="default" w:ascii="Times New Roman" w:hAnsi="Times New Roman" w:cs="Times New Roman"/>
                <w:b w:val="0"/>
                <w:bCs w:val="0"/>
                <w:color w:val="auto"/>
                <w:sz w:val="24"/>
                <w:szCs w:val="32"/>
                <w:highlight w:val="none"/>
                <w:u w:color="FF0000"/>
                <w:lang w:val="en-US" w:eastAsia="zh-CN"/>
              </w:rPr>
              <w:t>项目的固废分为一般固废和危险废物两大类，</w:t>
            </w:r>
            <w:r>
              <w:rPr>
                <w:rFonts w:hint="eastAsia" w:ascii="Times New Roman" w:hAnsi="Times New Roman" w:cs="Times New Roman"/>
                <w:b w:val="0"/>
                <w:bCs w:val="0"/>
                <w:color w:val="auto"/>
                <w:sz w:val="24"/>
                <w:szCs w:val="32"/>
                <w:highlight w:val="none"/>
                <w:u w:color="FF0000"/>
                <w:lang w:val="en-US" w:eastAsia="zh-CN"/>
              </w:rPr>
              <w:t>详见下表：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表2-10  固废污染物产生情况表</w:t>
            </w:r>
          </w:p>
          <w:tbl>
            <w:tblPr>
              <w:tblStyle w:val="25"/>
              <w:tblW w:w="8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873"/>
              <w:gridCol w:w="1065"/>
              <w:gridCol w:w="1125"/>
              <w:gridCol w:w="2730"/>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79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873"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产生环节</w:t>
                  </w:r>
                </w:p>
              </w:tc>
              <w:tc>
                <w:tcPr>
                  <w:tcW w:w="106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12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w:t>
                  </w:r>
                </w:p>
              </w:tc>
              <w:tc>
                <w:tcPr>
                  <w:tcW w:w="2730"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982" w:type="dxa"/>
                  <w:vAlign w:val="center"/>
                </w:tcPr>
                <w:p>
                  <w:pPr>
                    <w:adjustRightInd w:val="0"/>
                    <w:snapToGrid w:val="0"/>
                    <w:spacing w:line="240" w:lineRule="atLeast"/>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处理量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87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生活及办公区域</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生活垃圾</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14.52t/a</w:t>
                  </w:r>
                </w:p>
              </w:tc>
              <w:tc>
                <w:tcPr>
                  <w:tcW w:w="2730" w:type="dxa"/>
                  <w:vMerge w:val="restart"/>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4"/>
                    </w:rPr>
                    <w:t>生活垃圾和污泥交由环卫部门统一收集处理</w:t>
                  </w:r>
                </w:p>
              </w:tc>
              <w:tc>
                <w:tcPr>
                  <w:tcW w:w="982"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14.52t/a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79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73"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循环池</w:t>
                  </w:r>
                </w:p>
              </w:tc>
              <w:tc>
                <w:tcPr>
                  <w:tcW w:w="106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污泥</w:t>
                  </w:r>
                </w:p>
              </w:tc>
              <w:tc>
                <w:tcPr>
                  <w:tcW w:w="112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15t/a</w:t>
                  </w:r>
                </w:p>
              </w:tc>
              <w:tc>
                <w:tcPr>
                  <w:tcW w:w="2730" w:type="dxa"/>
                  <w:vMerge w:val="continue"/>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p>
              </w:tc>
              <w:tc>
                <w:tcPr>
                  <w:tcW w:w="982"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5"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1873"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生产环节</w:t>
                  </w: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尼龙纤维</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75t/a</w:t>
                  </w:r>
                </w:p>
              </w:tc>
              <w:tc>
                <w:tcPr>
                  <w:tcW w:w="27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回收外售</w:t>
                  </w:r>
                </w:p>
              </w:tc>
              <w:tc>
                <w:tcPr>
                  <w:tcW w:w="982"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873"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w:t>
                  </w: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煤渣</w:t>
                  </w:r>
                </w:p>
              </w:tc>
              <w:tc>
                <w:tcPr>
                  <w:tcW w:w="1125" w:type="dxa"/>
                  <w:vAlign w:val="center"/>
                </w:tcPr>
                <w:p>
                  <w:pPr>
                    <w:adjustRightInd w:val="0"/>
                    <w:snapToGrid w:val="0"/>
                    <w:spacing w:line="240" w:lineRule="atLeast"/>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14.8t/a</w:t>
                  </w:r>
                </w:p>
              </w:tc>
              <w:tc>
                <w:tcPr>
                  <w:tcW w:w="27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收集外售</w:t>
                  </w:r>
                </w:p>
              </w:tc>
              <w:tc>
                <w:tcPr>
                  <w:tcW w:w="982" w:type="dxa"/>
                  <w:vAlign w:val="center"/>
                </w:tcPr>
                <w:p>
                  <w:pPr>
                    <w:adjustRightInd w:val="0"/>
                    <w:snapToGrid w:val="0"/>
                    <w:spacing w:line="240" w:lineRule="atLeast"/>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14.8t/a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873"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锅炉房</w:t>
                  </w: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废导热油</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8t/a</w:t>
                  </w:r>
                </w:p>
              </w:tc>
              <w:tc>
                <w:tcPr>
                  <w:tcW w:w="27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厂家回收</w:t>
                  </w:r>
                </w:p>
              </w:tc>
              <w:tc>
                <w:tcPr>
                  <w:tcW w:w="982"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1873"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地埋式污水设施</w:t>
                  </w:r>
                </w:p>
              </w:tc>
              <w:tc>
                <w:tcPr>
                  <w:tcW w:w="106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污泥</w:t>
                  </w:r>
                </w:p>
              </w:tc>
              <w:tc>
                <w:tcPr>
                  <w:tcW w:w="112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5t/a</w:t>
                  </w:r>
                </w:p>
              </w:tc>
              <w:tc>
                <w:tcPr>
                  <w:tcW w:w="2730"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4"/>
                    </w:rPr>
                    <w:t>环卫部门统一收集处理</w:t>
                  </w:r>
                </w:p>
              </w:tc>
              <w:tc>
                <w:tcPr>
                  <w:tcW w:w="982" w:type="dxa"/>
                  <w:vAlign w:val="center"/>
                </w:tcPr>
                <w:p>
                  <w:pPr>
                    <w:adjustRightInd w:val="0"/>
                    <w:snapToGrid w:val="0"/>
                    <w:spacing w:line="24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5t/a</w:t>
                  </w:r>
                </w:p>
              </w:tc>
            </w:tr>
          </w:tbl>
          <w:p>
            <w:pPr>
              <w:spacing w:line="360" w:lineRule="auto"/>
              <w:ind w:firstLine="480"/>
              <w:rPr>
                <w:rFonts w:hint="default" w:ascii="Times New Roman" w:hAnsi="Times New Roman" w:cs="Times New Roman"/>
                <w:b w:val="0"/>
                <w:bCs w:val="0"/>
                <w:color w:val="auto"/>
                <w:sz w:val="24"/>
                <w:szCs w:val="32"/>
                <w:highlight w:val="none"/>
                <w:u w:color="FF0000"/>
                <w:lang w:val="en-US" w:eastAsia="zh-CN"/>
              </w:rPr>
            </w:pPr>
            <w:r>
              <w:rPr>
                <w:rFonts w:hint="eastAsia" w:ascii="Times New Roman" w:hAnsi="Times New Roman" w:cs="Times New Roman"/>
                <w:b w:val="0"/>
                <w:bCs w:val="0"/>
                <w:color w:val="auto"/>
                <w:sz w:val="24"/>
                <w:szCs w:val="32"/>
                <w:highlight w:val="none"/>
                <w:u w:color="FF0000"/>
                <w:lang w:val="en-US" w:eastAsia="zh-CN"/>
              </w:rPr>
              <w:t>原项目所产生的生活垃圾和污泥已由环卫部门统一清运，煤渣和尼龙纤维暂存于固废间定期外售，废导热油已由厂家回收，由此可知，原项目产生的废物去向明确，不会对环境造成二次污染。</w:t>
            </w:r>
          </w:p>
          <w:tbl>
            <w:tblPr>
              <w:tblStyle w:val="25"/>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6"/>
              <w:gridCol w:w="4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2" w:hRule="atLeast"/>
              </w:trPr>
              <w:tc>
                <w:tcPr>
                  <w:tcW w:w="4426" w:type="dxa"/>
                </w:tcPr>
                <w:p>
                  <w:pPr>
                    <w:wordWrap w:val="0"/>
                    <w:topLinePunct/>
                    <w:autoSpaceDE/>
                    <w:autoSpaceDN/>
                    <w:spacing w:line="360" w:lineRule="auto"/>
                    <w:jc w:val="center"/>
                    <w:rPr>
                      <w:rFonts w:ascii="Times New Roman" w:hAnsi="Times New Roman" w:cs="Times New Roman"/>
                      <w:color w:val="auto"/>
                      <w:sz w:val="24"/>
                      <w:szCs w:val="32"/>
                    </w:rPr>
                  </w:pPr>
                  <w:r>
                    <w:rPr>
                      <w:rFonts w:hint="eastAsia" w:ascii="Times New Roman" w:hAnsi="Times New Roman" w:cs="Times New Roman" w:eastAsiaTheme="minorEastAsia"/>
                      <w:color w:val="auto"/>
                      <w:lang w:eastAsia="zh-CN"/>
                    </w:rPr>
                    <w:drawing>
                      <wp:inline distT="0" distB="0" distL="114300" distR="114300">
                        <wp:extent cx="2665095" cy="1742440"/>
                        <wp:effectExtent l="0" t="0" r="1905" b="10160"/>
                        <wp:docPr id="18" name="图片 18" descr="de4e13327bc51e72bf180ee702e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e4e13327bc51e72bf180ee702e2890"/>
                                <pic:cNvPicPr>
                                  <a:picLocks noChangeAspect="1"/>
                                </pic:cNvPicPr>
                              </pic:nvPicPr>
                              <pic:blipFill>
                                <a:blip r:embed="rId12"/>
                                <a:stretch>
                                  <a:fillRect/>
                                </a:stretch>
                              </pic:blipFill>
                              <pic:spPr>
                                <a:xfrm>
                                  <a:off x="0" y="0"/>
                                  <a:ext cx="2665095" cy="1742440"/>
                                </a:xfrm>
                                <a:prstGeom prst="rect">
                                  <a:avLst/>
                                </a:prstGeom>
                              </pic:spPr>
                            </pic:pic>
                          </a:graphicData>
                        </a:graphic>
                      </wp:inline>
                    </w:drawing>
                  </w:r>
                </w:p>
              </w:tc>
              <w:tc>
                <w:tcPr>
                  <w:tcW w:w="4426" w:type="dxa"/>
                </w:tcPr>
                <w:p>
                  <w:pPr>
                    <w:wordWrap w:val="0"/>
                    <w:topLinePunct/>
                    <w:autoSpaceDE/>
                    <w:autoSpaceDN/>
                    <w:spacing w:line="360" w:lineRule="auto"/>
                    <w:jc w:val="center"/>
                    <w:rPr>
                      <w:rFonts w:hint="eastAsia" w:ascii="Times New Roman" w:hAnsi="Times New Roman" w:eastAsia="宋体" w:cs="Times New Roman"/>
                      <w:color w:val="auto"/>
                      <w:sz w:val="24"/>
                      <w:szCs w:val="32"/>
                      <w:lang w:eastAsia="zh-CN"/>
                    </w:rPr>
                  </w:pPr>
                  <w:r>
                    <w:rPr>
                      <w:rFonts w:hint="eastAsia" w:ascii="Times New Roman" w:hAnsi="Times New Roman" w:eastAsia="宋体" w:cs="Times New Roman"/>
                      <w:color w:val="auto"/>
                      <w:sz w:val="24"/>
                      <w:szCs w:val="32"/>
                      <w:lang w:eastAsia="zh-CN"/>
                    </w:rPr>
                    <w:drawing>
                      <wp:inline distT="0" distB="0" distL="114300" distR="114300">
                        <wp:extent cx="2668270" cy="1746250"/>
                        <wp:effectExtent l="0" t="0" r="17780" b="6350"/>
                        <wp:docPr id="17" name="图片 17" descr="c613e633c4e0234e9830892b3992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613e633c4e0234e9830892b3992ec6"/>
                                <pic:cNvPicPr>
                                  <a:picLocks noChangeAspect="1"/>
                                </pic:cNvPicPr>
                              </pic:nvPicPr>
                              <pic:blipFill>
                                <a:blip r:embed="rId13"/>
                                <a:stretch>
                                  <a:fillRect/>
                                </a:stretch>
                              </pic:blipFill>
                              <pic:spPr>
                                <a:xfrm>
                                  <a:off x="0" y="0"/>
                                  <a:ext cx="2668270" cy="17462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jc w:val="center"/>
                    <w:rPr>
                      <w:rFonts w:ascii="Times New Roman" w:hAnsi="Times New Roman" w:cs="Times New Roman"/>
                      <w:color w:val="auto"/>
                      <w:sz w:val="24"/>
                      <w:szCs w:val="32"/>
                    </w:rPr>
                  </w:pPr>
                  <w:r>
                    <w:rPr>
                      <w:rFonts w:hint="default" w:ascii="Times New Roman" w:hAnsi="Times New Roman" w:cs="Times New Roman"/>
                      <w:color w:val="auto"/>
                      <w:sz w:val="24"/>
                      <w:szCs w:val="32"/>
                    </w:rPr>
                    <w:t>空旷厂房</w:t>
                  </w:r>
                </w:p>
              </w:tc>
              <w:tc>
                <w:tcPr>
                  <w:tcW w:w="4426" w:type="dxa"/>
                </w:tcPr>
                <w:p>
                  <w:pPr>
                    <w:wordWrap w:val="0"/>
                    <w:topLinePunct/>
                    <w:autoSpaceDE/>
                    <w:autoSpaceDN/>
                    <w:jc w:val="center"/>
                    <w:rPr>
                      <w:rFonts w:ascii="Times New Roman" w:hAnsi="Times New Roman" w:cs="Times New Roman"/>
                      <w:color w:val="auto"/>
                    </w:rPr>
                  </w:pPr>
                  <w:r>
                    <w:rPr>
                      <w:rFonts w:hint="default" w:ascii="Times New Roman" w:hAnsi="Times New Roman" w:cs="Times New Roman"/>
                      <w:color w:val="auto"/>
                      <w:sz w:val="24"/>
                      <w:szCs w:val="32"/>
                    </w:rPr>
                    <w:t>空旷厂房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spacing w:line="360" w:lineRule="auto"/>
                    <w:jc w:val="center"/>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inline distT="0" distB="0" distL="114300" distR="114300">
                        <wp:extent cx="2654935" cy="1780540"/>
                        <wp:effectExtent l="0" t="0" r="12065" b="10160"/>
                        <wp:docPr id="14" name="图片 14" descr="5c36b12a8a6aa157b33619dc8db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c36b12a8a6aa157b33619dc8db6730"/>
                                <pic:cNvPicPr>
                                  <a:picLocks noChangeAspect="1"/>
                                </pic:cNvPicPr>
                              </pic:nvPicPr>
                              <pic:blipFill>
                                <a:blip r:embed="rId14"/>
                                <a:stretch>
                                  <a:fillRect/>
                                </a:stretch>
                              </pic:blipFill>
                              <pic:spPr>
                                <a:xfrm>
                                  <a:off x="0" y="0"/>
                                  <a:ext cx="2654935" cy="1780540"/>
                                </a:xfrm>
                                <a:prstGeom prst="rect">
                                  <a:avLst/>
                                </a:prstGeom>
                              </pic:spPr>
                            </pic:pic>
                          </a:graphicData>
                        </a:graphic>
                      </wp:inline>
                    </w:drawing>
                  </w:r>
                </w:p>
              </w:tc>
              <w:tc>
                <w:tcPr>
                  <w:tcW w:w="4426" w:type="dxa"/>
                </w:tcPr>
                <w:p>
                  <w:pPr>
                    <w:wordWrap w:val="0"/>
                    <w:topLinePunct/>
                    <w:autoSpaceDE/>
                    <w:autoSpaceDN/>
                    <w:spacing w:line="360" w:lineRule="auto"/>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2670175" cy="1793875"/>
                        <wp:effectExtent l="0" t="0" r="15875" b="15875"/>
                        <wp:docPr id="13" name="图片 13" descr="b0cf1034ed1a7222cc8dcb060257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0cf1034ed1a7222cc8dcb06025713c"/>
                                <pic:cNvPicPr>
                                  <a:picLocks noChangeAspect="1"/>
                                </pic:cNvPicPr>
                              </pic:nvPicPr>
                              <pic:blipFill>
                                <a:blip r:embed="rId15"/>
                                <a:stretch>
                                  <a:fillRect/>
                                </a:stretch>
                              </pic:blipFill>
                              <pic:spPr>
                                <a:xfrm>
                                  <a:off x="0" y="0"/>
                                  <a:ext cx="2670175" cy="1793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jc w:val="center"/>
                    <w:rPr>
                      <w:rFonts w:ascii="Times New Roman" w:hAnsi="Times New Roman" w:cs="Times New Roman" w:eastAsiaTheme="minorEastAsia"/>
                      <w:color w:val="auto"/>
                    </w:rPr>
                  </w:pPr>
                  <w:r>
                    <w:rPr>
                      <w:rFonts w:hint="default" w:ascii="Times New Roman" w:hAnsi="Times New Roman" w:cs="Times New Roman"/>
                      <w:color w:val="auto"/>
                      <w:sz w:val="24"/>
                      <w:szCs w:val="32"/>
                    </w:rPr>
                    <w:t>空旷厂房</w:t>
                  </w:r>
                </w:p>
              </w:tc>
              <w:tc>
                <w:tcPr>
                  <w:tcW w:w="4426" w:type="dxa"/>
                </w:tcPr>
                <w:p>
                  <w:pPr>
                    <w:wordWrap w:val="0"/>
                    <w:topLinePunct/>
                    <w:autoSpaceDE/>
                    <w:autoSpaceDN/>
                    <w:jc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spacing w:line="360" w:lineRule="auto"/>
                    <w:jc w:val="both"/>
                    <w:rPr>
                      <w:rFonts w:ascii="Times New Roman" w:hAnsi="Times New Roman" w:cs="Times New Roman"/>
                      <w:color w:val="auto"/>
                      <w:sz w:val="24"/>
                      <w:szCs w:val="32"/>
                    </w:rPr>
                  </w:pPr>
                  <w:r>
                    <w:rPr>
                      <w:rFonts w:ascii="Times New Roman" w:hAnsi="Times New Roman" w:cs="Times New Roman"/>
                      <w:color w:val="auto"/>
                      <w:sz w:val="24"/>
                      <w:szCs w:val="32"/>
                    </w:rPr>
                    <w:drawing>
                      <wp:inline distT="0" distB="0" distL="114300" distR="114300">
                        <wp:extent cx="2633345" cy="1851660"/>
                        <wp:effectExtent l="0" t="0" r="14605" b="15240"/>
                        <wp:docPr id="15" name="图片 15" descr="fba7ad2d128ce99167fc1120820c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a7ad2d128ce99167fc1120820cbcb"/>
                                <pic:cNvPicPr>
                                  <a:picLocks noChangeAspect="1"/>
                                </pic:cNvPicPr>
                              </pic:nvPicPr>
                              <pic:blipFill>
                                <a:blip r:embed="rId16"/>
                                <a:stretch>
                                  <a:fillRect/>
                                </a:stretch>
                              </pic:blipFill>
                              <pic:spPr>
                                <a:xfrm>
                                  <a:off x="0" y="0"/>
                                  <a:ext cx="2633345" cy="1851660"/>
                                </a:xfrm>
                                <a:prstGeom prst="rect">
                                  <a:avLst/>
                                </a:prstGeom>
                              </pic:spPr>
                            </pic:pic>
                          </a:graphicData>
                        </a:graphic>
                      </wp:inline>
                    </w:drawing>
                  </w:r>
                </w:p>
              </w:tc>
              <w:tc>
                <w:tcPr>
                  <w:tcW w:w="4426" w:type="dxa"/>
                </w:tcPr>
                <w:p>
                  <w:pPr>
                    <w:wordWrap w:val="0"/>
                    <w:topLinePunct/>
                    <w:autoSpaceDE/>
                    <w:autoSpaceDN/>
                    <w:spacing w:line="360" w:lineRule="auto"/>
                    <w:jc w:val="both"/>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drawing>
                      <wp:inline distT="0" distB="0" distL="114300" distR="114300">
                        <wp:extent cx="2631440" cy="1811020"/>
                        <wp:effectExtent l="0" t="0" r="16510" b="17780"/>
                        <wp:docPr id="9" name="图片 9" descr="5f8db9106176157705fcfdff0798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8db9106176157705fcfdff0798e97"/>
                                <pic:cNvPicPr>
                                  <a:picLocks noChangeAspect="1"/>
                                </pic:cNvPicPr>
                              </pic:nvPicPr>
                              <pic:blipFill>
                                <a:blip r:embed="rId17"/>
                                <a:stretch>
                                  <a:fillRect/>
                                </a:stretch>
                              </pic:blipFill>
                              <pic:spPr>
                                <a:xfrm>
                                  <a:off x="0" y="0"/>
                                  <a:ext cx="2631440" cy="1811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jc w:val="center"/>
                    <w:rPr>
                      <w:rFonts w:ascii="Times New Roman" w:hAnsi="Times New Roman" w:cs="Times New Roman"/>
                      <w:color w:val="auto"/>
                      <w:sz w:val="24"/>
                      <w:szCs w:val="32"/>
                    </w:rPr>
                  </w:pPr>
                  <w:r>
                    <w:rPr>
                      <w:rFonts w:hint="default" w:ascii="Times New Roman" w:hAnsi="Times New Roman" w:cs="Times New Roman"/>
                      <w:color w:val="auto"/>
                      <w:sz w:val="24"/>
                      <w:szCs w:val="32"/>
                    </w:rPr>
                    <w:t>堆场</w:t>
                  </w:r>
                </w:p>
              </w:tc>
              <w:tc>
                <w:tcPr>
                  <w:tcW w:w="4426" w:type="dxa"/>
                </w:tcPr>
                <w:p>
                  <w:pPr>
                    <w:wordWrap w:val="0"/>
                    <w:topLinePunct/>
                    <w:autoSpaceDE/>
                    <w:autoSpaceDN/>
                    <w:jc w:val="center"/>
                    <w:rPr>
                      <w:rFonts w:ascii="Times New Roman" w:hAnsi="Times New Roman" w:cs="Times New Roman"/>
                      <w:color w:val="auto"/>
                      <w:sz w:val="24"/>
                      <w:szCs w:val="32"/>
                    </w:rPr>
                  </w:pPr>
                  <w:r>
                    <w:rPr>
                      <w:rFonts w:hint="default" w:ascii="Times New Roman" w:hAnsi="Times New Roman" w:cs="Times New Roman"/>
                      <w:color w:val="auto"/>
                      <w:sz w:val="24"/>
                      <w:szCs w:val="32"/>
                    </w:rPr>
                    <w:t>锅炉房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6" w:type="dxa"/>
                </w:tcPr>
                <w:p>
                  <w:pPr>
                    <w:wordWrap w:val="0"/>
                    <w:topLinePunct/>
                    <w:autoSpaceDE/>
                    <w:autoSpaceDN/>
                    <w:spacing w:line="360" w:lineRule="auto"/>
                    <w:jc w:val="both"/>
                    <w:rPr>
                      <w:rFonts w:hint="default" w:ascii="Times New Roman" w:hAnsi="Times New Roman" w:eastAsia="宋体" w:cs="Times New Roman"/>
                      <w:color w:val="auto"/>
                      <w:sz w:val="24"/>
                      <w:szCs w:val="32"/>
                      <w:lang w:eastAsia="zh-CN"/>
                    </w:rPr>
                  </w:pPr>
                  <w:r>
                    <w:rPr>
                      <w:rFonts w:hint="default" w:ascii="Times New Roman" w:hAnsi="Times New Roman" w:eastAsia="宋体" w:cs="Times New Roman"/>
                      <w:color w:val="auto"/>
                      <w:sz w:val="24"/>
                      <w:szCs w:val="32"/>
                      <w:lang w:eastAsia="zh-CN"/>
                    </w:rPr>
                    <w:drawing>
                      <wp:inline distT="0" distB="0" distL="114300" distR="114300">
                        <wp:extent cx="2665095" cy="1781810"/>
                        <wp:effectExtent l="0" t="0" r="1905" b="8890"/>
                        <wp:docPr id="5" name="图片 5" descr="342a1703b77d6dca52ff7b9a48820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2a1703b77d6dca52ff7b9a48820fb"/>
                                <pic:cNvPicPr>
                                  <a:picLocks noChangeAspect="1"/>
                                </pic:cNvPicPr>
                              </pic:nvPicPr>
                              <pic:blipFill>
                                <a:blip r:embed="rId18"/>
                                <a:stretch>
                                  <a:fillRect/>
                                </a:stretch>
                              </pic:blipFill>
                              <pic:spPr>
                                <a:xfrm>
                                  <a:off x="0" y="0"/>
                                  <a:ext cx="2665095" cy="1781810"/>
                                </a:xfrm>
                                <a:prstGeom prst="rect">
                                  <a:avLst/>
                                </a:prstGeom>
                              </pic:spPr>
                            </pic:pic>
                          </a:graphicData>
                        </a:graphic>
                      </wp:inline>
                    </w:drawing>
                  </w:r>
                </w:p>
              </w:tc>
              <w:tc>
                <w:tcPr>
                  <w:tcW w:w="4426" w:type="dxa"/>
                </w:tcPr>
                <w:p>
                  <w:pPr>
                    <w:wordWrap w:val="0"/>
                    <w:topLinePunct/>
                    <w:autoSpaceDE/>
                    <w:autoSpaceDN/>
                    <w:spacing w:line="360" w:lineRule="auto"/>
                    <w:jc w:val="both"/>
                    <w:rPr>
                      <w:rFonts w:ascii="Times New Roman" w:hAnsi="Times New Roman" w:cs="Times New Roman"/>
                      <w:color w:val="auto"/>
                      <w:sz w:val="24"/>
                      <w:szCs w:val="32"/>
                    </w:rPr>
                  </w:pPr>
                  <w:r>
                    <w:rPr>
                      <w:rFonts w:hint="default" w:ascii="Times New Roman" w:hAnsi="Times New Roman" w:cs="Times New Roman" w:eastAsiaTheme="minorEastAsia"/>
                      <w:color w:val="auto"/>
                    </w:rPr>
                    <w:drawing>
                      <wp:inline distT="0" distB="0" distL="114300" distR="114300">
                        <wp:extent cx="2613025" cy="1742440"/>
                        <wp:effectExtent l="0" t="0" r="15875" b="10160"/>
                        <wp:docPr id="7" name="图片 7" descr="fa010224f39e4eb6322a094b22ee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a010224f39e4eb6322a094b22eeadc"/>
                                <pic:cNvPicPr>
                                  <a:picLocks noChangeAspect="1"/>
                                </pic:cNvPicPr>
                              </pic:nvPicPr>
                              <pic:blipFill>
                                <a:blip r:embed="rId19"/>
                                <a:stretch>
                                  <a:fillRect/>
                                </a:stretch>
                              </pic:blipFill>
                              <pic:spPr>
                                <a:xfrm>
                                  <a:off x="0" y="0"/>
                                  <a:ext cx="2613025" cy="174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52" w:type="dxa"/>
                  <w:gridSpan w:val="2"/>
                </w:tcPr>
                <w:p>
                  <w:pPr>
                    <w:wordWrap w:val="0"/>
                    <w:topLinePunct/>
                    <w:autoSpaceDE/>
                    <w:autoSpaceDN/>
                    <w:jc w:val="center"/>
                    <w:rPr>
                      <w:rFonts w:ascii="Times New Roman" w:hAnsi="Times New Roman" w:cs="Times New Roman" w:eastAsiaTheme="minorEastAsia"/>
                      <w:color w:val="auto"/>
                    </w:rPr>
                  </w:pPr>
                  <w:r>
                    <w:rPr>
                      <w:rFonts w:hint="default" w:ascii="Times New Roman" w:hAnsi="Times New Roman" w:cs="Times New Roman" w:eastAsiaTheme="minorEastAsia"/>
                      <w:color w:val="auto"/>
                    </w:rPr>
                    <w:t>住宿楼及内部结构</w:t>
                  </w:r>
                </w:p>
              </w:tc>
            </w:tr>
          </w:tbl>
          <w:p>
            <w:pPr>
              <w:wordWrap w:val="0"/>
              <w:topLinePunct/>
              <w:autoSpaceDE/>
              <w:autoSpaceDN/>
              <w:spacing w:line="360" w:lineRule="auto"/>
              <w:jc w:val="center"/>
              <w:rPr>
                <w:rFonts w:ascii="Times New Roman" w:hAnsi="Times New Roman" w:cs="Times New Roman"/>
                <w:b/>
                <w:bCs/>
                <w:color w:val="auto"/>
                <w:sz w:val="21"/>
                <w:szCs w:val="24"/>
              </w:rPr>
            </w:pPr>
            <w:r>
              <w:rPr>
                <w:rFonts w:ascii="Times New Roman" w:hAnsi="Times New Roman" w:cs="Times New Roman"/>
                <w:b/>
                <w:bCs/>
                <w:color w:val="auto"/>
                <w:sz w:val="21"/>
                <w:szCs w:val="24"/>
              </w:rPr>
              <w:t>图2-5 现场照片</w:t>
            </w:r>
          </w:p>
          <w:p>
            <w:pPr>
              <w:wordWrap w:val="0"/>
              <w:topLinePunct/>
              <w:autoSpaceDE/>
              <w:autoSpaceDN/>
              <w:spacing w:line="360" w:lineRule="auto"/>
              <w:ind w:firstLine="480" w:firstLineChars="200"/>
              <w:jc w:val="both"/>
              <w:rPr>
                <w:rFonts w:ascii="Times New Roman" w:hAnsi="Times New Roman" w:cs="Times New Roman"/>
                <w:color w:val="auto"/>
                <w:sz w:val="24"/>
                <w:szCs w:val="32"/>
              </w:rPr>
            </w:pPr>
            <w:r>
              <w:rPr>
                <w:rFonts w:hint="eastAsia" w:ascii="Times New Roman" w:hAnsi="Times New Roman" w:cs="Times New Roman"/>
                <w:color w:val="auto"/>
                <w:sz w:val="24"/>
                <w:szCs w:val="32"/>
                <w:lang w:val="en-US" w:eastAsia="zh-CN"/>
              </w:rPr>
              <w:t>原项目的原辅料和设备都已搬运处置，产生的废物都处置完毕，</w:t>
            </w:r>
            <w:r>
              <w:rPr>
                <w:rFonts w:hint="default" w:ascii="Times New Roman" w:hAnsi="Times New Roman" w:cs="Times New Roman"/>
                <w:color w:val="auto"/>
                <w:sz w:val="24"/>
                <w:szCs w:val="32"/>
              </w:rPr>
              <w:t>现目前整个厂房被闲置，</w:t>
            </w:r>
            <w:r>
              <w:rPr>
                <w:rFonts w:hint="default" w:ascii="Times New Roman" w:hAnsi="Times New Roman" w:cs="Times New Roman"/>
                <w:color w:val="auto"/>
                <w:sz w:val="24"/>
                <w:szCs w:val="32"/>
                <w:lang w:val="en-US" w:eastAsia="zh-CN"/>
              </w:rPr>
              <w:t>原有设备设施已经拆除，无环境遗留问题；根据调查，亦无环保投诉事件发生。</w:t>
            </w:r>
          </w:p>
        </w:tc>
      </w:tr>
    </w:tbl>
    <w:p>
      <w:pPr>
        <w:pStyle w:val="19"/>
        <w:jc w:val="center"/>
        <w:rPr>
          <w:rFonts w:ascii="Times New Roman" w:hAnsi="Times New Roman" w:eastAsia="黑体" w:cs="Times New Roman"/>
          <w:snapToGrid w:val="0"/>
          <w:color w:val="auto"/>
          <w:sz w:val="32"/>
          <w:szCs w:val="32"/>
        </w:rPr>
      </w:pPr>
    </w:p>
    <w:p>
      <w:pPr>
        <w:pStyle w:val="19"/>
        <w:jc w:val="center"/>
        <w:rPr>
          <w:rFonts w:ascii="Times New Roman" w:hAnsi="Times New Roman" w:eastAsia="黑体" w:cs="Times New Roman"/>
          <w:snapToGrid w:val="0"/>
          <w:color w:val="auto"/>
          <w:sz w:val="32"/>
          <w:szCs w:val="32"/>
        </w:rPr>
      </w:pPr>
    </w:p>
    <w:p>
      <w:pPr>
        <w:pStyle w:val="19"/>
        <w:jc w:val="center"/>
        <w:rPr>
          <w:rFonts w:ascii="Times New Roman" w:hAnsi="Times New Roman" w:eastAsia="黑体" w:cs="Times New Roman"/>
          <w:snapToGrid w:val="0"/>
          <w:color w:val="auto"/>
          <w:sz w:val="32"/>
          <w:szCs w:val="32"/>
        </w:rPr>
      </w:pPr>
    </w:p>
    <w:p>
      <w:pPr>
        <w:pStyle w:val="19"/>
        <w:jc w:val="center"/>
        <w:outlineLvl w:val="0"/>
        <w:rPr>
          <w:rFonts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三、区域环境质量现状、环境保护目标及评价标准</w:t>
      </w:r>
    </w:p>
    <w:tbl>
      <w:tblPr>
        <w:tblStyle w:val="24"/>
        <w:tblW w:w="98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2"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区域</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环境</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质量</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现状</w:t>
            </w:r>
          </w:p>
        </w:tc>
        <w:tc>
          <w:tcPr>
            <w:tcW w:w="9270" w:type="dxa"/>
            <w:vAlign w:val="center"/>
          </w:tcPr>
          <w:p>
            <w:pPr>
              <w:autoSpaceDE/>
              <w:autoSpaceDN/>
              <w:spacing w:line="360" w:lineRule="auto"/>
              <w:rPr>
                <w:rFonts w:ascii="Times New Roman" w:hAnsi="Times New Roman" w:cs="Times New Roman"/>
                <w:b/>
                <w:bCs/>
                <w:color w:val="auto"/>
                <w:sz w:val="24"/>
                <w:szCs w:val="32"/>
              </w:rPr>
            </w:pPr>
            <w:r>
              <w:rPr>
                <w:rFonts w:ascii="Times New Roman" w:hAnsi="Times New Roman" w:cs="Times New Roman"/>
                <w:b/>
                <w:bCs/>
                <w:color w:val="auto"/>
                <w:sz w:val="24"/>
                <w:szCs w:val="32"/>
              </w:rPr>
              <w:t>一、大气环境质量现状</w:t>
            </w:r>
          </w:p>
          <w:p>
            <w:pPr>
              <w:autoSpaceDE/>
              <w:autoSpaceDN/>
              <w:adjustRightInd w:val="0"/>
              <w:spacing w:line="360" w:lineRule="auto"/>
              <w:ind w:firstLine="482" w:firstLineChars="200"/>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1、</w:t>
            </w:r>
            <w:r>
              <w:rPr>
                <w:rFonts w:hint="default" w:ascii="Times New Roman" w:hAnsi="Times New Roman" w:cs="Times New Roman"/>
                <w:b/>
                <w:bCs/>
                <w:color w:val="auto"/>
                <w:sz w:val="24"/>
              </w:rPr>
              <w:t>基本污染物环境质量现状</w:t>
            </w:r>
          </w:p>
          <w:p>
            <w:pPr>
              <w:autoSpaceDE/>
              <w:autoSpaceDN/>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本年度遂宁市城区环境空气质量158天优、171天良、35天轻度污染、1天中度污染，空气质量达标率为90.1%，主要污染物SO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、NO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2.5</w:t>
            </w:r>
            <w:r>
              <w:rPr>
                <w:rFonts w:ascii="Times New Roman" w:hAnsi="Times New Roman" w:cs="Times New Roman"/>
                <w:color w:val="auto"/>
                <w:sz w:val="24"/>
                <w:szCs w:val="24"/>
              </w:rPr>
              <w:t>、CO和O</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的年均值分别为8.1微克/立方米、20.3微克/立方米、49.2微克/立方米、29.9微克/立方米、0.9毫克/立方米和125.6微克/立方米。同比SO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、CO、O</w:t>
            </w:r>
            <w:r>
              <w:rPr>
                <w:rFonts w:ascii="Times New Roman" w:hAnsi="Times New Roman" w:cs="Times New Roman"/>
                <w:color w:val="auto"/>
                <w:sz w:val="24"/>
                <w:szCs w:val="24"/>
                <w:vertAlign w:val="subscript"/>
              </w:rPr>
              <w:t>3</w:t>
            </w:r>
            <w:r>
              <w:rPr>
                <w:rFonts w:ascii="Times New Roman" w:hAnsi="Times New Roman" w:cs="Times New Roman"/>
                <w:color w:val="auto"/>
                <w:sz w:val="24"/>
                <w:szCs w:val="24"/>
              </w:rPr>
              <w:t>浓度分别下降了4.7%、10.0%、4.8%，NO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10</w:t>
            </w:r>
            <w:r>
              <w:rPr>
                <w:rFonts w:ascii="Times New Roman" w:hAnsi="Times New Roman" w:cs="Times New Roman"/>
                <w:color w:val="auto"/>
                <w:sz w:val="24"/>
                <w:szCs w:val="24"/>
              </w:rPr>
              <w:t>、PM</w:t>
            </w:r>
            <w:r>
              <w:rPr>
                <w:rFonts w:ascii="Times New Roman" w:hAnsi="Times New Roman" w:cs="Times New Roman"/>
                <w:color w:val="auto"/>
                <w:sz w:val="24"/>
                <w:szCs w:val="24"/>
                <w:vertAlign w:val="subscript"/>
              </w:rPr>
              <w:t>2.5</w:t>
            </w:r>
            <w:r>
              <w:rPr>
                <w:rFonts w:ascii="Times New Roman" w:hAnsi="Times New Roman" w:cs="Times New Roman"/>
                <w:color w:val="auto"/>
                <w:sz w:val="24"/>
                <w:szCs w:val="24"/>
              </w:rPr>
              <w:t>浓度上升了12.8%、3.8%、3.1%。各测点主要污染物浓度详见表</w:t>
            </w:r>
            <w:r>
              <w:rPr>
                <w:rFonts w:hint="default" w:ascii="Times New Roman" w:hAnsi="Times New Roman" w:cs="Times New Roman"/>
                <w:color w:val="auto"/>
                <w:sz w:val="24"/>
                <w:szCs w:val="24"/>
              </w:rPr>
              <w:t>3-</w:t>
            </w:r>
            <w:r>
              <w:rPr>
                <w:rFonts w:ascii="Times New Roman" w:hAnsi="Times New Roman" w:cs="Times New Roman"/>
                <w:color w:val="auto"/>
                <w:sz w:val="24"/>
                <w:szCs w:val="24"/>
              </w:rPr>
              <w:t>1。</w:t>
            </w:r>
          </w:p>
          <w:p>
            <w:pPr>
              <w:autoSpaceDE/>
              <w:autoSpaceDN/>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表 3-1   </w:t>
            </w:r>
            <w:r>
              <w:rPr>
                <w:rFonts w:hint="default" w:ascii="Times New Roman" w:hAnsi="Times New Roman" w:cs="Times New Roman"/>
                <w:b/>
                <w:bCs/>
                <w:color w:val="auto"/>
                <w:sz w:val="21"/>
                <w:szCs w:val="21"/>
              </w:rPr>
              <w:t>2021</w:t>
            </w:r>
            <w:r>
              <w:rPr>
                <w:rFonts w:ascii="Times New Roman" w:hAnsi="Times New Roman" w:cs="Times New Roman"/>
                <w:b/>
                <w:bCs/>
                <w:color w:val="auto"/>
                <w:sz w:val="21"/>
                <w:szCs w:val="21"/>
              </w:rPr>
              <w:t>年</w:t>
            </w:r>
            <w:r>
              <w:rPr>
                <w:rFonts w:hint="default" w:ascii="Times New Roman" w:hAnsi="Times New Roman" w:cs="Times New Roman"/>
                <w:b/>
                <w:bCs/>
                <w:color w:val="auto"/>
                <w:sz w:val="21"/>
                <w:szCs w:val="21"/>
              </w:rPr>
              <w:t>遂宁市城区环境空气质量主要污染物浓度一览</w:t>
            </w:r>
            <w:r>
              <w:rPr>
                <w:rFonts w:ascii="Times New Roman" w:hAnsi="Times New Roman" w:cs="Times New Roman"/>
                <w:b/>
                <w:bCs/>
                <w:color w:val="auto"/>
                <w:sz w:val="21"/>
                <w:szCs w:val="21"/>
              </w:rPr>
              <w:t>表</w:t>
            </w:r>
          </w:p>
          <w:tbl>
            <w:tblPr>
              <w:tblStyle w:val="24"/>
              <w:tblW w:w="8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63"/>
              <w:gridCol w:w="863"/>
              <w:gridCol w:w="915"/>
              <w:gridCol w:w="904"/>
              <w:gridCol w:w="840"/>
              <w:gridCol w:w="990"/>
              <w:gridCol w:w="1035"/>
              <w:gridCol w:w="945"/>
              <w:gridCol w:w="771"/>
              <w:gridCol w:w="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3" w:hRule="atLeast"/>
                <w:jc w:val="center"/>
              </w:trPr>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b/>
                      <w:color w:val="auto"/>
                      <w:sz w:val="21"/>
                      <w:szCs w:val="21"/>
                      <w:lang w:bidi="ar"/>
                    </w:rPr>
                    <w:t>各县（市、区）、市直园区</w:t>
                  </w:r>
                </w:p>
              </w:tc>
              <w:tc>
                <w:tcPr>
                  <w:tcW w:w="863"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b/>
                      <w:color w:val="auto"/>
                      <w:sz w:val="21"/>
                      <w:szCs w:val="21"/>
                      <w:lang w:bidi="ar"/>
                    </w:rPr>
                    <w:t>点位</w:t>
                  </w:r>
                </w:p>
              </w:tc>
              <w:tc>
                <w:tcPr>
                  <w:tcW w:w="915"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r>
                    <w:rPr>
                      <w:rFonts w:hint="default" w:ascii="Times New Roman" w:hAnsi="Times New Roman" w:cs="Times New Roman"/>
                      <w:b/>
                      <w:color w:val="auto"/>
                      <w:sz w:val="21"/>
                      <w:szCs w:val="21"/>
                      <w:lang w:bidi="ar"/>
                    </w:rPr>
                    <w:t>季均浓度(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904"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2</w:t>
                  </w:r>
                  <w:r>
                    <w:rPr>
                      <w:rFonts w:hint="default" w:ascii="Times New Roman" w:hAnsi="Times New Roman" w:cs="Times New Roman"/>
                      <w:b/>
                      <w:color w:val="auto"/>
                      <w:sz w:val="21"/>
                      <w:szCs w:val="21"/>
                      <w:lang w:bidi="ar"/>
                    </w:rPr>
                    <w:t>季均浓度(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840"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10</w:t>
                  </w:r>
                  <w:r>
                    <w:rPr>
                      <w:rFonts w:hint="default" w:ascii="Times New Roman" w:hAnsi="Times New Roman" w:cs="Times New Roman"/>
                      <w:b/>
                      <w:color w:val="auto"/>
                      <w:sz w:val="21"/>
                      <w:szCs w:val="21"/>
                      <w:lang w:bidi="ar"/>
                    </w:rPr>
                    <w:t>季均浓度(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990"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PM</w:t>
                  </w:r>
                  <w:r>
                    <w:rPr>
                      <w:rFonts w:ascii="Times New Roman" w:hAnsi="Times New Roman" w:cs="Times New Roman"/>
                      <w:color w:val="auto"/>
                      <w:sz w:val="21"/>
                      <w:szCs w:val="21"/>
                      <w:vertAlign w:val="subscript"/>
                    </w:rPr>
                    <w:t>2.5</w:t>
                  </w:r>
                  <w:r>
                    <w:rPr>
                      <w:rFonts w:hint="default" w:ascii="Times New Roman" w:hAnsi="Times New Roman" w:cs="Times New Roman"/>
                      <w:b/>
                      <w:color w:val="auto"/>
                      <w:sz w:val="21"/>
                      <w:szCs w:val="21"/>
                      <w:lang w:bidi="ar"/>
                    </w:rPr>
                    <w:t>季均浓度(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1035"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CO</w:t>
                  </w:r>
                  <w:r>
                    <w:rPr>
                      <w:rFonts w:hint="default" w:ascii="Times New Roman" w:hAnsi="Times New Roman" w:cs="Times New Roman"/>
                      <w:b/>
                      <w:color w:val="auto"/>
                      <w:sz w:val="21"/>
                      <w:szCs w:val="21"/>
                      <w:lang w:bidi="ar"/>
                    </w:rPr>
                    <w:t>季均浓度(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945"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ascii="Times New Roman" w:hAnsi="Times New Roman" w:cs="Times New Roman"/>
                      <w:color w:val="auto"/>
                      <w:sz w:val="21"/>
                      <w:szCs w:val="21"/>
                    </w:rPr>
                    <w:t>O</w:t>
                  </w:r>
                  <w:r>
                    <w:rPr>
                      <w:rFonts w:ascii="Times New Roman" w:hAnsi="Times New Roman" w:cs="Times New Roman"/>
                      <w:color w:val="auto"/>
                      <w:sz w:val="21"/>
                      <w:szCs w:val="21"/>
                      <w:vertAlign w:val="subscript"/>
                    </w:rPr>
                    <w:t>3</w:t>
                  </w:r>
                  <w:r>
                    <w:rPr>
                      <w:rFonts w:hint="default" w:ascii="Times New Roman" w:hAnsi="Times New Roman" w:cs="Times New Roman"/>
                      <w:b/>
                      <w:color w:val="auto"/>
                      <w:sz w:val="21"/>
                      <w:szCs w:val="21"/>
                      <w:lang w:bidi="ar"/>
                    </w:rPr>
                    <w:t>季</w:t>
                  </w:r>
                </w:p>
                <w:p>
                  <w:pPr>
                    <w:autoSpaceDE/>
                    <w:autoSpaceDN/>
                    <w:jc w:val="center"/>
                    <w:rPr>
                      <w:rFonts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均浓度(</w:t>
                  </w:r>
                  <w:r>
                    <w:rPr>
                      <w:rFonts w:ascii="Times New Roman" w:hAnsi="Times New Roman" w:eastAsia="Times New Roman" w:cs="Times New Roman"/>
                      <w:color w:val="auto"/>
                      <w:sz w:val="21"/>
                      <w:szCs w:val="21"/>
                    </w:rPr>
                    <w:t>μg/m</w:t>
                  </w:r>
                  <w:r>
                    <w:rPr>
                      <w:rFonts w:ascii="Times New Roman" w:hAnsi="Times New Roman" w:eastAsia="Times New Roman" w:cs="Times New Roman"/>
                      <w:color w:val="auto"/>
                      <w:sz w:val="21"/>
                      <w:szCs w:val="21"/>
                      <w:vertAlign w:val="superscript"/>
                    </w:rPr>
                    <w:t>3</w:t>
                  </w:r>
                  <w:r>
                    <w:rPr>
                      <w:rFonts w:hint="default" w:ascii="Times New Roman" w:hAnsi="Times New Roman" w:cs="Times New Roman"/>
                      <w:b/>
                      <w:color w:val="auto"/>
                      <w:sz w:val="21"/>
                      <w:szCs w:val="21"/>
                      <w:lang w:bidi="ar"/>
                    </w:rPr>
                    <w:t>)</w:t>
                  </w:r>
                </w:p>
              </w:tc>
              <w:tc>
                <w:tcPr>
                  <w:tcW w:w="771" w:type="dxa"/>
                  <w:tcBorders>
                    <w:tl2br w:val="nil"/>
                    <w:tr2bl w:val="nil"/>
                  </w:tcBorders>
                  <w:noWrap/>
                  <w:vAlign w:val="center"/>
                </w:tcPr>
                <w:p>
                  <w:pPr>
                    <w:autoSpaceDE/>
                    <w:autoSpaceDN/>
                    <w:jc w:val="center"/>
                    <w:rPr>
                      <w:rFonts w:ascii="Times New Roman" w:hAnsi="Times New Roman" w:cs="Times New Roman"/>
                      <w:b/>
                      <w:color w:val="auto"/>
                      <w:sz w:val="21"/>
                      <w:szCs w:val="21"/>
                      <w:lang w:bidi="ar"/>
                    </w:rPr>
                  </w:pPr>
                  <w:r>
                    <w:rPr>
                      <w:rFonts w:hint="default" w:ascii="Times New Roman" w:hAnsi="Times New Roman" w:cs="Times New Roman"/>
                      <w:b/>
                      <w:color w:val="auto"/>
                      <w:sz w:val="21"/>
                      <w:szCs w:val="21"/>
                      <w:lang w:bidi="ar"/>
                    </w:rPr>
                    <w:t>环境空气质量综合指数</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b/>
                      <w:color w:val="auto"/>
                      <w:sz w:val="21"/>
                      <w:szCs w:val="21"/>
                      <w:lang w:bidi="ar"/>
                    </w:rPr>
                  </w:pPr>
                  <w:r>
                    <w:rPr>
                      <w:rFonts w:hint="default" w:ascii="Times New Roman" w:hAnsi="Times New Roman" w:cs="Times New Roman"/>
                      <w:b/>
                      <w:color w:val="auto"/>
                      <w:sz w:val="21"/>
                      <w:szCs w:val="21"/>
                      <w:lang w:bidi="ar"/>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8" w:hRule="atLeast"/>
                <w:jc w:val="center"/>
              </w:trPr>
              <w:tc>
                <w:tcPr>
                  <w:tcW w:w="863" w:type="dxa"/>
                  <w:vMerge w:val="restart"/>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遂宁经开区</w:t>
                  </w:r>
                </w:p>
              </w:tc>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市监</w:t>
                  </w:r>
                </w:p>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测站</w:t>
                  </w:r>
                </w:p>
              </w:tc>
              <w:tc>
                <w:tcPr>
                  <w:tcW w:w="91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904"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20.7</w:t>
                  </w:r>
                </w:p>
              </w:tc>
              <w:tc>
                <w:tcPr>
                  <w:tcW w:w="84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49.5</w:t>
                  </w:r>
                </w:p>
              </w:tc>
              <w:tc>
                <w:tcPr>
                  <w:tcW w:w="99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29.7</w:t>
                  </w:r>
                </w:p>
              </w:tc>
              <w:tc>
                <w:tcPr>
                  <w:tcW w:w="103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94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121</w:t>
                  </w:r>
                </w:p>
              </w:tc>
              <w:tc>
                <w:tcPr>
                  <w:tcW w:w="771"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3.21</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color w:val="auto"/>
                      <w:sz w:val="21"/>
                      <w:szCs w:val="21"/>
                      <w:lang w:bidi="ar"/>
                    </w:rPr>
                  </w:pPr>
                  <w:r>
                    <w:rPr>
                      <w:rFonts w:hint="default" w:ascii="Times New Roman" w:hAnsi="Times New Roman" w:cs="Times New Roman"/>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3" w:type="dxa"/>
                  <w:vMerge w:val="continue"/>
                  <w:tcBorders>
                    <w:tl2br w:val="nil"/>
                    <w:tr2bl w:val="nil"/>
                  </w:tcBorders>
                  <w:noWrap/>
                  <w:vAlign w:val="center"/>
                </w:tcPr>
                <w:p>
                  <w:pPr>
                    <w:autoSpaceDE/>
                    <w:autoSpaceDN/>
                    <w:jc w:val="center"/>
                    <w:rPr>
                      <w:rFonts w:ascii="Times New Roman" w:hAnsi="Times New Roman" w:cs="Times New Roman"/>
                      <w:color w:val="auto"/>
                      <w:sz w:val="21"/>
                      <w:szCs w:val="21"/>
                    </w:rPr>
                  </w:pPr>
                </w:p>
              </w:tc>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美宁食</w:t>
                  </w:r>
                </w:p>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品公司</w:t>
                  </w:r>
                </w:p>
              </w:tc>
              <w:tc>
                <w:tcPr>
                  <w:tcW w:w="91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904"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22.2</w:t>
                  </w:r>
                </w:p>
              </w:tc>
              <w:tc>
                <w:tcPr>
                  <w:tcW w:w="84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53.3</w:t>
                  </w:r>
                </w:p>
              </w:tc>
              <w:tc>
                <w:tcPr>
                  <w:tcW w:w="99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29.9</w:t>
                  </w:r>
                </w:p>
              </w:tc>
              <w:tc>
                <w:tcPr>
                  <w:tcW w:w="103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94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125.7</w:t>
                  </w:r>
                </w:p>
              </w:tc>
              <w:tc>
                <w:tcPr>
                  <w:tcW w:w="771"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3.32</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color w:val="auto"/>
                      <w:sz w:val="21"/>
                      <w:szCs w:val="21"/>
                      <w:lang w:bidi="ar"/>
                    </w:rPr>
                  </w:pPr>
                  <w:r>
                    <w:rPr>
                      <w:rFonts w:hint="default" w:ascii="Times New Roman" w:hAnsi="Times New Roman" w:cs="Times New Roman"/>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市河东新区</w:t>
                  </w:r>
                </w:p>
              </w:tc>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行政</w:t>
                  </w:r>
                </w:p>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中心</w:t>
                  </w:r>
                </w:p>
              </w:tc>
              <w:tc>
                <w:tcPr>
                  <w:tcW w:w="91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904"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84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44.8</w:t>
                  </w:r>
                </w:p>
              </w:tc>
              <w:tc>
                <w:tcPr>
                  <w:tcW w:w="99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29.5</w:t>
                  </w:r>
                </w:p>
              </w:tc>
              <w:tc>
                <w:tcPr>
                  <w:tcW w:w="103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94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771"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3.08</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color w:val="auto"/>
                      <w:sz w:val="21"/>
                      <w:szCs w:val="21"/>
                      <w:lang w:bidi="ar"/>
                    </w:rPr>
                  </w:pPr>
                  <w:r>
                    <w:rPr>
                      <w:rFonts w:hint="default" w:ascii="Times New Roman" w:hAnsi="Times New Roman" w:cs="Times New Roman"/>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遂宁经开区</w:t>
                  </w:r>
                </w:p>
              </w:tc>
              <w:tc>
                <w:tcPr>
                  <w:tcW w:w="863"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石溪浩</w:t>
                  </w:r>
                </w:p>
              </w:tc>
              <w:tc>
                <w:tcPr>
                  <w:tcW w:w="91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904"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84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55.6</w:t>
                  </w:r>
                </w:p>
              </w:tc>
              <w:tc>
                <w:tcPr>
                  <w:tcW w:w="99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27.4</w:t>
                  </w:r>
                </w:p>
              </w:tc>
              <w:tc>
                <w:tcPr>
                  <w:tcW w:w="103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94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121</w:t>
                  </w:r>
                </w:p>
              </w:tc>
              <w:tc>
                <w:tcPr>
                  <w:tcW w:w="771"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3.20</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color w:val="auto"/>
                      <w:sz w:val="21"/>
                      <w:szCs w:val="21"/>
                      <w:lang w:bidi="ar"/>
                    </w:rPr>
                  </w:pPr>
                  <w:r>
                    <w:rPr>
                      <w:rFonts w:hint="default" w:ascii="Times New Roman" w:hAnsi="Times New Roman" w:cs="Times New Roman"/>
                      <w:color w:val="auto"/>
                      <w:sz w:val="21"/>
                      <w:szCs w:val="21"/>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26" w:type="dxa"/>
                  <w:gridSpan w:val="2"/>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全市</w:t>
                  </w:r>
                </w:p>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平均</w:t>
                  </w:r>
                </w:p>
              </w:tc>
              <w:tc>
                <w:tcPr>
                  <w:tcW w:w="91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8.1</w:t>
                  </w:r>
                </w:p>
              </w:tc>
              <w:tc>
                <w:tcPr>
                  <w:tcW w:w="904"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20.3</w:t>
                  </w:r>
                </w:p>
              </w:tc>
              <w:tc>
                <w:tcPr>
                  <w:tcW w:w="84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49.2</w:t>
                  </w:r>
                </w:p>
              </w:tc>
              <w:tc>
                <w:tcPr>
                  <w:tcW w:w="990"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29.9</w:t>
                  </w:r>
                </w:p>
              </w:tc>
              <w:tc>
                <w:tcPr>
                  <w:tcW w:w="103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945"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125.6</w:t>
                  </w:r>
                </w:p>
              </w:tc>
              <w:tc>
                <w:tcPr>
                  <w:tcW w:w="771" w:type="dxa"/>
                  <w:tcBorders>
                    <w:tl2br w:val="nil"/>
                    <w:tr2bl w:val="nil"/>
                  </w:tcBorders>
                  <w:noWrap/>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3.21</w:t>
                  </w:r>
                </w:p>
              </w:tc>
              <w:tc>
                <w:tcPr>
                  <w:tcW w:w="619" w:type="dxa"/>
                  <w:tcBorders>
                    <w:tl2br w:val="nil"/>
                    <w:tr2bl w:val="nil"/>
                  </w:tcBorders>
                  <w:noWrap/>
                  <w:vAlign w:val="center"/>
                </w:tcPr>
                <w:p>
                  <w:pPr>
                    <w:widowControl/>
                    <w:adjustRightInd w:val="0"/>
                    <w:snapToGrid w:val="0"/>
                    <w:spacing w:line="240" w:lineRule="atLeast"/>
                    <w:jc w:val="center"/>
                    <w:textAlignment w:val="center"/>
                    <w:rPr>
                      <w:rFonts w:ascii="Times New Roman" w:hAnsi="Times New Roman" w:eastAsia="Times New Roman" w:cs="Times New Roman"/>
                      <w:color w:val="auto"/>
                      <w:sz w:val="21"/>
                      <w:szCs w:val="21"/>
                      <w:lang w:bidi="ar"/>
                    </w:rPr>
                  </w:pPr>
                  <w:r>
                    <w:rPr>
                      <w:rFonts w:hint="default" w:ascii="Times New Roman" w:hAnsi="Times New Roman" w:cs="Times New Roman"/>
                      <w:color w:val="auto"/>
                      <w:sz w:val="21"/>
                      <w:szCs w:val="21"/>
                      <w:lang w:bidi="ar"/>
                    </w:rPr>
                    <w:t>是</w:t>
                  </w:r>
                </w:p>
              </w:tc>
            </w:tr>
          </w:tbl>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项目所在区域为蓬溪县，根据遂宁市生态环境局官网发布的《关于2021年遂宁市环境质量公告》可知，项目所在区域PM</w:t>
            </w:r>
            <w:r>
              <w:rPr>
                <w:rFonts w:ascii="Times New Roman" w:hAnsi="Times New Roman" w:cs="Times New Roman"/>
                <w:color w:val="auto"/>
                <w:sz w:val="24"/>
                <w:vertAlign w:val="subscript"/>
              </w:rPr>
              <w:t>2.5</w:t>
            </w:r>
            <w:r>
              <w:rPr>
                <w:rFonts w:ascii="Times New Roman" w:hAnsi="Times New Roman" w:cs="Times New Roman"/>
                <w:color w:val="auto"/>
                <w:sz w:val="24"/>
              </w:rPr>
              <w:t>（细颗粒物）、PM</w:t>
            </w:r>
            <w:r>
              <w:rPr>
                <w:rFonts w:ascii="Times New Roman" w:hAnsi="Times New Roman" w:cs="Times New Roman"/>
                <w:color w:val="auto"/>
                <w:sz w:val="24"/>
                <w:vertAlign w:val="subscript"/>
              </w:rPr>
              <w:t>10</w:t>
            </w:r>
            <w:r>
              <w:rPr>
                <w:rFonts w:ascii="Times New Roman" w:hAnsi="Times New Roman" w:cs="Times New Roman"/>
                <w:color w:val="auto"/>
                <w:sz w:val="24"/>
              </w:rPr>
              <w:t>（可吸入颗粒物）、O</w:t>
            </w:r>
            <w:r>
              <w:rPr>
                <w:rFonts w:ascii="Times New Roman" w:hAnsi="Times New Roman" w:cs="Times New Roman"/>
                <w:color w:val="auto"/>
                <w:sz w:val="24"/>
                <w:vertAlign w:val="subscript"/>
              </w:rPr>
              <w:t>3</w:t>
            </w:r>
            <w:r>
              <w:rPr>
                <w:rFonts w:ascii="Times New Roman" w:hAnsi="Times New Roman" w:cs="Times New Roman"/>
                <w:color w:val="auto"/>
                <w:sz w:val="24"/>
              </w:rPr>
              <w:t>（臭氧）、SO</w:t>
            </w:r>
            <w:r>
              <w:rPr>
                <w:rFonts w:ascii="Times New Roman" w:hAnsi="Times New Roman" w:cs="Times New Roman"/>
                <w:color w:val="auto"/>
                <w:sz w:val="24"/>
                <w:vertAlign w:val="subscript"/>
              </w:rPr>
              <w:t>2</w:t>
            </w:r>
            <w:r>
              <w:rPr>
                <w:rFonts w:ascii="Times New Roman" w:hAnsi="Times New Roman" w:cs="Times New Roman"/>
                <w:color w:val="auto"/>
                <w:sz w:val="24"/>
              </w:rPr>
              <w:t>（二氧化硫）、NO</w:t>
            </w:r>
            <w:r>
              <w:rPr>
                <w:rFonts w:ascii="Times New Roman" w:hAnsi="Times New Roman" w:cs="Times New Roman"/>
                <w:color w:val="auto"/>
                <w:sz w:val="24"/>
                <w:vertAlign w:val="subscript"/>
              </w:rPr>
              <w:t>2</w:t>
            </w:r>
            <w:r>
              <w:rPr>
                <w:rFonts w:ascii="Times New Roman" w:hAnsi="Times New Roman" w:cs="Times New Roman"/>
                <w:color w:val="auto"/>
                <w:sz w:val="24"/>
              </w:rPr>
              <w:t>（二氧化氮）、CO（一氧化碳）均满足《环境空气质量标准（GB3095-2012）》二级标准，项目所在区域为达标区。</w:t>
            </w:r>
          </w:p>
          <w:p>
            <w:pPr>
              <w:autoSpaceDE/>
              <w:autoSpaceDN/>
              <w:adjustRightInd w:val="0"/>
              <w:spacing w:line="360" w:lineRule="auto"/>
              <w:ind w:firstLine="482" w:firstLineChars="200"/>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其他污染物现状监测</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本项目的其他污染物为</w:t>
            </w:r>
            <w:r>
              <w:rPr>
                <w:rFonts w:hint="default" w:ascii="Times New Roman" w:hAnsi="Times New Roman" w:cs="Times New Roman"/>
                <w:color w:val="auto"/>
                <w:sz w:val="24"/>
                <w:szCs w:val="24"/>
              </w:rPr>
              <w:t>TSP</w:t>
            </w:r>
            <w:r>
              <w:rPr>
                <w:rFonts w:hint="default" w:ascii="Times New Roman" w:hAnsi="Times New Roman" w:cs="Times New Roman"/>
                <w:color w:val="auto"/>
                <w:sz w:val="24"/>
              </w:rPr>
              <w:t>，本次评价</w:t>
            </w:r>
            <w:r>
              <w:rPr>
                <w:rFonts w:hint="default" w:ascii="Times New Roman" w:hAnsi="Times New Roman" w:cs="Times New Roman"/>
                <w:color w:val="auto"/>
                <w:sz w:val="24"/>
                <w:szCs w:val="24"/>
              </w:rPr>
              <w:t>TSP</w:t>
            </w:r>
            <w:r>
              <w:rPr>
                <w:rFonts w:hint="default" w:ascii="Times New Roman" w:hAnsi="Times New Roman" w:cs="Times New Roman"/>
                <w:color w:val="auto"/>
                <w:sz w:val="24"/>
              </w:rPr>
              <w:t>数据引用四川欧能电缆集团有限公司欧能电缆集团电线电缆生产项目于2021年3月23日-3月25日的监测报告，欧能电缆处于本项目西</w:t>
            </w:r>
            <w:r>
              <w:rPr>
                <w:rFonts w:hint="default" w:ascii="Times New Roman" w:hAnsi="Times New Roman" w:cs="Times New Roman"/>
                <w:color w:val="auto"/>
                <w:sz w:val="24"/>
                <w:lang w:val="en-US" w:eastAsia="zh-CN"/>
              </w:rPr>
              <w:t>北</w:t>
            </w:r>
            <w:r>
              <w:rPr>
                <w:rFonts w:hint="default" w:ascii="Times New Roman" w:hAnsi="Times New Roman" w:cs="Times New Roman"/>
                <w:color w:val="auto"/>
                <w:sz w:val="24"/>
              </w:rPr>
              <w:t>侧约</w:t>
            </w:r>
            <w:r>
              <w:rPr>
                <w:rFonts w:hint="default" w:ascii="Times New Roman" w:hAnsi="Times New Roman" w:cs="Times New Roman"/>
                <w:color w:val="auto"/>
                <w:sz w:val="24"/>
                <w:lang w:val="en-US" w:eastAsia="zh-CN"/>
              </w:rPr>
              <w:t>2.3k</w:t>
            </w:r>
            <w:r>
              <w:rPr>
                <w:rFonts w:hint="default" w:ascii="Times New Roman" w:hAnsi="Times New Roman" w:cs="Times New Roman"/>
                <w:color w:val="auto"/>
                <w:sz w:val="24"/>
              </w:rPr>
              <w:t>m，数据的距离和时效满足《建设项目环境影响报告表编制技术指南（污染影响类）》（试行）的相关要求，监测至今区域污染源未发生较大变化，上述引用数据可以反映本项目区域的环境空气质量现状，引用数据有效。</w:t>
            </w:r>
          </w:p>
          <w:p>
            <w:pPr>
              <w:kinsoku w:val="0"/>
              <w:overflowPunct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（1）监测点位</w:t>
            </w:r>
          </w:p>
          <w:p>
            <w:pPr>
              <w:kinsoku w:val="0"/>
              <w:overflowPunct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lang w:val="en-US" w:eastAsia="zh-CN"/>
              </w:rPr>
              <w:t>欧能电缆集团电线电缆</w:t>
            </w:r>
            <w:r>
              <w:rPr>
                <w:rFonts w:hint="default" w:ascii="Times New Roman" w:hAnsi="Times New Roman" w:cs="Times New Roman"/>
                <w:color w:val="auto"/>
                <w:sz w:val="24"/>
                <w:u w:val="none"/>
              </w:rPr>
              <w:t>生产建设项目所在地西北侧厂界外约</w:t>
            </w:r>
            <w:r>
              <w:rPr>
                <w:rFonts w:hint="default" w:ascii="Times New Roman" w:hAnsi="Times New Roman" w:cs="Times New Roman"/>
                <w:color w:val="auto"/>
                <w:sz w:val="24"/>
                <w:u w:val="none"/>
                <w:lang w:val="en-US" w:eastAsia="zh-CN"/>
              </w:rPr>
              <w:t>2.3</w:t>
            </w:r>
            <w:r>
              <w:rPr>
                <w:rFonts w:hint="default" w:ascii="Times New Roman" w:hAnsi="Times New Roman" w:cs="Times New Roman"/>
                <w:color w:val="auto"/>
                <w:sz w:val="24"/>
                <w:u w:val="none"/>
              </w:rPr>
              <w:t>km处。</w:t>
            </w:r>
          </w:p>
          <w:p>
            <w:pPr>
              <w:kinsoku w:val="0"/>
              <w:overflowPunct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cs="Times New Roman"/>
                <w:color w:val="auto"/>
                <w:sz w:val="24"/>
                <w:u w:val="none"/>
              </w:rPr>
              <w:t>（2）监测因子：T</w:t>
            </w:r>
            <w:r>
              <w:rPr>
                <w:rFonts w:hint="default" w:ascii="Times New Roman" w:hAnsi="Times New Roman" w:cs="Times New Roman"/>
                <w:color w:val="auto"/>
                <w:sz w:val="24"/>
                <w:u w:val="none"/>
                <w:lang w:val="en-US" w:eastAsia="zh-CN"/>
              </w:rPr>
              <w:t>SP</w:t>
            </w:r>
          </w:p>
          <w:p>
            <w:pPr>
              <w:kinsoku w:val="0"/>
              <w:overflowPunct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（3）采样时间及监测频率</w:t>
            </w:r>
          </w:p>
          <w:p>
            <w:pPr>
              <w:kinsoku w:val="0"/>
              <w:overflowPunct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T</w:t>
            </w:r>
            <w:r>
              <w:rPr>
                <w:rFonts w:hint="default" w:ascii="Times New Roman" w:hAnsi="Times New Roman" w:cs="Times New Roman"/>
                <w:color w:val="auto"/>
                <w:sz w:val="24"/>
                <w:u w:val="none"/>
                <w:lang w:val="en-US" w:eastAsia="zh-CN"/>
              </w:rPr>
              <w:t>SP</w:t>
            </w:r>
            <w:r>
              <w:rPr>
                <w:rFonts w:hint="default" w:ascii="Times New Roman" w:hAnsi="Times New Roman" w:cs="Times New Roman"/>
                <w:color w:val="auto"/>
                <w:sz w:val="24"/>
                <w:u w:val="none"/>
              </w:rPr>
              <w:t>于</w:t>
            </w:r>
            <w:r>
              <w:rPr>
                <w:rFonts w:hint="default" w:ascii="Times New Roman" w:hAnsi="Times New Roman" w:cs="Times New Roman"/>
                <w:color w:val="auto"/>
                <w:sz w:val="24"/>
              </w:rPr>
              <w:t>2021年3月23日-3月25日</w:t>
            </w:r>
            <w:r>
              <w:rPr>
                <w:rFonts w:hint="default" w:ascii="Times New Roman" w:hAnsi="Times New Roman" w:cs="Times New Roman"/>
                <w:color w:val="auto"/>
                <w:sz w:val="24"/>
                <w:u w:val="none"/>
              </w:rPr>
              <w:t>连续监测</w:t>
            </w:r>
            <w:r>
              <w:rPr>
                <w:rFonts w:hint="default" w:ascii="Times New Roman" w:hAnsi="Times New Roman" w:cs="Times New Roman"/>
                <w:color w:val="auto"/>
                <w:sz w:val="24"/>
                <w:u w:val="none"/>
                <w:lang w:val="en-US" w:eastAsia="zh-CN"/>
              </w:rPr>
              <w:t>3</w:t>
            </w:r>
            <w:r>
              <w:rPr>
                <w:rFonts w:hint="default" w:ascii="Times New Roman" w:hAnsi="Times New Roman" w:cs="Times New Roman"/>
                <w:color w:val="auto"/>
                <w:sz w:val="24"/>
                <w:u w:val="none"/>
              </w:rPr>
              <w:t>天，T</w:t>
            </w:r>
            <w:r>
              <w:rPr>
                <w:rFonts w:hint="default" w:ascii="Times New Roman" w:hAnsi="Times New Roman" w:cs="Times New Roman"/>
                <w:color w:val="auto"/>
                <w:sz w:val="24"/>
                <w:u w:val="none"/>
                <w:lang w:val="en-US" w:eastAsia="zh-CN"/>
              </w:rPr>
              <w:t>SP</w:t>
            </w:r>
            <w:r>
              <w:rPr>
                <w:rFonts w:hint="default" w:ascii="Times New Roman" w:hAnsi="Times New Roman" w:cs="Times New Roman"/>
                <w:color w:val="auto"/>
                <w:sz w:val="24"/>
                <w:u w:val="none"/>
              </w:rPr>
              <w:t>监测</w:t>
            </w:r>
            <w:r>
              <w:rPr>
                <w:rFonts w:hint="default" w:ascii="Times New Roman" w:hAnsi="Times New Roman" w:cs="Times New Roman"/>
                <w:color w:val="auto"/>
                <w:sz w:val="24"/>
                <w:u w:val="none"/>
                <w:lang w:val="en-US" w:eastAsia="zh-CN"/>
              </w:rPr>
              <w:t>24</w:t>
            </w:r>
            <w:r>
              <w:rPr>
                <w:rFonts w:hint="default" w:ascii="Times New Roman" w:hAnsi="Times New Roman" w:cs="Times New Roman"/>
                <w:color w:val="auto"/>
                <w:sz w:val="24"/>
                <w:u w:val="none"/>
              </w:rPr>
              <w:t>小时值。</w:t>
            </w:r>
          </w:p>
          <w:p>
            <w:pPr>
              <w:kinsoku w:val="0"/>
              <w:overflowPunct w:val="0"/>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（4）监测结果</w:t>
            </w:r>
          </w:p>
          <w:p>
            <w:pPr>
              <w:spacing w:line="360" w:lineRule="auto"/>
              <w:ind w:firstLine="482"/>
              <w:rPr>
                <w:rFonts w:ascii="Times New Roman" w:hAnsi="Times New Roman" w:cs="Times New Roman"/>
                <w:b/>
                <w:bCs/>
                <w:color w:val="auto"/>
                <w:sz w:val="24"/>
              </w:rPr>
            </w:pPr>
            <w:r>
              <w:rPr>
                <w:rFonts w:ascii="Times New Roman" w:hAnsi="Times New Roman" w:cs="Times New Roman"/>
                <w:color w:val="auto"/>
                <w:sz w:val="24"/>
              </w:rPr>
              <w:t>监测结果见</w:t>
            </w:r>
            <w:r>
              <w:rPr>
                <w:rFonts w:hint="default" w:ascii="Times New Roman" w:hAnsi="Times New Roman" w:cs="Times New Roman"/>
                <w:color w:val="auto"/>
                <w:sz w:val="24"/>
              </w:rPr>
              <w:t>下</w:t>
            </w:r>
            <w:r>
              <w:rPr>
                <w:rFonts w:ascii="Times New Roman" w:hAnsi="Times New Roman" w:cs="Times New Roman"/>
                <w:color w:val="auto"/>
                <w:sz w:val="24"/>
              </w:rPr>
              <w:t>表</w:t>
            </w:r>
            <w:r>
              <w:rPr>
                <w:rFonts w:hint="default" w:ascii="Times New Roman" w:hAnsi="Times New Roman" w:cs="Times New Roman"/>
                <w:color w:val="auto"/>
                <w:sz w:val="24"/>
              </w:rPr>
              <w:t>：</w:t>
            </w:r>
          </w:p>
          <w:p>
            <w:pPr>
              <w:autoSpaceDE/>
              <w:autoSpaceDN/>
              <w:jc w:val="center"/>
              <w:rPr>
                <w:rFonts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ascii="Times New Roman" w:hAnsi="Times New Roman" w:eastAsia="宋体" w:cs="Times New Roman"/>
                <w:b/>
                <w:bCs/>
                <w:color w:val="auto"/>
                <w:sz w:val="21"/>
                <w:szCs w:val="21"/>
              </w:rPr>
              <w:t>2</w:t>
            </w:r>
            <w:r>
              <w:rPr>
                <w:rFonts w:hint="default" w:ascii="Times New Roman" w:hAnsi="Times New Roman" w:eastAsia="宋体" w:cs="Times New Roman"/>
                <w:b/>
                <w:bCs/>
                <w:color w:val="auto"/>
                <w:sz w:val="21"/>
                <w:szCs w:val="21"/>
              </w:rPr>
              <w:t xml:space="preserve">  环境空气监测结果表</w:t>
            </w:r>
          </w:p>
          <w:tbl>
            <w:tblPr>
              <w:tblStyle w:val="24"/>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6"/>
              <w:gridCol w:w="2778"/>
              <w:gridCol w:w="2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2506" w:type="dxa"/>
                  <w:vMerge w:val="restart"/>
                  <w:tcBorders>
                    <w:bottom w:val="single" w:color="auto" w:sz="4" w:space="0"/>
                    <w:right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检测日期</w:t>
                  </w:r>
                </w:p>
              </w:tc>
              <w:tc>
                <w:tcPr>
                  <w:tcW w:w="2778" w:type="dxa"/>
                  <w:vMerge w:val="restart"/>
                  <w:tcBorders>
                    <w:left w:val="single" w:color="auto" w:sz="4" w:space="0"/>
                    <w:bottom w:val="single" w:color="auto" w:sz="4" w:space="0"/>
                    <w:right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检测点位</w:t>
                  </w:r>
                </w:p>
              </w:tc>
              <w:tc>
                <w:tcPr>
                  <w:tcW w:w="2962" w:type="dxa"/>
                  <w:vMerge w:val="restart"/>
                  <w:tcBorders>
                    <w:left w:val="single" w:color="auto" w:sz="4" w:space="0"/>
                    <w:bottom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检测值（mg/m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06" w:type="dxa"/>
                  <w:vMerge w:val="continue"/>
                  <w:tcBorders>
                    <w:top w:val="single" w:color="auto" w:sz="4" w:space="0"/>
                    <w:bottom w:val="single" w:color="auto" w:sz="4" w:space="0"/>
                    <w:right w:val="single" w:color="auto" w:sz="4" w:space="0"/>
                  </w:tcBorders>
                  <w:vAlign w:val="center"/>
                </w:tcPr>
                <w:p>
                  <w:pPr>
                    <w:widowControl/>
                    <w:spacing w:beforeAutospacing="1" w:afterAutospacing="1"/>
                    <w:jc w:val="left"/>
                    <w:rPr>
                      <w:rFonts w:hint="default" w:ascii="Times New Roman" w:hAnsi="Times New Roman" w:cs="Times New Roman"/>
                      <w:color w:val="auto"/>
                      <w:kern w:val="0"/>
                      <w:szCs w:val="21"/>
                    </w:rPr>
                  </w:pPr>
                </w:p>
              </w:tc>
              <w:tc>
                <w:tcPr>
                  <w:tcW w:w="2778"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Autospacing="1" w:afterAutospacing="1"/>
                    <w:jc w:val="left"/>
                    <w:rPr>
                      <w:rFonts w:hint="default" w:ascii="Times New Roman" w:hAnsi="Times New Roman" w:cs="Times New Roman"/>
                      <w:color w:val="auto"/>
                      <w:kern w:val="0"/>
                      <w:szCs w:val="21"/>
                    </w:rPr>
                  </w:pPr>
                </w:p>
              </w:tc>
              <w:tc>
                <w:tcPr>
                  <w:tcW w:w="2962" w:type="dxa"/>
                  <w:vMerge w:val="continue"/>
                  <w:tcBorders>
                    <w:top w:val="single" w:color="auto" w:sz="4" w:space="0"/>
                    <w:left w:val="single" w:color="auto" w:sz="4" w:space="0"/>
                    <w:bottom w:val="single" w:color="auto" w:sz="4" w:space="0"/>
                  </w:tcBorders>
                  <w:vAlign w:val="center"/>
                </w:tcPr>
                <w:p>
                  <w:pPr>
                    <w:widowControl/>
                    <w:spacing w:beforeAutospacing="1" w:afterAutospacing="1"/>
                    <w:jc w:val="left"/>
                    <w:rPr>
                      <w:rFonts w:hint="default" w:ascii="Times New Roman" w:hAnsi="Times New Roman" w:cs="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506" w:type="dxa"/>
                  <w:tcBorders>
                    <w:top w:val="single" w:color="auto" w:sz="4" w:space="0"/>
                    <w:bottom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2021.3.23</w:t>
                  </w:r>
                </w:p>
              </w:tc>
              <w:tc>
                <w:tcPr>
                  <w:tcW w:w="2778" w:type="dxa"/>
                  <w:vMerge w:val="restart"/>
                  <w:tcBorders>
                    <w:top w:val="nil"/>
                    <w:left w:val="single" w:color="auto" w:sz="4" w:space="0"/>
                    <w:bottom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1#</w:t>
                  </w:r>
                  <w:r>
                    <w:rPr>
                      <w:rFonts w:hint="default" w:ascii="Times New Roman" w:hAnsi="Times New Roman" w:cs="Times New Roman"/>
                      <w:color w:val="auto"/>
                      <w:kern w:val="0"/>
                      <w:szCs w:val="21"/>
                      <w:lang w:val="en-US" w:eastAsia="zh-CN"/>
                    </w:rPr>
                    <w:t>项目下风向处</w:t>
                  </w:r>
                </w:p>
              </w:tc>
              <w:tc>
                <w:tcPr>
                  <w:tcW w:w="2962" w:type="dxa"/>
                  <w:tcBorders>
                    <w:top w:val="single" w:color="auto" w:sz="4" w:space="0"/>
                    <w:left w:val="single" w:color="auto" w:sz="4" w:space="0"/>
                    <w:bottom w:val="single" w:color="auto" w:sz="4" w:space="0"/>
                  </w:tcBorders>
                  <w:vAlign w:val="center"/>
                </w:tcPr>
                <w:p>
                  <w:pPr>
                    <w:adjustRightInd w:val="0"/>
                    <w:snapToGrid w:val="0"/>
                    <w:spacing w:line="25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0.0</w:t>
                  </w:r>
                  <w:r>
                    <w:rPr>
                      <w:rFonts w:hint="default" w:ascii="Times New Roman" w:hAnsi="Times New Roman" w:cs="Times New Roman"/>
                      <w:color w:val="auto"/>
                      <w:kern w:val="0"/>
                      <w:szCs w:val="21"/>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2506" w:type="dxa"/>
                  <w:tcBorders>
                    <w:top w:val="single" w:color="auto" w:sz="4" w:space="0"/>
                    <w:bottom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2021.3.24</w:t>
                  </w:r>
                </w:p>
              </w:tc>
              <w:tc>
                <w:tcPr>
                  <w:tcW w:w="2778" w:type="dxa"/>
                  <w:vMerge w:val="continue"/>
                  <w:tcBorders>
                    <w:top w:val="nil"/>
                    <w:left w:val="single" w:color="auto" w:sz="4" w:space="0"/>
                    <w:bottom w:val="single" w:color="auto" w:sz="4" w:space="0"/>
                    <w:right w:val="single" w:color="auto" w:sz="4" w:space="0"/>
                  </w:tcBorders>
                  <w:vAlign w:val="center"/>
                </w:tcPr>
                <w:p>
                  <w:pPr>
                    <w:widowControl/>
                    <w:spacing w:beforeAutospacing="1" w:afterAutospacing="1"/>
                    <w:jc w:val="left"/>
                    <w:rPr>
                      <w:rFonts w:hint="default" w:ascii="Times New Roman" w:hAnsi="Times New Roman" w:cs="Times New Roman"/>
                      <w:color w:val="auto"/>
                      <w:kern w:val="0"/>
                      <w:szCs w:val="21"/>
                    </w:rPr>
                  </w:pPr>
                </w:p>
              </w:tc>
              <w:tc>
                <w:tcPr>
                  <w:tcW w:w="2962" w:type="dxa"/>
                  <w:tcBorders>
                    <w:top w:val="single" w:color="auto" w:sz="4" w:space="0"/>
                    <w:left w:val="single" w:color="auto" w:sz="4" w:space="0"/>
                    <w:bottom w:val="single" w:color="auto" w:sz="4" w:space="0"/>
                  </w:tcBorders>
                  <w:vAlign w:val="center"/>
                </w:tcPr>
                <w:p>
                  <w:pPr>
                    <w:adjustRightInd w:val="0"/>
                    <w:snapToGrid w:val="0"/>
                    <w:spacing w:line="25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0.0</w:t>
                  </w:r>
                  <w:r>
                    <w:rPr>
                      <w:rFonts w:hint="default" w:ascii="Times New Roman" w:hAnsi="Times New Roman" w:cs="Times New Roman"/>
                      <w:color w:val="auto"/>
                      <w:kern w:val="0"/>
                      <w:szCs w:val="21"/>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2506" w:type="dxa"/>
                  <w:tcBorders>
                    <w:top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2021.3.25</w:t>
                  </w:r>
                </w:p>
              </w:tc>
              <w:tc>
                <w:tcPr>
                  <w:tcW w:w="2778" w:type="dxa"/>
                  <w:vMerge w:val="continue"/>
                  <w:tcBorders>
                    <w:top w:val="nil"/>
                    <w:left w:val="single" w:color="auto" w:sz="4" w:space="0"/>
                    <w:right w:val="single" w:color="auto" w:sz="4" w:space="0"/>
                  </w:tcBorders>
                  <w:vAlign w:val="center"/>
                </w:tcPr>
                <w:p>
                  <w:pPr>
                    <w:widowControl/>
                    <w:spacing w:beforeAutospacing="1" w:afterAutospacing="1"/>
                    <w:jc w:val="left"/>
                    <w:rPr>
                      <w:rFonts w:hint="default" w:ascii="Times New Roman" w:hAnsi="Times New Roman" w:cs="Times New Roman"/>
                      <w:color w:val="auto"/>
                      <w:kern w:val="0"/>
                      <w:szCs w:val="21"/>
                    </w:rPr>
                  </w:pPr>
                </w:p>
              </w:tc>
              <w:tc>
                <w:tcPr>
                  <w:tcW w:w="2962" w:type="dxa"/>
                  <w:tcBorders>
                    <w:top w:val="single" w:color="auto" w:sz="4" w:space="0"/>
                    <w:left w:val="single" w:color="auto" w:sz="4" w:space="0"/>
                  </w:tcBorders>
                  <w:vAlign w:val="center"/>
                </w:tcPr>
                <w:p>
                  <w:pPr>
                    <w:adjustRightInd w:val="0"/>
                    <w:snapToGrid w:val="0"/>
                    <w:spacing w:line="25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0.0</w:t>
                  </w:r>
                  <w:r>
                    <w:rPr>
                      <w:rFonts w:hint="default" w:ascii="Times New Roman" w:hAnsi="Times New Roman" w:cs="Times New Roman"/>
                      <w:color w:val="auto"/>
                      <w:kern w:val="0"/>
                      <w:szCs w:val="21"/>
                      <w:lang w:val="en-US" w:eastAsia="zh-CN"/>
                    </w:rPr>
                    <w:t>75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rPr>
            </w:pPr>
            <w:r>
              <w:rPr>
                <w:rFonts w:hint="default" w:ascii="Times New Roman" w:hAnsi="Times New Roman" w:cs="Times New Roman"/>
                <w:color w:val="auto"/>
                <w:kern w:val="0"/>
                <w:sz w:val="24"/>
                <w:u w:val="none"/>
              </w:rPr>
              <w:t>（5）评价结论</w:t>
            </w:r>
          </w:p>
          <w:p>
            <w:pPr>
              <w:autoSpaceDE/>
              <w:autoSpaceDN/>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表3-3  环境质量现状评价表</w:t>
            </w:r>
          </w:p>
          <w:tbl>
            <w:tblPr>
              <w:tblStyle w:val="24"/>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3223"/>
              <w:gridCol w:w="1436"/>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1383" w:type="dxa"/>
                  <w:tcBorders>
                    <w:bottom w:val="single" w:color="auto" w:sz="4" w:space="0"/>
                    <w:right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污染物名称</w:t>
                  </w:r>
                </w:p>
              </w:tc>
              <w:tc>
                <w:tcPr>
                  <w:tcW w:w="3223" w:type="dxa"/>
                  <w:tcBorders>
                    <w:left w:val="single" w:color="auto" w:sz="4" w:space="0"/>
                    <w:bottom w:val="single" w:color="auto" w:sz="4" w:space="0"/>
                    <w:right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环境质量现状浓度值（mg/m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1436" w:type="dxa"/>
                  <w:tcBorders>
                    <w:left w:val="single" w:color="auto" w:sz="4" w:space="0"/>
                    <w:bottom w:val="single" w:color="auto" w:sz="4" w:space="0"/>
                    <w:right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浓度限值</w:t>
                  </w:r>
                </w:p>
              </w:tc>
              <w:tc>
                <w:tcPr>
                  <w:tcW w:w="2138" w:type="dxa"/>
                  <w:tcBorders>
                    <w:left w:val="single" w:color="auto" w:sz="4" w:space="0"/>
                    <w:bottom w:val="single" w:color="auto" w:sz="4" w:space="0"/>
                  </w:tcBorders>
                  <w:shd w:val="clear" w:color="auto" w:fill="D7D7D7"/>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383" w:type="dxa"/>
                  <w:tcBorders>
                    <w:top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sz w:val="24"/>
                      <w:szCs w:val="24"/>
                    </w:rPr>
                    <w:t>TSP</w:t>
                  </w:r>
                </w:p>
              </w:tc>
              <w:tc>
                <w:tcPr>
                  <w:tcW w:w="3223" w:type="dxa"/>
                  <w:tcBorders>
                    <w:top w:val="single" w:color="auto" w:sz="4" w:space="0"/>
                    <w:left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0.0</w:t>
                  </w:r>
                  <w:r>
                    <w:rPr>
                      <w:rFonts w:hint="default" w:ascii="Times New Roman" w:hAnsi="Times New Roman" w:cs="Times New Roman"/>
                      <w:color w:val="auto"/>
                      <w:kern w:val="0"/>
                      <w:szCs w:val="21"/>
                      <w:lang w:val="en-US" w:eastAsia="zh-CN"/>
                    </w:rPr>
                    <w:t>75</w:t>
                  </w:r>
                  <w:r>
                    <w:rPr>
                      <w:rFonts w:hint="default" w:ascii="Times New Roman" w:hAnsi="Times New Roman" w:cs="Times New Roman"/>
                      <w:color w:val="auto"/>
                      <w:kern w:val="0"/>
                      <w:szCs w:val="21"/>
                    </w:rPr>
                    <w:t>~0.0</w:t>
                  </w:r>
                  <w:r>
                    <w:rPr>
                      <w:rFonts w:hint="default" w:ascii="Times New Roman" w:hAnsi="Times New Roman" w:cs="Times New Roman"/>
                      <w:color w:val="auto"/>
                      <w:kern w:val="0"/>
                      <w:szCs w:val="21"/>
                      <w:lang w:val="en-US" w:eastAsia="zh-CN"/>
                    </w:rPr>
                    <w:t>83</w:t>
                  </w:r>
                </w:p>
              </w:tc>
              <w:tc>
                <w:tcPr>
                  <w:tcW w:w="1436" w:type="dxa"/>
                  <w:tcBorders>
                    <w:top w:val="single" w:color="auto" w:sz="4" w:space="0"/>
                    <w:left w:val="single" w:color="auto" w:sz="4" w:space="0"/>
                    <w:righ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1</w:t>
                  </w:r>
                </w:p>
              </w:tc>
              <w:tc>
                <w:tcPr>
                  <w:tcW w:w="2138" w:type="dxa"/>
                  <w:tcBorders>
                    <w:top w:val="single" w:color="auto" w:sz="4" w:space="0"/>
                    <w:left w:val="single" w:color="auto" w:sz="4" w:space="0"/>
                  </w:tcBorders>
                  <w:vAlign w:val="center"/>
                </w:tcPr>
                <w:p>
                  <w:pPr>
                    <w:adjustRightInd w:val="0"/>
                    <w:snapToGrid w:val="0"/>
                    <w:spacing w:line="25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bl>
          <w:p>
            <w:pPr>
              <w:kinsoku w:val="0"/>
              <w:overflowPunct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rPr>
              <w:t>根据检测结果，项目区域</w:t>
            </w:r>
            <w:r>
              <w:rPr>
                <w:rFonts w:hint="default" w:ascii="Times New Roman" w:hAnsi="Times New Roman" w:cs="Times New Roman"/>
                <w:color w:val="auto"/>
                <w:sz w:val="24"/>
                <w:szCs w:val="24"/>
              </w:rPr>
              <w:t>TSP</w:t>
            </w:r>
            <w:r>
              <w:rPr>
                <w:rFonts w:hint="default" w:ascii="Times New Roman" w:hAnsi="Times New Roman" w:cs="Times New Roman"/>
                <w:color w:val="auto"/>
                <w:sz w:val="24"/>
              </w:rPr>
              <w:t>满足</w:t>
            </w:r>
            <w:r>
              <w:rPr>
                <w:rFonts w:hint="default" w:ascii="Times New Roman" w:hAnsi="Times New Roman" w:eastAsia="宋体" w:cs="Times New Roman"/>
                <w:bCs/>
                <w:color w:val="auto"/>
                <w:sz w:val="24"/>
                <w:szCs w:val="24"/>
              </w:rPr>
              <w:t>《大气污染物综合排放标准》GB16297-1996</w:t>
            </w:r>
            <w:r>
              <w:rPr>
                <w:rFonts w:hint="default" w:ascii="Times New Roman" w:hAnsi="Times New Roman" w:eastAsia="宋体" w:cs="Times New Roman"/>
                <w:bCs/>
                <w:color w:val="auto"/>
                <w:sz w:val="24"/>
                <w:szCs w:val="24"/>
                <w:lang w:val="en-US" w:eastAsia="zh-CN"/>
              </w:rPr>
              <w:t>排放标准</w:t>
            </w:r>
            <w:r>
              <w:rPr>
                <w:rFonts w:hint="default" w:ascii="Times New Roman" w:hAnsi="Times New Roman" w:cs="Times New Roman"/>
                <w:color w:val="auto"/>
                <w:spacing w:val="-2"/>
                <w:sz w:val="24"/>
              </w:rPr>
              <w:t>（</w:t>
            </w:r>
            <w:r>
              <w:rPr>
                <w:rFonts w:hint="default" w:ascii="Times New Roman" w:hAnsi="Times New Roman" w:cs="Times New Roman"/>
                <w:color w:val="auto"/>
                <w:sz w:val="24"/>
                <w:szCs w:val="24"/>
              </w:rPr>
              <w:t>TSP</w:t>
            </w:r>
            <w:r>
              <w:rPr>
                <w:rFonts w:hint="default" w:ascii="Times New Roman" w:hAnsi="Times New Roman" w:cs="Times New Roman"/>
                <w:color w:val="auto"/>
                <w:spacing w:val="-2"/>
                <w:sz w:val="24"/>
              </w:rPr>
              <w:t>排放浓度≤</w:t>
            </w:r>
            <w:r>
              <w:rPr>
                <w:rFonts w:hint="default" w:ascii="Times New Roman" w:hAnsi="Times New Roman" w:cs="Times New Roman"/>
                <w:color w:val="auto"/>
                <w:spacing w:val="-2"/>
                <w:sz w:val="24"/>
                <w:lang w:val="en-US" w:eastAsia="zh-CN"/>
              </w:rPr>
              <w:t>1</w:t>
            </w:r>
            <w:r>
              <w:rPr>
                <w:rFonts w:hint="default" w:ascii="Times New Roman" w:hAnsi="Times New Roman" w:cs="Times New Roman"/>
                <w:color w:val="auto"/>
                <w:spacing w:val="-2"/>
                <w:sz w:val="24"/>
              </w:rPr>
              <w:t>mg/m</w:t>
            </w:r>
            <w:r>
              <w:rPr>
                <w:rFonts w:hint="default" w:ascii="Times New Roman" w:hAnsi="Times New Roman" w:cs="Times New Roman"/>
                <w:color w:val="auto"/>
                <w:spacing w:val="-2"/>
                <w:sz w:val="24"/>
                <w:vertAlign w:val="superscript"/>
              </w:rPr>
              <w:t>3</w:t>
            </w:r>
            <w:r>
              <w:rPr>
                <w:rFonts w:hint="default" w:ascii="Times New Roman" w:hAnsi="Times New Roman" w:cs="Times New Roman"/>
                <w:color w:val="auto"/>
                <w:spacing w:val="-2"/>
                <w:sz w:val="24"/>
              </w:rPr>
              <w:t>）</w:t>
            </w:r>
            <w:r>
              <w:rPr>
                <w:rFonts w:hint="default" w:ascii="Times New Roman" w:hAnsi="Times New Roman" w:cs="Times New Roman"/>
                <w:color w:val="auto"/>
                <w:sz w:val="24"/>
              </w:rPr>
              <w:t>。</w:t>
            </w:r>
          </w:p>
          <w:p>
            <w:pPr>
              <w:autoSpaceDE/>
              <w:autoSpaceDN/>
              <w:snapToGrid w:val="0"/>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二、水环境质量现状</w:t>
            </w:r>
          </w:p>
          <w:p>
            <w:pPr>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rPr>
              <w:t>根据《环境影响评价技术导则 地表水环境》（HJ2.3-2018）：“6.6.3.2 应优先采用国务院生态环境保护主管部门统一发布的水环境状况信息。”本次地表水环境质量引用遂宁市生态环境局官网202</w:t>
            </w:r>
            <w:r>
              <w:rPr>
                <w:rFonts w:hint="default" w:ascii="Times New Roman" w:hAnsi="Times New Roman" w:cs="Times New Roman"/>
                <w:color w:val="auto"/>
                <w:sz w:val="24"/>
              </w:rPr>
              <w:t>2</w:t>
            </w:r>
            <w:r>
              <w:rPr>
                <w:rFonts w:ascii="Times New Roman" w:hAnsi="Times New Roman" w:cs="Times New Roman"/>
                <w:color w:val="auto"/>
                <w:sz w:val="24"/>
              </w:rPr>
              <w:t>年1月1</w:t>
            </w:r>
            <w:r>
              <w:rPr>
                <w:rFonts w:hint="default" w:ascii="Times New Roman" w:hAnsi="Times New Roman" w:cs="Times New Roman"/>
                <w:color w:val="auto"/>
                <w:sz w:val="24"/>
              </w:rPr>
              <w:t>7</w:t>
            </w:r>
            <w:r>
              <w:rPr>
                <w:rFonts w:ascii="Times New Roman" w:hAnsi="Times New Roman" w:cs="Times New Roman"/>
                <w:color w:val="auto"/>
                <w:sz w:val="24"/>
              </w:rPr>
              <w:t>日发布的《202</w:t>
            </w:r>
            <w:r>
              <w:rPr>
                <w:rFonts w:hint="default" w:ascii="Times New Roman" w:hAnsi="Times New Roman" w:cs="Times New Roman"/>
                <w:color w:val="auto"/>
                <w:sz w:val="24"/>
              </w:rPr>
              <w:t>1</w:t>
            </w:r>
            <w:r>
              <w:rPr>
                <w:rFonts w:ascii="Times New Roman" w:hAnsi="Times New Roman" w:cs="Times New Roman"/>
                <w:color w:val="auto"/>
                <w:sz w:val="24"/>
              </w:rPr>
              <w:t>年遂宁市环境质量公告》中的数据来说明当地地表水环境质量现状。</w:t>
            </w:r>
          </w:p>
          <w:p>
            <w:pPr>
              <w:autoSpaceDE/>
              <w:autoSpaceDN/>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color w:val="auto"/>
                <w:sz w:val="24"/>
                <w:szCs w:val="32"/>
              </w:rPr>
              <w:t>本年度，遂宁市9个国、省控地表水监测断面（含2个长江经济带断面和1个趋势科研断面）水环境质量状况、主要污染指标、环比和同比情况见表3-</w:t>
            </w:r>
            <w:r>
              <w:rPr>
                <w:rFonts w:hint="default" w:ascii="Times New Roman" w:hAnsi="Times New Roman" w:cs="Times New Roman"/>
                <w:color w:val="auto"/>
                <w:sz w:val="24"/>
                <w:szCs w:val="32"/>
                <w:lang w:val="en-US" w:eastAsia="zh-CN"/>
              </w:rPr>
              <w:t>4</w:t>
            </w:r>
            <w:r>
              <w:rPr>
                <w:rFonts w:ascii="Times New Roman" w:hAnsi="Times New Roman" w:cs="Times New Roman"/>
                <w:color w:val="auto"/>
                <w:sz w:val="24"/>
                <w:szCs w:val="32"/>
              </w:rPr>
              <w:t>。</w:t>
            </w:r>
          </w:p>
          <w:p>
            <w:pPr>
              <w:widowControl/>
              <w:adjustRightInd w:val="0"/>
              <w:snapToGrid w:val="0"/>
              <w:spacing w:line="240" w:lineRule="atLeast"/>
              <w:jc w:val="center"/>
              <w:textAlignment w:val="center"/>
              <w:rPr>
                <w:rFonts w:ascii="Times New Roman" w:hAnsi="Times New Roman" w:eastAsia="Times New Roman" w:cs="Times New Roman"/>
                <w:b/>
                <w:color w:val="auto"/>
                <w:sz w:val="21"/>
                <w:szCs w:val="21"/>
                <w:lang w:bidi="ar"/>
              </w:rPr>
            </w:pPr>
            <w:r>
              <w:rPr>
                <w:rFonts w:ascii="Times New Roman" w:hAnsi="Times New Roman" w:cs="Times New Roman"/>
                <w:b/>
                <w:color w:val="auto"/>
                <w:sz w:val="21"/>
                <w:szCs w:val="21"/>
                <w:lang w:bidi="ar"/>
              </w:rPr>
              <w:t>表3-</w:t>
            </w:r>
            <w:r>
              <w:rPr>
                <w:rFonts w:hint="default" w:ascii="Times New Roman" w:hAnsi="Times New Roman" w:cs="Times New Roman"/>
                <w:b/>
                <w:color w:val="auto"/>
                <w:sz w:val="21"/>
                <w:szCs w:val="21"/>
                <w:lang w:val="en-US" w:eastAsia="zh-CN" w:bidi="ar"/>
              </w:rPr>
              <w:t>4</w:t>
            </w:r>
            <w:r>
              <w:rPr>
                <w:rFonts w:ascii="Times New Roman" w:hAnsi="Times New Roman" w:cs="Times New Roman"/>
                <w:b/>
                <w:color w:val="auto"/>
                <w:sz w:val="21"/>
                <w:szCs w:val="21"/>
                <w:lang w:bidi="ar"/>
              </w:rPr>
              <w:t xml:space="preserve">  202</w:t>
            </w:r>
            <w:r>
              <w:rPr>
                <w:rFonts w:hint="default" w:ascii="Times New Roman" w:hAnsi="Times New Roman" w:cs="Times New Roman"/>
                <w:b/>
                <w:color w:val="auto"/>
                <w:sz w:val="21"/>
                <w:szCs w:val="21"/>
                <w:lang w:bidi="ar"/>
              </w:rPr>
              <w:t>1</w:t>
            </w:r>
            <w:r>
              <w:rPr>
                <w:rFonts w:ascii="Times New Roman" w:hAnsi="Times New Roman" w:cs="Times New Roman"/>
                <w:b/>
                <w:color w:val="auto"/>
                <w:sz w:val="21"/>
                <w:szCs w:val="21"/>
                <w:lang w:bidi="ar"/>
              </w:rPr>
              <w:t>年遂宁河流水质评价结果表</w:t>
            </w:r>
          </w:p>
          <w:tbl>
            <w:tblPr>
              <w:tblStyle w:val="24"/>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170"/>
              <w:gridCol w:w="1113"/>
              <w:gridCol w:w="747"/>
              <w:gridCol w:w="915"/>
              <w:gridCol w:w="941"/>
              <w:gridCol w:w="1344"/>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1300"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断面名称</w:t>
                  </w:r>
                </w:p>
              </w:tc>
              <w:tc>
                <w:tcPr>
                  <w:tcW w:w="1170"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所在地</w:t>
                  </w:r>
                </w:p>
              </w:tc>
              <w:tc>
                <w:tcPr>
                  <w:tcW w:w="1113"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断面</w:t>
                  </w:r>
                </w:p>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类别</w:t>
                  </w:r>
                </w:p>
              </w:tc>
              <w:tc>
                <w:tcPr>
                  <w:tcW w:w="747"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规定类别</w:t>
                  </w:r>
                </w:p>
              </w:tc>
              <w:tc>
                <w:tcPr>
                  <w:tcW w:w="915"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上年度</w:t>
                  </w:r>
                </w:p>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类别</w:t>
                  </w:r>
                </w:p>
              </w:tc>
              <w:tc>
                <w:tcPr>
                  <w:tcW w:w="941"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cs="Times New Roman"/>
                      <w:b/>
                      <w:bCs/>
                      <w:color w:val="auto"/>
                      <w:sz w:val="21"/>
                      <w:szCs w:val="21"/>
                      <w:lang w:bidi="ar"/>
                    </w:rPr>
                  </w:pPr>
                  <w:r>
                    <w:rPr>
                      <w:rFonts w:ascii="Times New Roman" w:hAnsi="Times New Roman" w:cs="Times New Roman"/>
                      <w:b/>
                      <w:bCs/>
                      <w:color w:val="auto"/>
                      <w:sz w:val="21"/>
                      <w:szCs w:val="21"/>
                      <w:lang w:bidi="ar"/>
                    </w:rPr>
                    <w:t>本年度</w:t>
                  </w:r>
                </w:p>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类别</w:t>
                  </w:r>
                </w:p>
              </w:tc>
              <w:tc>
                <w:tcPr>
                  <w:tcW w:w="1344"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主要污染指标/超标倍数</w:t>
                  </w:r>
                </w:p>
              </w:tc>
              <w:tc>
                <w:tcPr>
                  <w:tcW w:w="1434" w:type="dxa"/>
                  <w:tcBorders>
                    <w:tl2br w:val="nil"/>
                    <w:tr2bl w:val="nil"/>
                  </w:tcBorders>
                  <w:vAlign w:val="center"/>
                </w:tcPr>
                <w:p>
                  <w:pPr>
                    <w:widowControl/>
                    <w:adjustRightInd w:val="0"/>
                    <w:snapToGrid w:val="0"/>
                    <w:spacing w:line="240" w:lineRule="atLeast"/>
                    <w:jc w:val="center"/>
                    <w:textAlignment w:val="center"/>
                    <w:rPr>
                      <w:rFonts w:ascii="Times New Roman" w:hAnsi="Times New Roman" w:eastAsia="Times New Roman" w:cs="Times New Roman"/>
                      <w:b/>
                      <w:bCs/>
                      <w:color w:val="auto"/>
                      <w:sz w:val="21"/>
                      <w:szCs w:val="21"/>
                      <w:lang w:bidi="ar"/>
                    </w:rPr>
                  </w:pPr>
                  <w:r>
                    <w:rPr>
                      <w:rFonts w:ascii="Times New Roman" w:hAnsi="Times New Roman" w:cs="Times New Roman"/>
                      <w:b/>
                      <w:bCs/>
                      <w:color w:val="auto"/>
                      <w:sz w:val="21"/>
                      <w:szCs w:val="21"/>
                      <w:lang w:bidi="ar"/>
                    </w:rPr>
                    <w:t>单独评价指标/超标倍数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红江渡口</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蓬溪县</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玉溪</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重庆潼南</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跑马滩</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安居区</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大安</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安居区</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郪江口</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大英县</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梓江大桥</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射洪市</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白鹤桥</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安居区</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省控（长江经济带）</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Ⅳ</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Ⅳ</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涪山坝</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蓬溪县</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省控（长江经济带）</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Ⅴ</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Ⅳ</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米家桥</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船山区</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省控(趋势科研)</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红江渡口</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蓬溪县</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0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玉溪</w:t>
                  </w:r>
                </w:p>
              </w:tc>
              <w:tc>
                <w:tcPr>
                  <w:tcW w:w="1170"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重庆潼南</w:t>
                  </w:r>
                </w:p>
              </w:tc>
              <w:tc>
                <w:tcPr>
                  <w:tcW w:w="1113"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国控</w:t>
                  </w:r>
                </w:p>
              </w:tc>
              <w:tc>
                <w:tcPr>
                  <w:tcW w:w="747"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Ⅲ</w:t>
                  </w:r>
                </w:p>
              </w:tc>
              <w:tc>
                <w:tcPr>
                  <w:tcW w:w="915"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941" w:type="dxa"/>
                  <w:tcBorders>
                    <w:tl2br w:val="nil"/>
                    <w:tr2bl w:val="nil"/>
                  </w:tcBorders>
                  <w:vAlign w:val="center"/>
                </w:tcPr>
                <w:p>
                  <w:pPr>
                    <w:widowControl/>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Ⅱ</w:t>
                  </w:r>
                </w:p>
              </w:tc>
              <w:tc>
                <w:tcPr>
                  <w:tcW w:w="134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c>
                <w:tcPr>
                  <w:tcW w:w="1434" w:type="dxa"/>
                  <w:tcBorders>
                    <w:tl2br w:val="nil"/>
                    <w:tr2bl w:val="nil"/>
                  </w:tcBorders>
                  <w:vAlign w:val="center"/>
                </w:tcPr>
                <w:p>
                  <w:pPr>
                    <w:pStyle w:val="19"/>
                    <w:spacing w:beforeAutospacing="0" w:afterAutospacing="0"/>
                    <w:jc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64" w:type="dxa"/>
                  <w:gridSpan w:val="8"/>
                  <w:tcBorders>
                    <w:tl2br w:val="nil"/>
                    <w:tr2bl w:val="nil"/>
                  </w:tcBorders>
                  <w:vAlign w:val="center"/>
                </w:tcPr>
                <w:p>
                  <w:pPr>
                    <w:widowControl/>
                    <w:jc w:val="both"/>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注：1. 地表水环境评价执行《地表水环境质量标准》（GB3838-2002）和《地表水环境质量评价办法（试行）》（环办〔2011〕22号）。</w:t>
                  </w:r>
                </w:p>
                <w:p>
                  <w:pPr>
                    <w:widowControl/>
                    <w:jc w:val="both"/>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2. 21项评价指标为：pH、溶解氧、高锰酸盐指数、五日生化需氧量、氨氮、石油类、挥发酚、汞、铅、镉、阴离子表面活性剂、铬（六价）、氟化物、总磷、氰化物、硫化物、砷、化学需氧量、铜、锌、硒。</w:t>
                  </w:r>
                </w:p>
                <w:p>
                  <w:pPr>
                    <w:widowControl/>
                    <w:jc w:val="both"/>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3. 超过Ⅲ类水质标准的指标为断面污染指标，取超标倍数最大的前三项为主要污染指标。</w:t>
                  </w:r>
                </w:p>
                <w:p>
                  <w:pPr>
                    <w:widowControl/>
                    <w:jc w:val="both"/>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4. 红江渡口、玉溪、跑马滩、大安、郪江口和梓江大桥6个国控断面采用国家反馈的采测分离数据（含部分市级监测数据）进行评价</w:t>
                  </w:r>
                  <w:r>
                    <w:rPr>
                      <w:rFonts w:hint="default" w:ascii="Times New Roman" w:hAnsi="Times New Roman" w:cs="Times New Roman"/>
                      <w:color w:val="auto"/>
                      <w:sz w:val="21"/>
                      <w:szCs w:val="21"/>
                      <w:lang w:bidi="ar"/>
                    </w:rPr>
                    <w:t>。</w:t>
                  </w:r>
                </w:p>
              </w:tc>
            </w:tr>
          </w:tbl>
          <w:p>
            <w:pPr>
              <w:spacing w:line="360" w:lineRule="auto"/>
              <w:ind w:firstLine="480" w:firstLineChars="200"/>
              <w:rPr>
                <w:rFonts w:hint="default" w:ascii="Times New Roman" w:hAnsi="Times New Roman" w:eastAsia="宋体" w:cs="Times New Roman"/>
                <w:color w:val="auto"/>
                <w:sz w:val="24"/>
              </w:rPr>
            </w:pPr>
            <w:r>
              <w:rPr>
                <w:rFonts w:ascii="Times New Roman" w:hAnsi="Times New Roman" w:cs="Times New Roman"/>
                <w:color w:val="auto"/>
                <w:sz w:val="24"/>
              </w:rPr>
              <w:t>本项目位于遂宁市蓬溪县上游工业</w:t>
            </w:r>
            <w:r>
              <w:rPr>
                <w:rFonts w:hint="default" w:ascii="Times New Roman" w:hAnsi="Times New Roman" w:cs="Times New Roman"/>
                <w:color w:val="auto"/>
                <w:sz w:val="24"/>
              </w:rPr>
              <w:t>集中发展区</w:t>
            </w:r>
            <w:r>
              <w:rPr>
                <w:rFonts w:ascii="Times New Roman" w:hAnsi="Times New Roman" w:cs="Times New Roman"/>
                <w:color w:val="auto"/>
                <w:sz w:val="24"/>
              </w:rPr>
              <w:t>，附近地表水为芝溪河，最终汇入涪江。附近的水环境控制断面为涪山坝，根据遂宁市生态环境局发布的《202</w:t>
            </w:r>
            <w:r>
              <w:rPr>
                <w:rFonts w:hint="default" w:ascii="Times New Roman" w:hAnsi="Times New Roman" w:cs="Times New Roman"/>
                <w:color w:val="auto"/>
                <w:sz w:val="24"/>
              </w:rPr>
              <w:t>1</w:t>
            </w:r>
            <w:r>
              <w:rPr>
                <w:rFonts w:ascii="Times New Roman" w:hAnsi="Times New Roman" w:cs="Times New Roman"/>
                <w:color w:val="auto"/>
                <w:sz w:val="24"/>
              </w:rPr>
              <w:t>年遂宁市环境质量公告》可知，项目所在区域，202</w:t>
            </w:r>
            <w:r>
              <w:rPr>
                <w:rFonts w:hint="default" w:ascii="Times New Roman" w:hAnsi="Times New Roman" w:cs="Times New Roman"/>
                <w:color w:val="auto"/>
                <w:sz w:val="24"/>
              </w:rPr>
              <w:t>1</w:t>
            </w:r>
            <w:r>
              <w:rPr>
                <w:rFonts w:ascii="Times New Roman" w:hAnsi="Times New Roman" w:cs="Times New Roman"/>
                <w:color w:val="auto"/>
                <w:sz w:val="24"/>
              </w:rPr>
              <w:t>年度水质监测断面水质涪山坝为</w:t>
            </w:r>
            <w:r>
              <w:rPr>
                <w:rFonts w:ascii="Times New Roman" w:hAnsi="Times New Roman" w:cs="Times New Roman"/>
                <w:color w:val="auto"/>
                <w:sz w:val="24"/>
                <w:szCs w:val="24"/>
                <w:lang w:bidi="ar"/>
              </w:rPr>
              <w:t>Ⅳ</w:t>
            </w:r>
            <w:r>
              <w:rPr>
                <w:rFonts w:ascii="Times New Roman" w:hAnsi="Times New Roman" w:cs="Times New Roman"/>
                <w:color w:val="auto"/>
                <w:sz w:val="24"/>
              </w:rPr>
              <w:t>类</w:t>
            </w:r>
            <w:r>
              <w:rPr>
                <w:rStyle w:val="31"/>
                <w:rFonts w:hint="default" w:ascii="Times New Roman" w:hAnsi="Times New Roman" w:cs="Times New Roman"/>
                <w:color w:val="auto"/>
                <w:lang w:eastAsia="zh-CN"/>
              </w:rPr>
              <w:t>，</w:t>
            </w:r>
            <w:r>
              <w:rPr>
                <w:rFonts w:hint="default" w:ascii="Times New Roman" w:hAnsi="Times New Roman" w:cs="Times New Roman"/>
                <w:b w:val="0"/>
                <w:bCs w:val="0"/>
                <w:color w:val="auto"/>
                <w:sz w:val="24"/>
                <w:u w:val="none"/>
              </w:rPr>
              <w:t>不能满足《</w:t>
            </w:r>
            <w:r>
              <w:rPr>
                <w:rFonts w:hint="default" w:ascii="Times New Roman" w:hAnsi="Times New Roman" w:cs="Times New Roman"/>
                <w:color w:val="auto"/>
                <w:sz w:val="24"/>
              </w:rPr>
              <w:t>地表水环境质量标准》(GB3838-2002)</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类水域标准。</w:t>
            </w:r>
            <w:r>
              <w:rPr>
                <w:rFonts w:hint="default" w:ascii="Times New Roman" w:hAnsi="Times New Roman" w:eastAsia="宋体" w:cs="Times New Roman"/>
                <w:color w:val="auto"/>
                <w:sz w:val="24"/>
                <w:lang w:val="en-US" w:eastAsia="zh-CN"/>
              </w:rPr>
              <w:t>监测断面所在区域属于不达标区</w:t>
            </w:r>
            <w:r>
              <w:rPr>
                <w:rFonts w:hint="default" w:ascii="Times New Roman" w:hAnsi="Times New Roman" w:eastAsia="宋体" w:cs="Times New Roman"/>
                <w:color w:val="auto"/>
                <w:sz w:val="24"/>
              </w:rPr>
              <w:t>。</w:t>
            </w:r>
          </w:p>
          <w:p>
            <w:pPr>
              <w:spacing w:line="360" w:lineRule="auto"/>
              <w:ind w:firstLine="482" w:firstLineChars="200"/>
              <w:rPr>
                <w:rFonts w:ascii="Times New Roman" w:hAnsi="Times New Roman" w:eastAsia="仿宋体" w:cs="Times New Roman"/>
                <w:b/>
                <w:bCs/>
                <w:color w:val="auto"/>
                <w:sz w:val="24"/>
              </w:rPr>
            </w:pPr>
            <w:r>
              <w:rPr>
                <w:rFonts w:ascii="Times New Roman" w:hAnsi="Times New Roman" w:eastAsia="仿宋体" w:cs="Times New Roman"/>
                <w:b/>
                <w:bCs/>
                <w:color w:val="auto"/>
                <w:sz w:val="24"/>
              </w:rPr>
              <w:t>2、达标规划</w:t>
            </w:r>
          </w:p>
          <w:p>
            <w:pPr>
              <w:spacing w:line="360" w:lineRule="auto"/>
              <w:ind w:firstLine="480" w:firstLineChars="200"/>
              <w:rPr>
                <w:rFonts w:ascii="Times New Roman" w:hAnsi="Times New Roman" w:eastAsia="仿宋体" w:cs="Times New Roman"/>
                <w:bCs/>
                <w:color w:val="auto"/>
                <w:sz w:val="24"/>
              </w:rPr>
            </w:pPr>
            <w:r>
              <w:rPr>
                <w:rFonts w:ascii="Times New Roman" w:hAnsi="Times New Roman" w:eastAsia="仿宋体" w:cs="Times New Roman"/>
                <w:bCs/>
                <w:color w:val="auto"/>
                <w:sz w:val="24"/>
              </w:rPr>
              <w:t>根据遂宁市人民政府关于印发《涪江流域(遂宁段)水环境治理工作方案(试行)》的通知（遂府函</w:t>
            </w:r>
            <w:r>
              <w:rPr>
                <w:rFonts w:ascii="Times New Roman" w:hAnsi="Times New Roman" w:cs="Times New Roman"/>
                <w:color w:val="auto"/>
                <w:kern w:val="0"/>
                <w:sz w:val="24"/>
              </w:rPr>
              <w:t>〔2017〕</w:t>
            </w:r>
            <w:r>
              <w:rPr>
                <w:rFonts w:ascii="Times New Roman" w:hAnsi="Times New Roman" w:eastAsia="仿宋体" w:cs="Times New Roman"/>
                <w:bCs/>
                <w:color w:val="auto"/>
                <w:sz w:val="24"/>
              </w:rPr>
              <w:t>155号），遂宁市将通过以下措施加强流域综合整治：</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（1）加快实施郪江（大英段）、琼江（安居段）等重点流域水体达标方案和沈水河流域水污染综合治理实施方案。</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（2）加快编制龙洞河、芝溪河、沈水河等重点流域环境保护专项规划，加快推进涪江流域污染综合治理工程。</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（3）加大黑臭水体治理，全面完成明月河、米家河、联盟河和开善河4条市城区小河流及各县（区）黑臭水体整治。</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（4）持续推进城乡污水垃圾处理，强化畜禽养殖污染治理。</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（5）加强水产养殖污染治理，加强农业面源污染治理，加强饮用水源保护，狠抓工业企业污染防治，加强入河排污口整治。</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（6）2018年底前，完成规模以下主要入河排污口标志牌建设，基本实现规模以上入河排污口监测的全覆盖，逐步提高规模以下入河排污口监测比例。</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（7）严格执行饮用水水源保护制度，提升环境监管能力，加大环境审批监管，全面排查涪江流域重点污染企业、重要入河排污口和畜禽养殖点，加强流域管理保护联合执法。</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eastAsia="仿宋体" w:cs="Times New Roman"/>
                <w:bCs/>
                <w:color w:val="auto"/>
                <w:sz w:val="24"/>
              </w:rPr>
              <w:t>涪江流域(遂宁段)质量达标规划如下：</w:t>
            </w:r>
          </w:p>
          <w:p>
            <w:pPr>
              <w:adjustRightInd w:val="0"/>
              <w:snapToGrid w:val="0"/>
              <w:spacing w:line="360" w:lineRule="auto"/>
              <w:ind w:firstLine="482" w:firstLineChars="200"/>
              <w:rPr>
                <w:rFonts w:ascii="Times New Roman" w:hAnsi="Times New Roman" w:cs="Times New Roman"/>
                <w:color w:val="auto"/>
                <w:sz w:val="24"/>
              </w:rPr>
            </w:pPr>
            <w:r>
              <w:rPr>
                <w:rFonts w:ascii="Times New Roman" w:hAnsi="Times New Roman" w:cs="Times New Roman"/>
                <w:b/>
                <w:bCs/>
                <w:color w:val="auto"/>
                <w:sz w:val="24"/>
              </w:rPr>
              <w:t>2030年：</w:t>
            </w:r>
            <w:r>
              <w:rPr>
                <w:rFonts w:ascii="Times New Roman" w:hAnsi="Times New Roman" w:cs="Times New Roman"/>
                <w:color w:val="auto"/>
                <w:sz w:val="24"/>
              </w:rPr>
              <w:t>涪江流域水环境质量总体改善，水生态系统功能初步恢复；到本世纪中叶，涪江流域水生态环境质量全面改善，生态系统实现良性循环。</w:t>
            </w:r>
          </w:p>
          <w:p>
            <w:pPr>
              <w:autoSpaceDE/>
              <w:autoSpaceDN/>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三、声环境质量现状评价</w:t>
            </w:r>
          </w:p>
          <w:p>
            <w:pPr>
              <w:autoSpaceDE/>
              <w:autoSpaceDN/>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本项目位于园区内，周边</w:t>
            </w:r>
            <w:r>
              <w:rPr>
                <w:rFonts w:ascii="Times New Roman" w:hAnsi="Times New Roman" w:cs="Times New Roman"/>
                <w:color w:val="auto"/>
                <w:sz w:val="24"/>
                <w:szCs w:val="32"/>
              </w:rPr>
              <w:t>50m</w:t>
            </w:r>
            <w:r>
              <w:rPr>
                <w:rFonts w:hint="default" w:ascii="Times New Roman" w:hAnsi="Times New Roman" w:cs="Times New Roman"/>
                <w:color w:val="auto"/>
                <w:sz w:val="24"/>
                <w:szCs w:val="32"/>
              </w:rPr>
              <w:t>无声环境保护目标，根据《建设项目环境影响报告编制技术指南》（污染影响类）相关内容，可不对其进行声环境现状的监测。</w:t>
            </w:r>
          </w:p>
          <w:p>
            <w:pPr>
              <w:autoSpaceDE/>
              <w:autoSpaceDN/>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四、地下水环境质量现状</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根据《建设项目环境影响报告表编制技术指南（污染影响类）》（试行），本项目原则上可不开展地下水环境影响评价。</w:t>
            </w:r>
          </w:p>
          <w:p>
            <w:pPr>
              <w:autoSpaceDE/>
              <w:autoSpaceDN/>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五、土壤环境质量现状</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根据《建设项目环境影响报告表编制技术指南（污染影响类）》（试行），本项目原则上可不开展土壤环境现状监测。</w:t>
            </w:r>
          </w:p>
          <w:p>
            <w:pPr>
              <w:autoSpaceDE/>
              <w:autoSpaceDN/>
              <w:spacing w:line="360" w:lineRule="auto"/>
              <w:ind w:firstLine="482" w:firstLineChars="200"/>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六</w:t>
            </w:r>
            <w:r>
              <w:rPr>
                <w:rFonts w:ascii="Times New Roman" w:hAnsi="Times New Roman" w:cs="Times New Roman"/>
                <w:b/>
                <w:bCs/>
                <w:color w:val="auto"/>
                <w:sz w:val="24"/>
                <w:szCs w:val="32"/>
              </w:rPr>
              <w:t>、生态环境</w:t>
            </w:r>
            <w:r>
              <w:rPr>
                <w:rFonts w:hint="default" w:ascii="Times New Roman" w:hAnsi="Times New Roman" w:cs="Times New Roman"/>
                <w:b/>
                <w:bCs/>
                <w:color w:val="auto"/>
                <w:sz w:val="24"/>
                <w:szCs w:val="32"/>
              </w:rPr>
              <w:t>质量现状评价</w:t>
            </w:r>
          </w:p>
          <w:p>
            <w:pPr>
              <w:autoSpaceDE/>
              <w:autoSpaceDN/>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color w:val="auto"/>
                <w:sz w:val="24"/>
                <w:szCs w:val="24"/>
              </w:rPr>
              <w:t>项目</w:t>
            </w:r>
            <w:r>
              <w:rPr>
                <w:rFonts w:hint="default" w:ascii="Times New Roman" w:hAnsi="Times New Roman" w:cs="Times New Roman"/>
                <w:color w:val="auto"/>
                <w:sz w:val="24"/>
                <w:szCs w:val="24"/>
              </w:rPr>
              <w:t>所在区域为工业园区，周边无</w:t>
            </w:r>
            <w:r>
              <w:rPr>
                <w:rFonts w:ascii="Times New Roman" w:hAnsi="Times New Roman" w:cs="Times New Roman"/>
                <w:color w:val="auto"/>
                <w:sz w:val="24"/>
                <w:szCs w:val="24"/>
              </w:rPr>
              <w:t>无需特别保护的名木古树及珍稀植物。项目所在区域水体评价范围内无珍稀水生生物。本项目评价区域内无重点保护目标，无特殊保护的珍稀、濒危动植物及古、大、珍、奇树木，无需特殊保护的文物古迹、风景名胜及自然保护区等生态敏感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环境</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保护</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目标</w:t>
            </w:r>
          </w:p>
        </w:tc>
        <w:tc>
          <w:tcPr>
            <w:tcW w:w="9270" w:type="dxa"/>
            <w:vAlign w:val="center"/>
          </w:tcPr>
          <w:p>
            <w:pPr>
              <w:widowControl/>
              <w:wordWrap/>
              <w:autoSpaceDE/>
              <w:autoSpaceDN/>
              <w:spacing w:line="360" w:lineRule="auto"/>
              <w:ind w:firstLine="0" w:firstLineChars="0"/>
              <w:rPr>
                <w:rFonts w:ascii="Times New Roman" w:hAnsi="Times New Roman" w:cs="Times New Roman"/>
                <w:color w:val="auto"/>
                <w:sz w:val="24"/>
                <w:szCs w:val="24"/>
              </w:rPr>
            </w:pPr>
            <w:r>
              <w:rPr>
                <w:rFonts w:hint="default" w:ascii="Times New Roman" w:hAnsi="Times New Roman" w:cs="Times New Roman"/>
                <w:b/>
                <w:color w:val="auto"/>
                <w:sz w:val="24"/>
                <w:lang w:bidi="ar"/>
              </w:rPr>
              <w:t>一、外环境关系</w:t>
            </w:r>
          </w:p>
          <w:p>
            <w:pPr>
              <w:pStyle w:val="6"/>
              <w:spacing w:line="240" w:lineRule="auto"/>
              <w:ind w:left="0" w:leftChars="0" w:firstLine="0" w:firstLineChars="0"/>
              <w:jc w:val="center"/>
              <w:rPr>
                <w:rFonts w:ascii="Times New Roman" w:hAnsi="Times New Roman" w:cs="Times New Roman"/>
                <w:color w:val="auto"/>
              </w:rPr>
            </w:pPr>
            <w:r>
              <w:rPr>
                <w:rFonts w:hint="default" w:ascii="Times New Roman" w:hAnsi="Times New Roman" w:cs="Times New Roman"/>
                <w:b/>
                <w:bCs/>
                <w:color w:val="auto"/>
                <w:sz w:val="21"/>
                <w:szCs w:val="21"/>
                <w:lang w:val="en-US" w:eastAsia="zh-CN"/>
              </w:rPr>
              <w:t>表3-5 本</w:t>
            </w:r>
            <w:r>
              <w:rPr>
                <w:rFonts w:ascii="Times New Roman" w:hAnsi="Times New Roman" w:eastAsia="宋体" w:cs="Times New Roman"/>
                <w:b/>
                <w:bCs/>
                <w:color w:val="auto"/>
                <w:sz w:val="21"/>
                <w:szCs w:val="21"/>
              </w:rPr>
              <w:t>项目与外环境</w:t>
            </w:r>
            <w:r>
              <w:rPr>
                <w:rFonts w:hint="default" w:ascii="Times New Roman" w:hAnsi="Times New Roman" w:cs="Times New Roman"/>
                <w:b/>
                <w:bCs/>
                <w:color w:val="auto"/>
                <w:sz w:val="21"/>
                <w:szCs w:val="21"/>
                <w:lang w:val="en-US" w:eastAsia="zh-CN"/>
              </w:rPr>
              <w:t>位置关系</w:t>
            </w:r>
            <w:r>
              <w:rPr>
                <w:rFonts w:ascii="Times New Roman" w:hAnsi="Times New Roman" w:eastAsia="宋体" w:cs="Times New Roman"/>
                <w:b/>
                <w:bCs/>
                <w:color w:val="auto"/>
                <w:sz w:val="21"/>
                <w:szCs w:val="21"/>
              </w:rPr>
              <w:t>分析</w:t>
            </w:r>
          </w:p>
          <w:tbl>
            <w:tblPr>
              <w:tblStyle w:val="25"/>
              <w:tblW w:w="89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2"/>
              <w:gridCol w:w="1005"/>
              <w:gridCol w:w="1830"/>
              <w:gridCol w:w="222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2882"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名称</w:t>
                  </w:r>
                </w:p>
              </w:tc>
              <w:tc>
                <w:tcPr>
                  <w:tcW w:w="1005"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方位</w:t>
                  </w:r>
                </w:p>
              </w:tc>
              <w:tc>
                <w:tcPr>
                  <w:tcW w:w="1830"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与车间距离（m）</w:t>
                  </w:r>
                </w:p>
              </w:tc>
              <w:tc>
                <w:tcPr>
                  <w:tcW w:w="2220"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性质/生产性质</w:t>
                  </w:r>
                </w:p>
              </w:tc>
              <w:tc>
                <w:tcPr>
                  <w:tcW w:w="1005" w:type="dxa"/>
                  <w:vAlign w:val="center"/>
                </w:tcPr>
                <w:p>
                  <w:pPr>
                    <w:wordWrap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道路交通事故服务中心</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130</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星辰名车</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130m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销售车辆</w:t>
                  </w:r>
                </w:p>
              </w:tc>
              <w:tc>
                <w:tcPr>
                  <w:tcW w:w="1005" w:type="dxa"/>
                  <w:vAlign w:val="center"/>
                </w:tcPr>
                <w:p>
                  <w:pPr>
                    <w:pStyle w:val="36"/>
                    <w:adjustRightInd/>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4"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遂宁市卓能科技有限公司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东面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262</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shd w:val="clear" w:color="auto" w:fill="FFFFFF"/>
                    </w:rPr>
                    <w:t>软硬件开发</w:t>
                  </w:r>
                  <w:r>
                    <w:rPr>
                      <w:rFonts w:hint="default" w:ascii="Times New Roman" w:hAnsi="Times New Roman" w:cs="Times New Roman"/>
                      <w:color w:val="auto"/>
                      <w:sz w:val="21"/>
                      <w:szCs w:val="21"/>
                      <w:shd w:val="clear" w:color="auto" w:fill="FFFFFF"/>
                    </w:rPr>
                    <w:t>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汽修厂</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东面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338-485</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维修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东风风光</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207m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销售车辆</w:t>
                  </w:r>
                </w:p>
              </w:tc>
              <w:tc>
                <w:tcPr>
                  <w:tcW w:w="1005" w:type="dxa"/>
                  <w:vAlign w:val="center"/>
                </w:tcPr>
                <w:p>
                  <w:pPr>
                    <w:pStyle w:val="36"/>
                    <w:adjustRightInd/>
                    <w:jc w:val="center"/>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气电专修部</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东南面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270</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维修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2882"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散户</w:t>
                  </w:r>
                </w:p>
              </w:tc>
              <w:tc>
                <w:tcPr>
                  <w:tcW w:w="1005"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东南面</w:t>
                  </w:r>
                </w:p>
              </w:tc>
              <w:tc>
                <w:tcPr>
                  <w:tcW w:w="183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255-497m</w:t>
                  </w:r>
                </w:p>
              </w:tc>
              <w:tc>
                <w:tcPr>
                  <w:tcW w:w="222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居民</w:t>
                  </w:r>
                </w:p>
              </w:tc>
              <w:tc>
                <w:tcPr>
                  <w:tcW w:w="1005" w:type="dxa"/>
                  <w:vAlign w:val="center"/>
                </w:tcPr>
                <w:p>
                  <w:pPr>
                    <w:pStyle w:val="36"/>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eastAsia="宋体" w:cs="Times New Roman"/>
                      <w:color w:val="auto"/>
                      <w:sz w:val="21"/>
                      <w:szCs w:val="21"/>
                      <w:lang w:val="en-US" w:eastAsia="zh-CN"/>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2882"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蓬溪蓉生单采血浆</w:t>
                  </w:r>
                  <w:r>
                    <w:rPr>
                      <w:rFonts w:ascii="Times New Roman" w:hAnsi="Times New Roman" w:eastAsia="宋体" w:cs="Times New Roman"/>
                      <w:color w:val="auto"/>
                      <w:sz w:val="21"/>
                      <w:szCs w:val="21"/>
                    </w:rPr>
                    <w:t>有限公司</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r>
                    <w:rPr>
                      <w:rFonts w:ascii="Times New Roman" w:hAnsi="Times New Roman" w:eastAsia="宋体" w:cs="Times New Roman"/>
                      <w:color w:val="auto"/>
                      <w:sz w:val="21"/>
                      <w:szCs w:val="21"/>
                    </w:rPr>
                    <w:t>面</w:t>
                  </w:r>
                </w:p>
              </w:tc>
              <w:tc>
                <w:tcPr>
                  <w:tcW w:w="1830"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r>
                    <w:rPr>
                      <w:rFonts w:ascii="Times New Roman" w:hAnsi="Times New Roman" w:eastAsia="宋体" w:cs="Times New Roman"/>
                      <w:color w:val="auto"/>
                      <w:sz w:val="21"/>
                      <w:szCs w:val="21"/>
                    </w:rPr>
                    <w:t>m</w:t>
                  </w:r>
                </w:p>
              </w:tc>
              <w:tc>
                <w:tcPr>
                  <w:tcW w:w="2220"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采集血浆</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CNG加气站</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南</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390</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加气站</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四川嘉威门业有限公司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412</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蓬溪聚成门业有限公司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183</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蓬溪金太阳门业有限公司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330m</w:t>
                  </w:r>
                </w:p>
              </w:tc>
              <w:tc>
                <w:tcPr>
                  <w:tcW w:w="2220" w:type="dxa"/>
                  <w:vAlign w:val="center"/>
                </w:tcPr>
                <w:p>
                  <w:pPr>
                    <w:wordWrap w:val="0"/>
                    <w:jc w:val="center"/>
                    <w:rPr>
                      <w:rFonts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益铭五金塑胶制品有限公司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西南</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298</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塑胶制品生产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遂宁林通门业</w:t>
                  </w:r>
                  <w:r>
                    <w:rPr>
                      <w:rFonts w:ascii="Times New Roman" w:hAnsi="Times New Roman" w:cs="Times New Roman"/>
                      <w:color w:val="auto"/>
                      <w:sz w:val="21"/>
                      <w:szCs w:val="21"/>
                    </w:rPr>
                    <w:t>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77</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木轩坊定制家具有限公司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289m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蓬溪县鑫恒家具厂</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291</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四川大伟金属制品有限公司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412</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金属制品生产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四川林鑫新材料有限公司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566m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新材料</w:t>
                  </w:r>
                  <w:r>
                    <w:rPr>
                      <w:rFonts w:hint="default" w:ascii="Times New Roman" w:hAnsi="Times New Roman" w:cs="Times New Roman"/>
                      <w:color w:val="auto"/>
                      <w:sz w:val="21"/>
                      <w:szCs w:val="21"/>
                    </w:rPr>
                    <w:t>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蓬溪县精驰门业有限公司</w:t>
                  </w:r>
                </w:p>
              </w:tc>
              <w:tc>
                <w:tcPr>
                  <w:tcW w:w="1005"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西北面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382m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2882" w:type="dxa"/>
                  <w:vAlign w:val="center"/>
                </w:tcPr>
                <w:p>
                  <w:pPr>
                    <w:wordWrap w:val="0"/>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遂宁市柏拉图木业有限公司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w:t>
                  </w:r>
                  <w:r>
                    <w:rPr>
                      <w:rFonts w:hint="default" w:ascii="Times New Roman" w:hAnsi="Times New Roman" w:cs="Times New Roman"/>
                      <w:color w:val="auto"/>
                      <w:sz w:val="21"/>
                      <w:szCs w:val="21"/>
                    </w:rPr>
                    <w:t>北</w:t>
                  </w:r>
                  <w:r>
                    <w:rPr>
                      <w:rFonts w:ascii="Times New Roman" w:hAnsi="Times New Roman" w:cs="Times New Roman"/>
                      <w:color w:val="auto"/>
                      <w:sz w:val="21"/>
                      <w:szCs w:val="21"/>
                    </w:rPr>
                    <w:t>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501</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四川人从众食品有限责任公司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488m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shd w:val="clear" w:color="auto" w:fill="FFFFFF"/>
                    </w:rPr>
                    <w:t>食品制造</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蓬溪达美门业有限公司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249</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门业制造及销售</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jc w:val="center"/>
              </w:trPr>
              <w:tc>
                <w:tcPr>
                  <w:tcW w:w="2882"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四川皇居智能家居有限公司</w:t>
                  </w:r>
                </w:p>
              </w:tc>
              <w:tc>
                <w:tcPr>
                  <w:tcW w:w="1005" w:type="dxa"/>
                  <w:vAlign w:val="center"/>
                </w:tcPr>
                <w:p>
                  <w:pPr>
                    <w:wordWrap w:val="0"/>
                    <w:jc w:val="center"/>
                    <w:rPr>
                      <w:rFonts w:ascii="Times New Roman" w:hAnsi="Times New Roman" w:cs="Times New Roman"/>
                      <w:color w:val="auto"/>
                      <w:sz w:val="21"/>
                      <w:szCs w:val="21"/>
                    </w:rPr>
                  </w:pPr>
                  <w:r>
                    <w:rPr>
                      <w:rFonts w:ascii="Times New Roman" w:hAnsi="Times New Roman" w:cs="Times New Roman"/>
                      <w:color w:val="auto"/>
                      <w:sz w:val="21"/>
                      <w:szCs w:val="21"/>
                    </w:rPr>
                    <w:t>西北面</w:t>
                  </w:r>
                </w:p>
              </w:tc>
              <w:tc>
                <w:tcPr>
                  <w:tcW w:w="183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379</w:t>
                  </w:r>
                  <w:r>
                    <w:rPr>
                      <w:rFonts w:ascii="Times New Roman" w:hAnsi="Times New Roman" w:cs="Times New Roman"/>
                      <w:color w:val="auto"/>
                      <w:sz w:val="21"/>
                      <w:szCs w:val="21"/>
                    </w:rPr>
                    <w:t>m</w:t>
                  </w:r>
                </w:p>
              </w:tc>
              <w:tc>
                <w:tcPr>
                  <w:tcW w:w="2220" w:type="dxa"/>
                  <w:vAlign w:val="center"/>
                </w:tcPr>
                <w:p>
                  <w:pPr>
                    <w:wordWrap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家具生产</w:t>
                  </w:r>
                </w:p>
              </w:tc>
              <w:tc>
                <w:tcPr>
                  <w:tcW w:w="1005" w:type="dxa"/>
                  <w:vAlign w:val="center"/>
                </w:tcPr>
                <w:p>
                  <w:pPr>
                    <w:pStyle w:val="36"/>
                    <w:adjustRightIn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jc w:val="center"/>
              </w:trPr>
              <w:tc>
                <w:tcPr>
                  <w:tcW w:w="2882"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华园社区居民委员会</w:t>
                  </w:r>
                </w:p>
              </w:tc>
              <w:tc>
                <w:tcPr>
                  <w:tcW w:w="1005"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东</w:t>
                  </w:r>
                  <w:r>
                    <w:rPr>
                      <w:rFonts w:ascii="Times New Roman" w:hAnsi="Times New Roman" w:cs="Times New Roman"/>
                      <w:color w:val="auto"/>
                      <w:sz w:val="21"/>
                      <w:szCs w:val="21"/>
                    </w:rPr>
                    <w:t>北面</w:t>
                  </w:r>
                </w:p>
              </w:tc>
              <w:tc>
                <w:tcPr>
                  <w:tcW w:w="1830"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8m</w:t>
                  </w:r>
                </w:p>
              </w:tc>
              <w:tc>
                <w:tcPr>
                  <w:tcW w:w="222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shd w:val="clear" w:color="auto" w:fill="FFFFFF"/>
                      <w:lang w:val="en-US" w:eastAsia="zh-CN"/>
                    </w:rPr>
                    <w:t>行政机构</w:t>
                  </w:r>
                </w:p>
              </w:tc>
              <w:tc>
                <w:tcPr>
                  <w:tcW w:w="1005"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2882"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四川中升鸿科技有限公司</w:t>
                  </w:r>
                </w:p>
              </w:tc>
              <w:tc>
                <w:tcPr>
                  <w:tcW w:w="1005"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东北面</w:t>
                  </w:r>
                </w:p>
              </w:tc>
              <w:tc>
                <w:tcPr>
                  <w:tcW w:w="1830" w:type="dxa"/>
                  <w:vAlign w:val="center"/>
                </w:tcPr>
                <w:p>
                  <w:pPr>
                    <w:wordWrap w:val="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428m</w:t>
                  </w:r>
                </w:p>
              </w:tc>
              <w:tc>
                <w:tcPr>
                  <w:tcW w:w="2220" w:type="dxa"/>
                  <w:vAlign w:val="center"/>
                </w:tcPr>
                <w:p>
                  <w:pPr>
                    <w:wordWrap w:val="0"/>
                    <w:jc w:val="center"/>
                    <w:rPr>
                      <w:rFonts w:ascii="Times New Roman" w:hAnsi="Times New Roman" w:eastAsia="宋体" w:cs="Times New Roman"/>
                      <w:color w:val="auto"/>
                      <w:sz w:val="21"/>
                      <w:szCs w:val="21"/>
                      <w:shd w:val="clear" w:color="auto" w:fill="FFFFFF"/>
                      <w:lang w:val="en-US" w:eastAsia="zh-CN" w:bidi="ar-SA"/>
                    </w:rPr>
                  </w:pPr>
                  <w:r>
                    <w:rPr>
                      <w:rFonts w:ascii="Times New Roman" w:hAnsi="Times New Roman" w:cs="Times New Roman"/>
                      <w:color w:val="auto"/>
                      <w:sz w:val="21"/>
                      <w:szCs w:val="21"/>
                      <w:shd w:val="clear" w:color="auto" w:fill="FFFFFF"/>
                    </w:rPr>
                    <w:t>软件开发</w:t>
                  </w:r>
                </w:p>
              </w:tc>
              <w:tc>
                <w:tcPr>
                  <w:tcW w:w="1005"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2882"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亿乐电子有限公司</w:t>
                  </w:r>
                </w:p>
              </w:tc>
              <w:tc>
                <w:tcPr>
                  <w:tcW w:w="1005"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东北面</w:t>
                  </w:r>
                </w:p>
              </w:tc>
              <w:tc>
                <w:tcPr>
                  <w:tcW w:w="183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459m</w:t>
                  </w:r>
                </w:p>
              </w:tc>
              <w:tc>
                <w:tcPr>
                  <w:tcW w:w="2220" w:type="dxa"/>
                  <w:vAlign w:val="center"/>
                </w:tcPr>
                <w:p>
                  <w:pPr>
                    <w:wordWrap w:val="0"/>
                    <w:jc w:val="center"/>
                    <w:rPr>
                      <w:rFonts w:hint="default" w:ascii="Times New Roman" w:hAnsi="Times New Roman" w:eastAsia="宋体" w:cs="Times New Roman"/>
                      <w:color w:val="auto"/>
                      <w:sz w:val="21"/>
                      <w:szCs w:val="21"/>
                      <w:shd w:val="clear" w:color="auto" w:fill="FFFFFF"/>
                      <w:lang w:val="en-US" w:eastAsia="zh-CN" w:bidi="ar-SA"/>
                    </w:rPr>
                  </w:pPr>
                  <w:r>
                    <w:rPr>
                      <w:rFonts w:hint="default" w:ascii="Times New Roman" w:hAnsi="Times New Roman" w:cs="Times New Roman"/>
                      <w:color w:val="auto"/>
                      <w:sz w:val="21"/>
                      <w:szCs w:val="21"/>
                      <w:shd w:val="clear" w:color="auto" w:fill="FFFFFF"/>
                    </w:rPr>
                    <w:t>电子设备制造</w:t>
                  </w:r>
                </w:p>
              </w:tc>
              <w:tc>
                <w:tcPr>
                  <w:tcW w:w="1005" w:type="dxa"/>
                  <w:vAlign w:val="center"/>
                </w:tcPr>
                <w:p>
                  <w:pPr>
                    <w:pStyle w:val="36"/>
                    <w:adjustRightInd/>
                    <w:jc w:val="center"/>
                    <w:rPr>
                      <w:rFonts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2882"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普安村居民</w:t>
                  </w:r>
                </w:p>
              </w:tc>
              <w:tc>
                <w:tcPr>
                  <w:tcW w:w="1005"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东北面</w:t>
                  </w:r>
                </w:p>
              </w:tc>
              <w:tc>
                <w:tcPr>
                  <w:tcW w:w="1830" w:type="dxa"/>
                  <w:vAlign w:val="center"/>
                </w:tcPr>
                <w:p>
                  <w:pPr>
                    <w:wordWrap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209-505m</w:t>
                  </w:r>
                </w:p>
              </w:tc>
              <w:tc>
                <w:tcPr>
                  <w:tcW w:w="2220" w:type="dxa"/>
                  <w:vAlign w:val="center"/>
                </w:tcPr>
                <w:p>
                  <w:pPr>
                    <w:wordWrap w:val="0"/>
                    <w:jc w:val="center"/>
                    <w:rPr>
                      <w:rFonts w:hint="default" w:ascii="Times New Roman" w:hAnsi="Times New Roman" w:eastAsia="宋体" w:cs="Times New Roman"/>
                      <w:color w:val="auto"/>
                      <w:sz w:val="21"/>
                      <w:szCs w:val="21"/>
                      <w:shd w:val="clear" w:color="auto" w:fill="FFFFFF"/>
                      <w:lang w:val="en-US" w:eastAsia="zh-CN" w:bidi="ar-SA"/>
                    </w:rPr>
                  </w:pPr>
                  <w:r>
                    <w:rPr>
                      <w:rFonts w:hint="eastAsia" w:ascii="Times New Roman" w:hAnsi="Times New Roman" w:cs="Times New Roman"/>
                      <w:color w:val="auto"/>
                      <w:sz w:val="21"/>
                      <w:szCs w:val="21"/>
                      <w:shd w:val="clear" w:color="auto" w:fill="FFFFFF"/>
                      <w:lang w:val="en-US" w:eastAsia="zh-CN"/>
                    </w:rPr>
                    <w:t>居民</w:t>
                  </w:r>
                </w:p>
              </w:tc>
              <w:tc>
                <w:tcPr>
                  <w:tcW w:w="1005" w:type="dxa"/>
                  <w:vAlign w:val="center"/>
                </w:tcPr>
                <w:p>
                  <w:pPr>
                    <w:pStyle w:val="36"/>
                    <w:adjustRightInd/>
                    <w:jc w:val="center"/>
                    <w:rPr>
                      <w:rFonts w:hint="eastAsia" w:ascii="Times New Roman" w:hAnsi="Times New Roman" w:eastAsia="宋体" w:cs="Times New Roman"/>
                      <w:color w:val="auto"/>
                      <w:sz w:val="21"/>
                      <w:szCs w:val="21"/>
                      <w:lang w:val="en-US" w:eastAsia="zh-CN" w:bidi="ar-SA"/>
                    </w:rPr>
                  </w:pPr>
                  <w:r>
                    <w:rPr>
                      <w:rFonts w:hint="eastAsia" w:ascii="Times New Roman" w:eastAsia="宋体" w:cs="Times New Roman"/>
                      <w:color w:val="auto"/>
                      <w:sz w:val="21"/>
                      <w:szCs w:val="21"/>
                      <w:lang w:val="en-US" w:eastAsia="zh-CN"/>
                    </w:rPr>
                    <w:t>敏感目标</w:t>
                  </w:r>
                </w:p>
              </w:tc>
            </w:tr>
          </w:tbl>
          <w:p>
            <w:pPr>
              <w:wordWrap w:val="0"/>
              <w:autoSpaceDE/>
              <w:autoSpaceDN/>
              <w:spacing w:line="360" w:lineRule="auto"/>
              <w:ind w:firstLine="480" w:firstLineChars="200"/>
              <w:rPr>
                <w:rFonts w:ascii="Times New Roman" w:hAnsi="Times New Roman" w:cs="Times New Roman"/>
                <w:b/>
                <w:color w:val="auto"/>
                <w:sz w:val="24"/>
                <w:szCs w:val="24"/>
                <w:lang w:bidi="ar"/>
              </w:rPr>
            </w:pPr>
            <w:r>
              <w:rPr>
                <w:rFonts w:ascii="Times New Roman" w:hAnsi="Times New Roman" w:cs="Times New Roman"/>
                <w:color w:val="auto"/>
                <w:sz w:val="24"/>
                <w:szCs w:val="24"/>
              </w:rPr>
              <w:t>项目周边的</w:t>
            </w:r>
            <w:r>
              <w:rPr>
                <w:rFonts w:hint="default" w:ascii="Times New Roman" w:hAnsi="Times New Roman" w:cs="Times New Roman"/>
                <w:color w:val="auto"/>
                <w:sz w:val="24"/>
                <w:szCs w:val="24"/>
              </w:rPr>
              <w:t>四川人从众食品有限责任公司</w:t>
            </w:r>
            <w:r>
              <w:rPr>
                <w:rFonts w:ascii="Times New Roman" w:hAnsi="Times New Roman" w:cs="Times New Roman"/>
                <w:color w:val="auto"/>
                <w:sz w:val="24"/>
                <w:szCs w:val="24"/>
              </w:rPr>
              <w:t>属于食品加工企业，</w:t>
            </w:r>
            <w:r>
              <w:rPr>
                <w:rFonts w:hint="default" w:ascii="Times New Roman" w:hAnsi="Times New Roman" w:cs="Times New Roman"/>
                <w:color w:val="auto"/>
                <w:sz w:val="24"/>
                <w:szCs w:val="24"/>
              </w:rPr>
              <w:t>本项目距离食品公司</w:t>
            </w:r>
            <w:r>
              <w:rPr>
                <w:rFonts w:hint="eastAsia" w:ascii="Times New Roman" w:hAnsi="Times New Roman" w:cs="Times New Roman"/>
                <w:color w:val="auto"/>
                <w:sz w:val="24"/>
                <w:szCs w:val="24"/>
                <w:lang w:val="en-US" w:eastAsia="zh-CN"/>
              </w:rPr>
              <w:t>488m</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东北侧和东南侧有住户，但距离本项目在209-505m范围，远超</w:t>
            </w:r>
            <w:r>
              <w:rPr>
                <w:rFonts w:hint="default" w:ascii="Times New Roman" w:hAnsi="Times New Roman" w:cs="Times New Roman"/>
                <w:color w:val="auto"/>
                <w:sz w:val="24"/>
                <w:szCs w:val="24"/>
              </w:rPr>
              <w:t>卫生防护距离</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0m</w:t>
            </w:r>
            <w:r>
              <w:rPr>
                <w:rFonts w:hint="eastAsia" w:ascii="Times New Roman" w:hAnsi="Times New Roman" w:cs="Times New Roman"/>
                <w:color w:val="auto"/>
                <w:sz w:val="24"/>
                <w:szCs w:val="24"/>
                <w:lang w:val="en-US" w:eastAsia="zh-CN"/>
              </w:rPr>
              <w:t>的范围</w:t>
            </w:r>
            <w:r>
              <w:rPr>
                <w:rFonts w:hint="default" w:ascii="Times New Roman" w:hAnsi="Times New Roman" w:cs="Times New Roman"/>
                <w:color w:val="auto"/>
                <w:sz w:val="24"/>
                <w:szCs w:val="24"/>
              </w:rPr>
              <w:t>，</w:t>
            </w:r>
            <w:r>
              <w:rPr>
                <w:rFonts w:ascii="Times New Roman" w:hAnsi="Times New Roman" w:cs="Times New Roman"/>
                <w:color w:val="auto"/>
                <w:sz w:val="24"/>
                <w:szCs w:val="24"/>
              </w:rPr>
              <w:t>其他企业主要从事</w:t>
            </w:r>
            <w:r>
              <w:rPr>
                <w:rFonts w:hint="default" w:ascii="Times New Roman" w:hAnsi="Times New Roman" w:cs="Times New Roman"/>
                <w:color w:val="auto"/>
                <w:sz w:val="24"/>
                <w:szCs w:val="24"/>
              </w:rPr>
              <w:t>门业和</w:t>
            </w:r>
            <w:r>
              <w:rPr>
                <w:rFonts w:ascii="Times New Roman" w:hAnsi="Times New Roman" w:cs="Times New Roman"/>
                <w:color w:val="auto"/>
                <w:sz w:val="24"/>
                <w:szCs w:val="24"/>
              </w:rPr>
              <w:t>家具生产，</w:t>
            </w:r>
            <w:r>
              <w:rPr>
                <w:rFonts w:hint="default" w:ascii="Times New Roman" w:hAnsi="Times New Roman" w:cs="Times New Roman"/>
                <w:color w:val="auto"/>
                <w:sz w:val="24"/>
                <w:szCs w:val="24"/>
              </w:rPr>
              <w:t>大致上的</w:t>
            </w:r>
            <w:r>
              <w:rPr>
                <w:rFonts w:ascii="Times New Roman" w:hAnsi="Times New Roman" w:cs="Times New Roman"/>
                <w:color w:val="auto"/>
                <w:sz w:val="24"/>
                <w:szCs w:val="24"/>
              </w:rPr>
              <w:t>外环境与本项目相容。本项目外环境关系图如附图</w:t>
            </w:r>
            <w:r>
              <w:rPr>
                <w:rFonts w:hint="default" w:ascii="Times New Roman" w:hAnsi="Times New Roman" w:cs="Times New Roman"/>
                <w:color w:val="auto"/>
                <w:sz w:val="24"/>
                <w:szCs w:val="24"/>
              </w:rPr>
              <w:t>3</w:t>
            </w:r>
            <w:r>
              <w:rPr>
                <w:rFonts w:ascii="Times New Roman" w:hAnsi="Times New Roman" w:cs="Times New Roman"/>
                <w:color w:val="auto"/>
                <w:sz w:val="24"/>
                <w:szCs w:val="24"/>
              </w:rPr>
              <w:t>所示。</w:t>
            </w:r>
          </w:p>
          <w:p>
            <w:pPr>
              <w:widowControl/>
              <w:spacing w:line="360" w:lineRule="auto"/>
              <w:rPr>
                <w:rFonts w:ascii="Times New Roman" w:hAnsi="Times New Roman" w:cs="Times New Roman"/>
                <w:b/>
                <w:color w:val="auto"/>
                <w:sz w:val="24"/>
                <w:lang w:bidi="ar"/>
              </w:rPr>
            </w:pPr>
            <w:r>
              <w:rPr>
                <w:rFonts w:hint="default" w:ascii="Times New Roman" w:hAnsi="Times New Roman" w:cs="Times New Roman"/>
                <w:b/>
                <w:color w:val="auto"/>
                <w:sz w:val="24"/>
                <w:lang w:bidi="ar"/>
              </w:rPr>
              <w:t>二、环境保护目标</w:t>
            </w:r>
          </w:p>
          <w:p>
            <w:pPr>
              <w:widowControl/>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据现场调查，结合《建设项目环境影响报告表编制技术指南（污染影响类）》（试行）确定本项目主要环境保护目标如下：</w:t>
            </w:r>
          </w:p>
          <w:p>
            <w:pPr>
              <w:spacing w:line="360" w:lineRule="auto"/>
              <w:rPr>
                <w:rFonts w:ascii="Times New Roman" w:hAnsi="Times New Roman" w:cs="Times New Roman"/>
                <w:b/>
                <w:color w:val="auto"/>
                <w:sz w:val="24"/>
                <w:szCs w:val="32"/>
              </w:rPr>
            </w:pPr>
            <w:r>
              <w:rPr>
                <w:rFonts w:hint="default" w:ascii="Times New Roman" w:hAnsi="Times New Roman" w:cs="Times New Roman"/>
                <w:b/>
                <w:color w:val="auto"/>
                <w:sz w:val="24"/>
                <w:szCs w:val="32"/>
              </w:rPr>
              <w:t>（一</w:t>
            </w:r>
            <w:r>
              <w:rPr>
                <w:rFonts w:ascii="Times New Roman" w:hAnsi="Times New Roman" w:cs="Times New Roman"/>
                <w:b/>
                <w:color w:val="auto"/>
                <w:sz w:val="24"/>
                <w:szCs w:val="32"/>
              </w:rPr>
              <w:t>）环境空气</w:t>
            </w:r>
          </w:p>
          <w:p>
            <w:pPr>
              <w:widowControl/>
              <w:spacing w:line="360" w:lineRule="auto"/>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项目运营期大气环境保护目标项目中心500m范围区域大气环境，环境空气应符合《环境空气质量标准》（GB3095-2012）二级标准。</w:t>
            </w:r>
          </w:p>
          <w:p>
            <w:pPr>
              <w:widowControl/>
              <w:spacing w:line="240" w:lineRule="auto"/>
              <w:jc w:val="center"/>
              <w:rPr>
                <w:rFonts w:hint="default" w:eastAsia="宋体"/>
                <w:vertAlign w:val="baseline"/>
                <w:lang w:val="en-US" w:eastAsia="zh-CN"/>
              </w:rPr>
            </w:pPr>
            <w:r>
              <w:rPr>
                <w:rFonts w:hint="eastAsia" w:ascii="Times New Roman" w:hAnsi="Times New Roman" w:cs="Times New Roman"/>
                <w:b/>
                <w:color w:val="auto"/>
                <w:sz w:val="21"/>
                <w:szCs w:val="21"/>
                <w:lang w:val="en-US" w:eastAsia="zh-CN" w:bidi="ar"/>
              </w:rPr>
              <w:t>表3-5 建设项目</w:t>
            </w:r>
            <w:r>
              <w:rPr>
                <w:rFonts w:hint="default" w:ascii="Times New Roman" w:hAnsi="Times New Roman" w:cs="Times New Roman"/>
                <w:b/>
                <w:color w:val="auto"/>
                <w:sz w:val="21"/>
                <w:szCs w:val="21"/>
                <w:lang w:bidi="ar"/>
              </w:rPr>
              <w:t>评价范围内主要地表水保护目标调查表</w:t>
            </w:r>
          </w:p>
          <w:tbl>
            <w:tblPr>
              <w:tblStyle w:val="25"/>
              <w:tblW w:w="90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365"/>
              <w:gridCol w:w="930"/>
              <w:gridCol w:w="1425"/>
              <w:gridCol w:w="1860"/>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3" w:type="dxa"/>
                  <w:vAlign w:val="center"/>
                </w:tcPr>
                <w:p>
                  <w:pPr>
                    <w:snapToGrid w:val="0"/>
                    <w:jc w:val="center"/>
                    <w:rPr>
                      <w:rFonts w:hint="default" w:ascii="Times New Roman" w:hAnsi="Times New Roman" w:eastAsia="宋体" w:cs="Times New Roman"/>
                      <w:b/>
                      <w:color w:val="auto"/>
                      <w:sz w:val="21"/>
                      <w:szCs w:val="21"/>
                      <w:u w:color="FF0000"/>
                      <w:lang w:val="en-US" w:eastAsia="zh-CN" w:bidi="ar-SA"/>
                    </w:rPr>
                  </w:pPr>
                  <w:r>
                    <w:rPr>
                      <w:rFonts w:ascii="Times New Roman" w:hAnsi="Times New Roman" w:cs="Times New Roman"/>
                      <w:b/>
                      <w:color w:val="auto"/>
                      <w:sz w:val="21"/>
                      <w:szCs w:val="21"/>
                      <w:u w:color="FF0000"/>
                    </w:rPr>
                    <w:t>类别</w:t>
                  </w:r>
                </w:p>
              </w:tc>
              <w:tc>
                <w:tcPr>
                  <w:tcW w:w="1365" w:type="dxa"/>
                  <w:vAlign w:val="center"/>
                </w:tcPr>
                <w:p>
                  <w:pPr>
                    <w:snapToGrid w:val="0"/>
                    <w:jc w:val="center"/>
                    <w:rPr>
                      <w:rFonts w:hint="default" w:ascii="Times New Roman" w:hAnsi="Times New Roman" w:eastAsia="宋体" w:cs="Times New Roman"/>
                      <w:b/>
                      <w:color w:val="auto"/>
                      <w:sz w:val="21"/>
                      <w:szCs w:val="21"/>
                      <w:u w:color="FF0000"/>
                      <w:lang w:val="en-US" w:eastAsia="zh-CN" w:bidi="ar-SA"/>
                    </w:rPr>
                  </w:pPr>
                  <w:r>
                    <w:rPr>
                      <w:rFonts w:ascii="Times New Roman" w:hAnsi="Times New Roman" w:cs="Times New Roman"/>
                      <w:b/>
                      <w:color w:val="auto"/>
                      <w:sz w:val="21"/>
                      <w:szCs w:val="21"/>
                      <w:u w:color="FF0000"/>
                    </w:rPr>
                    <w:t>目标名称</w:t>
                  </w:r>
                </w:p>
              </w:tc>
              <w:tc>
                <w:tcPr>
                  <w:tcW w:w="930" w:type="dxa"/>
                  <w:vAlign w:val="center"/>
                </w:tcPr>
                <w:p>
                  <w:pPr>
                    <w:snapToGrid w:val="0"/>
                    <w:jc w:val="center"/>
                    <w:rPr>
                      <w:rFonts w:hint="default" w:ascii="Times New Roman" w:hAnsi="Times New Roman" w:eastAsia="宋体" w:cs="Times New Roman"/>
                      <w:b/>
                      <w:color w:val="auto"/>
                      <w:sz w:val="21"/>
                      <w:szCs w:val="21"/>
                      <w:u w:color="FF0000"/>
                      <w:lang w:val="en-US" w:eastAsia="zh-CN" w:bidi="ar-SA"/>
                    </w:rPr>
                  </w:pPr>
                  <w:r>
                    <w:rPr>
                      <w:rFonts w:ascii="Times New Roman" w:hAnsi="Times New Roman" w:cs="Times New Roman"/>
                      <w:b/>
                      <w:color w:val="auto"/>
                      <w:sz w:val="21"/>
                      <w:szCs w:val="21"/>
                      <w:u w:color="FF0000"/>
                    </w:rPr>
                    <w:t>方位</w:t>
                  </w:r>
                </w:p>
              </w:tc>
              <w:tc>
                <w:tcPr>
                  <w:tcW w:w="1425" w:type="dxa"/>
                  <w:vAlign w:val="center"/>
                </w:tcPr>
                <w:p>
                  <w:pPr>
                    <w:snapToGrid w:val="0"/>
                    <w:jc w:val="center"/>
                    <w:rPr>
                      <w:rFonts w:hint="default" w:ascii="Times New Roman" w:hAnsi="Times New Roman" w:eastAsia="宋体" w:cs="Times New Roman"/>
                      <w:b/>
                      <w:color w:val="auto"/>
                      <w:sz w:val="21"/>
                      <w:szCs w:val="21"/>
                      <w:u w:color="FF0000"/>
                      <w:lang w:val="en-US" w:eastAsia="zh-CN" w:bidi="ar-SA"/>
                    </w:rPr>
                  </w:pPr>
                  <w:r>
                    <w:rPr>
                      <w:rFonts w:ascii="Times New Roman" w:hAnsi="Times New Roman" w:cs="Times New Roman"/>
                      <w:b/>
                      <w:color w:val="auto"/>
                      <w:sz w:val="21"/>
                      <w:szCs w:val="21"/>
                      <w:u w:color="FF0000"/>
                    </w:rPr>
                    <w:t>相对厂界距离</w:t>
                  </w:r>
                </w:p>
              </w:tc>
              <w:tc>
                <w:tcPr>
                  <w:tcW w:w="1860" w:type="dxa"/>
                  <w:vAlign w:val="center"/>
                </w:tcPr>
                <w:p>
                  <w:pPr>
                    <w:snapToGrid w:val="0"/>
                    <w:jc w:val="center"/>
                    <w:rPr>
                      <w:rFonts w:hint="default" w:ascii="Times New Roman" w:hAnsi="Times New Roman" w:cs="Times New Roman"/>
                      <w:b/>
                      <w:color w:val="auto"/>
                      <w:sz w:val="21"/>
                      <w:szCs w:val="21"/>
                      <w:u w:color="FF0000"/>
                      <w:lang w:val="en-US" w:eastAsia="zh-CN"/>
                    </w:rPr>
                  </w:pPr>
                  <w:r>
                    <w:rPr>
                      <w:rFonts w:hint="eastAsia" w:ascii="Times New Roman" w:hAnsi="Times New Roman" w:cs="Times New Roman"/>
                      <w:b/>
                      <w:color w:val="auto"/>
                      <w:sz w:val="21"/>
                      <w:szCs w:val="21"/>
                      <w:u w:color="FF0000"/>
                      <w:lang w:val="en-US" w:eastAsia="zh-CN"/>
                    </w:rPr>
                    <w:t>保护目标概况</w:t>
                  </w:r>
                </w:p>
              </w:tc>
              <w:tc>
                <w:tcPr>
                  <w:tcW w:w="2691" w:type="dxa"/>
                  <w:vAlign w:val="center"/>
                </w:tcPr>
                <w:p>
                  <w:pPr>
                    <w:snapToGrid w:val="0"/>
                    <w:jc w:val="center"/>
                    <w:rPr>
                      <w:rFonts w:hint="default" w:ascii="Times New Roman" w:hAnsi="Times New Roman" w:cs="Times New Roman"/>
                      <w:b/>
                      <w:color w:val="auto"/>
                      <w:sz w:val="21"/>
                      <w:szCs w:val="21"/>
                      <w:u w:color="FF0000"/>
                      <w:lang w:val="en-US" w:eastAsia="zh-CN"/>
                    </w:rPr>
                  </w:pPr>
                  <w:r>
                    <w:rPr>
                      <w:rFonts w:hint="eastAsia" w:ascii="Times New Roman" w:hAnsi="Times New Roman" w:cs="Times New Roman"/>
                      <w:b/>
                      <w:color w:val="auto"/>
                      <w:sz w:val="21"/>
                      <w:szCs w:val="21"/>
                      <w:u w:color="FF0000"/>
                      <w:lang w:val="en-US" w:eastAsia="zh-CN"/>
                    </w:rPr>
                    <w:t>环境功能及要求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0" w:hRule="atLeast"/>
              </w:trPr>
              <w:tc>
                <w:tcPr>
                  <w:tcW w:w="783" w:type="dxa"/>
                  <w:vMerge w:val="restart"/>
                  <w:vAlign w:val="center"/>
                </w:tcPr>
                <w:p>
                  <w:pPr>
                    <w:widowControl/>
                    <w:spacing w:line="240" w:lineRule="auto"/>
                    <w:jc w:val="center"/>
                    <w:rPr>
                      <w:rFonts w:hint="default" w:eastAsia="宋体"/>
                      <w:vertAlign w:val="baseline"/>
                      <w:lang w:val="en-US" w:eastAsia="zh-CN"/>
                    </w:rPr>
                  </w:pPr>
                  <w:r>
                    <w:rPr>
                      <w:rFonts w:hint="eastAsia"/>
                      <w:vertAlign w:val="baseline"/>
                      <w:lang w:val="en-US" w:eastAsia="zh-CN"/>
                    </w:rPr>
                    <w:t>大气环境</w:t>
                  </w:r>
                </w:p>
              </w:tc>
              <w:tc>
                <w:tcPr>
                  <w:tcW w:w="1365"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散户</w:t>
                  </w:r>
                </w:p>
              </w:tc>
              <w:tc>
                <w:tcPr>
                  <w:tcW w:w="930"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东南</w:t>
                  </w:r>
                </w:p>
              </w:tc>
              <w:tc>
                <w:tcPr>
                  <w:tcW w:w="1425"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255-497m</w:t>
                  </w:r>
                </w:p>
              </w:tc>
              <w:tc>
                <w:tcPr>
                  <w:tcW w:w="1860"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11户，月40人</w:t>
                  </w:r>
                </w:p>
              </w:tc>
              <w:tc>
                <w:tcPr>
                  <w:tcW w:w="2691" w:type="dxa"/>
                  <w:vMerge w:val="restart"/>
                  <w:vAlign w:val="center"/>
                </w:tcPr>
                <w:p>
                  <w:pPr>
                    <w:widowControl/>
                    <w:spacing w:line="240" w:lineRule="auto"/>
                    <w:jc w:val="center"/>
                    <w:rPr>
                      <w:rFonts w:hint="default" w:eastAsia="宋体"/>
                      <w:vertAlign w:val="baseline"/>
                      <w:lang w:val="en-US" w:eastAsia="zh-CN"/>
                    </w:rPr>
                  </w:pPr>
                  <w:r>
                    <w:rPr>
                      <w:rFonts w:hint="default" w:ascii="Times New Roman" w:hAnsi="Times New Roman"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3" w:type="dxa"/>
                  <w:vMerge w:val="continue"/>
                </w:tcPr>
                <w:p>
                  <w:pPr>
                    <w:widowControl/>
                    <w:spacing w:line="240" w:lineRule="auto"/>
                    <w:jc w:val="center"/>
                    <w:rPr>
                      <w:rFonts w:hint="default" w:eastAsia="宋体"/>
                      <w:vertAlign w:val="baseline"/>
                      <w:lang w:val="en-US" w:eastAsia="zh-CN"/>
                    </w:rPr>
                  </w:pPr>
                </w:p>
              </w:tc>
              <w:tc>
                <w:tcPr>
                  <w:tcW w:w="1365"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普安村居民</w:t>
                  </w:r>
                </w:p>
              </w:tc>
              <w:tc>
                <w:tcPr>
                  <w:tcW w:w="930"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东北</w:t>
                  </w:r>
                </w:p>
              </w:tc>
              <w:tc>
                <w:tcPr>
                  <w:tcW w:w="1425"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color w:val="auto"/>
                      <w:sz w:val="21"/>
                      <w:szCs w:val="21"/>
                      <w:lang w:val="en-US" w:eastAsia="zh-CN"/>
                    </w:rPr>
                    <w:t>209-505m</w:t>
                  </w:r>
                </w:p>
              </w:tc>
              <w:tc>
                <w:tcPr>
                  <w:tcW w:w="1860" w:type="dxa"/>
                  <w:vAlign w:val="center"/>
                </w:tcPr>
                <w:p>
                  <w:pPr>
                    <w:widowControl/>
                    <w:spacing w:line="240" w:lineRule="auto"/>
                    <w:jc w:val="center"/>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240户，约1000人</w:t>
                  </w:r>
                </w:p>
              </w:tc>
              <w:tc>
                <w:tcPr>
                  <w:tcW w:w="2691" w:type="dxa"/>
                  <w:vMerge w:val="continue"/>
                </w:tcPr>
                <w:p>
                  <w:pPr>
                    <w:widowControl/>
                    <w:spacing w:line="240" w:lineRule="auto"/>
                    <w:jc w:val="center"/>
                    <w:rPr>
                      <w:rFonts w:hint="default" w:eastAsia="宋体"/>
                      <w:vertAlign w:val="baseline"/>
                      <w:lang w:val="en-US" w:eastAsia="zh-CN"/>
                    </w:rPr>
                  </w:pPr>
                </w:p>
              </w:tc>
            </w:tr>
          </w:tbl>
          <w:p>
            <w:pPr>
              <w:widowControl/>
              <w:spacing w:line="240" w:lineRule="auto"/>
              <w:jc w:val="center"/>
              <w:rPr>
                <w:rFonts w:hint="default" w:eastAsia="宋体"/>
                <w:lang w:val="en-US" w:eastAsia="zh-CN"/>
              </w:rPr>
            </w:pPr>
          </w:p>
          <w:p>
            <w:pPr>
              <w:spacing w:line="360" w:lineRule="auto"/>
              <w:rPr>
                <w:rFonts w:ascii="Times New Roman" w:hAnsi="Times New Roman" w:cs="Times New Roman"/>
                <w:b/>
                <w:color w:val="auto"/>
                <w:sz w:val="24"/>
                <w:szCs w:val="32"/>
                <w:u w:color="FF0000"/>
              </w:rPr>
            </w:pPr>
            <w:r>
              <w:rPr>
                <w:rFonts w:hint="default" w:ascii="Times New Roman" w:hAnsi="Times New Roman" w:cs="Times New Roman"/>
                <w:b/>
                <w:color w:val="auto"/>
                <w:sz w:val="24"/>
                <w:szCs w:val="32"/>
                <w:u w:color="FF0000"/>
              </w:rPr>
              <w:t>（</w:t>
            </w:r>
            <w:r>
              <w:rPr>
                <w:rFonts w:ascii="Times New Roman" w:hAnsi="Times New Roman" w:cs="Times New Roman"/>
                <w:b/>
                <w:color w:val="auto"/>
                <w:sz w:val="24"/>
                <w:szCs w:val="32"/>
                <w:u w:color="FF0000"/>
              </w:rPr>
              <w:t>二）地表水</w:t>
            </w:r>
          </w:p>
          <w:p>
            <w:pPr>
              <w:spacing w:line="360" w:lineRule="auto"/>
              <w:ind w:firstLine="480"/>
              <w:rPr>
                <w:rFonts w:ascii="Times New Roman" w:hAnsi="Times New Roman" w:cs="Times New Roman"/>
                <w:color w:val="auto"/>
                <w:sz w:val="24"/>
                <w:szCs w:val="24"/>
                <w:u w:color="FF0000"/>
              </w:rPr>
            </w:pPr>
            <w:r>
              <w:rPr>
                <w:rFonts w:ascii="Times New Roman" w:hAnsi="Times New Roman" w:cs="Times New Roman"/>
                <w:color w:val="auto"/>
                <w:sz w:val="24"/>
                <w:szCs w:val="24"/>
                <w:u w:color="FF0000"/>
              </w:rPr>
              <w:t>地表水环境保护目标为</w:t>
            </w:r>
            <w:r>
              <w:rPr>
                <w:rFonts w:hint="eastAsia" w:ascii="Times New Roman" w:hAnsi="Times New Roman" w:cs="Times New Roman"/>
                <w:color w:val="auto"/>
                <w:sz w:val="24"/>
                <w:szCs w:val="24"/>
                <w:u w:color="FF0000"/>
                <w:lang w:val="en-US" w:eastAsia="zh-CN"/>
              </w:rPr>
              <w:t>芝溪河</w:t>
            </w:r>
            <w:r>
              <w:rPr>
                <w:rFonts w:ascii="Times New Roman" w:hAnsi="Times New Roman" w:cs="Times New Roman"/>
                <w:color w:val="auto"/>
                <w:sz w:val="24"/>
                <w:szCs w:val="24"/>
                <w:u w:color="FF0000"/>
              </w:rPr>
              <w:t>，应使其符合《地表水环境质量标准》（GB3838-2002）Ⅲ类水域标准要求。根据《环境影响评价技术导则——地表水环境》（HJ2.3-2018）相关要求，本项目评价等级为三级B。</w:t>
            </w:r>
          </w:p>
          <w:p>
            <w:pPr>
              <w:widowControl/>
              <w:jc w:val="center"/>
              <w:rPr>
                <w:rFonts w:ascii="Times New Roman" w:hAnsi="Times New Roman" w:cs="Times New Roman"/>
                <w:b/>
                <w:color w:val="auto"/>
                <w:sz w:val="21"/>
                <w:szCs w:val="21"/>
                <w:lang w:bidi="ar"/>
              </w:rPr>
            </w:pPr>
            <w:r>
              <w:rPr>
                <w:rFonts w:ascii="Times New Roman" w:hAnsi="Times New Roman" w:cs="Times New Roman"/>
                <w:b/>
                <w:color w:val="auto"/>
                <w:sz w:val="21"/>
                <w:szCs w:val="21"/>
                <w:lang w:bidi="ar"/>
              </w:rPr>
              <w:t>表3</w:t>
            </w:r>
            <w:r>
              <w:rPr>
                <w:rFonts w:hint="default" w:ascii="Times New Roman" w:hAnsi="Times New Roman" w:cs="Times New Roman"/>
                <w:b/>
                <w:color w:val="auto"/>
                <w:sz w:val="21"/>
                <w:szCs w:val="21"/>
                <w:lang w:bidi="ar"/>
              </w:rPr>
              <w:t>-</w:t>
            </w:r>
            <w:r>
              <w:rPr>
                <w:rFonts w:hint="default" w:ascii="Times New Roman" w:hAnsi="Times New Roman" w:cs="Times New Roman"/>
                <w:b/>
                <w:color w:val="auto"/>
                <w:sz w:val="21"/>
                <w:szCs w:val="21"/>
                <w:lang w:val="en-US" w:eastAsia="zh-CN" w:bidi="ar"/>
              </w:rPr>
              <w:t>6</w:t>
            </w:r>
            <w:r>
              <w:rPr>
                <w:rFonts w:hint="default" w:ascii="Times New Roman" w:hAnsi="Times New Roman" w:cs="Times New Roman"/>
                <w:b/>
                <w:color w:val="auto"/>
                <w:sz w:val="21"/>
                <w:szCs w:val="21"/>
                <w:lang w:bidi="ar"/>
              </w:rPr>
              <w:t xml:space="preserve"> </w:t>
            </w:r>
            <w:r>
              <w:rPr>
                <w:rFonts w:ascii="Times New Roman" w:hAnsi="Times New Roman" w:cs="Times New Roman"/>
                <w:b/>
                <w:color w:val="auto"/>
                <w:sz w:val="21"/>
                <w:szCs w:val="21"/>
                <w:lang w:bidi="ar"/>
              </w:rPr>
              <w:t>建设项目</w:t>
            </w:r>
            <w:r>
              <w:rPr>
                <w:rFonts w:hint="default" w:ascii="Times New Roman" w:hAnsi="Times New Roman" w:cs="Times New Roman"/>
                <w:b/>
                <w:color w:val="auto"/>
                <w:sz w:val="21"/>
                <w:szCs w:val="21"/>
                <w:lang w:bidi="ar"/>
              </w:rPr>
              <w:t>评价范围内主要地表水保护目标调查表</w:t>
            </w:r>
          </w:p>
          <w:tbl>
            <w:tblPr>
              <w:tblStyle w:val="24"/>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173"/>
              <w:gridCol w:w="690"/>
              <w:gridCol w:w="1740"/>
              <w:gridCol w:w="4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 w:hRule="atLeast"/>
                <w:jc w:val="center"/>
              </w:trPr>
              <w:tc>
                <w:tcPr>
                  <w:tcW w:w="936" w:type="dxa"/>
                  <w:tcBorders>
                    <w:tl2br w:val="nil"/>
                    <w:tr2bl w:val="nil"/>
                  </w:tcBorders>
                  <w:shd w:val="clear" w:color="auto" w:fill="D7D7D7"/>
                  <w:vAlign w:val="center"/>
                </w:tcPr>
                <w:p>
                  <w:pPr>
                    <w:snapToGrid w:val="0"/>
                    <w:jc w:val="center"/>
                    <w:rPr>
                      <w:rFonts w:ascii="Times New Roman" w:hAnsi="Times New Roman" w:cs="Times New Roman"/>
                      <w:b/>
                      <w:color w:val="auto"/>
                      <w:sz w:val="21"/>
                      <w:szCs w:val="21"/>
                      <w:u w:color="FF0000"/>
                    </w:rPr>
                  </w:pPr>
                  <w:r>
                    <w:rPr>
                      <w:rFonts w:ascii="Times New Roman" w:hAnsi="Times New Roman" w:cs="Times New Roman"/>
                      <w:b/>
                      <w:color w:val="auto"/>
                      <w:sz w:val="21"/>
                      <w:szCs w:val="21"/>
                      <w:u w:color="FF0000"/>
                    </w:rPr>
                    <w:t>类别</w:t>
                  </w:r>
                </w:p>
              </w:tc>
              <w:tc>
                <w:tcPr>
                  <w:tcW w:w="1173" w:type="dxa"/>
                  <w:tcBorders>
                    <w:tl2br w:val="nil"/>
                    <w:tr2bl w:val="nil"/>
                  </w:tcBorders>
                  <w:shd w:val="clear" w:color="auto" w:fill="D7D7D7"/>
                  <w:vAlign w:val="center"/>
                </w:tcPr>
                <w:p>
                  <w:pPr>
                    <w:snapToGrid w:val="0"/>
                    <w:jc w:val="center"/>
                    <w:rPr>
                      <w:rFonts w:ascii="Times New Roman" w:hAnsi="Times New Roman" w:cs="Times New Roman"/>
                      <w:b/>
                      <w:color w:val="auto"/>
                      <w:sz w:val="21"/>
                      <w:szCs w:val="21"/>
                      <w:u w:color="FF0000"/>
                    </w:rPr>
                  </w:pPr>
                  <w:r>
                    <w:rPr>
                      <w:rFonts w:ascii="Times New Roman" w:hAnsi="Times New Roman" w:cs="Times New Roman"/>
                      <w:b/>
                      <w:color w:val="auto"/>
                      <w:sz w:val="21"/>
                      <w:szCs w:val="21"/>
                      <w:u w:color="FF0000"/>
                    </w:rPr>
                    <w:t>目标名称</w:t>
                  </w:r>
                </w:p>
              </w:tc>
              <w:tc>
                <w:tcPr>
                  <w:tcW w:w="690" w:type="dxa"/>
                  <w:tcBorders>
                    <w:tl2br w:val="nil"/>
                    <w:tr2bl w:val="nil"/>
                  </w:tcBorders>
                  <w:shd w:val="clear" w:color="auto" w:fill="D7D7D7"/>
                  <w:vAlign w:val="center"/>
                </w:tcPr>
                <w:p>
                  <w:pPr>
                    <w:snapToGrid w:val="0"/>
                    <w:jc w:val="center"/>
                    <w:rPr>
                      <w:rFonts w:ascii="Times New Roman" w:hAnsi="Times New Roman" w:cs="Times New Roman"/>
                      <w:b/>
                      <w:color w:val="auto"/>
                      <w:sz w:val="21"/>
                      <w:szCs w:val="21"/>
                      <w:u w:color="FF0000"/>
                    </w:rPr>
                  </w:pPr>
                  <w:r>
                    <w:rPr>
                      <w:rFonts w:ascii="Times New Roman" w:hAnsi="Times New Roman" w:cs="Times New Roman"/>
                      <w:b/>
                      <w:color w:val="auto"/>
                      <w:sz w:val="21"/>
                      <w:szCs w:val="21"/>
                      <w:u w:color="FF0000"/>
                    </w:rPr>
                    <w:t>方位</w:t>
                  </w:r>
                </w:p>
              </w:tc>
              <w:tc>
                <w:tcPr>
                  <w:tcW w:w="1740" w:type="dxa"/>
                  <w:tcBorders>
                    <w:tl2br w:val="nil"/>
                    <w:tr2bl w:val="nil"/>
                  </w:tcBorders>
                  <w:shd w:val="clear" w:color="auto" w:fill="D7D7D7"/>
                  <w:vAlign w:val="center"/>
                </w:tcPr>
                <w:p>
                  <w:pPr>
                    <w:snapToGrid w:val="0"/>
                    <w:jc w:val="center"/>
                    <w:rPr>
                      <w:rFonts w:ascii="Times New Roman" w:hAnsi="Times New Roman" w:cs="Times New Roman"/>
                      <w:b/>
                      <w:color w:val="auto"/>
                      <w:sz w:val="21"/>
                      <w:szCs w:val="21"/>
                      <w:u w:color="FF0000"/>
                    </w:rPr>
                  </w:pPr>
                  <w:r>
                    <w:rPr>
                      <w:rFonts w:ascii="Times New Roman" w:hAnsi="Times New Roman" w:cs="Times New Roman"/>
                      <w:b/>
                      <w:color w:val="auto"/>
                      <w:sz w:val="21"/>
                      <w:szCs w:val="21"/>
                      <w:u w:color="FF0000"/>
                    </w:rPr>
                    <w:t>相对大厂界距离</w:t>
                  </w:r>
                </w:p>
              </w:tc>
              <w:tc>
                <w:tcPr>
                  <w:tcW w:w="4497" w:type="dxa"/>
                  <w:tcBorders>
                    <w:tl2br w:val="nil"/>
                    <w:tr2bl w:val="nil"/>
                  </w:tcBorders>
                  <w:shd w:val="clear" w:color="auto" w:fill="D7D7D7"/>
                  <w:vAlign w:val="center"/>
                </w:tcPr>
                <w:p>
                  <w:pPr>
                    <w:snapToGrid w:val="0"/>
                    <w:jc w:val="center"/>
                    <w:rPr>
                      <w:rFonts w:ascii="Times New Roman" w:hAnsi="Times New Roman" w:cs="Times New Roman"/>
                      <w:b/>
                      <w:color w:val="auto"/>
                      <w:sz w:val="21"/>
                      <w:szCs w:val="21"/>
                      <w:u w:color="FF0000"/>
                    </w:rPr>
                  </w:pPr>
                  <w:r>
                    <w:rPr>
                      <w:rFonts w:ascii="Times New Roman" w:hAnsi="Times New Roman" w:cs="Times New Roman"/>
                      <w:b/>
                      <w:color w:val="auto"/>
                      <w:sz w:val="21"/>
                      <w:szCs w:val="21"/>
                      <w:u w:color="FF0000"/>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36" w:type="dxa"/>
                  <w:tcBorders>
                    <w:tl2br w:val="nil"/>
                    <w:tr2bl w:val="nil"/>
                  </w:tcBorders>
                  <w:vAlign w:val="center"/>
                </w:tcPr>
                <w:p>
                  <w:pPr>
                    <w:snapToGrid w:val="0"/>
                    <w:jc w:val="center"/>
                    <w:rPr>
                      <w:rFonts w:ascii="Times New Roman" w:hAnsi="Times New Roman" w:cs="Times New Roman"/>
                      <w:bCs/>
                      <w:color w:val="auto"/>
                      <w:sz w:val="21"/>
                      <w:szCs w:val="21"/>
                      <w:u w:color="FF0000"/>
                    </w:rPr>
                  </w:pPr>
                  <w:r>
                    <w:rPr>
                      <w:rFonts w:ascii="Times New Roman" w:hAnsi="Times New Roman" w:cs="Times New Roman"/>
                      <w:bCs/>
                      <w:color w:val="auto"/>
                      <w:sz w:val="21"/>
                      <w:szCs w:val="21"/>
                      <w:u w:color="FF0000"/>
                    </w:rPr>
                    <w:t>地表水</w:t>
                  </w:r>
                </w:p>
              </w:tc>
              <w:tc>
                <w:tcPr>
                  <w:tcW w:w="1173" w:type="dxa"/>
                  <w:tcBorders>
                    <w:tl2br w:val="nil"/>
                    <w:tr2bl w:val="nil"/>
                  </w:tcBorders>
                  <w:vAlign w:val="center"/>
                </w:tcPr>
                <w:p>
                  <w:pPr>
                    <w:wordWrap w:val="0"/>
                    <w:autoSpaceDE/>
                    <w:autoSpaceDN/>
                    <w:jc w:val="center"/>
                    <w:rPr>
                      <w:rFonts w:ascii="Times New Roman" w:hAnsi="Times New Roman" w:cs="Times New Roman"/>
                      <w:bCs/>
                      <w:color w:val="auto"/>
                      <w:sz w:val="21"/>
                      <w:szCs w:val="21"/>
                      <w:u w:color="FF0000"/>
                    </w:rPr>
                  </w:pPr>
                  <w:r>
                    <w:rPr>
                      <w:rFonts w:hint="default" w:ascii="Times New Roman" w:hAnsi="Times New Roman" w:cs="Times New Roman"/>
                      <w:bCs/>
                      <w:color w:val="auto"/>
                      <w:sz w:val="21"/>
                      <w:szCs w:val="21"/>
                      <w:u w:color="FF0000"/>
                    </w:rPr>
                    <w:t>芝溪河</w:t>
                  </w:r>
                </w:p>
              </w:tc>
              <w:tc>
                <w:tcPr>
                  <w:tcW w:w="690" w:type="dxa"/>
                  <w:tcBorders>
                    <w:tl2br w:val="nil"/>
                    <w:tr2bl w:val="nil"/>
                  </w:tcBorders>
                  <w:vAlign w:val="center"/>
                </w:tcPr>
                <w:p>
                  <w:pPr>
                    <w:wordWrap w:val="0"/>
                    <w:autoSpaceDE/>
                    <w:autoSpaceDN/>
                    <w:jc w:val="center"/>
                    <w:rPr>
                      <w:rFonts w:ascii="Times New Roman" w:hAnsi="Times New Roman" w:cs="Times New Roman"/>
                      <w:bCs/>
                      <w:color w:val="auto"/>
                      <w:sz w:val="21"/>
                      <w:szCs w:val="21"/>
                      <w:u w:color="FF0000"/>
                    </w:rPr>
                  </w:pPr>
                  <w:r>
                    <w:rPr>
                      <w:rFonts w:hint="default" w:ascii="Times New Roman" w:hAnsi="Times New Roman" w:cs="Times New Roman"/>
                      <w:color w:val="auto"/>
                      <w:sz w:val="21"/>
                      <w:szCs w:val="21"/>
                      <w:u w:color="FF0000"/>
                    </w:rPr>
                    <w:t>北</w:t>
                  </w:r>
                  <w:r>
                    <w:rPr>
                      <w:rFonts w:ascii="Times New Roman" w:hAnsi="Times New Roman" w:cs="Times New Roman"/>
                      <w:color w:val="auto"/>
                      <w:sz w:val="21"/>
                      <w:szCs w:val="21"/>
                      <w:u w:color="FF0000"/>
                    </w:rPr>
                    <w:t>面</w:t>
                  </w:r>
                </w:p>
              </w:tc>
              <w:tc>
                <w:tcPr>
                  <w:tcW w:w="1740" w:type="dxa"/>
                  <w:tcBorders>
                    <w:tl2br w:val="nil"/>
                    <w:tr2bl w:val="nil"/>
                  </w:tcBorders>
                  <w:vAlign w:val="center"/>
                </w:tcPr>
                <w:p>
                  <w:pPr>
                    <w:wordWrap w:val="0"/>
                    <w:autoSpaceDE/>
                    <w:autoSpaceDN/>
                    <w:jc w:val="center"/>
                    <w:rPr>
                      <w:rFonts w:ascii="Times New Roman" w:hAnsi="Times New Roman" w:cs="Times New Roman"/>
                      <w:bCs/>
                      <w:color w:val="auto"/>
                      <w:sz w:val="21"/>
                      <w:szCs w:val="21"/>
                      <w:u w:color="FF0000"/>
                    </w:rPr>
                  </w:pPr>
                  <w:r>
                    <w:rPr>
                      <w:rFonts w:hint="default" w:ascii="Times New Roman" w:hAnsi="Times New Roman" w:cs="Times New Roman"/>
                      <w:color w:val="auto"/>
                      <w:sz w:val="21"/>
                      <w:szCs w:val="21"/>
                      <w:u w:color="FF0000"/>
                    </w:rPr>
                    <w:t>3083</w:t>
                  </w:r>
                  <w:r>
                    <w:rPr>
                      <w:rFonts w:ascii="Times New Roman" w:hAnsi="Times New Roman" w:cs="Times New Roman"/>
                      <w:color w:val="auto"/>
                      <w:sz w:val="21"/>
                      <w:szCs w:val="21"/>
                      <w:u w:color="FF0000"/>
                    </w:rPr>
                    <w:t>m</w:t>
                  </w:r>
                </w:p>
              </w:tc>
              <w:tc>
                <w:tcPr>
                  <w:tcW w:w="4497" w:type="dxa"/>
                  <w:tcBorders>
                    <w:tl2br w:val="nil"/>
                    <w:tr2bl w:val="nil"/>
                  </w:tcBorders>
                  <w:vAlign w:val="center"/>
                </w:tcPr>
                <w:p>
                  <w:pPr>
                    <w:snapToGrid w:val="0"/>
                    <w:jc w:val="center"/>
                    <w:rPr>
                      <w:rFonts w:ascii="Times New Roman" w:hAnsi="Times New Roman" w:cs="Times New Roman"/>
                      <w:bCs/>
                      <w:color w:val="auto"/>
                      <w:sz w:val="21"/>
                      <w:szCs w:val="21"/>
                      <w:u w:color="FF0000"/>
                    </w:rPr>
                  </w:pPr>
                  <w:r>
                    <w:rPr>
                      <w:rFonts w:ascii="Times New Roman" w:hAnsi="Times New Roman" w:cs="Times New Roman"/>
                      <w:color w:val="auto"/>
                      <w:sz w:val="21"/>
                      <w:szCs w:val="21"/>
                      <w:u w:color="FF0000"/>
                    </w:rPr>
                    <w:t>《地表水环境质量标准》（GB3838-2002）Ⅲ类</w:t>
                  </w:r>
                </w:p>
              </w:tc>
            </w:tr>
          </w:tbl>
          <w:p>
            <w:pPr>
              <w:spacing w:line="360" w:lineRule="auto"/>
              <w:rPr>
                <w:rFonts w:ascii="Times New Roman" w:hAnsi="Times New Roman" w:cs="Times New Roman"/>
                <w:b/>
                <w:color w:val="auto"/>
                <w:sz w:val="24"/>
                <w:szCs w:val="32"/>
                <w:u w:color="FF0000"/>
              </w:rPr>
            </w:pPr>
            <w:r>
              <w:rPr>
                <w:rFonts w:hint="default" w:ascii="Times New Roman" w:hAnsi="Times New Roman" w:cs="Times New Roman"/>
                <w:b/>
                <w:color w:val="auto"/>
                <w:sz w:val="24"/>
                <w:szCs w:val="32"/>
                <w:u w:color="FF0000"/>
              </w:rPr>
              <w:t>（三</w:t>
            </w:r>
            <w:r>
              <w:rPr>
                <w:rFonts w:ascii="Times New Roman" w:hAnsi="Times New Roman" w:cs="Times New Roman"/>
                <w:b/>
                <w:color w:val="auto"/>
                <w:sz w:val="24"/>
                <w:szCs w:val="32"/>
                <w:u w:color="FF0000"/>
              </w:rPr>
              <w:t>）声环境</w:t>
            </w:r>
          </w:p>
          <w:p>
            <w:pPr>
              <w:spacing w:line="360" w:lineRule="auto"/>
              <w:ind w:firstLine="480"/>
              <w:rPr>
                <w:rFonts w:ascii="Times New Roman" w:hAnsi="Times New Roman" w:cs="Times New Roman"/>
                <w:color w:val="auto"/>
                <w:sz w:val="24"/>
                <w:szCs w:val="20"/>
                <w:u w:color="FF0000"/>
              </w:rPr>
            </w:pPr>
            <w:r>
              <w:rPr>
                <w:rFonts w:ascii="Times New Roman" w:hAnsi="Times New Roman" w:cs="Times New Roman"/>
                <w:color w:val="auto"/>
                <w:sz w:val="24"/>
                <w:szCs w:val="20"/>
                <w:u w:color="FF0000"/>
              </w:rPr>
              <w:t>声学环境保护目标为本项目厂界及周边50m范围内的声学环境质量，不因本项目的实施而改变评价区域内的声学环境质量，即满足《声环境质量标准》（GB3096-2008）规定的3类标准限值要求。</w:t>
            </w:r>
          </w:p>
          <w:p>
            <w:pPr>
              <w:spacing w:line="360" w:lineRule="auto"/>
              <w:rPr>
                <w:rFonts w:ascii="Times New Roman" w:hAnsi="Times New Roman" w:cs="Times New Roman"/>
                <w:color w:val="auto"/>
                <w:sz w:val="24"/>
                <w:szCs w:val="24"/>
              </w:rPr>
            </w:pPr>
            <w:r>
              <w:rPr>
                <w:rFonts w:hint="default" w:ascii="Times New Roman" w:hAnsi="Times New Roman" w:cs="Times New Roman"/>
                <w:b/>
                <w:color w:val="auto"/>
                <w:sz w:val="24"/>
                <w:szCs w:val="32"/>
                <w:u w:color="FF0000"/>
              </w:rPr>
              <w:t>（四）地下水</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sz w:val="24"/>
                <w:szCs w:val="24"/>
              </w:rPr>
              <w:t>根据《建设项目环境影响报告表编制技术指南》（污染影响类）（试行）中地下水环境保护目标可知，应明确厂界外500米范围内的地下水集中式饮用水水源和热水、矿泉水、温泉等特殊地下水资源。本项目周边500m范围内无地下水集中式饮用水水源和热水、矿泉水、温泉等特殊地下水资源。</w:t>
            </w:r>
          </w:p>
          <w:p>
            <w:pPr>
              <w:spacing w:line="360" w:lineRule="auto"/>
              <w:rPr>
                <w:rFonts w:ascii="Times New Roman" w:hAnsi="Times New Roman" w:cs="Times New Roman"/>
                <w:b/>
                <w:color w:val="auto"/>
                <w:sz w:val="24"/>
                <w:szCs w:val="32"/>
                <w:u w:color="FF0000"/>
              </w:rPr>
            </w:pPr>
            <w:r>
              <w:rPr>
                <w:rFonts w:hint="default" w:ascii="Times New Roman" w:hAnsi="Times New Roman" w:cs="Times New Roman"/>
                <w:b/>
                <w:color w:val="auto"/>
                <w:sz w:val="24"/>
                <w:szCs w:val="32"/>
                <w:u w:color="FF0000"/>
              </w:rPr>
              <w:t>（五）生态环境</w:t>
            </w:r>
          </w:p>
          <w:p>
            <w:pPr>
              <w:widowControl/>
              <w:spacing w:line="360" w:lineRule="auto"/>
              <w:ind w:firstLine="480" w:firstLineChars="200"/>
              <w:jc w:val="both"/>
              <w:textAlignment w:val="center"/>
              <w:rPr>
                <w:rFonts w:ascii="Times New Roman" w:hAnsi="Times New Roman" w:cs="Times New Roman"/>
                <w:b/>
                <w:color w:val="auto"/>
                <w:sz w:val="21"/>
                <w:szCs w:val="21"/>
                <w:lang w:bidi="ar"/>
              </w:rPr>
            </w:pPr>
            <w:r>
              <w:rPr>
                <w:rFonts w:ascii="Times New Roman" w:hAnsi="Times New Roman" w:cs="Times New Roman"/>
                <w:color w:val="auto"/>
                <w:sz w:val="24"/>
                <w:szCs w:val="24"/>
              </w:rPr>
              <w:t>实地勘察，厂区位于</w:t>
            </w:r>
            <w:r>
              <w:rPr>
                <w:rFonts w:hint="default" w:ascii="Times New Roman" w:hAnsi="Times New Roman" w:cs="Times New Roman"/>
                <w:color w:val="auto"/>
                <w:sz w:val="24"/>
                <w:szCs w:val="24"/>
              </w:rPr>
              <w:t>四川省遂宁市蓬溪县赤城镇上游工业园区</w:t>
            </w:r>
            <w:r>
              <w:rPr>
                <w:rFonts w:ascii="Times New Roman" w:hAnsi="Times New Roman" w:cs="Times New Roman"/>
                <w:color w:val="auto"/>
                <w:sz w:val="24"/>
                <w:szCs w:val="24"/>
              </w:rPr>
              <w:t>内，</w:t>
            </w:r>
            <w:r>
              <w:rPr>
                <w:rFonts w:hint="default" w:ascii="Times New Roman" w:hAnsi="Times New Roman" w:cs="Times New Roman"/>
                <w:color w:val="auto"/>
                <w:sz w:val="24"/>
                <w:szCs w:val="24"/>
              </w:rPr>
              <w:t>利用四川澳峰橡胶有限公司原有厂房</w:t>
            </w:r>
            <w:r>
              <w:rPr>
                <w:rFonts w:ascii="Times New Roman" w:hAnsi="Times New Roman" w:cs="Times New Roman"/>
                <w:color w:val="auto"/>
                <w:sz w:val="24"/>
                <w:szCs w:val="24"/>
              </w:rPr>
              <w:t>设施。同时，根据</w:t>
            </w:r>
            <w:r>
              <w:rPr>
                <w:rFonts w:hint="default" w:ascii="Times New Roman" w:hAnsi="Times New Roman" w:cs="Times New Roman"/>
                <w:color w:val="auto"/>
                <w:sz w:val="24"/>
                <w:szCs w:val="24"/>
              </w:rPr>
              <w:t>现场</w:t>
            </w:r>
            <w:r>
              <w:rPr>
                <w:rFonts w:ascii="Times New Roman" w:hAnsi="Times New Roman" w:cs="Times New Roman"/>
                <w:color w:val="auto"/>
                <w:sz w:val="24"/>
                <w:szCs w:val="24"/>
              </w:rPr>
              <w:t>调查由于人类活动频繁，</w:t>
            </w:r>
            <w:r>
              <w:rPr>
                <w:rFonts w:hint="default" w:ascii="Times New Roman" w:hAnsi="Times New Roman" w:cs="Times New Roman"/>
                <w:color w:val="auto"/>
                <w:sz w:val="24"/>
                <w:szCs w:val="24"/>
              </w:rPr>
              <w:t>项目所在地</w:t>
            </w:r>
            <w:r>
              <w:rPr>
                <w:rFonts w:ascii="Times New Roman" w:hAnsi="Times New Roman" w:cs="Times New Roman"/>
                <w:color w:val="auto"/>
                <w:sz w:val="24"/>
                <w:szCs w:val="24"/>
              </w:rPr>
              <w:t>已不存在原生植被。</w:t>
            </w:r>
            <w:r>
              <w:rPr>
                <w:rFonts w:hint="default" w:ascii="Times New Roman" w:hAnsi="Times New Roman" w:cs="Times New Roman"/>
                <w:color w:val="auto"/>
                <w:sz w:val="24"/>
                <w:szCs w:val="24"/>
              </w:rPr>
              <w:t>蓬溪县赤城镇上游工业园区</w:t>
            </w:r>
            <w:r>
              <w:rPr>
                <w:rFonts w:ascii="Times New Roman" w:hAnsi="Times New Roman" w:cs="Times New Roman"/>
                <w:color w:val="auto"/>
                <w:sz w:val="24"/>
                <w:szCs w:val="24"/>
              </w:rPr>
              <w:t>因人类活动频繁，附近已无大型野生动物出没。</w:t>
            </w:r>
            <w:r>
              <w:rPr>
                <w:rFonts w:hint="default" w:ascii="Times New Roman" w:hAnsi="Times New Roman" w:cs="Times New Roman"/>
                <w:color w:val="auto"/>
                <w:sz w:val="24"/>
                <w:szCs w:val="24"/>
              </w:rPr>
              <w:t>区域内</w:t>
            </w:r>
            <w:r>
              <w:rPr>
                <w:rFonts w:ascii="Times New Roman" w:hAnsi="Times New Roman" w:cs="Times New Roman"/>
                <w:color w:val="auto"/>
                <w:sz w:val="24"/>
                <w:szCs w:val="24"/>
              </w:rPr>
              <w:t>不涉及生态环境保护目标。</w:t>
            </w:r>
          </w:p>
          <w:p>
            <w:pPr>
              <w:pStyle w:val="34"/>
              <w:ind w:firstLine="480"/>
              <w:rPr>
                <w:rFonts w:ascii="Times New Roman" w:hAnsi="Times New Roman" w:cs="Times New Roman"/>
                <w:color w:val="auto"/>
              </w:rPr>
            </w:pPr>
            <w:r>
              <w:rPr>
                <w:rFonts w:hint="default" w:ascii="Times New Roman" w:hAnsi="Times New Roman" w:cs="Times New Roman"/>
                <w:color w:val="auto"/>
              </w:rPr>
              <w:t>综上所述，</w:t>
            </w:r>
            <w:r>
              <w:rPr>
                <w:rFonts w:hint="eastAsia"/>
                <w:color w:val="auto"/>
                <w:sz w:val="24"/>
              </w:rPr>
              <w:t>本项目</w:t>
            </w:r>
            <w:r>
              <w:rPr>
                <w:rFonts w:hint="eastAsia"/>
                <w:color w:val="auto"/>
                <w:sz w:val="24"/>
                <w:lang w:val="en-US" w:eastAsia="zh-CN"/>
              </w:rPr>
              <w:t>将</w:t>
            </w:r>
            <w:r>
              <w:rPr>
                <w:rFonts w:hint="eastAsia"/>
                <w:color w:val="auto"/>
                <w:sz w:val="24"/>
              </w:rPr>
              <w:t>周边</w:t>
            </w:r>
            <w:r>
              <w:rPr>
                <w:rFonts w:hint="eastAsia"/>
                <w:color w:val="auto"/>
                <w:sz w:val="24"/>
                <w:lang w:val="en-US" w:eastAsia="zh-CN"/>
              </w:rPr>
              <w:t>住户</w:t>
            </w:r>
            <w:r>
              <w:rPr>
                <w:rFonts w:hint="eastAsia" w:cs="Times New Roman" w:eastAsiaTheme="minorEastAsia"/>
                <w:b w:val="0"/>
                <w:bCs w:val="0"/>
                <w:color w:val="auto"/>
                <w:sz w:val="24"/>
                <w:szCs w:val="24"/>
                <w:u w:val="none" w:color="auto"/>
                <w:vertAlign w:val="baseline"/>
                <w:lang w:val="en-US" w:eastAsia="zh-CN"/>
              </w:rPr>
              <w:t>作为</w:t>
            </w:r>
            <w:r>
              <w:rPr>
                <w:rFonts w:hint="eastAsia" w:cs="Times New Roman"/>
                <w:color w:val="auto"/>
                <w:sz w:val="24"/>
                <w:szCs w:val="24"/>
                <w:u w:val="none" w:color="auto"/>
                <w:lang w:val="en-US" w:eastAsia="zh-CN"/>
              </w:rPr>
              <w:t>本项目的</w:t>
            </w:r>
            <w:r>
              <w:rPr>
                <w:rFonts w:hint="eastAsia" w:cs="Times New Roman" w:eastAsiaTheme="minorEastAsia"/>
                <w:b w:val="0"/>
                <w:bCs w:val="0"/>
                <w:color w:val="auto"/>
                <w:sz w:val="24"/>
                <w:szCs w:val="24"/>
                <w:u w:val="none" w:color="auto"/>
                <w:vertAlign w:val="baseline"/>
                <w:lang w:val="en-US" w:eastAsia="zh-CN"/>
              </w:rPr>
              <w:t>生态环境保护目标。</w:t>
            </w:r>
            <w:r>
              <w:rPr>
                <w:rFonts w:hint="eastAsia"/>
                <w:color w:val="auto"/>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tcMar>
              <w:left w:w="28" w:type="dxa"/>
              <w:right w:w="28" w:type="dxa"/>
            </w:tcMar>
            <w:vAlign w:val="center"/>
          </w:tcPr>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污</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染</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物</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排</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放</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控</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制</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标</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准</w:t>
            </w:r>
          </w:p>
        </w:tc>
        <w:tc>
          <w:tcPr>
            <w:tcW w:w="9270" w:type="dxa"/>
            <w:vAlign w:val="center"/>
          </w:tcPr>
          <w:p>
            <w:pPr>
              <w:spacing w:line="360" w:lineRule="auto"/>
              <w:rPr>
                <w:rFonts w:ascii="Times New Roman" w:hAnsi="Times New Roman" w:cs="Times New Roman"/>
                <w:color w:val="auto"/>
              </w:rPr>
            </w:pPr>
            <w:r>
              <w:rPr>
                <w:rFonts w:hint="default" w:ascii="Times New Roman" w:hAnsi="Times New Roman" w:cs="Times New Roman"/>
                <w:b/>
                <w:color w:val="auto"/>
                <w:sz w:val="24"/>
                <w:szCs w:val="20"/>
                <w:u w:color="FF0000"/>
              </w:rPr>
              <w:t>污染物排放标准：</w:t>
            </w:r>
          </w:p>
          <w:p>
            <w:pPr>
              <w:pStyle w:val="41"/>
              <w:widowControl w:val="0"/>
              <w:spacing w:beforeLines="0" w:afterLines="0"/>
              <w:ind w:firstLine="480"/>
              <w:jc w:val="left"/>
              <w:rPr>
                <w:rFonts w:ascii="Times New Roman" w:hAnsi="Times New Roman" w:cs="Times New Roman"/>
                <w:color w:val="auto"/>
              </w:rPr>
            </w:pPr>
            <w:r>
              <w:rPr>
                <w:rFonts w:ascii="Times New Roman" w:hAnsi="Times New Roman" w:cs="Times New Roman"/>
                <w:color w:val="auto"/>
              </w:rPr>
              <w:t>1、废水</w:t>
            </w:r>
            <w:r>
              <w:rPr>
                <w:rFonts w:hint="default" w:ascii="Times New Roman" w:hAnsi="Times New Roman" w:cs="Times New Roman"/>
                <w:color w:val="auto"/>
              </w:rPr>
              <w:t xml:space="preserve">        </w:t>
            </w:r>
          </w:p>
          <w:p>
            <w:pPr>
              <w:pStyle w:val="53"/>
              <w:spacing w:line="360" w:lineRule="auto"/>
              <w:ind w:left="0" w:right="0" w:firstLine="480" w:firstLineChars="200"/>
              <w:jc w:val="both"/>
              <w:rPr>
                <w:rFonts w:ascii="Times New Roman" w:hAnsi="Times New Roman" w:cs="Times New Roman"/>
                <w:color w:val="auto"/>
                <w:sz w:val="21"/>
                <w:szCs w:val="21"/>
              </w:rPr>
            </w:pPr>
            <w:r>
              <w:rPr>
                <w:rFonts w:ascii="Times New Roman" w:hAnsi="Times New Roman" w:cs="Times New Roman"/>
                <w:color w:val="auto"/>
                <w:kern w:val="2"/>
                <w:szCs w:val="24"/>
              </w:rPr>
              <w:t>项目营运期无生产废水外排，</w:t>
            </w:r>
            <w:r>
              <w:rPr>
                <w:rFonts w:ascii="Times New Roman" w:hAnsi="Times New Roman" w:cs="Times New Roman"/>
                <w:color w:val="auto"/>
              </w:rPr>
              <w:t>生活污水排入厂区已建化粪池收集处理达《污水综合排放标准》（GB8978-1996）三级标准后，经园区污水管网排放至</w:t>
            </w:r>
            <w:r>
              <w:rPr>
                <w:rFonts w:hint="default" w:ascii="Times New Roman" w:hAnsi="Times New Roman" w:cs="Times New Roman"/>
                <w:color w:val="auto"/>
              </w:rPr>
              <w:t>污</w:t>
            </w:r>
            <w:r>
              <w:rPr>
                <w:rFonts w:ascii="Times New Roman" w:hAnsi="Times New Roman" w:cs="Times New Roman"/>
                <w:color w:val="auto"/>
              </w:rPr>
              <w:t>水处理厂进行处理，出水水质达《城镇污水处理厂污染物排放标准》（GB18918-2002）中一级A标准后外排，最终排入芝溪河。</w:t>
            </w:r>
            <w:r>
              <w:rPr>
                <w:rFonts w:ascii="Times New Roman" w:hAnsi="Times New Roman" w:cs="Times New Roman"/>
                <w:color w:val="auto"/>
                <w:szCs w:val="24"/>
              </w:rPr>
              <w:t>主要污染物指标限值详见下表：</w:t>
            </w:r>
          </w:p>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7</w:t>
            </w:r>
            <w:r>
              <w:rPr>
                <w:rFonts w:ascii="Times New Roman" w:hAnsi="Times New Roman" w:cs="Times New Roman"/>
                <w:b/>
                <w:bCs/>
                <w:color w:val="auto"/>
                <w:sz w:val="21"/>
                <w:szCs w:val="21"/>
              </w:rPr>
              <w:t xml:space="preserve">  污水综合排放标准（mg/L）</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709"/>
              <w:gridCol w:w="708"/>
              <w:gridCol w:w="851"/>
              <w:gridCol w:w="709"/>
              <w:gridCol w:w="1134"/>
              <w:gridCol w:w="709"/>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80"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sz w:val="21"/>
                      <w:szCs w:val="21"/>
                    </w:rPr>
                    <w:t>评价标准</w:t>
                  </w:r>
                </w:p>
              </w:tc>
              <w:tc>
                <w:tcPr>
                  <w:tcW w:w="709"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pH</w:t>
                  </w:r>
                </w:p>
              </w:tc>
              <w:tc>
                <w:tcPr>
                  <w:tcW w:w="708"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COD</w:t>
                  </w:r>
                </w:p>
              </w:tc>
              <w:tc>
                <w:tcPr>
                  <w:tcW w:w="851"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kern w:val="2"/>
                      <w:sz w:val="21"/>
                      <w:szCs w:val="21"/>
                    </w:rPr>
                    <w:t>BOD</w:t>
                  </w:r>
                  <w:r>
                    <w:rPr>
                      <w:rFonts w:ascii="Times New Roman" w:hAnsi="Times New Roman" w:cs="Times New Roman"/>
                      <w:b/>
                      <w:bCs/>
                      <w:color w:val="auto"/>
                      <w:kern w:val="2"/>
                      <w:sz w:val="21"/>
                      <w:szCs w:val="21"/>
                      <w:vertAlign w:val="subscript"/>
                    </w:rPr>
                    <w:t>5</w:t>
                  </w:r>
                </w:p>
              </w:tc>
              <w:tc>
                <w:tcPr>
                  <w:tcW w:w="709"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sz w:val="21"/>
                      <w:szCs w:val="21"/>
                    </w:rPr>
                    <w:t>氨氮</w:t>
                  </w:r>
                </w:p>
              </w:tc>
              <w:tc>
                <w:tcPr>
                  <w:tcW w:w="1134"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sz w:val="21"/>
                      <w:szCs w:val="21"/>
                    </w:rPr>
                    <w:t>动植物油</w:t>
                  </w:r>
                </w:p>
              </w:tc>
              <w:tc>
                <w:tcPr>
                  <w:tcW w:w="709"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sz w:val="21"/>
                      <w:szCs w:val="21"/>
                    </w:rPr>
                    <w:t>总磷</w:t>
                  </w:r>
                </w:p>
              </w:tc>
              <w:tc>
                <w:tcPr>
                  <w:tcW w:w="813" w:type="dxa"/>
                  <w:vAlign w:val="center"/>
                </w:tcPr>
                <w:p>
                  <w:pPr>
                    <w:pStyle w:val="53"/>
                    <w:snapToGrid w:val="0"/>
                    <w:spacing w:line="240" w:lineRule="atLeast"/>
                    <w:ind w:left="0" w:right="0" w:firstLine="0"/>
                    <w:jc w:val="center"/>
                    <w:rPr>
                      <w:rFonts w:ascii="Times New Roman" w:hAnsi="Times New Roman" w:cs="Times New Roman"/>
                      <w:b/>
                      <w:bCs/>
                      <w:color w:val="auto"/>
                      <w:kern w:val="2"/>
                      <w:sz w:val="21"/>
                      <w:szCs w:val="21"/>
                    </w:rPr>
                  </w:pPr>
                  <w:r>
                    <w:rPr>
                      <w:rFonts w:ascii="Times New Roman" w:hAnsi="Times New Roman" w:cs="Times New Roman"/>
                      <w:b/>
                      <w:bCs/>
                      <w:color w:val="auto"/>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80"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《污水综合排放标准》（GB8978-1996）三级标准</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6~9</w:t>
                  </w:r>
                </w:p>
              </w:tc>
              <w:tc>
                <w:tcPr>
                  <w:tcW w:w="708"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500</w:t>
                  </w:r>
                </w:p>
              </w:tc>
              <w:tc>
                <w:tcPr>
                  <w:tcW w:w="851"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300</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45</w:t>
                  </w:r>
                </w:p>
              </w:tc>
              <w:tc>
                <w:tcPr>
                  <w:tcW w:w="1134"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100</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8</w:t>
                  </w:r>
                </w:p>
              </w:tc>
              <w:tc>
                <w:tcPr>
                  <w:tcW w:w="813"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80" w:type="dxa"/>
                  <w:vAlign w:val="center"/>
                </w:tcPr>
                <w:p>
                  <w:pPr>
                    <w:pStyle w:val="53"/>
                    <w:snapToGrid w:val="0"/>
                    <w:spacing w:line="240" w:lineRule="atLeast"/>
                    <w:ind w:left="0" w:right="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《城镇污水处理厂污染物排放标准》（GB18918-2002）</w:t>
                  </w:r>
                </w:p>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sz w:val="21"/>
                      <w:szCs w:val="21"/>
                    </w:rPr>
                    <w:t>一级A标准</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6~9</w:t>
                  </w:r>
                </w:p>
              </w:tc>
              <w:tc>
                <w:tcPr>
                  <w:tcW w:w="708"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50</w:t>
                  </w:r>
                </w:p>
              </w:tc>
              <w:tc>
                <w:tcPr>
                  <w:tcW w:w="851"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10</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5</w:t>
                  </w:r>
                </w:p>
              </w:tc>
              <w:tc>
                <w:tcPr>
                  <w:tcW w:w="1134"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w:t>
                  </w:r>
                </w:p>
              </w:tc>
              <w:tc>
                <w:tcPr>
                  <w:tcW w:w="709"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0.5</w:t>
                  </w:r>
                </w:p>
              </w:tc>
              <w:tc>
                <w:tcPr>
                  <w:tcW w:w="813" w:type="dxa"/>
                  <w:vAlign w:val="center"/>
                </w:tcPr>
                <w:p>
                  <w:pPr>
                    <w:pStyle w:val="53"/>
                    <w:snapToGrid w:val="0"/>
                    <w:spacing w:line="240" w:lineRule="atLeast"/>
                    <w:ind w:left="0" w:right="0" w:firstLine="0"/>
                    <w:jc w:val="center"/>
                    <w:rPr>
                      <w:rFonts w:ascii="Times New Roman" w:hAnsi="Times New Roman" w:cs="Times New Roman"/>
                      <w:color w:val="auto"/>
                      <w:kern w:val="2"/>
                      <w:sz w:val="21"/>
                      <w:szCs w:val="21"/>
                    </w:rPr>
                  </w:pPr>
                  <w:r>
                    <w:rPr>
                      <w:rFonts w:ascii="Times New Roman" w:hAnsi="Times New Roman" w:cs="Times New Roman"/>
                      <w:color w:val="auto"/>
                      <w:kern w:val="2"/>
                      <w:sz w:val="21"/>
                      <w:szCs w:val="21"/>
                    </w:rPr>
                    <w:t>10</w:t>
                  </w:r>
                </w:p>
              </w:tc>
            </w:tr>
          </w:tbl>
          <w:p>
            <w:pPr>
              <w:snapToGrid w:val="0"/>
              <w:spacing w:line="360" w:lineRule="auto"/>
              <w:ind w:firstLine="240" w:firstLineChars="100"/>
              <w:rPr>
                <w:rFonts w:ascii="Times New Roman" w:hAnsi="Times New Roman" w:cs="Times New Roman"/>
                <w:color w:val="auto"/>
                <w:sz w:val="24"/>
                <w:szCs w:val="24"/>
              </w:rPr>
            </w:pPr>
            <w:r>
              <w:rPr>
                <w:rFonts w:ascii="Times New Roman" w:hAnsi="Times New Roman" w:cs="Times New Roman"/>
                <w:color w:val="auto"/>
                <w:sz w:val="24"/>
                <w:szCs w:val="24"/>
              </w:rPr>
              <w:t>注：氨氮、总磷执行《污水排入城镇下水道水质标准》（GB/T31962-2015）表1B级。</w:t>
            </w:r>
          </w:p>
          <w:p>
            <w:pPr>
              <w:pStyle w:val="41"/>
              <w:widowControl w:val="0"/>
              <w:spacing w:beforeLines="0" w:afterLines="0"/>
              <w:ind w:firstLine="480"/>
              <w:jc w:val="left"/>
              <w:rPr>
                <w:rFonts w:ascii="Times New Roman" w:hAnsi="Times New Roman" w:cs="Times New Roman"/>
                <w:color w:val="auto"/>
              </w:rPr>
            </w:pPr>
            <w:r>
              <w:rPr>
                <w:rFonts w:ascii="Times New Roman" w:hAnsi="Times New Roman" w:cs="Times New Roman"/>
                <w:color w:val="auto"/>
              </w:rPr>
              <w:t>2、废气</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本项目为使用</w:t>
            </w:r>
            <w:r>
              <w:rPr>
                <w:rFonts w:hint="default" w:ascii="Times New Roman" w:hAnsi="Times New Roman" w:cs="Times New Roman"/>
                <w:color w:val="auto"/>
                <w:sz w:val="24"/>
                <w:szCs w:val="24"/>
                <w:shd w:val="clear" w:color="auto" w:fill="FFFFFF"/>
              </w:rPr>
              <w:t>砂石、水泥、钢筋、水等</w:t>
            </w:r>
            <w:r>
              <w:rPr>
                <w:rFonts w:hint="default" w:ascii="Times New Roman" w:hAnsi="Times New Roman" w:cs="Times New Roman"/>
                <w:color w:val="auto"/>
                <w:sz w:val="24"/>
                <w:szCs w:val="24"/>
              </w:rPr>
              <w:t>为原料生产</w:t>
            </w:r>
            <w:r>
              <w:rPr>
                <w:rFonts w:hint="default" w:ascii="Times New Roman" w:hAnsi="Times New Roman" w:cs="Times New Roman"/>
                <w:color w:val="auto"/>
                <w:sz w:val="24"/>
                <w:lang w:val="en-US" w:eastAsia="zh-CN"/>
              </w:rPr>
              <w:t>水泥</w:t>
            </w:r>
            <w:r>
              <w:rPr>
                <w:rFonts w:ascii="Times New Roman" w:hAnsi="Times New Roman" w:cs="Times New Roman"/>
                <w:color w:val="auto"/>
                <w:sz w:val="24"/>
              </w:rPr>
              <w:t>制品</w:t>
            </w:r>
            <w:r>
              <w:rPr>
                <w:rFonts w:hint="default" w:ascii="Times New Roman" w:hAnsi="Times New Roman" w:cs="Times New Roman"/>
                <w:color w:val="auto"/>
                <w:sz w:val="24"/>
                <w:szCs w:val="24"/>
              </w:rPr>
              <w:t>，生产车间的颗粒物有组织排放执行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四川省水泥工业大气污染物排放标准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（DB51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2864 -2021）</w:t>
            </w:r>
            <w:r>
              <w:rPr>
                <w:rFonts w:hint="default" w:ascii="Times New Roman" w:hAnsi="Times New Roman" w:cs="Times New Roman"/>
                <w:color w:val="auto"/>
                <w:sz w:val="24"/>
                <w:szCs w:val="24"/>
                <w:lang w:val="en-US" w:eastAsia="zh-CN"/>
              </w:rPr>
              <w:t>表1</w:t>
            </w:r>
            <w:r>
              <w:rPr>
                <w:rFonts w:hint="default" w:ascii="Times New Roman" w:hAnsi="Times New Roman" w:cs="Times New Roman"/>
                <w:bCs/>
                <w:color w:val="auto"/>
                <w:sz w:val="24"/>
                <w:szCs w:val="24"/>
              </w:rPr>
              <w:t>相关限值</w:t>
            </w:r>
            <w:r>
              <w:rPr>
                <w:rFonts w:hint="default" w:ascii="Times New Roman" w:hAnsi="Times New Roman" w:cs="Times New Roman"/>
                <w:color w:val="auto"/>
                <w:sz w:val="24"/>
                <w:szCs w:val="24"/>
              </w:rPr>
              <w:t>，排放浓度限值为1</w:t>
            </w:r>
            <w:r>
              <w:rPr>
                <w:rFonts w:hint="default" w:ascii="Times New Roman" w:hAnsi="Times New Roman" w:cs="Times New Roman"/>
                <w:color w:val="auto"/>
                <w:sz w:val="24"/>
                <w:szCs w:val="24"/>
                <w:lang w:val="en-US" w:eastAsia="zh-CN"/>
              </w:rPr>
              <w:t>0</w:t>
            </w:r>
            <w:r>
              <w:rPr>
                <w:rFonts w:ascii="Times New Roman" w:hAnsi="Times New Roman" w:cs="Times New Roman"/>
                <w:color w:val="auto"/>
                <w:sz w:val="24"/>
                <w:szCs w:val="24"/>
              </w:rPr>
              <w:t>mg/m</w:t>
            </w:r>
            <w:r>
              <w:rPr>
                <w:rFonts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，无组织的颗粒物排放执行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四川省水泥工业大气污染物排放标准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（DB51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2864 -2021）</w:t>
            </w:r>
            <w:r>
              <w:rPr>
                <w:rFonts w:hint="default" w:ascii="Times New Roman" w:hAnsi="Times New Roman" w:cs="Times New Roman"/>
                <w:color w:val="auto"/>
                <w:sz w:val="24"/>
                <w:szCs w:val="24"/>
                <w:lang w:val="en-US" w:eastAsia="zh-CN"/>
              </w:rPr>
              <w:t>表2</w:t>
            </w:r>
            <w:r>
              <w:rPr>
                <w:rFonts w:hint="default" w:ascii="Times New Roman" w:hAnsi="Times New Roman" w:cs="Times New Roman"/>
                <w:bCs/>
                <w:color w:val="auto"/>
                <w:sz w:val="24"/>
                <w:szCs w:val="24"/>
              </w:rPr>
              <w:t>相关限值，排放限值为</w:t>
            </w:r>
            <w:r>
              <w:rPr>
                <w:rFonts w:hint="eastAsia"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天然气</w:t>
            </w:r>
            <w:r>
              <w:rPr>
                <w:rFonts w:hint="default" w:ascii="Times New Roman" w:hAnsi="Times New Roman" w:cs="Times New Roman"/>
                <w:color w:val="auto"/>
                <w:sz w:val="24"/>
                <w:szCs w:val="24"/>
              </w:rPr>
              <w:t>蒸汽锅炉产生的颗粒物、二氧化硫、氮氧化物有组织排放执行</w:t>
            </w:r>
            <w:r>
              <w:rPr>
                <w:rFonts w:ascii="Times New Roman" w:hAnsi="Times New Roman" w:cs="Times New Roman"/>
                <w:color w:val="auto"/>
                <w:sz w:val="24"/>
                <w:szCs w:val="24"/>
              </w:rPr>
              <w:t>《锅炉大气污染物物排放标准》（GB13271- 2014）表3</w:t>
            </w:r>
            <w:r>
              <w:rPr>
                <w:rFonts w:hint="default" w:ascii="Times New Roman" w:hAnsi="Times New Roman" w:cs="Times New Roman"/>
                <w:color w:val="auto"/>
                <w:sz w:val="24"/>
                <w:szCs w:val="24"/>
              </w:rPr>
              <w:t>相应标准限值要求。如下表所示：</w:t>
            </w:r>
          </w:p>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8</w:t>
            </w:r>
            <w:r>
              <w:rPr>
                <w:rFonts w:ascii="Times New Roman" w:hAnsi="Times New Roman" w:cs="Times New Roman"/>
                <w:b/>
                <w:bCs/>
                <w:color w:val="auto"/>
                <w:sz w:val="21"/>
                <w:szCs w:val="21"/>
              </w:rPr>
              <w:t xml:space="preserve"> 大气污染物有组织排放执行标准</w:t>
            </w:r>
          </w:p>
          <w:tbl>
            <w:tblPr>
              <w:tblStyle w:val="25"/>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650"/>
              <w:gridCol w:w="1539"/>
              <w:gridCol w:w="1445"/>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0" w:type="dxa"/>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1650" w:type="dxa"/>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污染物项目</w:t>
                  </w:r>
                </w:p>
              </w:tc>
              <w:tc>
                <w:tcPr>
                  <w:tcW w:w="1539" w:type="dxa"/>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排放浓度限值</w:t>
                  </w:r>
                </w:p>
              </w:tc>
              <w:tc>
                <w:tcPr>
                  <w:tcW w:w="1445" w:type="dxa"/>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监控位置</w:t>
                  </w:r>
                </w:p>
              </w:tc>
              <w:tc>
                <w:tcPr>
                  <w:tcW w:w="3291" w:type="dxa"/>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0" w:type="dxa"/>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165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539"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1445" w:type="dxa"/>
                  <w:vAlign w:val="center"/>
                </w:tcPr>
                <w:p>
                  <w:pPr>
                    <w:autoSpaceDE/>
                    <w:autoSpaceDN/>
                    <w:adjustRightInd w:val="0"/>
                    <w:snapToGrid w:val="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排气筒DA001</w:t>
                  </w:r>
                </w:p>
              </w:tc>
              <w:tc>
                <w:tcPr>
                  <w:tcW w:w="3291" w:type="dxa"/>
                </w:tcPr>
                <w:p>
                  <w:pPr>
                    <w:pStyle w:val="36"/>
                    <w:wordWrap w:val="0"/>
                    <w:topLinePunct/>
                    <w:autoSpaceDE/>
                    <w:autoSpaceDN/>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四川省水泥工业大气污染物排放标准（DB51/2864 -2021）表1相关限值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93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5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539"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1445" w:type="dxa"/>
                  <w:vMerge w:val="restart"/>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排气筒DA00</w:t>
                  </w:r>
                  <w:r>
                    <w:rPr>
                      <w:rFonts w:hint="default" w:ascii="Times New Roman" w:hAnsi="Times New Roman" w:cs="Times New Roman"/>
                      <w:color w:val="auto"/>
                      <w:sz w:val="21"/>
                      <w:szCs w:val="21"/>
                    </w:rPr>
                    <w:t>2</w:t>
                  </w:r>
                </w:p>
              </w:tc>
              <w:tc>
                <w:tcPr>
                  <w:tcW w:w="3291" w:type="dxa"/>
                  <w:vMerge w:val="restart"/>
                </w:tcPr>
                <w:p>
                  <w:pPr>
                    <w:pStyle w:val="36"/>
                    <w:topLinePunct/>
                    <w:autoSpaceDE/>
                    <w:autoSpaceDN/>
                    <w:jc w:val="center"/>
                    <w:rPr>
                      <w:rFonts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《锅炉大气污染物物排放标准》（GB13271- 2014）表3相应标准限值要求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1" w:hRule="atLeast"/>
              </w:trPr>
              <w:tc>
                <w:tcPr>
                  <w:tcW w:w="93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5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1539"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150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1445" w:type="dxa"/>
                  <w:vMerge w:val="continue"/>
                  <w:vAlign w:val="center"/>
                </w:tcPr>
                <w:p>
                  <w:pPr>
                    <w:autoSpaceDE/>
                    <w:autoSpaceDN/>
                    <w:adjustRightInd w:val="0"/>
                    <w:snapToGrid w:val="0"/>
                    <w:jc w:val="center"/>
                    <w:rPr>
                      <w:rFonts w:ascii="Times New Roman" w:hAnsi="Times New Roman" w:cs="Times New Roman"/>
                      <w:color w:val="auto"/>
                      <w:sz w:val="21"/>
                      <w:szCs w:val="21"/>
                    </w:rPr>
                  </w:pPr>
                </w:p>
              </w:tc>
              <w:tc>
                <w:tcPr>
                  <w:tcW w:w="3291" w:type="dxa"/>
                  <w:vMerge w:val="continue"/>
                </w:tcPr>
                <w:p>
                  <w:pPr>
                    <w:pStyle w:val="36"/>
                    <w:topLinePunct/>
                    <w:autoSpaceDE/>
                    <w:autoSpaceDN/>
                    <w:jc w:val="both"/>
                    <w:rPr>
                      <w:rFonts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93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50"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539" w:type="dxa"/>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20</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1445" w:type="dxa"/>
                  <w:vMerge w:val="continue"/>
                  <w:vAlign w:val="center"/>
                </w:tcPr>
                <w:p>
                  <w:pPr>
                    <w:autoSpaceDE/>
                    <w:autoSpaceDN/>
                    <w:adjustRightInd w:val="0"/>
                    <w:snapToGrid w:val="0"/>
                    <w:jc w:val="center"/>
                    <w:rPr>
                      <w:rFonts w:ascii="Times New Roman" w:hAnsi="Times New Roman" w:cs="Times New Roman"/>
                      <w:color w:val="auto"/>
                      <w:sz w:val="21"/>
                      <w:szCs w:val="21"/>
                    </w:rPr>
                  </w:pPr>
                </w:p>
              </w:tc>
              <w:tc>
                <w:tcPr>
                  <w:tcW w:w="3291" w:type="dxa"/>
                  <w:vMerge w:val="continue"/>
                </w:tcPr>
                <w:p>
                  <w:pPr>
                    <w:pStyle w:val="36"/>
                    <w:topLinePunct/>
                    <w:autoSpaceDE/>
                    <w:autoSpaceDN/>
                    <w:jc w:val="both"/>
                    <w:rPr>
                      <w:rFonts w:ascii="Times New Roman" w:hAnsi="Times New Roman" w:eastAsia="宋体" w:cs="Times New Roman"/>
                      <w:color w:val="auto"/>
                      <w:sz w:val="21"/>
                      <w:szCs w:val="21"/>
                    </w:rPr>
                  </w:pPr>
                </w:p>
              </w:tc>
            </w:tr>
          </w:tbl>
          <w:p>
            <w:pPr>
              <w:adjustRightInd w:val="0"/>
              <w:snapToGrid w:val="0"/>
              <w:jc w:val="center"/>
              <w:rPr>
                <w:rFonts w:ascii="Times New Roman" w:hAnsi="Times New Roman" w:cs="Times New Roman"/>
                <w:b/>
                <w:color w:val="auto"/>
                <w:sz w:val="21"/>
                <w:szCs w:val="21"/>
              </w:rPr>
            </w:pPr>
          </w:p>
          <w:p>
            <w:pPr>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表3-</w:t>
            </w:r>
            <w:r>
              <w:rPr>
                <w:rFonts w:hint="default" w:ascii="Times New Roman" w:hAnsi="Times New Roman" w:cs="Times New Roman"/>
                <w:b/>
                <w:color w:val="auto"/>
                <w:sz w:val="21"/>
                <w:szCs w:val="21"/>
                <w:lang w:val="en-US" w:eastAsia="zh-CN"/>
              </w:rPr>
              <w:t>9</w:t>
            </w:r>
            <w:r>
              <w:rPr>
                <w:rFonts w:ascii="Times New Roman" w:hAnsi="Times New Roman" w:cs="Times New Roman"/>
                <w:b/>
                <w:color w:val="auto"/>
                <w:sz w:val="21"/>
                <w:szCs w:val="21"/>
              </w:rPr>
              <w:t xml:space="preserve"> 大气污染物无组织排放浓度限值</w:t>
            </w:r>
          </w:p>
          <w:tbl>
            <w:tblPr>
              <w:tblStyle w:val="24"/>
              <w:tblW w:w="869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1965"/>
              <w:gridCol w:w="1230"/>
              <w:gridCol w:w="450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48" w:hRule="atLeast"/>
                <w:jc w:val="center"/>
              </w:trPr>
              <w:tc>
                <w:tcPr>
                  <w:tcW w:w="9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污染物</w:t>
                  </w:r>
                </w:p>
              </w:tc>
              <w:tc>
                <w:tcPr>
                  <w:tcW w:w="1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监控位置</w:t>
                  </w:r>
                </w:p>
              </w:tc>
              <w:tc>
                <w:tcPr>
                  <w:tcW w:w="12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排放限值</w:t>
                  </w:r>
                </w:p>
              </w:tc>
              <w:tc>
                <w:tcPr>
                  <w:tcW w:w="45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9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颗粒物</w:t>
                  </w:r>
                </w:p>
              </w:tc>
              <w:tc>
                <w:tcPr>
                  <w:tcW w:w="19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厂界</w:t>
                  </w:r>
                  <w:r>
                    <w:rPr>
                      <w:rFonts w:ascii="Times New Roman" w:hAnsi="Times New Roman" w:cs="Times New Roman"/>
                      <w:color w:val="auto"/>
                      <w:sz w:val="21"/>
                      <w:szCs w:val="21"/>
                    </w:rPr>
                    <w:t>浓度最高点</w:t>
                  </w:r>
                </w:p>
              </w:tc>
              <w:tc>
                <w:tcPr>
                  <w:tcW w:w="12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both"/>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0.3</w:t>
                  </w:r>
                  <w:r>
                    <w:rPr>
                      <w:rFonts w:ascii="Times New Roman" w:hAnsi="Times New Roman" w:cs="Times New Roman"/>
                      <w:color w:val="auto"/>
                      <w:sz w:val="21"/>
                      <w:szCs w:val="21"/>
                    </w:rPr>
                    <w:t>mg/m</w:t>
                  </w:r>
                  <w:r>
                    <w:rPr>
                      <w:rFonts w:ascii="Times New Roman" w:hAnsi="Times New Roman" w:cs="Times New Roman"/>
                      <w:color w:val="auto"/>
                      <w:sz w:val="21"/>
                      <w:szCs w:val="21"/>
                      <w:vertAlign w:val="superscript"/>
                    </w:rPr>
                    <w:t>3</w:t>
                  </w:r>
                </w:p>
              </w:tc>
              <w:tc>
                <w:tcPr>
                  <w:tcW w:w="450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bidi="ar-SA"/>
                    </w:rPr>
                    <w:t>四川省水泥工业大气污染物排放标准（DB51/2864 -2021）表2相关限值</w:t>
                  </w:r>
                </w:p>
              </w:tc>
            </w:tr>
          </w:tbl>
          <w:p>
            <w:pPr>
              <w:pStyle w:val="41"/>
              <w:widowControl w:val="0"/>
              <w:spacing w:beforeLines="0" w:afterLines="0"/>
              <w:ind w:firstLine="480"/>
              <w:jc w:val="left"/>
              <w:rPr>
                <w:rFonts w:ascii="Times New Roman" w:hAnsi="Times New Roman" w:cs="Times New Roman"/>
                <w:color w:val="auto"/>
              </w:rPr>
            </w:pPr>
            <w:r>
              <w:rPr>
                <w:rFonts w:ascii="Times New Roman" w:hAnsi="Times New Roman" w:cs="Times New Roman"/>
                <w:color w:val="auto"/>
              </w:rPr>
              <w:t>3、噪声</w:t>
            </w:r>
          </w:p>
          <w:p>
            <w:pPr>
              <w:snapToGrid w:val="0"/>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sz w:val="24"/>
                <w:szCs w:val="24"/>
              </w:rPr>
              <w:t>营运期厂界噪声执行《工业企业厂界环境噪声排放标准》（GB12348-2008）中的3类标准，详见表</w:t>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lang w:val="en-US" w:eastAsia="zh-CN"/>
              </w:rPr>
              <w:t>2</w:t>
            </w:r>
            <w:r>
              <w:rPr>
                <w:rFonts w:ascii="Times New Roman" w:hAnsi="Times New Roman" w:cs="Times New Roman"/>
                <w:color w:val="auto"/>
                <w:sz w:val="24"/>
                <w:szCs w:val="24"/>
              </w:rPr>
              <w:t>。</w:t>
            </w:r>
          </w:p>
          <w:p>
            <w:pPr>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10</w:t>
            </w:r>
            <w:r>
              <w:rPr>
                <w:rFonts w:ascii="Times New Roman" w:hAnsi="Times New Roman" w:cs="Times New Roman"/>
                <w:b/>
                <w:bCs/>
                <w:color w:val="auto"/>
                <w:sz w:val="21"/>
                <w:szCs w:val="21"/>
              </w:rPr>
              <w:t xml:space="preserve">  工业企业厂界环境噪声排放限值</w:t>
            </w:r>
          </w:p>
          <w:tbl>
            <w:tblPr>
              <w:tblStyle w:val="24"/>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4"/>
              <w:gridCol w:w="2739"/>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0" w:hRule="atLeast"/>
                <w:jc w:val="center"/>
              </w:trPr>
              <w:tc>
                <w:tcPr>
                  <w:tcW w:w="31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厂界外声环境功能区类别</w:t>
                  </w:r>
                </w:p>
              </w:tc>
              <w:tc>
                <w:tcPr>
                  <w:tcW w:w="2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昼  间</w:t>
                  </w:r>
                </w:p>
              </w:tc>
              <w:tc>
                <w:tcPr>
                  <w:tcW w:w="2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1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3类</w:t>
                  </w:r>
                </w:p>
              </w:tc>
              <w:tc>
                <w:tcPr>
                  <w:tcW w:w="26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≤65dB(A)</w:t>
                  </w:r>
                </w:p>
              </w:tc>
              <w:tc>
                <w:tcPr>
                  <w:tcW w:w="265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≤55dB(A)</w:t>
                  </w:r>
                </w:p>
              </w:tc>
            </w:tr>
          </w:tbl>
          <w:p>
            <w:pPr>
              <w:pStyle w:val="41"/>
              <w:widowControl w:val="0"/>
              <w:spacing w:beforeLines="0" w:afterLines="0"/>
              <w:ind w:firstLine="480"/>
              <w:jc w:val="left"/>
              <w:rPr>
                <w:rFonts w:ascii="Times New Roman" w:hAnsi="Times New Roman" w:cs="Times New Roman"/>
                <w:color w:val="auto"/>
              </w:rPr>
            </w:pPr>
            <w:r>
              <w:rPr>
                <w:rFonts w:ascii="Times New Roman" w:hAnsi="Times New Roman" w:cs="Times New Roman"/>
                <w:color w:val="auto"/>
              </w:rPr>
              <w:t>4、固废排放标准</w:t>
            </w:r>
          </w:p>
          <w:p>
            <w:pPr>
              <w:spacing w:line="360" w:lineRule="auto"/>
              <w:ind w:firstLine="480" w:firstLineChars="200"/>
              <w:jc w:val="both"/>
              <w:rPr>
                <w:rFonts w:ascii="Times New Roman" w:hAnsi="Times New Roman" w:cs="Times New Roman"/>
                <w:color w:val="auto"/>
                <w:szCs w:val="24"/>
              </w:rPr>
            </w:pPr>
            <w:r>
              <w:rPr>
                <w:rFonts w:ascii="Times New Roman" w:hAnsi="Times New Roman" w:cs="Times New Roman"/>
                <w:color w:val="auto"/>
                <w:sz w:val="24"/>
                <w:szCs w:val="24"/>
              </w:rPr>
              <w:t>执行</w:t>
            </w:r>
            <w:r>
              <w:rPr>
                <w:rFonts w:ascii="Times New Roman" w:hAnsi="Times New Roman" w:cs="Times New Roman"/>
                <w:color w:val="auto"/>
              </w:rPr>
              <w:fldChar w:fldCharType="begin"/>
            </w:r>
            <w:r>
              <w:rPr>
                <w:rFonts w:ascii="Times New Roman" w:hAnsi="Times New Roman" w:cs="Times New Roman"/>
                <w:color w:val="auto"/>
              </w:rPr>
              <w:instrText xml:space="preserve"> HYPERLINK "http://www.mee.gov.cn/ywgz/fgbz/bz/bzwb/gthw/gtfwwrkzbz/202012/W020201218695845325455.pdf" </w:instrText>
            </w:r>
            <w:r>
              <w:rPr>
                <w:rFonts w:ascii="Times New Roman" w:hAnsi="Times New Roman" w:cs="Times New Roman"/>
                <w:color w:val="auto"/>
              </w:rPr>
              <w:fldChar w:fldCharType="separate"/>
            </w:r>
            <w:r>
              <w:rPr>
                <w:rFonts w:ascii="Times New Roman" w:hAnsi="Times New Roman" w:cs="Times New Roman"/>
                <w:color w:val="auto"/>
                <w:sz w:val="24"/>
                <w:szCs w:val="24"/>
              </w:rPr>
              <w:t>《</w:t>
            </w:r>
            <w:r>
              <w:rPr>
                <w:rStyle w:val="30"/>
                <w:rFonts w:hint="default" w:ascii="Times New Roman" w:hAnsi="Times New Roman" w:cs="Times New Roman"/>
                <w:color w:val="auto"/>
                <w:sz w:val="24"/>
                <w:szCs w:val="24"/>
                <w:u w:val="none"/>
                <w:shd w:val="clear" w:color="auto" w:fill="FFFFFF"/>
              </w:rPr>
              <w:t>一般工业固体废物贮存和填埋污染控制标准</w:t>
            </w:r>
            <w:r>
              <w:rPr>
                <w:rFonts w:ascii="Times New Roman" w:hAnsi="Times New Roman" w:cs="Times New Roman"/>
                <w:color w:val="auto"/>
                <w:sz w:val="24"/>
                <w:szCs w:val="24"/>
              </w:rPr>
              <w:t>》</w:t>
            </w:r>
            <w:r>
              <w:rPr>
                <w:rStyle w:val="30"/>
                <w:rFonts w:ascii="Times New Roman" w:hAnsi="Times New Roman" w:cs="Times New Roman"/>
                <w:color w:val="auto"/>
                <w:sz w:val="24"/>
                <w:szCs w:val="24"/>
                <w:u w:val="none"/>
                <w:shd w:val="clear" w:color="auto" w:fill="FFFFFF"/>
              </w:rPr>
              <w:t>（GB 18599-2020）</w:t>
            </w:r>
            <w:r>
              <w:rPr>
                <w:rStyle w:val="30"/>
                <w:rFonts w:ascii="Times New Roman" w:hAnsi="Times New Roman" w:cs="Times New Roman"/>
                <w:color w:val="auto"/>
                <w:sz w:val="24"/>
                <w:szCs w:val="24"/>
                <w:u w:val="none"/>
                <w:shd w:val="clear" w:color="auto" w:fill="FFFFFF"/>
              </w:rPr>
              <w:fldChar w:fldCharType="end"/>
            </w:r>
            <w:r>
              <w:rPr>
                <w:rFonts w:ascii="Times New Roman" w:hAnsi="Times New Roman" w:cs="Times New Roman"/>
                <w:color w:val="auto"/>
                <w:sz w:val="24"/>
                <w:szCs w:val="24"/>
              </w:rPr>
              <w:t>。危险废物执行《危险废物贮存污染控制标准》（GB18597-2001）及其修改单规定</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2013年修订</w:t>
            </w:r>
            <w:r>
              <w:rPr>
                <w:rFonts w:hint="default" w:ascii="Times New Roman" w:hAnsi="Times New Roman" w:cs="Times New Roman"/>
                <w:color w:val="auto"/>
                <w:sz w:val="24"/>
                <w:szCs w:val="24"/>
                <w:lang w:eastAsia="zh-CN"/>
              </w:rPr>
              <w:t>）</w:t>
            </w:r>
            <w:r>
              <w:rPr>
                <w:rFonts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67" w:type="dxa"/>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总量</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控制</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指标</w:t>
            </w:r>
          </w:p>
        </w:tc>
        <w:tc>
          <w:tcPr>
            <w:tcW w:w="9270" w:type="dxa"/>
          </w:tcPr>
          <w:p>
            <w:pPr>
              <w:widowControl/>
              <w:spacing w:line="360" w:lineRule="auto"/>
              <w:ind w:firstLine="480" w:firstLineChars="200"/>
              <w:jc w:val="both"/>
              <w:rPr>
                <w:rFonts w:ascii="Times New Roman" w:hAnsi="Times New Roman" w:cs="Times New Roman"/>
                <w:bCs/>
                <w:color w:val="auto"/>
                <w:sz w:val="24"/>
                <w:szCs w:val="28"/>
              </w:rPr>
            </w:pPr>
            <w:r>
              <w:rPr>
                <w:rFonts w:hint="default" w:ascii="Times New Roman" w:hAnsi="Times New Roman" w:cs="Times New Roman"/>
                <w:bCs/>
                <w:color w:val="auto"/>
                <w:sz w:val="24"/>
                <w:szCs w:val="28"/>
              </w:rPr>
              <w:t xml:space="preserve">根据项目污染物排放特点，本评价确定的污染物排放总量控制因子为：废水污染物中的 </w:t>
            </w:r>
            <w:r>
              <w:rPr>
                <w:rFonts w:ascii="Times New Roman" w:hAnsi="Times New Roman" w:eastAsia="楷体" w:cs="Times New Roman"/>
                <w:bCs/>
                <w:color w:val="auto"/>
                <w:sz w:val="24"/>
                <w:szCs w:val="28"/>
              </w:rPr>
              <w:t>COD</w:t>
            </w:r>
            <w:r>
              <w:rPr>
                <w:rFonts w:hint="default" w:ascii="Times New Roman" w:hAnsi="Times New Roman" w:cs="Times New Roman"/>
                <w:bCs/>
                <w:color w:val="auto"/>
                <w:sz w:val="24"/>
                <w:szCs w:val="28"/>
              </w:rPr>
              <w:t>、</w:t>
            </w:r>
            <w:r>
              <w:rPr>
                <w:rFonts w:ascii="Times New Roman" w:hAnsi="Times New Roman" w:eastAsia="楷体" w:cs="Times New Roman"/>
                <w:bCs/>
                <w:color w:val="auto"/>
                <w:sz w:val="24"/>
                <w:szCs w:val="28"/>
              </w:rPr>
              <w:t>NH</w:t>
            </w:r>
            <w:r>
              <w:rPr>
                <w:rFonts w:ascii="Times New Roman" w:hAnsi="Times New Roman" w:eastAsia="楷体" w:cs="Times New Roman"/>
                <w:bCs/>
                <w:color w:val="auto"/>
                <w:sz w:val="24"/>
                <w:szCs w:val="28"/>
                <w:vertAlign w:val="subscript"/>
              </w:rPr>
              <w:t>3</w:t>
            </w:r>
            <w:r>
              <w:rPr>
                <w:rFonts w:ascii="Times New Roman" w:hAnsi="Times New Roman" w:eastAsia="楷体" w:cs="Times New Roman"/>
                <w:bCs/>
                <w:color w:val="auto"/>
                <w:sz w:val="24"/>
                <w:szCs w:val="28"/>
              </w:rPr>
              <w:t>-N</w:t>
            </w:r>
            <w:r>
              <w:rPr>
                <w:rFonts w:hint="eastAsia" w:ascii="Times New Roman" w:hAnsi="Times New Roman" w:eastAsia="楷体" w:cs="Times New Roman"/>
                <w:bCs/>
                <w:color w:val="auto"/>
                <w:sz w:val="24"/>
                <w:szCs w:val="28"/>
                <w:lang w:eastAsia="zh-CN"/>
              </w:rPr>
              <w:t>、</w:t>
            </w:r>
            <w:r>
              <w:rPr>
                <w:rFonts w:hint="eastAsia" w:ascii="Times New Roman" w:hAnsi="Times New Roman" w:eastAsia="楷体" w:cs="Times New Roman"/>
                <w:bCs/>
                <w:color w:val="auto"/>
                <w:sz w:val="24"/>
                <w:szCs w:val="28"/>
                <w:lang w:val="en-US" w:eastAsia="zh-CN"/>
              </w:rPr>
              <w:t>TP</w:t>
            </w:r>
            <w:r>
              <w:rPr>
                <w:rFonts w:hint="default" w:ascii="Times New Roman" w:hAnsi="Times New Roman" w:cs="Times New Roman"/>
                <w:bCs/>
                <w:color w:val="auto"/>
                <w:sz w:val="24"/>
                <w:szCs w:val="28"/>
              </w:rPr>
              <w:t>；废气为</w:t>
            </w:r>
            <w:r>
              <w:rPr>
                <w:rFonts w:ascii="Times New Roman" w:hAnsi="Times New Roman" w:cs="Times New Roman"/>
                <w:color w:val="auto"/>
                <w:sz w:val="24"/>
                <w:szCs w:val="24"/>
              </w:rPr>
              <w:t>SO</w:t>
            </w:r>
            <w:r>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、NOx</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颗粒物</w:t>
            </w:r>
            <w:r>
              <w:rPr>
                <w:rFonts w:hint="default" w:ascii="Times New Roman" w:hAnsi="Times New Roman" w:cs="Times New Roman"/>
                <w:bCs/>
                <w:color w:val="auto"/>
                <w:sz w:val="24"/>
                <w:szCs w:val="28"/>
              </w:rPr>
              <w:t>。</w:t>
            </w:r>
          </w:p>
          <w:p>
            <w:pPr>
              <w:widowControl/>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本项目总量指标如下所示：</w:t>
            </w:r>
          </w:p>
          <w:p>
            <w:pPr>
              <w:pStyle w:val="41"/>
              <w:numPr>
                <w:ilvl w:val="0"/>
                <w:numId w:val="6"/>
              </w:numPr>
              <w:spacing w:beforeLines="0" w:afterLines="0"/>
              <w:ind w:firstLine="0" w:firstLineChars="0"/>
              <w:jc w:val="left"/>
              <w:rPr>
                <w:rFonts w:ascii="Times New Roman" w:hAnsi="Times New Roman" w:cs="Times New Roman"/>
                <w:b/>
                <w:color w:val="auto"/>
                <w:szCs w:val="28"/>
              </w:rPr>
            </w:pPr>
            <w:r>
              <w:rPr>
                <w:rFonts w:hint="default" w:ascii="Times New Roman" w:hAnsi="Times New Roman" w:cs="Times New Roman"/>
                <w:b/>
                <w:color w:val="auto"/>
                <w:szCs w:val="28"/>
              </w:rPr>
              <w:t>废水</w:t>
            </w:r>
          </w:p>
          <w:p>
            <w:pPr>
              <w:adjustRightInd w:val="0"/>
              <w:snapToGrid w:val="0"/>
              <w:spacing w:line="360" w:lineRule="auto"/>
              <w:ind w:firstLine="480" w:firstLineChars="200"/>
              <w:rPr>
                <w:rFonts w:ascii="Times New Roman" w:hAnsi="Times New Roman" w:cs="Times New Roman"/>
                <w:b/>
                <w:color w:val="auto"/>
                <w:szCs w:val="28"/>
              </w:rPr>
            </w:pPr>
            <w:r>
              <w:rPr>
                <w:rFonts w:ascii="Times New Roman" w:hAnsi="Times New Roman" w:cs="Times New Roman"/>
                <w:color w:val="auto"/>
                <w:sz w:val="24"/>
              </w:rPr>
              <w:t>本项目用水为生产用水和生活用水。生产废水经沉淀后回用于生产不外排，生活废水经过化粪池收集处理后经园区污水管网排放至</w:t>
            </w:r>
            <w:r>
              <w:rPr>
                <w:rFonts w:hint="default" w:ascii="Times New Roman" w:hAnsi="Times New Roman" w:cs="Times New Roman"/>
                <w:color w:val="auto"/>
                <w:sz w:val="24"/>
              </w:rPr>
              <w:t>污</w:t>
            </w:r>
            <w:r>
              <w:rPr>
                <w:rFonts w:ascii="Times New Roman" w:hAnsi="Times New Roman" w:cs="Times New Roman"/>
                <w:color w:val="auto"/>
                <w:sz w:val="24"/>
              </w:rPr>
              <w:t>水处理厂进行处理，出水达《城镇污水处理厂污染物排放标准》（GB18918-2002）中一级A标准后，外排至Ⅲ类水域——芝溪河。根据计算，本项目生活污水排放量约为</w:t>
            </w:r>
            <w:r>
              <w:rPr>
                <w:rFonts w:hint="default" w:ascii="Times New Roman" w:hAnsi="Times New Roman" w:cs="Times New Roman"/>
                <w:color w:val="auto"/>
                <w:sz w:val="24"/>
              </w:rPr>
              <w:t>24</w:t>
            </w:r>
            <w:r>
              <w:rPr>
                <w:rFonts w:ascii="Times New Roman" w:hAnsi="Times New Roman" w:cs="Times New Roman"/>
                <w:color w:val="auto"/>
                <w:sz w:val="24"/>
              </w:rPr>
              <w:t>0t/a。</w:t>
            </w:r>
          </w:p>
          <w:p>
            <w:pPr>
              <w:pStyle w:val="41"/>
              <w:spacing w:beforeLines="0" w:afterLines="0"/>
              <w:ind w:firstLine="0" w:firstLineChars="0"/>
              <w:jc w:val="left"/>
              <w:rPr>
                <w:rFonts w:ascii="Times New Roman" w:hAnsi="Times New Roman" w:cs="Times New Roman"/>
                <w:b/>
                <w:color w:val="auto"/>
                <w:szCs w:val="28"/>
              </w:rPr>
            </w:pPr>
            <w:r>
              <w:rPr>
                <w:rFonts w:ascii="Times New Roman" w:hAnsi="Times New Roman" w:cs="Times New Roman"/>
                <w:b/>
                <w:color w:val="auto"/>
                <w:szCs w:val="28"/>
              </w:rPr>
              <w:t>①废水经预处理池处理达标后排入市政管网</w:t>
            </w:r>
          </w:p>
          <w:p>
            <w:pPr>
              <w:snapToGrid w:val="0"/>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COD（企业排口）=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rPr>
              <w:t>500</w:t>
            </w:r>
            <w:r>
              <w:rPr>
                <w:rFonts w:ascii="Times New Roman" w:hAnsi="Times New Roman" w:cs="Times New Roman"/>
                <w:color w:val="auto"/>
                <w:sz w:val="24"/>
                <w:szCs w:val="24"/>
                <w:highlight w:val="none"/>
              </w:rPr>
              <w:t>mg/L=0.</w:t>
            </w:r>
            <w:r>
              <w:rPr>
                <w:rFonts w:hint="default" w:ascii="Times New Roman" w:hAnsi="Times New Roman" w:cs="Times New Roman"/>
                <w:color w:val="auto"/>
                <w:sz w:val="24"/>
                <w:szCs w:val="24"/>
                <w:highlight w:val="none"/>
              </w:rPr>
              <w:t>12</w:t>
            </w:r>
            <w:r>
              <w:rPr>
                <w:rFonts w:ascii="Times New Roman" w:hAnsi="Times New Roman" w:cs="Times New Roman"/>
                <w:color w:val="auto"/>
                <w:sz w:val="24"/>
                <w:szCs w:val="24"/>
                <w:highlight w:val="none"/>
              </w:rPr>
              <w:t>t/a；</w:t>
            </w:r>
          </w:p>
          <w:p>
            <w:pPr>
              <w:snapToGrid w:val="0"/>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-N（企业排口）=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rPr>
              <w:t>45</w:t>
            </w:r>
            <w:r>
              <w:rPr>
                <w:rFonts w:ascii="Times New Roman" w:hAnsi="Times New Roman" w:cs="Times New Roman"/>
                <w:color w:val="auto"/>
                <w:sz w:val="24"/>
                <w:szCs w:val="24"/>
                <w:highlight w:val="none"/>
              </w:rPr>
              <w:t>mg/L=0.0</w:t>
            </w:r>
            <w:r>
              <w:rPr>
                <w:rFonts w:hint="default" w:ascii="Times New Roman" w:hAnsi="Times New Roman" w:cs="Times New Roman"/>
                <w:color w:val="auto"/>
                <w:sz w:val="24"/>
                <w:szCs w:val="24"/>
                <w:highlight w:val="none"/>
              </w:rPr>
              <w:t>108</w:t>
            </w:r>
            <w:r>
              <w:rPr>
                <w:rFonts w:ascii="Times New Roman" w:hAnsi="Times New Roman" w:cs="Times New Roman"/>
                <w:color w:val="auto"/>
                <w:sz w:val="24"/>
                <w:szCs w:val="24"/>
                <w:highlight w:val="none"/>
              </w:rPr>
              <w:t>t/a；</w:t>
            </w:r>
          </w:p>
          <w:p>
            <w:pPr>
              <w:pStyle w:val="2"/>
              <w:rPr>
                <w:rFonts w:hint="default" w:eastAsia="宋体"/>
                <w:lang w:val="en-US" w:eastAsia="zh-CN"/>
              </w:rPr>
            </w:pPr>
            <w:r>
              <w:rPr>
                <w:rFonts w:hint="eastAsia" w:ascii="Times New Roman" w:hAnsi="Times New Roman" w:cs="Times New Roman"/>
                <w:color w:val="auto"/>
                <w:sz w:val="24"/>
                <w:szCs w:val="24"/>
                <w:highlight w:val="none"/>
                <w:lang w:val="en-US" w:eastAsia="zh-CN"/>
              </w:rPr>
              <w:t>TP</w:t>
            </w:r>
            <w:r>
              <w:rPr>
                <w:rFonts w:ascii="Times New Roman" w:hAnsi="Times New Roman" w:cs="Times New Roman"/>
                <w:color w:val="auto"/>
                <w:sz w:val="24"/>
                <w:szCs w:val="24"/>
                <w:highlight w:val="none"/>
              </w:rPr>
              <w:t>（企业排口）=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val="en-US" w:eastAsia="zh-CN"/>
              </w:rPr>
              <w:t>8</w:t>
            </w:r>
            <w:r>
              <w:rPr>
                <w:rFonts w:ascii="Times New Roman" w:hAnsi="Times New Roman" w:cs="Times New Roman"/>
                <w:color w:val="auto"/>
                <w:sz w:val="24"/>
                <w:szCs w:val="24"/>
                <w:highlight w:val="none"/>
              </w:rPr>
              <w:t>mg/L=0.0</w:t>
            </w:r>
            <w:r>
              <w:rPr>
                <w:rFonts w:hint="eastAsia" w:ascii="Times New Roman" w:hAnsi="Times New Roman" w:cs="Times New Roman"/>
                <w:color w:val="auto"/>
                <w:sz w:val="24"/>
                <w:szCs w:val="24"/>
                <w:highlight w:val="none"/>
                <w:lang w:val="en-US" w:eastAsia="zh-CN"/>
              </w:rPr>
              <w:t>0192</w:t>
            </w:r>
            <w:r>
              <w:rPr>
                <w:rFonts w:ascii="Times New Roman" w:hAnsi="Times New Roman" w:cs="Times New Roman"/>
                <w:color w:val="auto"/>
                <w:sz w:val="24"/>
                <w:szCs w:val="24"/>
                <w:highlight w:val="none"/>
              </w:rPr>
              <w:t>t/a；</w:t>
            </w:r>
          </w:p>
          <w:p>
            <w:pPr>
              <w:pStyle w:val="41"/>
              <w:spacing w:beforeLines="0" w:afterLines="0"/>
              <w:ind w:firstLine="0" w:firstLineChars="0"/>
              <w:jc w:val="left"/>
              <w:rPr>
                <w:rFonts w:ascii="Times New Roman" w:hAnsi="Times New Roman" w:cs="Times New Roman"/>
                <w:b/>
                <w:color w:val="auto"/>
                <w:szCs w:val="28"/>
                <w:highlight w:val="none"/>
              </w:rPr>
            </w:pPr>
            <w:r>
              <w:rPr>
                <w:rFonts w:ascii="Times New Roman" w:hAnsi="Times New Roman" w:cs="Times New Roman"/>
                <w:b/>
                <w:color w:val="auto"/>
                <w:szCs w:val="28"/>
                <w:highlight w:val="none"/>
              </w:rPr>
              <w:t>②废水经污水处理厂处理达标后排</w:t>
            </w:r>
            <w:r>
              <w:rPr>
                <w:rFonts w:hint="default" w:ascii="Times New Roman" w:hAnsi="Times New Roman" w:cs="Times New Roman"/>
                <w:b/>
                <w:color w:val="auto"/>
                <w:szCs w:val="28"/>
                <w:highlight w:val="none"/>
              </w:rPr>
              <w:t>放</w:t>
            </w:r>
          </w:p>
          <w:p>
            <w:pPr>
              <w:snapToGrid w:val="0"/>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COD（污水处理厂排口）=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/a×50mg/L=0.0</w:t>
            </w:r>
            <w:r>
              <w:rPr>
                <w:rFonts w:hint="default" w:ascii="Times New Roman" w:hAnsi="Times New Roman" w:cs="Times New Roman"/>
                <w:color w:val="auto"/>
                <w:sz w:val="24"/>
                <w:szCs w:val="24"/>
                <w:highlight w:val="none"/>
              </w:rPr>
              <w:t>12</w:t>
            </w:r>
            <w:r>
              <w:rPr>
                <w:rFonts w:ascii="Times New Roman" w:hAnsi="Times New Roman" w:cs="Times New Roman"/>
                <w:color w:val="auto"/>
                <w:sz w:val="24"/>
                <w:szCs w:val="24"/>
                <w:highlight w:val="none"/>
              </w:rPr>
              <w:t>/a；</w:t>
            </w:r>
          </w:p>
          <w:p>
            <w:pPr>
              <w:snapToGrid w:val="0"/>
              <w:spacing w:line="360" w:lineRule="auto"/>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NH</w:t>
            </w:r>
            <w:r>
              <w:rPr>
                <w:rFonts w:ascii="Times New Roman" w:hAnsi="Times New Roman" w:cs="Times New Roman"/>
                <w:color w:val="auto"/>
                <w:sz w:val="24"/>
                <w:szCs w:val="24"/>
                <w:highlight w:val="none"/>
                <w:vertAlign w:val="subscript"/>
              </w:rPr>
              <w:t>3</w:t>
            </w:r>
            <w:r>
              <w:rPr>
                <w:rFonts w:ascii="Times New Roman" w:hAnsi="Times New Roman" w:cs="Times New Roman"/>
                <w:color w:val="auto"/>
                <w:sz w:val="24"/>
                <w:szCs w:val="24"/>
                <w:highlight w:val="none"/>
              </w:rPr>
              <w:t>-N（污水处理厂排口）=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/a×5mg/L=0.00</w:t>
            </w:r>
            <w:r>
              <w:rPr>
                <w:rFonts w:hint="default" w:ascii="Times New Roman" w:hAnsi="Times New Roman" w:cs="Times New Roman"/>
                <w:color w:val="auto"/>
                <w:sz w:val="24"/>
                <w:szCs w:val="24"/>
                <w:highlight w:val="none"/>
              </w:rPr>
              <w:t>12</w:t>
            </w:r>
            <w:r>
              <w:rPr>
                <w:rFonts w:ascii="Times New Roman" w:hAnsi="Times New Roman" w:cs="Times New Roman"/>
                <w:color w:val="auto"/>
                <w:sz w:val="24"/>
                <w:szCs w:val="24"/>
                <w:highlight w:val="none"/>
              </w:rPr>
              <w:t>t/a；</w:t>
            </w:r>
          </w:p>
          <w:p>
            <w:pPr>
              <w:snapToGrid w:val="0"/>
              <w:spacing w:line="360" w:lineRule="auto"/>
              <w:rPr>
                <w:rFonts w:ascii="Times New Roman" w:hAnsi="Times New Roman" w:cs="Times New Roman"/>
                <w:color w:val="auto"/>
                <w:highlight w:val="yellow"/>
              </w:rPr>
            </w:pPr>
            <w:r>
              <w:rPr>
                <w:rFonts w:hint="eastAsia" w:ascii="Times New Roman" w:hAnsi="Times New Roman" w:cs="Times New Roman"/>
                <w:color w:val="auto"/>
                <w:sz w:val="24"/>
                <w:szCs w:val="24"/>
                <w:highlight w:val="none"/>
                <w:lang w:val="en-US" w:eastAsia="zh-CN"/>
              </w:rPr>
              <w:t>TP</w:t>
            </w:r>
            <w:r>
              <w:rPr>
                <w:rFonts w:ascii="Times New Roman" w:hAnsi="Times New Roman" w:cs="Times New Roman"/>
                <w:color w:val="auto"/>
                <w:sz w:val="24"/>
                <w:szCs w:val="24"/>
                <w:highlight w:val="none"/>
              </w:rPr>
              <w:t>（污水处理厂排口）=</w:t>
            </w:r>
            <w:r>
              <w:rPr>
                <w:rFonts w:hint="default" w:ascii="Times New Roman" w:hAnsi="Times New Roman" w:cs="Times New Roman"/>
                <w:color w:val="auto"/>
                <w:sz w:val="24"/>
                <w:szCs w:val="24"/>
                <w:highlight w:val="none"/>
              </w:rPr>
              <w:t>240</w:t>
            </w:r>
            <w:r>
              <w:rPr>
                <w:rFonts w:ascii="Times New Roman" w:hAnsi="Times New Roman" w:cs="Times New Roman"/>
                <w:color w:val="auto"/>
                <w:sz w:val="24"/>
                <w:szCs w:val="24"/>
                <w:highlight w:val="none"/>
              </w:rPr>
              <w:t>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5</w:t>
            </w:r>
            <w:r>
              <w:rPr>
                <w:rFonts w:ascii="Times New Roman" w:hAnsi="Times New Roman" w:cs="Times New Roman"/>
                <w:color w:val="auto"/>
                <w:sz w:val="24"/>
                <w:szCs w:val="24"/>
                <w:highlight w:val="none"/>
              </w:rPr>
              <w:t>mg/L=0.0</w:t>
            </w:r>
            <w:r>
              <w:rPr>
                <w:rFonts w:hint="eastAsia" w:ascii="Times New Roman" w:hAnsi="Times New Roman" w:cs="Times New Roman"/>
                <w:color w:val="auto"/>
                <w:sz w:val="24"/>
                <w:szCs w:val="24"/>
                <w:highlight w:val="none"/>
                <w:lang w:val="en-US" w:eastAsia="zh-CN"/>
              </w:rPr>
              <w:t>0012</w:t>
            </w:r>
            <w:r>
              <w:rPr>
                <w:rFonts w:ascii="Times New Roman" w:hAnsi="Times New Roman" w:cs="Times New Roman"/>
                <w:color w:val="auto"/>
                <w:sz w:val="24"/>
                <w:szCs w:val="24"/>
                <w:highlight w:val="none"/>
              </w:rPr>
              <w:t>t/a；</w:t>
            </w:r>
          </w:p>
          <w:p>
            <w:pPr>
              <w:pStyle w:val="18"/>
              <w:spacing w:line="360" w:lineRule="auto"/>
              <w:ind w:left="0" w:leftChars="0"/>
              <w:rPr>
                <w:rFonts w:ascii="Times New Roman" w:hAnsi="Times New Roman" w:cs="Times New Roman"/>
                <w:b/>
                <w:bCs/>
                <w:smallCaps w:val="0"/>
                <w:color w:val="auto"/>
                <w:sz w:val="24"/>
                <w:szCs w:val="24"/>
              </w:rPr>
            </w:pPr>
            <w:r>
              <w:rPr>
                <w:rFonts w:hint="default" w:ascii="Times New Roman" w:hAnsi="Times New Roman" w:cs="Times New Roman"/>
                <w:b/>
                <w:bCs/>
                <w:smallCaps w:val="0"/>
                <w:color w:val="auto"/>
                <w:sz w:val="24"/>
                <w:szCs w:val="24"/>
              </w:rPr>
              <w:t>2</w:t>
            </w:r>
            <w:r>
              <w:rPr>
                <w:rFonts w:ascii="Times New Roman" w:hAnsi="Times New Roman" w:cs="Times New Roman"/>
                <w:b/>
                <w:bCs/>
                <w:smallCaps w:val="0"/>
                <w:color w:val="auto"/>
                <w:sz w:val="24"/>
                <w:szCs w:val="24"/>
              </w:rPr>
              <w:t>、废气</w:t>
            </w:r>
          </w:p>
          <w:p>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both"/>
              <w:textAlignment w:val="auto"/>
              <w:rPr>
                <w:rFonts w:hint="default" w:ascii="Times New Roman" w:hAnsi="Times New Roman" w:cs="Times New Roman"/>
                <w:bCs/>
                <w:color w:val="auto"/>
                <w:sz w:val="24"/>
                <w:highlight w:val="none"/>
                <w:u w:color="FF0000"/>
              </w:rPr>
            </w:pPr>
            <w:r>
              <w:rPr>
                <w:rFonts w:hint="default" w:ascii="Times New Roman" w:hAnsi="Times New Roman" w:cs="Times New Roman"/>
                <w:color w:val="auto"/>
                <w:sz w:val="24"/>
                <w:szCs w:val="24"/>
                <w:highlight w:val="none"/>
              </w:rPr>
              <w:t>本项目配有一台</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蒸汽锅炉，输送蒸汽用于电杆蒸汽养护环节，</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蒸汽锅炉的燃料为</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使用量</w:t>
            </w:r>
            <w:r>
              <w:rPr>
                <w:rFonts w:hint="default" w:ascii="Times New Roman" w:hAnsi="Times New Roman" w:cs="Times New Roman"/>
                <w:color w:val="auto"/>
                <w:sz w:val="24"/>
                <w:szCs w:val="24"/>
                <w:highlight w:val="none"/>
                <w:lang w:val="en-US" w:eastAsia="zh-CN"/>
              </w:rPr>
              <w:t>2万m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/a，根据《排放源统计调查产排污核算方法和系数手册》中《292锅炉产排污量核算系数手册》4430工业锅炉（热力生产与供应行业）产污系数表-</w:t>
            </w:r>
            <w:r>
              <w:rPr>
                <w:rFonts w:hint="default" w:ascii="Times New Roman" w:hAnsi="Times New Roman" w:cs="Times New Roman"/>
                <w:color w:val="auto"/>
                <w:sz w:val="24"/>
                <w:szCs w:val="24"/>
                <w:highlight w:val="none"/>
                <w:lang w:val="en-US" w:eastAsia="zh-CN"/>
              </w:rPr>
              <w:t>燃气</w:t>
            </w:r>
            <w:r>
              <w:rPr>
                <w:rFonts w:hint="default" w:ascii="Times New Roman" w:hAnsi="Times New Roman" w:cs="Times New Roman"/>
                <w:color w:val="auto"/>
                <w:sz w:val="24"/>
                <w:szCs w:val="24"/>
                <w:highlight w:val="none"/>
              </w:rPr>
              <w:t>工业锅炉可知，SO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0.02</w:t>
            </w:r>
            <w:r>
              <w:rPr>
                <w:rFonts w:hint="default" w:ascii="Times New Roman" w:hAnsi="Times New Roman" w:cs="Times New Roman"/>
                <w:color w:val="auto"/>
                <w:sz w:val="24"/>
                <w:szCs w:val="24"/>
                <w:highlight w:val="none"/>
              </w:rPr>
              <w:t>S千克/</w:t>
            </w:r>
            <w:r>
              <w:rPr>
                <w:rFonts w:hint="default" w:ascii="Times New Roman" w:hAnsi="Times New Roman" w:cs="Times New Roman"/>
                <w:bCs/>
                <w:color w:val="auto"/>
                <w:sz w:val="24"/>
                <w:highlight w:val="none"/>
                <w:u w:color="FF0000"/>
                <w:lang w:val="en-US" w:eastAsia="zh-CN"/>
              </w:rPr>
              <w:t>万立方米</w:t>
            </w:r>
            <w:r>
              <w:rPr>
                <w:rFonts w:hint="default" w:ascii="Times New Roman" w:hAnsi="Times New Roman" w:cs="Times New Roman"/>
                <w:color w:val="auto"/>
                <w:sz w:val="24"/>
                <w:szCs w:val="24"/>
                <w:highlight w:val="none"/>
              </w:rPr>
              <w:t>-原料（</w:t>
            </w:r>
            <w:r>
              <w:rPr>
                <w:rFonts w:hint="default" w:ascii="Times New Roman" w:hAnsi="Times New Roman" w:cs="Times New Roman"/>
                <w:bCs/>
                <w:color w:val="auto"/>
                <w:sz w:val="24"/>
                <w:highlight w:val="none"/>
                <w:u w:color="FF0000"/>
                <w:lang w:val="en-US" w:eastAsia="zh-CN"/>
              </w:rPr>
              <w:t>S=20：S取值根据《天然气》GB17820-2018表1天然气质量要求</w:t>
            </w:r>
            <w:r>
              <w:rPr>
                <w:rFonts w:hint="default" w:ascii="Times New Roman" w:hAnsi="Times New Roman" w:cs="Times New Roman"/>
                <w:color w:val="auto"/>
                <w:sz w:val="24"/>
                <w:szCs w:val="24"/>
                <w:highlight w:val="none"/>
              </w:rPr>
              <w:t>）、氮氧化物产污系数为</w:t>
            </w:r>
            <w:r>
              <w:rPr>
                <w:rFonts w:hint="default" w:ascii="Times New Roman" w:hAnsi="Times New Roman" w:cs="Times New Roman"/>
                <w:bCs/>
                <w:color w:val="auto"/>
                <w:sz w:val="24"/>
                <w:highlight w:val="none"/>
                <w:u w:color="FF0000"/>
                <w:lang w:val="en-US" w:eastAsia="zh-CN"/>
              </w:rPr>
              <w:t>6.97千克/万立方米-原料</w:t>
            </w:r>
            <w:r>
              <w:rPr>
                <w:rFonts w:hint="default" w:ascii="Times New Roman" w:hAnsi="Times New Roman" w:cs="Times New Roman"/>
                <w:color w:val="auto"/>
                <w:sz w:val="24"/>
                <w:szCs w:val="24"/>
                <w:highlight w:val="none"/>
              </w:rPr>
              <w:t>。则本项目SO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产生量为</w:t>
            </w:r>
            <w:r>
              <w:rPr>
                <w:rFonts w:hint="default" w:ascii="Times New Roman" w:hAns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rPr>
              <w:t>kg/a（0.</w:t>
            </w:r>
            <w:r>
              <w:rPr>
                <w:rFonts w:hint="default" w:ascii="Times New Roman" w:hAnsi="Times New Roman" w:cs="Times New Roman"/>
                <w:color w:val="auto"/>
                <w:sz w:val="24"/>
                <w:szCs w:val="24"/>
                <w:highlight w:val="none"/>
                <w:lang w:val="en-US" w:eastAsia="zh-CN"/>
              </w:rPr>
              <w:t>0008</w:t>
            </w:r>
            <w:r>
              <w:rPr>
                <w:rFonts w:hint="default" w:ascii="Times New Roman" w:hAnsi="Times New Roman" w:cs="Times New Roman"/>
                <w:color w:val="auto"/>
                <w:sz w:val="24"/>
                <w:szCs w:val="24"/>
                <w:highlight w:val="none"/>
              </w:rPr>
              <w:t>t/a）、NOx产生量为</w:t>
            </w:r>
            <w:r>
              <w:rPr>
                <w:rFonts w:hint="default" w:ascii="Times New Roman" w:hAnsi="Times New Roman" w:cs="Times New Roman"/>
                <w:color w:val="auto"/>
                <w:sz w:val="24"/>
                <w:szCs w:val="24"/>
                <w:highlight w:val="none"/>
                <w:lang w:val="en-US" w:eastAsia="zh-CN"/>
              </w:rPr>
              <w:t>13.94</w:t>
            </w:r>
            <w:r>
              <w:rPr>
                <w:rFonts w:hint="default" w:ascii="Times New Roman" w:hAnsi="Times New Roman" w:cs="Times New Roman"/>
                <w:color w:val="auto"/>
                <w:sz w:val="24"/>
                <w:szCs w:val="24"/>
                <w:highlight w:val="none"/>
              </w:rPr>
              <w:t>kg/a（0.0</w:t>
            </w:r>
            <w:r>
              <w:rPr>
                <w:rFonts w:hint="default"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highlight w:val="none"/>
                <w:u w:color="FF0000"/>
              </w:rPr>
              <w:t>根据《环境保护实用数据手册》（1990，胡明操主编，机械工业出版社），天然气燃烧颗粒物排污系数为2.4kg/万m</w:t>
            </w:r>
            <w:r>
              <w:rPr>
                <w:rFonts w:hint="default" w:ascii="Times New Roman" w:hAnsi="Times New Roman" w:cs="Times New Roman"/>
                <w:bCs/>
                <w:color w:val="auto"/>
                <w:sz w:val="24"/>
                <w:highlight w:val="none"/>
                <w:u w:color="FF0000"/>
                <w:vertAlign w:val="superscript"/>
              </w:rPr>
              <w:t>3</w:t>
            </w:r>
            <w:r>
              <w:rPr>
                <w:rFonts w:hint="default" w:ascii="Times New Roman" w:hAnsi="Times New Roman" w:cs="Times New Roman"/>
                <w:bCs/>
                <w:color w:val="auto"/>
                <w:sz w:val="24"/>
                <w:highlight w:val="none"/>
                <w:u w:color="FF0000"/>
              </w:rPr>
              <w:t>，产生量为0.0048t/a</w:t>
            </w:r>
            <w:r>
              <w:rPr>
                <w:rFonts w:hint="default" w:ascii="Times New Roman" w:hAnsi="Times New Roman" w:cs="Times New Roman"/>
                <w:bCs/>
                <w:color w:val="auto"/>
                <w:sz w:val="24"/>
                <w:highlight w:val="none"/>
                <w:u w:color="FF0000"/>
                <w:lang w:eastAsia="zh-CN"/>
              </w:rPr>
              <w:t>，</w:t>
            </w:r>
            <w:r>
              <w:rPr>
                <w:rFonts w:hint="default" w:ascii="Times New Roman" w:hAnsi="Times New Roman" w:cs="Times New Roman"/>
                <w:bCs/>
                <w:color w:val="auto"/>
                <w:sz w:val="24"/>
                <w:highlight w:val="none"/>
                <w:u w:color="FF0000"/>
              </w:rPr>
              <w:t>则颗粒物的产生浓度为2.4mg/m</w:t>
            </w:r>
            <w:r>
              <w:rPr>
                <w:rFonts w:hint="default" w:ascii="Times New Roman" w:hAnsi="Times New Roman" w:cs="Times New Roman"/>
                <w:bCs/>
                <w:color w:val="auto"/>
                <w:sz w:val="24"/>
                <w:highlight w:val="none"/>
                <w:u w:color="FF0000"/>
                <w:vertAlign w:val="superscript"/>
              </w:rPr>
              <w:t>3</w:t>
            </w:r>
            <w:r>
              <w:rPr>
                <w:rFonts w:hint="default" w:ascii="Times New Roman" w:hAnsi="Times New Roman" w:cs="Times New Roman"/>
                <w:bCs/>
                <w:color w:val="auto"/>
                <w:sz w:val="24"/>
                <w:highlight w:val="none"/>
                <w:u w:color="FF0000"/>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baseline"/>
              <w:rPr>
                <w:rFonts w:hint="eastAsia" w:ascii="Times New Roman" w:hAnsi="Times New Roman" w:eastAsia="宋体" w:cs="Times New Roman"/>
                <w:bCs/>
                <w:color w:val="auto"/>
                <w:sz w:val="24"/>
                <w:szCs w:val="24"/>
                <w:highlight w:val="none"/>
                <w:u w:color="FF0000"/>
                <w:lang w:val="en-US" w:eastAsia="zh-CN" w:bidi="ar-SA"/>
              </w:rPr>
            </w:pPr>
            <w:r>
              <w:rPr>
                <w:rFonts w:hint="eastAsia" w:ascii="Times New Roman" w:hAnsi="Times New Roman" w:eastAsia="宋体" w:cs="Times New Roman"/>
                <w:bCs/>
                <w:color w:val="auto"/>
                <w:sz w:val="24"/>
                <w:szCs w:val="24"/>
                <w:highlight w:val="none"/>
                <w:u w:color="FF0000"/>
                <w:lang w:val="en-US" w:eastAsia="zh-CN" w:bidi="ar-SA"/>
              </w:rPr>
              <w:t>运输扬尘产生量0.024</w:t>
            </w:r>
            <w:r>
              <w:rPr>
                <w:rFonts w:hint="default" w:ascii="Times New Roman" w:hAnsi="Times New Roman" w:eastAsia="宋体" w:cs="Times New Roman"/>
                <w:bCs/>
                <w:color w:val="auto"/>
                <w:sz w:val="24"/>
                <w:szCs w:val="24"/>
                <w:highlight w:val="none"/>
                <w:u w:color="FF0000"/>
                <w:lang w:val="en-US" w:eastAsia="zh-CN" w:bidi="ar-SA"/>
              </w:rPr>
              <w:t>t/a</w:t>
            </w:r>
            <w:r>
              <w:rPr>
                <w:rFonts w:hint="eastAsia" w:ascii="Times New Roman" w:hAnsi="Times New Roman" w:eastAsia="宋体" w:cs="Times New Roman"/>
                <w:bCs/>
                <w:color w:val="auto"/>
                <w:sz w:val="24"/>
                <w:szCs w:val="24"/>
                <w:highlight w:val="none"/>
                <w:u w:color="FF0000"/>
                <w:lang w:val="en-US" w:eastAsia="zh-CN" w:bidi="ar-SA"/>
              </w:rPr>
              <w:t>，治理后</w:t>
            </w:r>
            <w:r>
              <w:rPr>
                <w:rFonts w:hint="default" w:ascii="Times New Roman" w:hAnsi="Times New Roman" w:eastAsia="宋体" w:cs="Times New Roman"/>
                <w:bCs/>
                <w:color w:val="auto"/>
                <w:sz w:val="24"/>
                <w:szCs w:val="24"/>
                <w:highlight w:val="none"/>
                <w:u w:color="FF0000"/>
                <w:lang w:val="en-US" w:eastAsia="zh-CN" w:bidi="ar-SA"/>
              </w:rPr>
              <w:t>运输粉尘无组织排放量为0.0096t/a</w:t>
            </w:r>
            <w:r>
              <w:rPr>
                <w:rFonts w:hint="eastAsia" w:ascii="Times New Roman" w:hAnsi="Times New Roman" w:eastAsia="宋体" w:cs="Times New Roman"/>
                <w:bCs/>
                <w:color w:val="auto"/>
                <w:sz w:val="24"/>
                <w:szCs w:val="24"/>
                <w:highlight w:val="none"/>
                <w:u w:color="FF0000"/>
                <w:lang w:val="en-US" w:eastAsia="zh-CN" w:bidi="ar-SA"/>
              </w:rPr>
              <w:t>；装卸扬尘产生量为</w:t>
            </w:r>
            <w:r>
              <w:rPr>
                <w:rFonts w:hint="default" w:ascii="Times New Roman" w:hAnsi="Times New Roman" w:cs="Times New Roman"/>
                <w:color w:val="auto"/>
                <w:sz w:val="24"/>
                <w:szCs w:val="24"/>
                <w:lang w:eastAsia="zh-CN"/>
              </w:rPr>
              <w:t>0.0</w:t>
            </w:r>
            <w:r>
              <w:rPr>
                <w:rFonts w:hint="eastAsia" w:ascii="Times New Roman" w:hAnsi="Times New Roman" w:cs="Times New Roman"/>
                <w:color w:val="auto"/>
                <w:sz w:val="24"/>
                <w:szCs w:val="24"/>
                <w:lang w:val="en-US" w:eastAsia="zh-CN"/>
              </w:rPr>
              <w:t>123</w:t>
            </w:r>
            <w:r>
              <w:rPr>
                <w:rFonts w:hint="default" w:ascii="Times New Roman" w:hAnsi="Times New Roman" w:cs="Times New Roman"/>
                <w:color w:val="auto"/>
                <w:sz w:val="24"/>
                <w:szCs w:val="24"/>
                <w:lang w:eastAsia="zh-CN"/>
              </w:rPr>
              <w:t>t/a</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bCs/>
                <w:color w:val="auto"/>
                <w:sz w:val="24"/>
                <w:szCs w:val="24"/>
                <w:highlight w:val="none"/>
                <w:u w:color="FF0000"/>
                <w:lang w:val="en-US" w:eastAsia="zh-CN" w:bidi="ar-SA"/>
              </w:rPr>
              <w:t>治理后装卸</w:t>
            </w:r>
            <w:r>
              <w:rPr>
                <w:rFonts w:hint="default" w:ascii="Times New Roman" w:hAnsi="Times New Roman" w:eastAsia="宋体" w:cs="Times New Roman"/>
                <w:bCs/>
                <w:color w:val="auto"/>
                <w:sz w:val="24"/>
                <w:szCs w:val="24"/>
                <w:highlight w:val="none"/>
                <w:u w:color="FF0000"/>
                <w:lang w:val="en-US" w:eastAsia="zh-CN" w:bidi="ar-SA"/>
              </w:rPr>
              <w:t>粉尘无组织排放量为</w:t>
            </w:r>
            <w:r>
              <w:rPr>
                <w:rFonts w:hint="eastAsia" w:ascii="Times New Roman" w:hAnsi="Times New Roman" w:eastAsia="宋体" w:cs="Times New Roman"/>
                <w:bCs/>
                <w:color w:val="auto"/>
                <w:sz w:val="24"/>
                <w:szCs w:val="24"/>
                <w:highlight w:val="none"/>
                <w:u w:color="FF0000"/>
                <w:lang w:val="en-US" w:eastAsia="zh-CN" w:bidi="ar-SA"/>
              </w:rPr>
              <w:t>0.005</w:t>
            </w:r>
            <w:r>
              <w:rPr>
                <w:rFonts w:hint="default" w:ascii="Times New Roman" w:hAnsi="Times New Roman" w:eastAsia="宋体" w:cs="Times New Roman"/>
                <w:bCs/>
                <w:color w:val="auto"/>
                <w:sz w:val="24"/>
                <w:szCs w:val="24"/>
                <w:highlight w:val="none"/>
                <w:u w:color="FF0000"/>
                <w:lang w:val="en-US" w:eastAsia="zh-CN" w:bidi="ar-SA"/>
              </w:rPr>
              <w:t>t/a</w:t>
            </w:r>
            <w:r>
              <w:rPr>
                <w:rFonts w:hint="eastAsia" w:ascii="Times New Roman" w:hAnsi="Times New Roman" w:eastAsia="宋体" w:cs="Times New Roman"/>
                <w:bCs/>
                <w:color w:val="auto"/>
                <w:sz w:val="24"/>
                <w:szCs w:val="24"/>
                <w:highlight w:val="none"/>
                <w:u w:color="FF0000"/>
                <w:lang w:val="en-US" w:eastAsia="zh-CN" w:bidi="ar-SA"/>
              </w:rPr>
              <w:t>；堆场扬尘的产生量为0.315t/a，治理后堆场扬尘无组织排放量为0.189t/a；水泥仓的入仓粉尘产生量为2.52t/a，治理后水泥入仓粉尘无组织排放量为0.0252t/a；搅拌粉尘产生量为47.07t/a；采取水雾喷淋、降低物料装卸过程高度差等降尘防治措施有组织排放量为</w:t>
            </w:r>
            <w:r>
              <w:rPr>
                <w:rFonts w:hint="default" w:ascii="Times New Roman" w:hAnsi="Times New Roman" w:cs="Times New Roman"/>
                <w:color w:val="auto"/>
                <w:sz w:val="24"/>
                <w:szCs w:val="24"/>
              </w:rPr>
              <w:t>0.127t/a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无组织排放量降低至1.8828t/a；焊接烟尘无组织排放量为0.016</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val="en-US" w:eastAsia="zh-CN"/>
              </w:rPr>
              <w:t>。</w:t>
            </w:r>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bCs/>
                <w:color w:val="auto"/>
                <w:sz w:val="24"/>
                <w:szCs w:val="24"/>
                <w:highlight w:val="none"/>
                <w:u w:color="FF0000"/>
                <w:lang w:val="en-US" w:eastAsia="zh-CN" w:bidi="ar-SA"/>
              </w:rPr>
            </w:pPr>
            <w:r>
              <w:rPr>
                <w:rFonts w:hint="eastAsia" w:ascii="Times New Roman" w:hAnsi="Times New Roman" w:eastAsia="宋体" w:cs="Times New Roman"/>
                <w:bCs/>
                <w:color w:val="auto"/>
                <w:sz w:val="24"/>
                <w:szCs w:val="24"/>
                <w:highlight w:val="none"/>
                <w:u w:color="FF0000"/>
                <w:lang w:val="en-US" w:eastAsia="zh-CN" w:bidi="ar-SA"/>
              </w:rPr>
              <w:t>有组织排放量：0.127</w:t>
            </w:r>
            <w:r>
              <w:rPr>
                <w:rFonts w:hint="default" w:ascii="Times New Roman" w:hAnsi="Times New Roman" w:eastAsia="宋体" w:cs="Times New Roman"/>
                <w:bCs/>
                <w:color w:val="auto"/>
                <w:sz w:val="24"/>
                <w:szCs w:val="24"/>
                <w:highlight w:val="none"/>
                <w:u w:color="FF0000"/>
                <w:lang w:val="en-US" w:eastAsia="zh-CN" w:bidi="ar-SA"/>
              </w:rPr>
              <w:t>t/a</w:t>
            </w:r>
          </w:p>
          <w:p>
            <w:pPr>
              <w:pStyle w:val="6"/>
              <w:keepNext w:val="0"/>
              <w:keepLines w:val="0"/>
              <w:pageBreakBefore w:val="0"/>
              <w:widowControl w:val="0"/>
              <w:kinsoku/>
              <w:wordWrap/>
              <w:overflowPunct/>
              <w:topLinePunct w:val="0"/>
              <w:autoSpaceDE w:val="0"/>
              <w:autoSpaceDN w:val="0"/>
              <w:bidi w:val="0"/>
              <w:adjustRightInd/>
              <w:snapToGrid/>
              <w:spacing w:line="360" w:lineRule="auto"/>
              <w:jc w:val="both"/>
              <w:textAlignment w:val="baseline"/>
              <w:rPr>
                <w:rFonts w:hint="default" w:ascii="Times New Roman" w:hAnsi="Times New Roman" w:eastAsia="宋体" w:cs="Times New Roman"/>
                <w:bCs/>
                <w:color w:val="auto"/>
                <w:sz w:val="24"/>
                <w:szCs w:val="24"/>
                <w:highlight w:val="none"/>
                <w:u w:color="FF0000"/>
                <w:lang w:val="en-US" w:eastAsia="zh-CN" w:bidi="ar-SA"/>
              </w:rPr>
            </w:pPr>
            <w:r>
              <w:rPr>
                <w:rFonts w:hint="eastAsia" w:ascii="Times New Roman" w:hAnsi="Times New Roman" w:eastAsia="宋体" w:cs="Times New Roman"/>
                <w:bCs/>
                <w:color w:val="auto"/>
                <w:sz w:val="24"/>
                <w:szCs w:val="24"/>
                <w:highlight w:val="none"/>
                <w:u w:color="FF0000"/>
                <w:lang w:val="en-US" w:eastAsia="zh-CN" w:bidi="ar-SA"/>
              </w:rPr>
              <w:t>无组织排放量：0.0096+0.005+0.189+0.0252+1.8828+0.016=2.1226</w:t>
            </w:r>
            <w:r>
              <w:rPr>
                <w:rFonts w:hint="default" w:ascii="Times New Roman" w:hAnsi="Times New Roman" w:eastAsia="宋体" w:cs="Times New Roman"/>
                <w:bCs/>
                <w:color w:val="auto"/>
                <w:sz w:val="24"/>
                <w:szCs w:val="24"/>
                <w:highlight w:val="none"/>
                <w:u w:color="FF0000"/>
                <w:lang w:val="en-US" w:eastAsia="zh-CN" w:bidi="ar-SA"/>
              </w:rPr>
              <w:t>t/a</w:t>
            </w:r>
          </w:p>
          <w:p>
            <w:pPr>
              <w:widowControl/>
              <w:jc w:val="center"/>
              <w:rPr>
                <w:rFonts w:ascii="Times New Roman" w:hAnsi="Times New Roman" w:cs="Times New Roman"/>
              </w:rPr>
            </w:pPr>
            <w:r>
              <w:rPr>
                <w:rFonts w:ascii="Times New Roman" w:hAnsi="Times New Roman" w:cs="Times New Roman"/>
                <w:b/>
                <w:bCs/>
                <w:color w:val="auto"/>
                <w:sz w:val="21"/>
                <w:szCs w:val="21"/>
              </w:rPr>
              <w:t>表 3-</w:t>
            </w:r>
            <w:r>
              <w:rPr>
                <w:rFonts w:hint="default" w:ascii="Times New Roman" w:hAnsi="Times New Roman" w:cs="Times New Roman"/>
                <w:b/>
                <w:bCs/>
                <w:color w:val="auto"/>
                <w:sz w:val="21"/>
                <w:szCs w:val="21"/>
                <w:lang w:val="en-US" w:eastAsia="zh-CN"/>
              </w:rPr>
              <w:t>13</w:t>
            </w:r>
            <w:r>
              <w:rPr>
                <w:rFonts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rPr>
              <w:t>本</w:t>
            </w:r>
            <w:r>
              <w:rPr>
                <w:rFonts w:ascii="Times New Roman" w:hAnsi="Times New Roman" w:cs="Times New Roman"/>
                <w:b/>
                <w:bCs/>
                <w:color w:val="auto"/>
                <w:sz w:val="21"/>
                <w:szCs w:val="21"/>
              </w:rPr>
              <w:t>项目污染物总量控制建议指标</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328"/>
              <w:gridCol w:w="1769"/>
              <w:gridCol w:w="1676"/>
              <w:gridCol w:w="151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201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污染因子</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已批复总量</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本次</w:t>
                  </w:r>
                  <w:r>
                    <w:rPr>
                      <w:rFonts w:hint="default" w:ascii="Times New Roman" w:hAnsi="Times New Roman" w:cs="Times New Roman"/>
                      <w:b/>
                      <w:bCs/>
                      <w:color w:val="auto"/>
                      <w:sz w:val="21"/>
                      <w:szCs w:val="21"/>
                    </w:rPr>
                    <w:t>排放量</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变化</w:t>
                  </w:r>
                  <w:r>
                    <w:rPr>
                      <w:rFonts w:hint="default" w:ascii="Times New Roman" w:hAnsi="Times New Roman" w:cs="Times New Roman"/>
                      <w:b/>
                      <w:bCs/>
                      <w:color w:val="auto"/>
                      <w:sz w:val="21"/>
                      <w:szCs w:val="21"/>
                      <w:lang w:val="en-US" w:eastAsia="zh-CN"/>
                    </w:rPr>
                    <w:t xml:space="preserve">量 </w:t>
                  </w:r>
                </w:p>
              </w:tc>
              <w:tc>
                <w:tcPr>
                  <w:tcW w:w="18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85" w:type="dxa"/>
                  <w:vMerge w:val="restart"/>
                  <w:tcBorders>
                    <w:top w:val="single" w:color="000000" w:sz="8" w:space="0"/>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废水</w:t>
                  </w: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0.20</w:t>
                  </w:r>
                  <w:r>
                    <w:rPr>
                      <w:rFonts w:hint="default" w:ascii="Times New Roman" w:hAnsi="Times New Roman" w:cs="Times New Roman"/>
                      <w:b w:val="0"/>
                      <w:bCs w:val="0"/>
                      <w:color w:val="auto"/>
                      <w:sz w:val="21"/>
                      <w:szCs w:val="21"/>
                      <w:lang w:val="en-US" w:eastAsia="zh-CN"/>
                    </w:rPr>
                    <w:t>t/a</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color w:val="auto"/>
                      <w:sz w:val="21"/>
                      <w:szCs w:val="21"/>
                    </w:rPr>
                    <w:t>0.0</w:t>
                  </w:r>
                  <w:r>
                    <w:rPr>
                      <w:rFonts w:hint="default" w:ascii="Times New Roman" w:hAnsi="Times New Roman" w:cs="Times New Roman"/>
                      <w:color w:val="auto"/>
                      <w:sz w:val="21"/>
                      <w:szCs w:val="21"/>
                    </w:rPr>
                    <w:t>12</w:t>
                  </w:r>
                  <w:r>
                    <w:rPr>
                      <w:rFonts w:ascii="Times New Roman" w:hAnsi="Times New Roman" w:cs="Times New Roman"/>
                      <w:color w:val="auto"/>
                      <w:sz w:val="21"/>
                      <w:szCs w:val="21"/>
                    </w:rPr>
                    <w:t>t/a</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0.188</w:t>
                  </w:r>
                  <w:r>
                    <w:rPr>
                      <w:rFonts w:ascii="Times New Roman" w:hAnsi="Times New Roman" w:cs="Times New Roman"/>
                      <w:color w:val="auto"/>
                      <w:sz w:val="21"/>
                      <w:szCs w:val="21"/>
                    </w:rPr>
                    <w:t>t/a</w:t>
                  </w:r>
                </w:p>
              </w:tc>
              <w:tc>
                <w:tcPr>
                  <w:tcW w:w="1884" w:type="dxa"/>
                  <w:vMerge w:val="restart"/>
                  <w:tcBorders>
                    <w:top w:val="single" w:color="000000" w:sz="8" w:space="0"/>
                    <w:left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685" w:type="dxa"/>
                  <w:vMerge w:val="continue"/>
                  <w:tcBorders>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rPr>
                  </w:pP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b w:val="0"/>
                      <w:bCs w:val="0"/>
                      <w:color w:val="auto"/>
                      <w:sz w:val="21"/>
                      <w:szCs w:val="21"/>
                      <w:lang w:val="en-US" w:eastAsia="zh-CN"/>
                    </w:rPr>
                    <w:t>0.03</w:t>
                  </w:r>
                  <w:r>
                    <w:rPr>
                      <w:rFonts w:hint="default" w:ascii="Times New Roman" w:hAnsi="Times New Roman" w:cs="Times New Roman"/>
                      <w:b w:val="0"/>
                      <w:bCs w:val="0"/>
                      <w:color w:val="auto"/>
                      <w:sz w:val="21"/>
                      <w:szCs w:val="21"/>
                      <w:lang w:val="en-US" w:eastAsia="zh-CN"/>
                    </w:rPr>
                    <w:t>t/a</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color w:val="auto"/>
                      <w:sz w:val="21"/>
                      <w:szCs w:val="21"/>
                    </w:rPr>
                    <w:t>0.00</w:t>
                  </w:r>
                  <w:r>
                    <w:rPr>
                      <w:rFonts w:hint="default" w:ascii="Times New Roman" w:hAnsi="Times New Roman" w:cs="Times New Roman"/>
                      <w:color w:val="auto"/>
                      <w:sz w:val="21"/>
                      <w:szCs w:val="21"/>
                    </w:rPr>
                    <w:t>12</w:t>
                  </w:r>
                  <w:r>
                    <w:rPr>
                      <w:rFonts w:ascii="Times New Roman" w:hAnsi="Times New Roman" w:cs="Times New Roman"/>
                      <w:color w:val="auto"/>
                      <w:sz w:val="21"/>
                      <w:szCs w:val="21"/>
                    </w:rPr>
                    <w:t>t/a</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0.0288</w:t>
                  </w:r>
                  <w:r>
                    <w:rPr>
                      <w:rFonts w:ascii="Times New Roman" w:hAnsi="Times New Roman" w:cs="Times New Roman"/>
                      <w:color w:val="auto"/>
                      <w:sz w:val="21"/>
                      <w:szCs w:val="21"/>
                    </w:rPr>
                    <w:t>t/a</w:t>
                  </w:r>
                </w:p>
              </w:tc>
              <w:tc>
                <w:tcPr>
                  <w:tcW w:w="1884" w:type="dxa"/>
                  <w:vMerge w:val="continue"/>
                  <w:tcBorders>
                    <w:left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685" w:type="dxa"/>
                  <w:vMerge w:val="continue"/>
                  <w:tcBorders>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rPr>
                  </w:pP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TP</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0.00012</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lang w:val="en-US" w:eastAsia="zh-CN"/>
                    </w:rPr>
                    <w:t>0.00012</w:t>
                  </w:r>
                  <w:r>
                    <w:rPr>
                      <w:rFonts w:ascii="Times New Roman" w:hAnsi="Times New Roman" w:cs="Times New Roman"/>
                      <w:color w:val="auto"/>
                      <w:sz w:val="21"/>
                      <w:szCs w:val="21"/>
                    </w:rPr>
                    <w:t>t/a</w:t>
                  </w:r>
                </w:p>
              </w:tc>
              <w:tc>
                <w:tcPr>
                  <w:tcW w:w="1884" w:type="dxa"/>
                  <w:vMerge w:val="continue"/>
                  <w:tcBorders>
                    <w:left w:val="single" w:color="000000" w:sz="8" w:space="0"/>
                    <w:bottom w:val="single" w:color="000000" w:sz="8" w:space="0"/>
                    <w:right w:val="single" w:color="000000" w:sz="8" w:space="0"/>
                  </w:tcBorders>
                  <w:shd w:val="clear" w:color="auto" w:fill="FFFFFF"/>
                  <w:vAlign w:val="center"/>
                </w:tcPr>
                <w:p>
                  <w:pPr>
                    <w:tabs>
                      <w:tab w:val="left" w:pos="927"/>
                    </w:tabs>
                    <w:autoSpaceDE/>
                    <w:autoSpaceDN/>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5" w:type="dxa"/>
                  <w:vMerge w:val="restart"/>
                  <w:tcBorders>
                    <w:top w:val="single" w:color="000000" w:sz="8" w:space="0"/>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废气</w:t>
                  </w: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0.462</w:t>
                  </w:r>
                  <w:r>
                    <w:rPr>
                      <w:rFonts w:hint="default" w:ascii="Times New Roman" w:hAnsi="Times New Roman" w:cs="Times New Roman"/>
                      <w:b w:val="0"/>
                      <w:bCs w:val="0"/>
                      <w:color w:val="auto"/>
                      <w:sz w:val="21"/>
                      <w:szCs w:val="21"/>
                      <w:lang w:val="en-US" w:eastAsia="zh-CN"/>
                    </w:rPr>
                    <w:t>t/a</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0008</w:t>
                  </w:r>
                  <w:r>
                    <w:rPr>
                      <w:rFonts w:ascii="Times New Roman" w:hAnsi="Times New Roman" w:cs="Times New Roman"/>
                      <w:color w:val="auto"/>
                      <w:sz w:val="21"/>
                      <w:szCs w:val="21"/>
                    </w:rPr>
                    <w:t>t/a</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0.4612</w:t>
                  </w:r>
                  <w:r>
                    <w:rPr>
                      <w:rFonts w:ascii="Times New Roman" w:hAnsi="Times New Roman" w:cs="Times New Roman"/>
                      <w:color w:val="auto"/>
                      <w:sz w:val="21"/>
                      <w:szCs w:val="21"/>
                    </w:rPr>
                    <w:t>t/a</w:t>
                  </w:r>
                </w:p>
              </w:tc>
              <w:tc>
                <w:tcPr>
                  <w:tcW w:w="1884" w:type="dxa"/>
                  <w:vMerge w:val="restart"/>
                  <w:tcBorders>
                    <w:top w:val="single" w:color="000000" w:sz="8" w:space="0"/>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85" w:type="dxa"/>
                  <w:vMerge w:val="continue"/>
                  <w:tcBorders>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r>
                    <w:rPr>
                      <w:rFonts w:ascii="Times New Roman" w:hAnsi="Times New Roman" w:cs="Times New Roman"/>
                      <w:color w:val="auto"/>
                      <w:sz w:val="21"/>
                      <w:szCs w:val="21"/>
                    </w:rPr>
                    <w:t>NO</w:t>
                  </w:r>
                  <w:r>
                    <w:rPr>
                      <w:rFonts w:ascii="Times New Roman" w:hAnsi="Times New Roman" w:cs="Times New Roman"/>
                      <w:color w:val="auto"/>
                      <w:sz w:val="21"/>
                      <w:szCs w:val="21"/>
                      <w:vertAlign w:val="subscript"/>
                    </w:rPr>
                    <w:t>X</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val="en-US" w:eastAsia="zh-CN"/>
                    </w:rPr>
                    <w:t>0.07t/a</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014</w:t>
                  </w:r>
                  <w:r>
                    <w:rPr>
                      <w:rFonts w:ascii="Times New Roman" w:hAnsi="Times New Roman" w:cs="Times New Roman"/>
                      <w:color w:val="auto"/>
                      <w:sz w:val="21"/>
                      <w:szCs w:val="21"/>
                    </w:rPr>
                    <w:t>t/a</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0.056</w:t>
                  </w:r>
                  <w:r>
                    <w:rPr>
                      <w:rFonts w:ascii="Times New Roman" w:hAnsi="Times New Roman" w:cs="Times New Roman"/>
                      <w:color w:val="auto"/>
                      <w:sz w:val="21"/>
                      <w:szCs w:val="21"/>
                    </w:rPr>
                    <w:t>t/a</w:t>
                  </w:r>
                </w:p>
              </w:tc>
              <w:tc>
                <w:tcPr>
                  <w:tcW w:w="1884" w:type="dxa"/>
                  <w:vMerge w:val="continue"/>
                  <w:tcBorders>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jc w:val="center"/>
              </w:trPr>
              <w:tc>
                <w:tcPr>
                  <w:tcW w:w="685" w:type="dxa"/>
                  <w:vMerge w:val="continue"/>
                  <w:tcBorders>
                    <w:left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颗粒物</w:t>
                  </w:r>
                </w:p>
              </w:tc>
              <w:tc>
                <w:tcPr>
                  <w:tcW w:w="176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6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2.25</w:t>
                  </w:r>
                  <w:r>
                    <w:rPr>
                      <w:rFonts w:ascii="Times New Roman" w:hAnsi="Times New Roman" w:cs="Times New Roman"/>
                      <w:color w:val="auto"/>
                      <w:sz w:val="21"/>
                      <w:szCs w:val="21"/>
                    </w:rPr>
                    <w:t>t/a</w:t>
                  </w:r>
                </w:p>
              </w:tc>
              <w:tc>
                <w:tcPr>
                  <w:tcW w:w="151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+2.25</w:t>
                  </w:r>
                  <w:r>
                    <w:rPr>
                      <w:rFonts w:ascii="Times New Roman" w:hAnsi="Times New Roman" w:cs="Times New Roman"/>
                      <w:color w:val="auto"/>
                      <w:sz w:val="21"/>
                      <w:szCs w:val="21"/>
                    </w:rPr>
                    <w:t>t/a</w:t>
                  </w:r>
                </w:p>
              </w:tc>
              <w:tc>
                <w:tcPr>
                  <w:tcW w:w="1884" w:type="dxa"/>
                  <w:vMerge w:val="continue"/>
                  <w:tcBorders>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cs="Times New Roman"/>
                      <w:color w:val="auto"/>
                      <w:sz w:val="21"/>
                      <w:szCs w:val="21"/>
                      <w:lang w:val="en-US" w:eastAsia="zh-CN"/>
                    </w:rPr>
                  </w:pPr>
                </w:p>
              </w:tc>
            </w:tr>
          </w:tbl>
          <w:p>
            <w:pPr>
              <w:pStyle w:val="8"/>
              <w:rPr>
                <w:rFonts w:ascii="Times New Roman" w:hAnsi="Times New Roman" w:cs="Times New Roman"/>
              </w:rPr>
            </w:pPr>
          </w:p>
          <w:p>
            <w:pPr>
              <w:spacing w:line="360" w:lineRule="auto"/>
              <w:rPr>
                <w:rFonts w:ascii="Times New Roman" w:hAnsi="Times New Roman" w:cs="Times New Roman"/>
                <w:color w:val="auto"/>
                <w:sz w:val="24"/>
                <w:szCs w:val="32"/>
              </w:rPr>
            </w:pPr>
          </w:p>
        </w:tc>
      </w:tr>
    </w:tbl>
    <w:p>
      <w:pPr>
        <w:pStyle w:val="19"/>
        <w:jc w:val="center"/>
        <w:outlineLvl w:val="0"/>
        <w:rPr>
          <w:rFonts w:ascii="Times New Roman" w:hAnsi="Times New Roman" w:eastAsia="黑体" w:cs="Times New Roman"/>
          <w:snapToGrid w:val="0"/>
          <w:color w:val="auto"/>
          <w:sz w:val="32"/>
          <w:szCs w:val="32"/>
        </w:rPr>
      </w:pPr>
      <w:r>
        <w:rPr>
          <w:rFonts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2"/>
          <w:szCs w:val="32"/>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67" w:type="dxa"/>
            <w:tcMar>
              <w:left w:w="28" w:type="dxa"/>
              <w:right w:w="28"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施工</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期环</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境保</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护措</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施</w:t>
            </w:r>
          </w:p>
        </w:tc>
        <w:tc>
          <w:tcPr>
            <w:tcW w:w="9075" w:type="dxa"/>
          </w:tcPr>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一、施工期工程分析</w:t>
            </w:r>
          </w:p>
          <w:p>
            <w:pPr>
              <w:spacing w:line="360" w:lineRule="auto"/>
              <w:ind w:firstLine="480" w:firstLineChars="200"/>
              <w:rPr>
                <w:rFonts w:ascii="Times New Roman" w:hAnsi="Times New Roman" w:cs="Times New Roman"/>
                <w:color w:val="auto"/>
                <w:sz w:val="24"/>
                <w:szCs w:val="32"/>
                <w:u w:color="FF0000"/>
              </w:rPr>
            </w:pPr>
            <w:r>
              <w:rPr>
                <w:rFonts w:hint="default" w:ascii="Times New Roman" w:hAnsi="Times New Roman" w:cs="Times New Roman"/>
                <w:color w:val="auto"/>
                <w:sz w:val="24"/>
                <w:szCs w:val="24"/>
              </w:rPr>
              <w:t>本项目系利用四川省遂宁市蓬溪县赤城镇上游工业园区四川澳峰橡胶有限公司现有房屋结构进行建设，不涉及基础开挖、土石方等工程，仅在企业入驻时对自身设备进行安装、调试，该过程主要污染物为噪声、废气、生活污水等。</w:t>
            </w:r>
            <w:r>
              <w:rPr>
                <w:rFonts w:hint="default" w:ascii="Times New Roman" w:hAnsi="Times New Roman" w:cs="Times New Roman"/>
                <w:color w:val="auto"/>
                <w:sz w:val="24"/>
                <w:szCs w:val="32"/>
                <w:u w:color="FF0000"/>
              </w:rPr>
              <w:t>其排放量随工期和施工强度不同而有所变化。</w:t>
            </w:r>
            <w:r>
              <w:rPr>
                <w:rFonts w:hint="default" w:ascii="Times New Roman" w:hAnsi="Times New Roman" w:cs="Times New Roman"/>
                <w:color w:val="auto"/>
                <w:sz w:val="24"/>
                <w:szCs w:val="24"/>
              </w:rPr>
              <w:t>由于工程量较小，施工期不长，产量较小，</w:t>
            </w:r>
            <w:r>
              <w:rPr>
                <w:rFonts w:hint="default" w:ascii="Times New Roman" w:hAnsi="Times New Roman" w:cs="Times New Roman"/>
                <w:color w:val="auto"/>
                <w:sz w:val="24"/>
                <w:szCs w:val="32"/>
                <w:u w:color="FF0000"/>
              </w:rPr>
              <w:t>随着施工期的结束，影响也随之消失。以下为施工期环境保护措施：</w:t>
            </w:r>
          </w:p>
          <w:p>
            <w:pPr>
              <w:spacing w:line="360" w:lineRule="auto"/>
              <w:ind w:firstLine="482" w:firstLineChars="200"/>
              <w:rPr>
                <w:rFonts w:ascii="Times New Roman" w:hAnsi="Times New Roman" w:cs="Times New Roman"/>
                <w:b/>
                <w:bCs/>
                <w:color w:val="auto"/>
                <w:sz w:val="24"/>
                <w:szCs w:val="32"/>
                <w:u w:color="FF0000"/>
              </w:rPr>
            </w:pPr>
            <w:r>
              <w:rPr>
                <w:rFonts w:hint="default" w:ascii="Times New Roman" w:hAnsi="Times New Roman" w:cs="Times New Roman"/>
                <w:b/>
                <w:bCs/>
                <w:color w:val="auto"/>
                <w:sz w:val="24"/>
                <w:szCs w:val="32"/>
                <w:u w:color="FF0000"/>
              </w:rPr>
              <w:t>施工扬尘：</w:t>
            </w:r>
          </w:p>
          <w:p>
            <w:pPr>
              <w:spacing w:line="360" w:lineRule="auto"/>
              <w:ind w:firstLine="480" w:firstLineChars="200"/>
              <w:rPr>
                <w:rFonts w:ascii="Times New Roman" w:hAnsi="Times New Roman" w:cs="Times New Roman"/>
                <w:color w:val="auto"/>
                <w:sz w:val="24"/>
                <w:u w:color="FF0000"/>
              </w:rPr>
            </w:pPr>
            <w:r>
              <w:rPr>
                <w:rFonts w:ascii="Times New Roman" w:hAnsi="Times New Roman" w:cs="Times New Roman"/>
                <w:color w:val="auto"/>
                <w:sz w:val="24"/>
                <w:u w:color="FF0000"/>
              </w:rPr>
              <w:t>施工期对大气环境的影响主要为施工扬尘、运输车辆汽车尾气。施工扬尘主要是车辆运输过程中引起的地面扬尘和材料搬运过程中的扬尘，经降低车速，轻拿轻放材料，保持地面清洁理措施处理后，可有效降低扬尘浓度；运输车辆的汽车尾气其特点是排放量小，且属间断性无组织排放，项目施工期主要在已建的厂房内施工，厂房结构会降低施工粉尘对外环境的影响，项目施工期在严格按照《四川省打赢蓝天保卫战实施方案》和《四川省施工场地扬尘排放标准》（DB51/2682-2020）中对施工场地采取扬尘治理措施降低对外环境影响。</w:t>
            </w:r>
          </w:p>
          <w:p>
            <w:pPr>
              <w:spacing w:line="360" w:lineRule="auto"/>
              <w:ind w:firstLine="482" w:firstLineChars="200"/>
              <w:rPr>
                <w:rFonts w:ascii="Times New Roman" w:hAnsi="Times New Roman" w:cs="Times New Roman"/>
                <w:b/>
                <w:bCs/>
                <w:color w:val="auto"/>
                <w:sz w:val="24"/>
                <w:szCs w:val="32"/>
                <w:u w:color="FF0000"/>
              </w:rPr>
            </w:pPr>
            <w:r>
              <w:rPr>
                <w:rFonts w:ascii="Times New Roman" w:hAnsi="Times New Roman" w:cs="Times New Roman"/>
                <w:b/>
                <w:bCs/>
                <w:color w:val="auto"/>
                <w:sz w:val="24"/>
                <w:szCs w:val="32"/>
                <w:u w:color="FF0000"/>
              </w:rPr>
              <w:t>废水：</w:t>
            </w:r>
          </w:p>
          <w:p>
            <w:pPr>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szCs w:val="32"/>
                <w:u w:color="FF0000"/>
              </w:rPr>
              <w:t>生活污水：本环评要求项目施工期施工人员</w:t>
            </w:r>
            <w:r>
              <w:rPr>
                <w:rFonts w:ascii="Times New Roman" w:hAnsi="Times New Roman" w:cs="Times New Roman"/>
                <w:color w:val="auto"/>
                <w:sz w:val="24"/>
                <w:szCs w:val="24"/>
              </w:rPr>
              <w:t>生活废水经预处理池处理后通过市政污水管网排入处理厂处理达标后外排。</w:t>
            </w:r>
          </w:p>
          <w:p>
            <w:pPr>
              <w:spacing w:line="360" w:lineRule="auto"/>
              <w:ind w:firstLine="482" w:firstLineChars="200"/>
              <w:rPr>
                <w:rFonts w:ascii="Times New Roman" w:hAnsi="Times New Roman" w:cs="Times New Roman"/>
                <w:b/>
                <w:bCs/>
                <w:color w:val="auto"/>
                <w:sz w:val="24"/>
                <w:szCs w:val="32"/>
                <w:u w:color="FF0000"/>
              </w:rPr>
            </w:pPr>
            <w:r>
              <w:rPr>
                <w:rFonts w:ascii="Times New Roman" w:hAnsi="Times New Roman" w:cs="Times New Roman"/>
                <w:b/>
                <w:bCs/>
                <w:color w:val="auto"/>
                <w:sz w:val="24"/>
                <w:szCs w:val="32"/>
                <w:u w:color="FF0000"/>
              </w:rPr>
              <w:t>噪声：</w:t>
            </w:r>
          </w:p>
          <w:p>
            <w:pPr>
              <w:spacing w:line="360" w:lineRule="auto"/>
              <w:ind w:firstLine="480" w:firstLineChars="200"/>
              <w:rPr>
                <w:rFonts w:ascii="Times New Roman" w:hAnsi="Times New Roman" w:cs="Times New Roman"/>
                <w:color w:val="auto"/>
                <w:sz w:val="24"/>
                <w:szCs w:val="32"/>
                <w:u w:color="FF0000"/>
              </w:rPr>
            </w:pPr>
            <w:r>
              <w:rPr>
                <w:rFonts w:ascii="Times New Roman" w:hAnsi="Times New Roman" w:cs="Times New Roman"/>
                <w:color w:val="auto"/>
                <w:sz w:val="24"/>
                <w:u w:color="FF0000"/>
              </w:rPr>
              <w:t>本项目施工期的噪声主要是设备安装时产生的噪声，源强为65~95dB，通过采取厂房隔声、距离衰减、加强管理、合理安排作业时段等措施后，产生的噪声不会对周围环境产生明显不利影响。</w:t>
            </w:r>
          </w:p>
          <w:p>
            <w:pPr>
              <w:spacing w:line="360" w:lineRule="auto"/>
              <w:ind w:firstLine="482" w:firstLineChars="200"/>
              <w:rPr>
                <w:rFonts w:ascii="Times New Roman" w:hAnsi="Times New Roman" w:cs="Times New Roman"/>
                <w:b/>
                <w:bCs/>
                <w:color w:val="auto"/>
                <w:sz w:val="24"/>
                <w:szCs w:val="32"/>
                <w:u w:color="FF0000"/>
              </w:rPr>
            </w:pPr>
            <w:r>
              <w:rPr>
                <w:rFonts w:ascii="Times New Roman" w:hAnsi="Times New Roman" w:cs="Times New Roman"/>
                <w:b/>
                <w:bCs/>
                <w:color w:val="auto"/>
                <w:sz w:val="24"/>
                <w:szCs w:val="32"/>
                <w:u w:color="FF0000"/>
              </w:rPr>
              <w:t>固体废物：</w:t>
            </w:r>
          </w:p>
          <w:p>
            <w:pPr>
              <w:widowControl/>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bCs/>
                <w:color w:val="auto"/>
                <w:sz w:val="24"/>
                <w:u w:color="FF0000"/>
              </w:rPr>
              <w:t>施工期固废主要来源于设备的废包装材料、施工人员产生的生活垃圾。废包装材料经收集后出售给废品回收站回收；生活垃圾</w:t>
            </w:r>
            <w:r>
              <w:rPr>
                <w:rFonts w:ascii="Times New Roman" w:hAnsi="Times New Roman" w:cs="Times New Roman"/>
                <w:color w:val="auto"/>
                <w:sz w:val="24"/>
                <w:u w:color="FF0000"/>
              </w:rPr>
              <w:t>经收集后与生活垃圾一同交由环卫部门负责处理。</w:t>
            </w:r>
            <w:r>
              <w:rPr>
                <w:rFonts w:ascii="Times New Roman" w:hAnsi="Times New Roman" w:cs="Times New Roman"/>
                <w:color w:val="auto"/>
                <w:sz w:val="24"/>
                <w:szCs w:val="24"/>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4" w:hRule="atLeast"/>
          <w:jc w:val="center"/>
        </w:trPr>
        <w:tc>
          <w:tcPr>
            <w:tcW w:w="567" w:type="dxa"/>
            <w:tcMar>
              <w:left w:w="28" w:type="dxa"/>
              <w:right w:w="28" w:type="dxa"/>
            </w:tcMar>
            <w:vAlign w:val="center"/>
          </w:tcPr>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运营</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期环</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境影</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响和</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保护</w:t>
            </w:r>
          </w:p>
          <w:p>
            <w:pPr>
              <w:pStyle w:val="32"/>
              <w:rPr>
                <w:rFonts w:ascii="Times New Roman" w:hAnsi="Times New Roman" w:cs="Times New Roman"/>
                <w:color w:val="auto"/>
                <w:sz w:val="24"/>
                <w:szCs w:val="22"/>
              </w:rPr>
            </w:pPr>
            <w:r>
              <w:rPr>
                <w:rFonts w:hint="default" w:ascii="Times New Roman" w:hAnsi="Times New Roman" w:cs="Times New Roman"/>
                <w:color w:val="auto"/>
                <w:sz w:val="24"/>
                <w:szCs w:val="22"/>
              </w:rPr>
              <w:t>措施</w:t>
            </w:r>
          </w:p>
        </w:tc>
        <w:tc>
          <w:tcPr>
            <w:tcW w:w="9075" w:type="dxa"/>
          </w:tcPr>
          <w:p>
            <w:pPr>
              <w:pStyle w:val="44"/>
              <w:rPr>
                <w:rFonts w:ascii="Times New Roman" w:hAnsi="Times New Roman" w:cs="Times New Roman"/>
                <w:color w:val="auto"/>
                <w:szCs w:val="24"/>
              </w:rPr>
            </w:pPr>
            <w:r>
              <w:rPr>
                <w:rFonts w:hint="default" w:ascii="Times New Roman" w:hAnsi="Times New Roman" w:cs="Times New Roman"/>
                <w:color w:val="auto"/>
                <w:szCs w:val="24"/>
              </w:rPr>
              <w:t>一、</w:t>
            </w:r>
            <w:r>
              <w:rPr>
                <w:rFonts w:ascii="Times New Roman" w:hAnsi="Times New Roman" w:cs="Times New Roman"/>
                <w:color w:val="auto"/>
                <w:szCs w:val="24"/>
              </w:rPr>
              <w:t>废气</w:t>
            </w:r>
          </w:p>
          <w:p>
            <w:pPr>
              <w:spacing w:line="360" w:lineRule="auto"/>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（一）正常工况下污染物的产生、治理及排放情况</w:t>
            </w:r>
          </w:p>
          <w:p>
            <w:pPr>
              <w:spacing w:line="360" w:lineRule="auto"/>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1、产排污环节、污染物及污染防治措施</w:t>
            </w:r>
          </w:p>
          <w:p>
            <w:pPr>
              <w:spacing w:line="360" w:lineRule="auto"/>
              <w:ind w:firstLine="480" w:firstLineChars="200"/>
              <w:rPr>
                <w:rFonts w:ascii="Times New Roman" w:hAnsi="Times New Roman" w:cs="Times New Roman"/>
                <w:color w:val="auto"/>
              </w:rPr>
            </w:pPr>
            <w:r>
              <w:rPr>
                <w:rFonts w:hint="default" w:ascii="Times New Roman" w:hAnsi="Times New Roman" w:cs="Times New Roman"/>
                <w:color w:val="auto"/>
                <w:sz w:val="24"/>
                <w:szCs w:val="32"/>
              </w:rPr>
              <w:t>本项目产排污环节、污染物及污染防治措施详见下表：</w:t>
            </w:r>
          </w:p>
          <w:p>
            <w:pPr>
              <w:pStyle w:val="38"/>
              <w:rPr>
                <w:rFonts w:ascii="Times New Roman" w:hAnsi="Times New Roman" w:cs="Times New Roman"/>
                <w:color w:val="auto"/>
                <w:sz w:val="21"/>
                <w:szCs w:val="21"/>
              </w:rPr>
            </w:pPr>
            <w:r>
              <w:rPr>
                <w:rFonts w:ascii="Times New Roman" w:hAnsi="Times New Roman" w:cs="Times New Roman"/>
                <w:color w:val="auto"/>
                <w:sz w:val="21"/>
                <w:szCs w:val="21"/>
              </w:rPr>
              <w:t>表4-1  项目产污环节、污染物及污染防治措施一览表</w:t>
            </w:r>
          </w:p>
          <w:tbl>
            <w:tblPr>
              <w:tblStyle w:val="25"/>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185"/>
              <w:gridCol w:w="1245"/>
              <w:gridCol w:w="2385"/>
              <w:gridCol w:w="1140"/>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jc w:val="center"/>
              </w:trPr>
              <w:tc>
                <w:tcPr>
                  <w:tcW w:w="1702"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产污环节</w:t>
                  </w:r>
                </w:p>
              </w:tc>
              <w:tc>
                <w:tcPr>
                  <w:tcW w:w="118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主要污染物项目</w:t>
                  </w:r>
                </w:p>
              </w:tc>
              <w:tc>
                <w:tcPr>
                  <w:tcW w:w="124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排放形式</w:t>
                  </w:r>
                </w:p>
              </w:tc>
              <w:tc>
                <w:tcPr>
                  <w:tcW w:w="3525"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污染防治措施</w:t>
                  </w:r>
                </w:p>
              </w:tc>
              <w:tc>
                <w:tcPr>
                  <w:tcW w:w="128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排放口名称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702"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c>
                <w:tcPr>
                  <w:tcW w:w="118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c>
                <w:tcPr>
                  <w:tcW w:w="124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c>
                <w:tcPr>
                  <w:tcW w:w="23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工艺</w:t>
                  </w:r>
                </w:p>
              </w:tc>
              <w:tc>
                <w:tcPr>
                  <w:tcW w:w="11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是否为可行技术</w:t>
                  </w:r>
                </w:p>
              </w:tc>
              <w:tc>
                <w:tcPr>
                  <w:tcW w:w="128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70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混料、搅拌</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有组织</w:t>
                  </w:r>
                </w:p>
              </w:tc>
              <w:tc>
                <w:tcPr>
                  <w:tcW w:w="23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布袋除尘＋</w:t>
                  </w:r>
                  <w:r>
                    <w:rPr>
                      <w:rFonts w:hint="eastAsia" w:cs="Times New Roman"/>
                      <w:b w:val="0"/>
                      <w:color w:val="auto"/>
                      <w:sz w:val="21"/>
                      <w:szCs w:val="21"/>
                      <w:lang w:val="en-US" w:eastAsia="zh-CN"/>
                    </w:rPr>
                    <w:t>15m排气筒</w:t>
                  </w:r>
                </w:p>
              </w:tc>
              <w:tc>
                <w:tcPr>
                  <w:tcW w:w="11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是</w:t>
                  </w:r>
                </w:p>
              </w:tc>
              <w:tc>
                <w:tcPr>
                  <w:tcW w:w="12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eastAsia="Times New Roman" w:cs="Times New Roman"/>
                      <w:b w:val="0"/>
                      <w:bCs/>
                      <w:color w:val="auto"/>
                      <w:sz w:val="21"/>
                      <w:szCs w:val="21"/>
                    </w:rPr>
                    <w:t>DA00</w:t>
                  </w:r>
                  <w:r>
                    <w:rPr>
                      <w:rFonts w:hint="default" w:ascii="Times New Roman" w:hAnsi="Times New Roman" w:cs="Times New Roman"/>
                      <w:b w:val="0"/>
                      <w:bCs/>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jc w:val="center"/>
              </w:trPr>
              <w:tc>
                <w:tcPr>
                  <w:tcW w:w="1702"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eastAsia" w:cs="Times New Roman"/>
                      <w:b w:val="0"/>
                      <w:bCs/>
                      <w:color w:val="auto"/>
                      <w:sz w:val="21"/>
                      <w:szCs w:val="21"/>
                      <w:lang w:val="en-US" w:eastAsia="zh-CN"/>
                    </w:rPr>
                    <w:t>天然气</w:t>
                  </w:r>
                  <w:r>
                    <w:rPr>
                      <w:rFonts w:hint="default" w:ascii="Times New Roman" w:hAnsi="Times New Roman" w:cs="Times New Roman"/>
                      <w:b w:val="0"/>
                      <w:bCs/>
                      <w:color w:val="auto"/>
                      <w:sz w:val="21"/>
                      <w:szCs w:val="21"/>
                    </w:rPr>
                    <w:t>蒸汽锅炉</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SO</w:t>
                  </w:r>
                  <w:r>
                    <w:rPr>
                      <w:rFonts w:hint="default" w:ascii="Times New Roman" w:hAnsi="Times New Roman" w:cs="Times New Roman"/>
                      <w:b w:val="0"/>
                      <w:bCs/>
                      <w:color w:val="auto"/>
                      <w:sz w:val="21"/>
                      <w:szCs w:val="21"/>
                      <w:vertAlign w:val="subscript"/>
                    </w:rPr>
                    <w:t>2</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hint="default" w:ascii="Times New Roman" w:hAnsi="Times New Roman" w:cs="Times New Roman"/>
                      <w:b w:val="0"/>
                      <w:bCs/>
                      <w:color w:val="auto"/>
                      <w:sz w:val="21"/>
                      <w:szCs w:val="21"/>
                    </w:rPr>
                    <w:t>组织</w:t>
                  </w:r>
                </w:p>
              </w:tc>
              <w:tc>
                <w:tcPr>
                  <w:tcW w:w="2385"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eastAsia="宋体" w:cs="Times New Roman"/>
                      <w:b w:val="0"/>
                      <w:bCs/>
                      <w:color w:val="auto"/>
                      <w:sz w:val="21"/>
                      <w:szCs w:val="21"/>
                    </w:rPr>
                    <w:t>设备自带低氮燃烧装置</w:t>
                  </w:r>
                </w:p>
              </w:tc>
              <w:tc>
                <w:tcPr>
                  <w:tcW w:w="1140"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是</w:t>
                  </w:r>
                </w:p>
              </w:tc>
              <w:tc>
                <w:tcPr>
                  <w:tcW w:w="1283"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eastAsia="Times New Roman" w:cs="Times New Roman"/>
                      <w:b w:val="0"/>
                      <w:bCs/>
                      <w:color w:val="auto"/>
                      <w:sz w:val="21"/>
                      <w:szCs w:val="21"/>
                    </w:rPr>
                    <w:t>DA00</w:t>
                  </w:r>
                  <w:r>
                    <w:rPr>
                      <w:rFonts w:hint="default" w:ascii="Times New Roman" w:hAnsi="Times New Roman" w:cs="Times New Roman"/>
                      <w:b w:val="0"/>
                      <w:bCs/>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02"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NO</w:t>
                  </w:r>
                  <w:r>
                    <w:rPr>
                      <w:rFonts w:hint="default" w:ascii="Times New Roman" w:hAnsi="Times New Roman" w:cs="Times New Roman"/>
                      <w:b w:val="0"/>
                      <w:bCs/>
                      <w:color w:val="auto"/>
                      <w:sz w:val="21"/>
                      <w:szCs w:val="21"/>
                      <w:vertAlign w:val="subscript"/>
                    </w:rPr>
                    <w:t>2</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无</w:t>
                  </w:r>
                  <w:r>
                    <w:rPr>
                      <w:rFonts w:hint="default" w:ascii="Times New Roman" w:hAnsi="Times New Roman" w:cs="Times New Roman"/>
                      <w:b w:val="0"/>
                      <w:bCs/>
                      <w:color w:val="auto"/>
                      <w:sz w:val="21"/>
                      <w:szCs w:val="21"/>
                    </w:rPr>
                    <w:t>组织</w:t>
                  </w:r>
                </w:p>
              </w:tc>
              <w:tc>
                <w:tcPr>
                  <w:tcW w:w="2385"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1140"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1283"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 w:hRule="atLeast"/>
                <w:jc w:val="center"/>
              </w:trPr>
              <w:tc>
                <w:tcPr>
                  <w:tcW w:w="1702"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无</w:t>
                  </w:r>
                  <w:r>
                    <w:rPr>
                      <w:rFonts w:hint="default" w:ascii="Times New Roman" w:hAnsi="Times New Roman" w:cs="Times New Roman"/>
                      <w:b w:val="0"/>
                      <w:bCs/>
                      <w:color w:val="auto"/>
                      <w:sz w:val="21"/>
                      <w:szCs w:val="21"/>
                    </w:rPr>
                    <w:t>组织</w:t>
                  </w:r>
                </w:p>
              </w:tc>
              <w:tc>
                <w:tcPr>
                  <w:tcW w:w="2385"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1140" w:type="dxa"/>
                  <w:vMerge w:val="continue"/>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cs="Times New Roman"/>
                      <w:b w:val="0"/>
                      <w:bCs/>
                      <w:color w:val="auto"/>
                      <w:sz w:val="21"/>
                      <w:szCs w:val="21"/>
                    </w:rPr>
                  </w:pPr>
                </w:p>
              </w:tc>
              <w:tc>
                <w:tcPr>
                  <w:tcW w:w="1283" w:type="dxa"/>
                  <w:vMerge w:val="continue"/>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1702" w:type="dxa"/>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堆场、装卸、运输、筒仓</w:t>
                  </w:r>
                </w:p>
              </w:tc>
              <w:tc>
                <w:tcPr>
                  <w:tcW w:w="11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颗粒物</w:t>
                  </w:r>
                </w:p>
              </w:tc>
              <w:tc>
                <w:tcPr>
                  <w:tcW w:w="12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无</w:t>
                  </w:r>
                  <w:r>
                    <w:rPr>
                      <w:rFonts w:hint="default" w:ascii="Times New Roman" w:hAnsi="Times New Roman" w:cs="Times New Roman"/>
                      <w:b w:val="0"/>
                      <w:bCs/>
                      <w:color w:val="auto"/>
                      <w:sz w:val="21"/>
                      <w:szCs w:val="21"/>
                    </w:rPr>
                    <w:t>组织</w:t>
                  </w:r>
                </w:p>
              </w:tc>
              <w:tc>
                <w:tcPr>
                  <w:tcW w:w="2385" w:type="dxa"/>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洒水降尘</w:t>
                  </w:r>
                </w:p>
              </w:tc>
              <w:tc>
                <w:tcPr>
                  <w:tcW w:w="11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是</w:t>
                  </w:r>
                </w:p>
              </w:tc>
              <w:tc>
                <w:tcPr>
                  <w:tcW w:w="128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kern w:val="2"/>
                      <w:sz w:val="21"/>
                      <w:szCs w:val="21"/>
                      <w:lang w:val="en-US" w:eastAsia="zh-CN" w:bidi="ar-SA"/>
                    </w:rPr>
                  </w:pPr>
                  <w:r>
                    <w:rPr>
                      <w:rFonts w:hint="eastAsia" w:eastAsia="宋体" w:cs="Times New Roman"/>
                      <w:b w:val="0"/>
                      <w:bCs/>
                      <w:color w:val="auto"/>
                      <w:sz w:val="21"/>
                      <w:szCs w:val="21"/>
                      <w:lang w:val="en-US" w:eastAsia="zh-CN"/>
                    </w:rPr>
                    <w:t>/</w:t>
                  </w:r>
                </w:p>
              </w:tc>
            </w:tr>
          </w:tbl>
          <w:p>
            <w:pPr>
              <w:spacing w:line="360" w:lineRule="auto"/>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2、排放口及执行标准</w:t>
            </w:r>
          </w:p>
          <w:p>
            <w:pPr>
              <w:spacing w:line="360" w:lineRule="auto"/>
              <w:ind w:firstLine="480" w:firstLineChars="200"/>
              <w:rPr>
                <w:rFonts w:ascii="Times New Roman" w:hAnsi="Times New Roman" w:cs="Times New Roman"/>
                <w:color w:val="auto"/>
                <w:sz w:val="24"/>
                <w:szCs w:val="32"/>
              </w:rPr>
            </w:pPr>
            <w:r>
              <w:rPr>
                <w:rFonts w:hint="default" w:ascii="Times New Roman" w:hAnsi="Times New Roman" w:cs="Times New Roman"/>
                <w:color w:val="auto"/>
                <w:sz w:val="24"/>
                <w:szCs w:val="32"/>
              </w:rPr>
              <w:t>本项目排放口基本情况及排放标准详见下表；</w:t>
            </w:r>
          </w:p>
          <w:p>
            <w:pPr>
              <w:pStyle w:val="38"/>
              <w:rPr>
                <w:rFonts w:ascii="Times New Roman" w:hAnsi="Times New Roman" w:cs="Times New Roman"/>
                <w:color w:val="auto"/>
                <w:sz w:val="21"/>
                <w:szCs w:val="21"/>
              </w:rPr>
            </w:pPr>
            <w:r>
              <w:rPr>
                <w:rFonts w:ascii="Times New Roman" w:hAnsi="Times New Roman" w:cs="Times New Roman"/>
                <w:color w:val="auto"/>
                <w:sz w:val="21"/>
                <w:szCs w:val="21"/>
              </w:rPr>
              <w:t>表4-2  项目排放口基本情况及执行标准一览表</w:t>
            </w:r>
          </w:p>
          <w:tbl>
            <w:tblPr>
              <w:tblStyle w:val="25"/>
              <w:tblW w:w="8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079"/>
              <w:gridCol w:w="996"/>
              <w:gridCol w:w="950"/>
              <w:gridCol w:w="735"/>
              <w:gridCol w:w="729"/>
              <w:gridCol w:w="860"/>
              <w:gridCol w:w="810"/>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13"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序号</w:t>
                  </w:r>
                </w:p>
              </w:tc>
              <w:tc>
                <w:tcPr>
                  <w:tcW w:w="1079"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名称及编号</w:t>
                  </w:r>
                </w:p>
              </w:tc>
              <w:tc>
                <w:tcPr>
                  <w:tcW w:w="1946" w:type="dxa"/>
                  <w:gridSpan w:val="2"/>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r>
                    <w:rPr>
                      <w:rFonts w:ascii="Times New Roman" w:hAnsi="Times New Roman" w:eastAsia="Times New Roman" w:cs="Times New Roman"/>
                      <w:b/>
                      <w:color w:val="auto"/>
                      <w:sz w:val="21"/>
                      <w:szCs w:val="21"/>
                    </w:rPr>
                    <w:t>地理坐标</w:t>
                  </w:r>
                </w:p>
              </w:tc>
              <w:tc>
                <w:tcPr>
                  <w:tcW w:w="735"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高度m</w:t>
                  </w:r>
                </w:p>
              </w:tc>
              <w:tc>
                <w:tcPr>
                  <w:tcW w:w="729"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内径m</w:t>
                  </w:r>
                </w:p>
              </w:tc>
              <w:tc>
                <w:tcPr>
                  <w:tcW w:w="860" w:type="dxa"/>
                  <w:vMerge w:val="restart"/>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温度</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w:t>
                  </w:r>
                </w:p>
              </w:tc>
              <w:tc>
                <w:tcPr>
                  <w:tcW w:w="810"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类型</w:t>
                  </w:r>
                </w:p>
              </w:tc>
              <w:tc>
                <w:tcPr>
                  <w:tcW w:w="2303" w:type="dxa"/>
                  <w:vMerge w:val="restart"/>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13"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1079"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996" w:type="dxa"/>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经度</w:t>
                  </w:r>
                </w:p>
              </w:tc>
              <w:tc>
                <w:tcPr>
                  <w:tcW w:w="950" w:type="dxa"/>
                  <w:vAlign w:val="center"/>
                </w:tcPr>
                <w:p>
                  <w:pPr>
                    <w:pStyle w:val="38"/>
                    <w:rPr>
                      <w:rFonts w:ascii="Times New Roman" w:hAnsi="Times New Roman" w:cs="Times New Roman"/>
                      <w:color w:val="auto"/>
                      <w:sz w:val="21"/>
                      <w:szCs w:val="21"/>
                    </w:rPr>
                  </w:pPr>
                  <w:r>
                    <w:rPr>
                      <w:rFonts w:ascii="Times New Roman" w:hAnsi="Times New Roman" w:eastAsia="Times New Roman" w:cs="Times New Roman"/>
                      <w:color w:val="auto"/>
                      <w:sz w:val="21"/>
                      <w:szCs w:val="21"/>
                    </w:rPr>
                    <w:t>纬度</w:t>
                  </w:r>
                </w:p>
              </w:tc>
              <w:tc>
                <w:tcPr>
                  <w:tcW w:w="735"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729"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860"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810"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c>
                <w:tcPr>
                  <w:tcW w:w="2303" w:type="dxa"/>
                  <w:vMerge w:val="continue"/>
                  <w:vAlign w:val="center"/>
                </w:tcPr>
                <w:p>
                  <w:pPr>
                    <w:pStyle w:val="34"/>
                    <w:autoSpaceDE/>
                    <w:autoSpaceDN/>
                    <w:spacing w:line="240" w:lineRule="auto"/>
                    <w:ind w:firstLine="0" w:firstLineChars="0"/>
                    <w:jc w:val="center"/>
                    <w:rPr>
                      <w:rFonts w:ascii="Times New Roman" w:hAnsi="Times New Roman"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1" w:hRule="atLeast"/>
              </w:trPr>
              <w:tc>
                <w:tcPr>
                  <w:tcW w:w="413"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79"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DA00</w:t>
                  </w:r>
                  <w:r>
                    <w:rPr>
                      <w:rFonts w:hint="default" w:ascii="Times New Roman" w:hAnsi="Times New Roman" w:cs="Times New Roman"/>
                      <w:color w:val="auto"/>
                      <w:sz w:val="21"/>
                      <w:szCs w:val="21"/>
                    </w:rPr>
                    <w:t>1</w:t>
                  </w:r>
                </w:p>
              </w:tc>
              <w:tc>
                <w:tcPr>
                  <w:tcW w:w="996" w:type="dxa"/>
                  <w:vAlign w:val="center"/>
                </w:tcPr>
                <w:p>
                  <w:pPr>
                    <w:pStyle w:val="38"/>
                    <w:rPr>
                      <w:rFonts w:ascii="Times New Roman" w:hAnsi="Times New Roman" w:eastAsia="Times New Roman" w:cs="Times New Roman"/>
                      <w:b w:val="0"/>
                      <w:bCs/>
                      <w:color w:val="auto"/>
                      <w:sz w:val="21"/>
                      <w:szCs w:val="21"/>
                    </w:rPr>
                  </w:pPr>
                  <w:r>
                    <w:rPr>
                      <w:rFonts w:ascii="Times New Roman" w:hAnsi="Times New Roman" w:eastAsia="Times New Roman" w:cs="Times New Roman"/>
                      <w:b w:val="0"/>
                      <w:bCs/>
                      <w:color w:val="auto"/>
                      <w:sz w:val="21"/>
                      <w:szCs w:val="21"/>
                    </w:rPr>
                    <w:t>10</w:t>
                  </w:r>
                  <w:r>
                    <w:rPr>
                      <w:rFonts w:hint="default" w:ascii="Times New Roman" w:hAnsi="Times New Roman" w:cs="Times New Roman"/>
                      <w:b w:val="0"/>
                      <w:bCs/>
                      <w:color w:val="auto"/>
                      <w:sz w:val="21"/>
                      <w:szCs w:val="21"/>
                    </w:rPr>
                    <w:t>5</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41</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826</w:t>
                  </w:r>
                  <w:r>
                    <w:rPr>
                      <w:rFonts w:hint="default"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901</w:t>
                  </w:r>
                  <w:r>
                    <w:rPr>
                      <w:rFonts w:ascii="Times New Roman" w:hAnsi="Times New Roman" w:eastAsia="Times New Roman" w:cs="Times New Roman"/>
                      <w:b w:val="0"/>
                      <w:bCs/>
                      <w:color w:val="auto"/>
                      <w:sz w:val="21"/>
                      <w:szCs w:val="21"/>
                    </w:rPr>
                    <w:t>″</w:t>
                  </w:r>
                </w:p>
              </w:tc>
              <w:tc>
                <w:tcPr>
                  <w:tcW w:w="950" w:type="dxa"/>
                  <w:vAlign w:val="center"/>
                </w:tcPr>
                <w:p>
                  <w:pPr>
                    <w:pStyle w:val="38"/>
                    <w:rPr>
                      <w:rFonts w:ascii="Times New Roman" w:hAnsi="Times New Roman" w:eastAsia="Times New Roman" w:cs="Times New Roman"/>
                      <w:b w:val="0"/>
                      <w:bCs/>
                      <w:color w:val="auto"/>
                      <w:sz w:val="21"/>
                      <w:szCs w:val="21"/>
                    </w:rPr>
                  </w:pPr>
                  <w:r>
                    <w:rPr>
                      <w:rFonts w:ascii="Times New Roman" w:hAnsi="Times New Roman" w:eastAsia="Times New Roman" w:cs="Times New Roman"/>
                      <w:b w:val="0"/>
                      <w:bCs/>
                      <w:color w:val="auto"/>
                      <w:sz w:val="21"/>
                      <w:szCs w:val="21"/>
                    </w:rPr>
                    <w:t>3</w:t>
                  </w:r>
                  <w:r>
                    <w:rPr>
                      <w:rFonts w:hint="default" w:ascii="Times New Roman" w:hAnsi="Times New Roman" w:cs="Times New Roman"/>
                      <w:b w:val="0"/>
                      <w:bCs/>
                      <w:color w:val="auto"/>
                      <w:sz w:val="21"/>
                      <w:szCs w:val="21"/>
                    </w:rPr>
                    <w:t>0</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44</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2</w:t>
                  </w:r>
                  <w:r>
                    <w:rPr>
                      <w:rFonts w:hint="default"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216</w:t>
                  </w:r>
                  <w:r>
                    <w:rPr>
                      <w:rFonts w:ascii="Times New Roman" w:hAnsi="Times New Roman" w:eastAsia="Times New Roman" w:cs="Times New Roman"/>
                      <w:b w:val="0"/>
                      <w:bCs/>
                      <w:color w:val="auto"/>
                      <w:sz w:val="21"/>
                      <w:szCs w:val="21"/>
                    </w:rPr>
                    <w:t>″</w:t>
                  </w:r>
                </w:p>
              </w:tc>
              <w:tc>
                <w:tcPr>
                  <w:tcW w:w="735"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15</w:t>
                  </w:r>
                </w:p>
              </w:tc>
              <w:tc>
                <w:tcPr>
                  <w:tcW w:w="729"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860"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810" w:type="dxa"/>
                  <w:vAlign w:val="center"/>
                </w:tcPr>
                <w:p>
                  <w:pPr>
                    <w:pStyle w:val="34"/>
                    <w:autoSpaceDE/>
                    <w:autoSpaceDN/>
                    <w:spacing w:line="240" w:lineRule="auto"/>
                    <w:ind w:firstLine="0" w:firstLineChars="0"/>
                    <w:jc w:val="center"/>
                    <w:rPr>
                      <w:rFonts w:ascii="Times New Roman" w:hAnsi="Times New Roman" w:eastAsia="Times New Roman" w:cs="Times New Roman"/>
                      <w:bCs/>
                      <w:color w:val="auto"/>
                      <w:sz w:val="21"/>
                      <w:szCs w:val="21"/>
                    </w:rPr>
                  </w:pPr>
                  <w:r>
                    <w:rPr>
                      <w:rFonts w:ascii="Times New Roman" w:hAnsi="Times New Roman" w:eastAsia="Times New Roman" w:cs="Times New Roman"/>
                      <w:bCs/>
                      <w:color w:val="auto"/>
                      <w:sz w:val="21"/>
                      <w:szCs w:val="21"/>
                    </w:rPr>
                    <w:t>一般排放口</w:t>
                  </w:r>
                </w:p>
              </w:tc>
              <w:tc>
                <w:tcPr>
                  <w:tcW w:w="2303"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bidi="ar-SA"/>
                    </w:rPr>
                    <w:t>四川省水泥工业大气污染物排放标准（DB51/2864 -2021）表1相关限值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8" w:hRule="atLeast"/>
              </w:trPr>
              <w:tc>
                <w:tcPr>
                  <w:tcW w:w="413"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1079" w:type="dxa"/>
                  <w:vAlign w:val="center"/>
                </w:tcPr>
                <w:p>
                  <w:pPr>
                    <w:pStyle w:val="38"/>
                    <w:rPr>
                      <w:rFonts w:ascii="Times New Roman" w:hAnsi="Times New Roman" w:cs="Times New Roman"/>
                      <w:color w:val="auto"/>
                      <w:sz w:val="21"/>
                      <w:szCs w:val="21"/>
                    </w:rPr>
                  </w:pPr>
                  <w:r>
                    <w:rPr>
                      <w:rFonts w:ascii="Times New Roman" w:hAnsi="Times New Roman" w:cs="Times New Roman"/>
                      <w:b w:val="0"/>
                      <w:bCs/>
                      <w:color w:val="auto"/>
                      <w:sz w:val="21"/>
                      <w:szCs w:val="21"/>
                    </w:rPr>
                    <w:t>DA00</w:t>
                  </w:r>
                  <w:r>
                    <w:rPr>
                      <w:rFonts w:hint="default" w:ascii="Times New Roman" w:hAnsi="Times New Roman" w:cs="Times New Roman"/>
                      <w:b w:val="0"/>
                      <w:bCs/>
                      <w:color w:val="auto"/>
                      <w:sz w:val="21"/>
                      <w:szCs w:val="21"/>
                    </w:rPr>
                    <w:t>2</w:t>
                  </w:r>
                </w:p>
              </w:tc>
              <w:tc>
                <w:tcPr>
                  <w:tcW w:w="996" w:type="dxa"/>
                  <w:vAlign w:val="center"/>
                </w:tcPr>
                <w:p>
                  <w:pPr>
                    <w:pStyle w:val="38"/>
                    <w:rPr>
                      <w:rFonts w:ascii="Times New Roman" w:hAnsi="Times New Roman" w:eastAsia="Times New Roman" w:cs="Times New Roman"/>
                      <w:b w:val="0"/>
                      <w:bCs/>
                      <w:color w:val="auto"/>
                      <w:sz w:val="21"/>
                      <w:szCs w:val="21"/>
                    </w:rPr>
                  </w:pPr>
                  <w:r>
                    <w:rPr>
                      <w:rFonts w:ascii="Times New Roman" w:hAnsi="Times New Roman" w:eastAsia="Times New Roman" w:cs="Times New Roman"/>
                      <w:b w:val="0"/>
                      <w:bCs/>
                      <w:color w:val="auto"/>
                      <w:sz w:val="21"/>
                      <w:szCs w:val="21"/>
                    </w:rPr>
                    <w:t>10</w:t>
                  </w:r>
                  <w:r>
                    <w:rPr>
                      <w:rFonts w:hint="default" w:ascii="Times New Roman" w:hAnsi="Times New Roman" w:cs="Times New Roman"/>
                      <w:b w:val="0"/>
                      <w:bCs/>
                      <w:color w:val="auto"/>
                      <w:sz w:val="21"/>
                      <w:szCs w:val="21"/>
                    </w:rPr>
                    <w:t>5</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41</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25</w:t>
                  </w:r>
                  <w:r>
                    <w:rPr>
                      <w:rFonts w:hint="default"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394</w:t>
                  </w:r>
                  <w:r>
                    <w:rPr>
                      <w:rFonts w:ascii="Times New Roman" w:hAnsi="Times New Roman" w:eastAsia="Times New Roman" w:cs="Times New Roman"/>
                      <w:b w:val="0"/>
                      <w:bCs/>
                      <w:color w:val="auto"/>
                      <w:sz w:val="21"/>
                      <w:szCs w:val="21"/>
                    </w:rPr>
                    <w:t>″</w:t>
                  </w:r>
                </w:p>
              </w:tc>
              <w:tc>
                <w:tcPr>
                  <w:tcW w:w="950" w:type="dxa"/>
                  <w:vAlign w:val="center"/>
                </w:tcPr>
                <w:p>
                  <w:pPr>
                    <w:pStyle w:val="38"/>
                    <w:rPr>
                      <w:rFonts w:ascii="Times New Roman" w:hAnsi="Times New Roman" w:eastAsia="Times New Roman" w:cs="Times New Roman"/>
                      <w:b w:val="0"/>
                      <w:bCs/>
                      <w:color w:val="auto"/>
                      <w:sz w:val="21"/>
                      <w:szCs w:val="21"/>
                    </w:rPr>
                  </w:pPr>
                  <w:r>
                    <w:rPr>
                      <w:rFonts w:ascii="Times New Roman" w:hAnsi="Times New Roman" w:eastAsia="Times New Roman" w:cs="Times New Roman"/>
                      <w:b w:val="0"/>
                      <w:bCs/>
                      <w:color w:val="auto"/>
                      <w:sz w:val="21"/>
                      <w:szCs w:val="21"/>
                    </w:rPr>
                    <w:t>3</w:t>
                  </w:r>
                  <w:r>
                    <w:rPr>
                      <w:rFonts w:hint="default" w:ascii="Times New Roman" w:hAnsi="Times New Roman" w:cs="Times New Roman"/>
                      <w:b w:val="0"/>
                      <w:bCs/>
                      <w:color w:val="auto"/>
                      <w:sz w:val="21"/>
                      <w:szCs w:val="21"/>
                    </w:rPr>
                    <w:t>0</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44</w:t>
                  </w:r>
                  <w:r>
                    <w:rPr>
                      <w:rFonts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1</w:t>
                  </w:r>
                  <w:r>
                    <w:rPr>
                      <w:rFonts w:hint="default" w:ascii="Times New Roman" w:hAnsi="Times New Roman" w:eastAsia="Times New Roman" w:cs="Times New Roman"/>
                      <w:b w:val="0"/>
                      <w:bCs/>
                      <w:color w:val="auto"/>
                      <w:sz w:val="21"/>
                      <w:szCs w:val="21"/>
                    </w:rPr>
                    <w:t>.</w:t>
                  </w:r>
                  <w:r>
                    <w:rPr>
                      <w:rFonts w:hint="default" w:ascii="Times New Roman" w:hAnsi="Times New Roman" w:cs="Times New Roman"/>
                      <w:b w:val="0"/>
                      <w:bCs/>
                      <w:color w:val="auto"/>
                      <w:sz w:val="21"/>
                      <w:szCs w:val="21"/>
                    </w:rPr>
                    <w:t>212</w:t>
                  </w:r>
                  <w:r>
                    <w:rPr>
                      <w:rFonts w:ascii="Times New Roman" w:hAnsi="Times New Roman" w:eastAsia="Times New Roman" w:cs="Times New Roman"/>
                      <w:b w:val="0"/>
                      <w:bCs/>
                      <w:color w:val="auto"/>
                      <w:sz w:val="21"/>
                      <w:szCs w:val="21"/>
                    </w:rPr>
                    <w:t>″</w:t>
                  </w:r>
                </w:p>
              </w:tc>
              <w:tc>
                <w:tcPr>
                  <w:tcW w:w="735" w:type="dxa"/>
                  <w:vAlign w:val="center"/>
                </w:tcPr>
                <w:p>
                  <w:pPr>
                    <w:pStyle w:val="38"/>
                    <w:rPr>
                      <w:rFonts w:ascii="Times New Roman" w:hAnsi="Times New Roman" w:cs="Times New Roman"/>
                      <w:color w:val="auto"/>
                      <w:sz w:val="21"/>
                      <w:szCs w:val="21"/>
                    </w:rPr>
                  </w:pPr>
                  <w:r>
                    <w:rPr>
                      <w:rFonts w:hint="default" w:ascii="Times New Roman" w:hAnsi="Times New Roman" w:cs="Times New Roman"/>
                      <w:b w:val="0"/>
                      <w:bCs/>
                      <w:color w:val="auto"/>
                      <w:sz w:val="21"/>
                      <w:szCs w:val="21"/>
                    </w:rPr>
                    <w:t>8</w:t>
                  </w:r>
                </w:p>
              </w:tc>
              <w:tc>
                <w:tcPr>
                  <w:tcW w:w="729"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0.5</w:t>
                  </w:r>
                </w:p>
              </w:tc>
              <w:tc>
                <w:tcPr>
                  <w:tcW w:w="860"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810" w:type="dxa"/>
                  <w:vAlign w:val="center"/>
                </w:tcPr>
                <w:p>
                  <w:pPr>
                    <w:pStyle w:val="34"/>
                    <w:autoSpaceDE/>
                    <w:autoSpaceDN/>
                    <w:spacing w:line="240" w:lineRule="auto"/>
                    <w:ind w:firstLine="0" w:firstLineChars="0"/>
                    <w:jc w:val="center"/>
                    <w:rPr>
                      <w:rFonts w:ascii="Times New Roman" w:hAnsi="Times New Roman" w:eastAsia="Times New Roman" w:cs="Times New Roman"/>
                      <w:bCs/>
                      <w:color w:val="auto"/>
                      <w:sz w:val="21"/>
                      <w:szCs w:val="21"/>
                    </w:rPr>
                  </w:pPr>
                  <w:r>
                    <w:rPr>
                      <w:rFonts w:ascii="Times New Roman" w:hAnsi="Times New Roman" w:eastAsia="Times New Roman" w:cs="Times New Roman"/>
                      <w:bCs/>
                      <w:color w:val="auto"/>
                      <w:sz w:val="21"/>
                      <w:szCs w:val="21"/>
                    </w:rPr>
                    <w:t>一般排放口</w:t>
                  </w:r>
                </w:p>
              </w:tc>
              <w:tc>
                <w:tcPr>
                  <w:tcW w:w="2303" w:type="dxa"/>
                  <w:vAlign w:val="center"/>
                </w:tcPr>
                <w:p>
                  <w:pPr>
                    <w:pStyle w:val="34"/>
                    <w:autoSpaceDE/>
                    <w:autoSpaceDN/>
                    <w:spacing w:line="240" w:lineRule="auto"/>
                    <w:ind w:firstLine="0" w:firstLineChars="0"/>
                    <w:jc w:val="center"/>
                    <w:rPr>
                      <w:rFonts w:ascii="Times New Roman" w:hAnsi="Times New Roman" w:cs="Times New Roman"/>
                      <w:color w:val="auto"/>
                      <w:sz w:val="21"/>
                      <w:szCs w:val="21"/>
                    </w:rPr>
                  </w:pPr>
                  <w:r>
                    <w:rPr>
                      <w:rFonts w:hint="default" w:ascii="Times New Roman" w:hAnsi="Times New Roman" w:cs="Times New Roman"/>
                      <w:bCs/>
                      <w:color w:val="auto"/>
                      <w:sz w:val="21"/>
                      <w:szCs w:val="21"/>
                    </w:rPr>
                    <w:t>颗粒物、SO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、NOx排放浓度执行《锅炉大气污染物物排放标准》（GB13271- 2014）表3相应标准限值要求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trPr>
              <w:tc>
                <w:tcPr>
                  <w:tcW w:w="413" w:type="dxa"/>
                  <w:vAlign w:val="center"/>
                </w:tcPr>
                <w:p>
                  <w:pPr>
                    <w:pStyle w:val="38"/>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3</w:t>
                  </w:r>
                </w:p>
              </w:tc>
              <w:tc>
                <w:tcPr>
                  <w:tcW w:w="1079" w:type="dxa"/>
                  <w:vAlign w:val="center"/>
                </w:tcPr>
                <w:p>
                  <w:pPr>
                    <w:pStyle w:val="38"/>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val="0"/>
                      <w:bCs/>
                      <w:color w:val="auto"/>
                      <w:sz w:val="21"/>
                      <w:szCs w:val="21"/>
                    </w:rPr>
                    <w:t>无组织</w:t>
                  </w:r>
                </w:p>
              </w:tc>
              <w:tc>
                <w:tcPr>
                  <w:tcW w:w="996" w:type="dxa"/>
                  <w:vAlign w:val="center"/>
                </w:tcPr>
                <w:p>
                  <w:pPr>
                    <w:pStyle w:val="38"/>
                    <w:rPr>
                      <w:rFonts w:hint="default" w:ascii="Times New Roman" w:hAnsi="Times New Roman" w:eastAsia="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950" w:type="dxa"/>
                  <w:vAlign w:val="center"/>
                </w:tcPr>
                <w:p>
                  <w:pPr>
                    <w:pStyle w:val="38"/>
                    <w:rPr>
                      <w:rFonts w:hint="default" w:ascii="Times New Roman" w:hAnsi="Times New Roman" w:eastAsia="Times New Roman"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735" w:type="dxa"/>
                  <w:vAlign w:val="center"/>
                </w:tcPr>
                <w:p>
                  <w:pPr>
                    <w:pStyle w:val="38"/>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729" w:type="dxa"/>
                  <w:vAlign w:val="center"/>
                </w:tcPr>
                <w:p>
                  <w:pPr>
                    <w:pStyle w:val="38"/>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860" w:type="dxa"/>
                  <w:vAlign w:val="center"/>
                </w:tcPr>
                <w:p>
                  <w:pPr>
                    <w:pStyle w:val="38"/>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810" w:type="dxa"/>
                  <w:vAlign w:val="center"/>
                </w:tcPr>
                <w:p>
                  <w:pPr>
                    <w:pStyle w:val="38"/>
                    <w:rPr>
                      <w:rFonts w:hint="default" w:ascii="Times New Roman" w:hAnsi="Times New Roman" w:eastAsia="Times New Roman" w:cs="Times New Roman"/>
                      <w:b/>
                      <w:bCs/>
                      <w:color w:val="auto"/>
                      <w:kern w:val="2"/>
                      <w:sz w:val="21"/>
                      <w:szCs w:val="21"/>
                      <w:lang w:val="en-US" w:eastAsia="zh-CN" w:bidi="ar-SA"/>
                    </w:rPr>
                  </w:pPr>
                  <w:r>
                    <w:rPr>
                      <w:rFonts w:hint="default" w:ascii="Times New Roman" w:hAnsi="Times New Roman" w:cs="Times New Roman"/>
                      <w:b w:val="0"/>
                      <w:bCs/>
                      <w:color w:val="auto"/>
                      <w:sz w:val="21"/>
                      <w:szCs w:val="21"/>
                    </w:rPr>
                    <w:t>/</w:t>
                  </w:r>
                </w:p>
              </w:tc>
              <w:tc>
                <w:tcPr>
                  <w:tcW w:w="2303" w:type="dxa"/>
                  <w:vAlign w:val="center"/>
                </w:tcPr>
                <w:p>
                  <w:pPr>
                    <w:pStyle w:val="34"/>
                    <w:wordWrap w:val="0"/>
                    <w:topLinePunct/>
                    <w:autoSpaceDE/>
                    <w:autoSpaceDN/>
                    <w:spacing w:line="240" w:lineRule="auto"/>
                    <w:ind w:firstLine="0" w:firstLineChars="0"/>
                    <w:jc w:val="center"/>
                    <w:rPr>
                      <w:rFonts w:ascii="Times New Roman" w:hAnsi="Times New Roman" w:eastAsia="宋体" w:cs="Times New Roman"/>
                      <w:color w:val="auto"/>
                      <w:sz w:val="21"/>
                      <w:szCs w:val="21"/>
                      <w:lang w:val="en-US" w:eastAsia="zh-CN" w:bidi="ar-SA"/>
                    </w:rPr>
                  </w:pPr>
                  <w:r>
                    <w:rPr>
                      <w:rFonts w:hint="default" w:ascii="Times New Roman" w:hAnsi="Times New Roman" w:eastAsia="宋体" w:cs="Times New Roman"/>
                      <w:bCs/>
                      <w:color w:val="auto"/>
                      <w:sz w:val="21"/>
                      <w:szCs w:val="21"/>
                      <w:lang w:val="en-US" w:eastAsia="zh-CN" w:bidi="ar-SA"/>
                    </w:rPr>
                    <w:t>四川省水泥工业大气污染物排放标准（DB51/2864 -2021）表</w:t>
                  </w:r>
                  <w:r>
                    <w:rPr>
                      <w:rFonts w:hint="eastAsia" w:ascii="Times New Roman" w:hAnsi="Times New Roman" w:cs="Times New Roman"/>
                      <w:bCs/>
                      <w:color w:val="auto"/>
                      <w:sz w:val="21"/>
                      <w:szCs w:val="21"/>
                      <w:lang w:val="en-US" w:eastAsia="zh-CN" w:bidi="ar-SA"/>
                    </w:rPr>
                    <w:t>2</w:t>
                  </w:r>
                  <w:r>
                    <w:rPr>
                      <w:rFonts w:hint="default" w:ascii="Times New Roman" w:hAnsi="Times New Roman" w:eastAsia="宋体" w:cs="Times New Roman"/>
                      <w:bCs/>
                      <w:color w:val="auto"/>
                      <w:sz w:val="21"/>
                      <w:szCs w:val="21"/>
                      <w:lang w:val="en-US" w:eastAsia="zh-CN" w:bidi="ar-SA"/>
                    </w:rPr>
                    <w:t>相关限值</w:t>
                  </w:r>
                </w:p>
              </w:tc>
            </w:tr>
          </w:tbl>
          <w:p>
            <w:pPr>
              <w:spacing w:line="360" w:lineRule="auto"/>
              <w:jc w:val="both"/>
              <w:rPr>
                <w:rFonts w:ascii="Times New Roman" w:hAnsi="Times New Roman" w:cs="Times New Roman"/>
                <w:color w:val="auto"/>
              </w:rPr>
            </w:pPr>
          </w:p>
          <w:p>
            <w:pPr>
              <w:numPr>
                <w:ilvl w:val="0"/>
                <w:numId w:val="7"/>
              </w:numPr>
              <w:spacing w:line="360" w:lineRule="auto"/>
              <w:jc w:val="both"/>
              <w:rPr>
                <w:rFonts w:ascii="Times New Roman" w:hAnsi="Times New Roman" w:cs="Times New Roman"/>
                <w:color w:val="auto"/>
                <w:sz w:val="24"/>
                <w:szCs w:val="24"/>
              </w:rPr>
            </w:pPr>
            <w:r>
              <w:rPr>
                <w:rFonts w:hint="default" w:ascii="Times New Roman" w:hAnsi="Times New Roman" w:cs="Times New Roman"/>
                <w:b/>
                <w:bCs/>
                <w:color w:val="auto"/>
                <w:sz w:val="24"/>
                <w:szCs w:val="24"/>
              </w:rPr>
              <w:t>污染源源强核算结果及核算过程</w:t>
            </w:r>
          </w:p>
          <w:p>
            <w:pPr>
              <w:pStyle w:val="19"/>
              <w:spacing w:beforeAutospacing="0" w:afterAutospacing="0" w:line="360" w:lineRule="auto"/>
              <w:ind w:firstLine="480" w:firstLineChars="200"/>
              <w:jc w:val="both"/>
              <w:rPr>
                <w:rFonts w:ascii="Times New Roman" w:hAnsi="Times New Roman" w:cs="Times New Roman"/>
                <w:color w:val="auto"/>
                <w:szCs w:val="24"/>
              </w:rPr>
            </w:pPr>
            <w:r>
              <w:rPr>
                <w:rFonts w:ascii="Times New Roman" w:hAnsi="Times New Roman" w:cs="Times New Roman"/>
                <w:color w:val="auto"/>
                <w:szCs w:val="24"/>
              </w:rPr>
              <w:t>本项目设置食堂，因此废气为</w:t>
            </w:r>
            <w:r>
              <w:rPr>
                <w:rFonts w:hint="default" w:ascii="Times New Roman" w:hAnsi="Times New Roman" w:cs="Times New Roman"/>
                <w:color w:val="auto"/>
                <w:szCs w:val="24"/>
                <w:lang w:val="en-US" w:eastAsia="zh-CN"/>
              </w:rPr>
              <w:t>原料堆放区的扬尘、运输粉尘和装卸粉尘；</w:t>
            </w:r>
            <w:r>
              <w:rPr>
                <w:rFonts w:ascii="Times New Roman" w:hAnsi="Times New Roman" w:cs="Times New Roman"/>
                <w:color w:val="auto"/>
                <w:szCs w:val="24"/>
              </w:rPr>
              <w:t>生产车间的</w:t>
            </w:r>
            <w:r>
              <w:rPr>
                <w:rFonts w:hint="default" w:ascii="Times New Roman" w:hAnsi="Times New Roman" w:cs="Times New Roman"/>
                <w:color w:val="auto"/>
                <w:szCs w:val="24"/>
              </w:rPr>
              <w:t>搅拌过程产生的废气和</w:t>
            </w:r>
            <w:r>
              <w:rPr>
                <w:rFonts w:hint="eastAsia" w:ascii="Times New Roman" w:hAnsi="Times New Roman" w:cs="Times New Roman"/>
                <w:color w:val="auto"/>
                <w:szCs w:val="24"/>
                <w:lang w:val="en-US" w:eastAsia="zh-CN"/>
              </w:rPr>
              <w:t>天然气</w:t>
            </w:r>
            <w:r>
              <w:rPr>
                <w:rFonts w:hint="default" w:ascii="Times New Roman" w:hAnsi="Times New Roman" w:cs="Times New Roman"/>
                <w:color w:val="auto"/>
                <w:szCs w:val="24"/>
              </w:rPr>
              <w:t>蒸汽锅炉产生二氧化硫、氮氧化物</w:t>
            </w:r>
            <w:r>
              <w:rPr>
                <w:rFonts w:hint="eastAsia" w:ascii="Times New Roman" w:hAnsi="Times New Roman" w:cs="Times New Roman"/>
                <w:color w:val="auto"/>
                <w:szCs w:val="24"/>
                <w:lang w:val="en-US" w:eastAsia="zh-CN"/>
              </w:rPr>
              <w:t>和</w:t>
            </w:r>
            <w:r>
              <w:rPr>
                <w:rFonts w:hint="default" w:ascii="Times New Roman" w:hAnsi="Times New Roman" w:cs="Times New Roman"/>
                <w:color w:val="auto"/>
                <w:szCs w:val="24"/>
              </w:rPr>
              <w:t>食堂油烟</w:t>
            </w:r>
            <w:r>
              <w:rPr>
                <w:rFonts w:hint="eastAsia" w:ascii="Times New Roman" w:hAnsi="Times New Roman" w:cs="Times New Roman"/>
                <w:color w:val="auto"/>
                <w:szCs w:val="24"/>
                <w:lang w:val="en-US" w:eastAsia="zh-CN"/>
              </w:rPr>
              <w:t>以及焊接烟尘</w:t>
            </w:r>
            <w:r>
              <w:rPr>
                <w:rFonts w:ascii="Times New Roman" w:hAnsi="Times New Roman" w:cs="Times New Roman"/>
                <w:color w:val="auto"/>
                <w:szCs w:val="24"/>
              </w:rPr>
              <w:t>。</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1</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运输扬尘</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车辆行驶过程中会产生扬尘，在道路完全干燥的情况下，按以下经验公式计算：</w:t>
            </w:r>
          </w:p>
          <w:p>
            <w:pPr>
              <w:adjustRightInd w:val="0"/>
              <w:snapToGrid w:val="0"/>
              <w:ind w:firstLine="480"/>
              <w:rPr>
                <w:rFonts w:hint="default" w:ascii="Times New Roman" w:hAnsi="Times New Roman" w:eastAsia="宋体" w:cs="Times New Roman"/>
                <w:color w:val="auto"/>
                <w:szCs w:val="24"/>
              </w:rPr>
            </w:pPr>
            <m:oMathPara>
              <m:oMath>
                <m:sSub>
                  <m:sSubPr>
                    <m:ctrlPr>
                      <w:rPr>
                        <w:rFonts w:hint="default" w:ascii="Cambria Math" w:hAnsi="Cambria Math" w:eastAsia="宋体" w:cs="Times New Roman"/>
                        <w:color w:val="auto"/>
                        <w:szCs w:val="24"/>
                      </w:rPr>
                    </m:ctrlPr>
                  </m:sSubPr>
                  <m:e>
                    <m:r>
                      <m:rPr>
                        <m:sty m:val="p"/>
                      </m:rPr>
                      <w:rPr>
                        <w:rFonts w:hint="default" w:ascii="Cambria Math" w:hAnsi="Cambria Math" w:eastAsia="宋体" w:cs="Times New Roman"/>
                        <w:color w:val="auto"/>
                        <w:szCs w:val="24"/>
                      </w:rPr>
                      <m:t>Q</m:t>
                    </m:r>
                    <m:ctrlPr>
                      <w:rPr>
                        <w:rFonts w:hint="default" w:ascii="Cambria Math" w:hAnsi="Cambria Math" w:eastAsia="宋体" w:cs="Times New Roman"/>
                        <w:color w:val="auto"/>
                        <w:szCs w:val="24"/>
                      </w:rPr>
                    </m:ctrlPr>
                  </m:e>
                  <m:sub>
                    <m:r>
                      <m:rPr>
                        <m:sty m:val="p"/>
                      </m:rPr>
                      <w:rPr>
                        <w:rFonts w:hint="default" w:ascii="Cambria Math" w:hAnsi="Cambria Math" w:eastAsia="宋体" w:cs="Times New Roman"/>
                        <w:color w:val="auto"/>
                        <w:szCs w:val="24"/>
                      </w:rPr>
                      <m:t>p</m:t>
                    </m:r>
                    <m:ctrlPr>
                      <w:rPr>
                        <w:rFonts w:hint="default" w:ascii="Cambria Math" w:hAnsi="Cambria Math" w:eastAsia="宋体" w:cs="Times New Roman"/>
                        <w:color w:val="auto"/>
                        <w:szCs w:val="24"/>
                      </w:rPr>
                    </m:ctrlPr>
                  </m:sub>
                </m:sSub>
                <m:r>
                  <m:rPr>
                    <m:sty m:val="p"/>
                  </m:rPr>
                  <w:rPr>
                    <w:rFonts w:hint="default" w:ascii="Cambria Math" w:hAnsi="Cambria Math" w:eastAsia="宋体" w:cs="Times New Roman"/>
                    <w:color w:val="auto"/>
                    <w:szCs w:val="24"/>
                  </w:rPr>
                  <m:t>=0.123×</m:t>
                </m:r>
                <m:f>
                  <m:fPr>
                    <m:ctrlPr>
                      <w:rPr>
                        <w:rFonts w:hint="default" w:ascii="Cambria Math" w:hAnsi="Cambria Math" w:eastAsia="宋体" w:cs="Times New Roman"/>
                        <w:color w:val="auto"/>
                        <w:szCs w:val="24"/>
                      </w:rPr>
                    </m:ctrlPr>
                  </m:fPr>
                  <m:num>
                    <m:r>
                      <m:rPr>
                        <m:sty m:val="p"/>
                      </m:rPr>
                      <w:rPr>
                        <w:rFonts w:hint="default" w:ascii="Cambria Math" w:hAnsi="Cambria Math" w:eastAsia="宋体" w:cs="Times New Roman"/>
                        <w:color w:val="auto"/>
                        <w:szCs w:val="24"/>
                      </w:rPr>
                      <m:t>5</m:t>
                    </m:r>
                    <m:ctrlPr>
                      <w:rPr>
                        <w:rFonts w:hint="default" w:ascii="Cambria Math" w:hAnsi="Cambria Math" w:eastAsia="宋体" w:cs="Times New Roman"/>
                        <w:color w:val="auto"/>
                        <w:szCs w:val="24"/>
                      </w:rPr>
                    </m:ctrlPr>
                  </m:num>
                  <m:den>
                    <m:r>
                      <m:rPr>
                        <m:sty m:val="p"/>
                      </m:rPr>
                      <w:rPr>
                        <w:rFonts w:hint="default" w:ascii="Cambria Math" w:hAnsi="Cambria Math" w:eastAsia="宋体" w:cs="Times New Roman"/>
                        <w:color w:val="auto"/>
                        <w:szCs w:val="24"/>
                      </w:rPr>
                      <m:t>V</m:t>
                    </m:r>
                    <m:ctrlPr>
                      <w:rPr>
                        <w:rFonts w:hint="default" w:ascii="Cambria Math" w:hAnsi="Cambria Math" w:eastAsia="宋体" w:cs="Times New Roman"/>
                        <w:color w:val="auto"/>
                        <w:szCs w:val="24"/>
                      </w:rPr>
                    </m:ctrlPr>
                  </m:den>
                </m:f>
                <m:r>
                  <m:rPr>
                    <m:sty m:val="p"/>
                  </m:rPr>
                  <w:rPr>
                    <w:rFonts w:hint="default" w:ascii="Cambria Math" w:hAnsi="Cambria Math" w:eastAsia="宋体" w:cs="Times New Roman"/>
                    <w:color w:val="auto"/>
                    <w:szCs w:val="24"/>
                  </w:rPr>
                  <m:t>×</m:t>
                </m:r>
                <m:sSup>
                  <m:sSupPr>
                    <m:ctrlPr>
                      <w:rPr>
                        <w:rFonts w:hint="default" w:ascii="Cambria Math" w:hAnsi="Cambria Math" w:eastAsia="宋体" w:cs="Times New Roman"/>
                        <w:color w:val="auto"/>
                        <w:szCs w:val="24"/>
                      </w:rPr>
                    </m:ctrlPr>
                  </m:sSupPr>
                  <m:e>
                    <m:r>
                      <m:rPr>
                        <m:sty m:val="p"/>
                      </m:rPr>
                      <w:rPr>
                        <w:rFonts w:hint="default" w:ascii="Cambria Math" w:hAnsi="Cambria Math" w:eastAsia="宋体" w:cs="Times New Roman"/>
                        <w:color w:val="auto"/>
                        <w:szCs w:val="24"/>
                      </w:rPr>
                      <m:t>(</m:t>
                    </m:r>
                    <m:f>
                      <m:fPr>
                        <m:ctrlPr>
                          <w:rPr>
                            <w:rFonts w:hint="default" w:ascii="Cambria Math" w:hAnsi="Cambria Math" w:eastAsia="宋体" w:cs="Times New Roman"/>
                            <w:color w:val="auto"/>
                            <w:szCs w:val="24"/>
                          </w:rPr>
                        </m:ctrlPr>
                      </m:fPr>
                      <m:num>
                        <m:r>
                          <m:rPr>
                            <m:sty m:val="p"/>
                          </m:rPr>
                          <w:rPr>
                            <w:rFonts w:hint="default" w:ascii="Cambria Math" w:hAnsi="Cambria Math" w:eastAsia="宋体" w:cs="Times New Roman"/>
                            <w:color w:val="auto"/>
                            <w:szCs w:val="24"/>
                          </w:rPr>
                          <m:t>M</m:t>
                        </m:r>
                        <m:ctrlPr>
                          <w:rPr>
                            <w:rFonts w:hint="default" w:ascii="Cambria Math" w:hAnsi="Cambria Math" w:eastAsia="宋体" w:cs="Times New Roman"/>
                            <w:color w:val="auto"/>
                            <w:szCs w:val="24"/>
                          </w:rPr>
                        </m:ctrlPr>
                      </m:num>
                      <m:den>
                        <m:r>
                          <m:rPr>
                            <m:sty m:val="p"/>
                          </m:rPr>
                          <w:rPr>
                            <w:rFonts w:hint="default" w:ascii="Cambria Math" w:hAnsi="Cambria Math" w:eastAsia="宋体" w:cs="Times New Roman"/>
                            <w:color w:val="auto"/>
                            <w:szCs w:val="24"/>
                          </w:rPr>
                          <m:t>6.8</m:t>
                        </m:r>
                        <m:ctrlPr>
                          <w:rPr>
                            <w:rFonts w:hint="default" w:ascii="Cambria Math" w:hAnsi="Cambria Math" w:eastAsia="宋体" w:cs="Times New Roman"/>
                            <w:color w:val="auto"/>
                            <w:szCs w:val="24"/>
                          </w:rPr>
                        </m:ctrlPr>
                      </m:den>
                    </m:f>
                    <m:r>
                      <m:rPr>
                        <m:sty m:val="p"/>
                      </m:rPr>
                      <w:rPr>
                        <w:rFonts w:hint="default" w:ascii="Cambria Math" w:hAnsi="Cambria Math" w:eastAsia="宋体" w:cs="Times New Roman"/>
                        <w:color w:val="auto"/>
                        <w:szCs w:val="24"/>
                      </w:rPr>
                      <m:t>)</m:t>
                    </m:r>
                    <m:ctrlPr>
                      <w:rPr>
                        <w:rFonts w:hint="default" w:ascii="Cambria Math" w:hAnsi="Cambria Math" w:eastAsia="宋体" w:cs="Times New Roman"/>
                        <w:color w:val="auto"/>
                        <w:szCs w:val="24"/>
                      </w:rPr>
                    </m:ctrlPr>
                  </m:e>
                  <m:sup>
                    <m:r>
                      <m:rPr>
                        <m:sty m:val="p"/>
                      </m:rPr>
                      <w:rPr>
                        <w:rFonts w:hint="default" w:ascii="Cambria Math" w:hAnsi="Cambria Math" w:eastAsia="宋体" w:cs="Times New Roman"/>
                        <w:color w:val="auto"/>
                        <w:szCs w:val="24"/>
                      </w:rPr>
                      <m:t>0.85</m:t>
                    </m:r>
                    <m:ctrlPr>
                      <w:rPr>
                        <w:rFonts w:hint="default" w:ascii="Cambria Math" w:hAnsi="Cambria Math" w:eastAsia="宋体" w:cs="Times New Roman"/>
                        <w:color w:val="auto"/>
                        <w:szCs w:val="24"/>
                      </w:rPr>
                    </m:ctrlPr>
                  </m:sup>
                </m:sSup>
                <m:r>
                  <m:rPr>
                    <m:sty m:val="p"/>
                  </m:rPr>
                  <w:rPr>
                    <w:rFonts w:hint="default" w:ascii="Cambria Math" w:hAnsi="Cambria Math" w:eastAsia="宋体" w:cs="Times New Roman"/>
                    <w:color w:val="auto"/>
                    <w:szCs w:val="24"/>
                  </w:rPr>
                  <m:t>×</m:t>
                </m:r>
                <m:sSup>
                  <m:sSupPr>
                    <m:ctrlPr>
                      <w:rPr>
                        <w:rFonts w:hint="default" w:ascii="Cambria Math" w:hAnsi="Cambria Math" w:eastAsia="宋体" w:cs="Times New Roman"/>
                        <w:color w:val="auto"/>
                        <w:szCs w:val="24"/>
                      </w:rPr>
                    </m:ctrlPr>
                  </m:sSupPr>
                  <m:e>
                    <m:r>
                      <m:rPr>
                        <m:sty m:val="p"/>
                      </m:rPr>
                      <w:rPr>
                        <w:rFonts w:hint="default" w:ascii="Cambria Math" w:hAnsi="Cambria Math" w:eastAsia="宋体" w:cs="Times New Roman"/>
                        <w:color w:val="auto"/>
                        <w:szCs w:val="24"/>
                      </w:rPr>
                      <m:t>(</m:t>
                    </m:r>
                    <m:f>
                      <m:fPr>
                        <m:ctrlPr>
                          <w:rPr>
                            <w:rFonts w:hint="default" w:ascii="Cambria Math" w:hAnsi="Cambria Math" w:eastAsia="宋体" w:cs="Times New Roman"/>
                            <w:color w:val="auto"/>
                            <w:szCs w:val="24"/>
                          </w:rPr>
                        </m:ctrlPr>
                      </m:fPr>
                      <m:num>
                        <m:r>
                          <m:rPr>
                            <m:sty m:val="p"/>
                          </m:rPr>
                          <w:rPr>
                            <w:rFonts w:hint="default" w:ascii="Cambria Math" w:hAnsi="Cambria Math" w:eastAsia="宋体" w:cs="Times New Roman"/>
                            <w:color w:val="auto"/>
                            <w:szCs w:val="24"/>
                          </w:rPr>
                          <m:t>P</m:t>
                        </m:r>
                        <m:ctrlPr>
                          <w:rPr>
                            <w:rFonts w:hint="default" w:ascii="Cambria Math" w:hAnsi="Cambria Math" w:eastAsia="宋体" w:cs="Times New Roman"/>
                            <w:color w:val="auto"/>
                            <w:szCs w:val="24"/>
                          </w:rPr>
                        </m:ctrlPr>
                      </m:num>
                      <m:den>
                        <m:r>
                          <m:rPr>
                            <m:sty m:val="p"/>
                          </m:rPr>
                          <w:rPr>
                            <w:rFonts w:hint="default" w:ascii="Cambria Math" w:hAnsi="Cambria Math" w:eastAsia="宋体" w:cs="Times New Roman"/>
                            <w:color w:val="auto"/>
                            <w:szCs w:val="24"/>
                          </w:rPr>
                          <m:t>0.5</m:t>
                        </m:r>
                        <m:ctrlPr>
                          <w:rPr>
                            <w:rFonts w:hint="default" w:ascii="Cambria Math" w:hAnsi="Cambria Math" w:eastAsia="宋体" w:cs="Times New Roman"/>
                            <w:color w:val="auto"/>
                            <w:szCs w:val="24"/>
                          </w:rPr>
                        </m:ctrlPr>
                      </m:den>
                    </m:f>
                    <m:r>
                      <m:rPr>
                        <m:sty m:val="p"/>
                      </m:rPr>
                      <w:rPr>
                        <w:rFonts w:hint="default" w:ascii="Cambria Math" w:hAnsi="Cambria Math" w:eastAsia="宋体" w:cs="Times New Roman"/>
                        <w:color w:val="auto"/>
                        <w:szCs w:val="24"/>
                      </w:rPr>
                      <m:t>)</m:t>
                    </m:r>
                    <m:ctrlPr>
                      <w:rPr>
                        <w:rFonts w:hint="default" w:ascii="Cambria Math" w:hAnsi="Cambria Math" w:eastAsia="宋体" w:cs="Times New Roman"/>
                        <w:color w:val="auto"/>
                        <w:szCs w:val="24"/>
                      </w:rPr>
                    </m:ctrlPr>
                  </m:e>
                  <m:sup>
                    <m:r>
                      <m:rPr>
                        <m:sty m:val="p"/>
                      </m:rPr>
                      <w:rPr>
                        <w:rFonts w:hint="default" w:ascii="Cambria Math" w:hAnsi="Cambria Math" w:eastAsia="宋体" w:cs="Times New Roman"/>
                        <w:color w:val="auto"/>
                        <w:szCs w:val="24"/>
                      </w:rPr>
                      <m:t>0.72</m:t>
                    </m:r>
                    <m:ctrlPr>
                      <w:rPr>
                        <w:rFonts w:hint="default" w:ascii="Cambria Math" w:hAnsi="Cambria Math" w:eastAsia="宋体" w:cs="Times New Roman"/>
                        <w:color w:val="auto"/>
                        <w:szCs w:val="24"/>
                      </w:rPr>
                    </m:ctrlPr>
                  </m:sup>
                </m:sSup>
              </m:oMath>
            </m:oMathPara>
          </w:p>
          <w:p>
            <w:pPr>
              <w:adjustRightInd w:val="0"/>
              <w:snapToGrid w:val="0"/>
              <w:ind w:firstLine="480"/>
              <w:rPr>
                <w:rFonts w:hint="default" w:ascii="Times New Roman" w:hAnsi="Times New Roman" w:eastAsia="宋体" w:cs="Times New Roman"/>
                <w:color w:val="auto"/>
                <w:szCs w:val="24"/>
              </w:rPr>
            </w:pPr>
            <m:oMathPara>
              <m:oMath>
                <m:sSub>
                  <m:sSubPr>
                    <m:ctrlPr>
                      <w:rPr>
                        <w:rFonts w:hint="default" w:ascii="Cambria Math" w:hAnsi="Cambria Math" w:eastAsia="宋体" w:cs="Times New Roman"/>
                        <w:color w:val="auto"/>
                        <w:szCs w:val="24"/>
                      </w:rPr>
                    </m:ctrlPr>
                  </m:sSubPr>
                  <m:e>
                    <m:r>
                      <m:rPr>
                        <m:sty m:val="p"/>
                      </m:rPr>
                      <w:rPr>
                        <w:rFonts w:hint="default" w:ascii="Cambria Math" w:hAnsi="Cambria Math" w:eastAsia="宋体" w:cs="Times New Roman"/>
                        <w:color w:val="auto"/>
                        <w:szCs w:val="24"/>
                      </w:rPr>
                      <m:t>Q</m:t>
                    </m:r>
                    <m:ctrlPr>
                      <w:rPr>
                        <w:rFonts w:hint="default" w:ascii="Cambria Math" w:hAnsi="Cambria Math" w:eastAsia="宋体" w:cs="Times New Roman"/>
                        <w:color w:val="auto"/>
                        <w:szCs w:val="24"/>
                      </w:rPr>
                    </m:ctrlPr>
                  </m:e>
                  <m:sub>
                    <m:r>
                      <m:rPr>
                        <m:sty m:val="p"/>
                      </m:rPr>
                      <w:rPr>
                        <w:rFonts w:hint="default" w:ascii="Cambria Math" w:hAnsi="Cambria Math" w:eastAsia="宋体" w:cs="Times New Roman"/>
                        <w:color w:val="auto"/>
                        <w:szCs w:val="24"/>
                      </w:rPr>
                      <m:t>t</m:t>
                    </m:r>
                    <m:ctrlPr>
                      <w:rPr>
                        <w:rFonts w:hint="default" w:ascii="Cambria Math" w:hAnsi="Cambria Math" w:eastAsia="宋体" w:cs="Times New Roman"/>
                        <w:color w:val="auto"/>
                        <w:szCs w:val="24"/>
                      </w:rPr>
                    </m:ctrlPr>
                  </m:sub>
                </m:sSub>
                <m:r>
                  <m:rPr>
                    <m:sty m:val="p"/>
                  </m:rPr>
                  <w:rPr>
                    <w:rFonts w:hint="default" w:ascii="Cambria Math" w:hAnsi="Cambria Math" w:eastAsia="宋体" w:cs="Times New Roman"/>
                    <w:color w:val="auto"/>
                    <w:szCs w:val="24"/>
                  </w:rPr>
                  <m:t>=</m:t>
                </m:r>
                <m:sSub>
                  <m:sSubPr>
                    <m:ctrlPr>
                      <w:rPr>
                        <w:rFonts w:hint="default" w:ascii="Cambria Math" w:hAnsi="Cambria Math" w:eastAsia="宋体" w:cs="Times New Roman"/>
                        <w:color w:val="auto"/>
                        <w:szCs w:val="24"/>
                      </w:rPr>
                    </m:ctrlPr>
                  </m:sSubPr>
                  <m:e>
                    <m:r>
                      <m:rPr>
                        <m:sty m:val="p"/>
                      </m:rPr>
                      <w:rPr>
                        <w:rFonts w:hint="default" w:ascii="Cambria Math" w:hAnsi="Cambria Math" w:eastAsia="宋体" w:cs="Times New Roman"/>
                        <w:color w:val="auto"/>
                        <w:szCs w:val="24"/>
                      </w:rPr>
                      <m:t>Q</m:t>
                    </m:r>
                    <m:ctrlPr>
                      <w:rPr>
                        <w:rFonts w:hint="default" w:ascii="Cambria Math" w:hAnsi="Cambria Math" w:eastAsia="宋体" w:cs="Times New Roman"/>
                        <w:color w:val="auto"/>
                        <w:szCs w:val="24"/>
                      </w:rPr>
                    </m:ctrlPr>
                  </m:e>
                  <m:sub>
                    <m:r>
                      <m:rPr>
                        <m:sty m:val="p"/>
                      </m:rPr>
                      <w:rPr>
                        <w:rFonts w:hint="default" w:ascii="Cambria Math" w:hAnsi="Cambria Math" w:eastAsia="宋体" w:cs="Times New Roman"/>
                        <w:color w:val="auto"/>
                        <w:szCs w:val="24"/>
                      </w:rPr>
                      <m:t>p</m:t>
                    </m:r>
                    <m:ctrlPr>
                      <w:rPr>
                        <w:rFonts w:hint="default" w:ascii="Cambria Math" w:hAnsi="Cambria Math" w:eastAsia="宋体" w:cs="Times New Roman"/>
                        <w:color w:val="auto"/>
                        <w:szCs w:val="24"/>
                      </w:rPr>
                    </m:ctrlPr>
                  </m:sub>
                </m:sSub>
                <m:r>
                  <m:rPr>
                    <m:sty m:val="p"/>
                  </m:rPr>
                  <w:rPr>
                    <w:rFonts w:hint="default" w:ascii="Cambria Math" w:hAnsi="Cambria Math" w:eastAsia="宋体" w:cs="Times New Roman"/>
                    <w:color w:val="auto"/>
                    <w:szCs w:val="24"/>
                  </w:rPr>
                  <m:t>×L×(</m:t>
                </m:r>
                <m:f>
                  <m:fPr>
                    <m:ctrlPr>
                      <w:rPr>
                        <w:rFonts w:hint="default" w:ascii="Cambria Math" w:hAnsi="Cambria Math" w:eastAsia="宋体" w:cs="Times New Roman"/>
                        <w:color w:val="auto"/>
                        <w:szCs w:val="24"/>
                      </w:rPr>
                    </m:ctrlPr>
                  </m:fPr>
                  <m:num>
                    <m:r>
                      <m:rPr>
                        <m:sty m:val="p"/>
                      </m:rPr>
                      <w:rPr>
                        <w:rFonts w:hint="default" w:ascii="Cambria Math" w:hAnsi="Cambria Math" w:eastAsia="宋体" w:cs="Times New Roman"/>
                        <w:color w:val="auto"/>
                        <w:szCs w:val="24"/>
                      </w:rPr>
                      <m:t>Q</m:t>
                    </m:r>
                    <m:ctrlPr>
                      <w:rPr>
                        <w:rFonts w:hint="default" w:ascii="Cambria Math" w:hAnsi="Cambria Math" w:eastAsia="宋体" w:cs="Times New Roman"/>
                        <w:color w:val="auto"/>
                        <w:szCs w:val="24"/>
                      </w:rPr>
                    </m:ctrlPr>
                  </m:num>
                  <m:den>
                    <m:r>
                      <m:rPr>
                        <m:sty m:val="p"/>
                      </m:rPr>
                      <w:rPr>
                        <w:rFonts w:hint="default" w:ascii="Cambria Math" w:hAnsi="Cambria Math" w:eastAsia="宋体" w:cs="Times New Roman"/>
                        <w:color w:val="auto"/>
                        <w:szCs w:val="24"/>
                      </w:rPr>
                      <m:t>M</m:t>
                    </m:r>
                    <m:ctrlPr>
                      <w:rPr>
                        <w:rFonts w:hint="default" w:ascii="Cambria Math" w:hAnsi="Cambria Math" w:eastAsia="宋体" w:cs="Times New Roman"/>
                        <w:color w:val="auto"/>
                        <w:szCs w:val="24"/>
                      </w:rPr>
                    </m:ctrlPr>
                  </m:den>
                </m:f>
                <m:r>
                  <m:rPr>
                    <m:sty m:val="p"/>
                  </m:rPr>
                  <w:rPr>
                    <w:rFonts w:hint="default" w:ascii="Cambria Math" w:hAnsi="Cambria Math" w:eastAsia="宋体" w:cs="Times New Roman"/>
                    <w:color w:val="auto"/>
                    <w:szCs w:val="24"/>
                  </w:rPr>
                  <m:t>)</m:t>
                </m:r>
              </m:oMath>
            </m:oMathPara>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式中：</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Qp——汽车行驶时的扬尘，kg/km</w:t>
            </w:r>
            <w:r>
              <w:rPr>
                <w:rFonts w:hint="eastAsia" w:ascii="Times New Roman" w:hAnsi="Times New Roman" w:cs="Times New Roman"/>
                <w:color w:val="auto"/>
                <w:szCs w:val="24"/>
                <w:lang w:val="en-US" w:eastAsia="zh-CN"/>
              </w:rPr>
              <w:t>.</w:t>
            </w:r>
            <w:r>
              <w:rPr>
                <w:rFonts w:hint="default" w:ascii="Times New Roman" w:hAnsi="Times New Roman" w:cs="Times New Roman"/>
                <w:color w:val="auto"/>
                <w:szCs w:val="24"/>
                <w:lang w:eastAsia="zh-CN"/>
              </w:rPr>
              <w:t>辆；</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Qt——扬尘总量，kg/a；</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V——汽车速度，5km/h；</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M——汽车载重量，30t；</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P——道路灰尘覆盖量，取</w:t>
            </w:r>
            <w:r>
              <w:rPr>
                <w:rFonts w:hint="eastAsia" w:ascii="Times New Roman" w:hAnsi="Times New Roman" w:cs="Times New Roman"/>
                <w:color w:val="auto"/>
                <w:szCs w:val="24"/>
                <w:lang w:val="en-US" w:eastAsia="zh-CN"/>
              </w:rPr>
              <w:t>0.05</w:t>
            </w:r>
            <w:r>
              <w:rPr>
                <w:rFonts w:hint="default" w:ascii="Times New Roman" w:hAnsi="Times New Roman" w:cs="Times New Roman"/>
                <w:color w:val="auto"/>
                <w:szCs w:val="24"/>
                <w:lang w:eastAsia="zh-CN"/>
              </w:rPr>
              <w:t>kg/m</w:t>
            </w:r>
            <w:r>
              <w:rPr>
                <w:rFonts w:hint="default" w:ascii="Times New Roman" w:hAnsi="Times New Roman" w:cs="Times New Roman"/>
                <w:color w:val="auto"/>
                <w:szCs w:val="24"/>
                <w:vertAlign w:val="superscript"/>
                <w:lang w:eastAsia="zh-CN"/>
              </w:rPr>
              <w:t>2</w:t>
            </w:r>
            <w:r>
              <w:rPr>
                <w:rFonts w:hint="default" w:ascii="Times New Roman" w:hAnsi="Times New Roman" w:cs="Times New Roman"/>
                <w:color w:val="auto"/>
                <w:szCs w:val="24"/>
                <w:lang w:eastAsia="zh-CN"/>
              </w:rPr>
              <w:t>；</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L——运输距离，0.1km；</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Q</w:t>
            </w:r>
            <w:r>
              <w:rPr>
                <w:rFonts w:hint="default" w:ascii="Times New Roman" w:hAnsi="Times New Roman" w:cs="Times New Roman"/>
                <w:color w:val="auto"/>
                <w:szCs w:val="24"/>
                <w:vertAlign w:val="subscript"/>
                <w:lang w:eastAsia="zh-CN"/>
              </w:rPr>
              <w:t>1</w:t>
            </w:r>
            <w:r>
              <w:rPr>
                <w:rFonts w:hint="default" w:ascii="Times New Roman" w:hAnsi="Times New Roman" w:cs="Times New Roman"/>
                <w:color w:val="auto"/>
                <w:szCs w:val="24"/>
                <w:lang w:eastAsia="zh-CN"/>
              </w:rPr>
              <w:t>——运输量，t/a。</w:t>
            </w:r>
          </w:p>
          <w:p>
            <w:pPr>
              <w:pStyle w:val="19"/>
              <w:spacing w:beforeAutospacing="0" w:afterAutospacing="0" w:line="360" w:lineRule="auto"/>
              <w:ind w:firstLine="480" w:firstLineChars="200"/>
              <w:jc w:val="both"/>
              <w:rPr>
                <w:rFonts w:hint="default" w:ascii="Times New Roman" w:hAnsi="Times New Roman" w:cs="Times New Roman"/>
                <w:color w:val="FF0000"/>
                <w:szCs w:val="24"/>
                <w:lang w:eastAsia="zh-CN"/>
              </w:rPr>
            </w:pPr>
            <w:r>
              <w:rPr>
                <w:rFonts w:hint="default" w:ascii="Times New Roman" w:hAnsi="Times New Roman" w:cs="Times New Roman"/>
                <w:color w:val="auto"/>
                <w:szCs w:val="24"/>
                <w:lang w:eastAsia="zh-CN"/>
              </w:rPr>
              <w:t>本项目运输均采用水泥硬化路面运输，原料、成品运输量为</w:t>
            </w:r>
            <w:r>
              <w:rPr>
                <w:rFonts w:hint="eastAsia" w:ascii="Times New Roman" w:hAnsi="Times New Roman" w:cs="Times New Roman"/>
                <w:color w:val="auto"/>
                <w:szCs w:val="24"/>
                <w:lang w:val="en-US" w:eastAsia="zh-CN"/>
              </w:rPr>
              <w:t>90000</w:t>
            </w:r>
            <w:r>
              <w:rPr>
                <w:rFonts w:hint="default" w:ascii="Times New Roman" w:hAnsi="Times New Roman" w:cs="Times New Roman"/>
                <w:color w:val="auto"/>
                <w:szCs w:val="24"/>
                <w:lang w:eastAsia="zh-CN"/>
              </w:rPr>
              <w:t>t，厂区内运输距离0.1km，经计算汽车行驶扬尘为0.0</w:t>
            </w:r>
            <w:r>
              <w:rPr>
                <w:rFonts w:hint="eastAsia" w:ascii="Times New Roman" w:hAnsi="Times New Roman" w:cs="Times New Roman"/>
                <w:color w:val="auto"/>
                <w:szCs w:val="24"/>
                <w:lang w:val="en-US" w:eastAsia="zh-CN"/>
              </w:rPr>
              <w:t>8</w:t>
            </w:r>
            <w:r>
              <w:rPr>
                <w:rFonts w:hint="default" w:ascii="Times New Roman" w:hAnsi="Times New Roman" w:cs="Times New Roman"/>
                <w:color w:val="auto"/>
                <w:szCs w:val="24"/>
                <w:lang w:eastAsia="zh-CN"/>
              </w:rPr>
              <w:t>kg/km·辆，则运输扬尘总量为</w:t>
            </w:r>
            <w:r>
              <w:rPr>
                <w:rFonts w:hint="eastAsia" w:ascii="Times New Roman" w:hAnsi="Times New Roman" w:cs="Times New Roman"/>
                <w:color w:val="auto"/>
                <w:szCs w:val="24"/>
                <w:lang w:val="en-US" w:eastAsia="zh-CN"/>
              </w:rPr>
              <w:t>0.024</w:t>
            </w:r>
            <w:r>
              <w:rPr>
                <w:rFonts w:hint="default" w:ascii="Times New Roman" w:hAnsi="Times New Roman" w:cs="Times New Roman"/>
                <w:color w:val="auto"/>
                <w:szCs w:val="24"/>
                <w:lang w:eastAsia="zh-CN"/>
              </w:rPr>
              <w:t>t/a，0.01kg/h。</w:t>
            </w:r>
          </w:p>
          <w:p>
            <w:pPr>
              <w:pStyle w:val="19"/>
              <w:spacing w:beforeAutospacing="0" w:afterAutospacing="0" w:line="360" w:lineRule="auto"/>
              <w:ind w:firstLine="482" w:firstLineChars="200"/>
              <w:jc w:val="both"/>
              <w:rPr>
                <w:rFonts w:hint="default" w:ascii="Times New Roman" w:hAnsi="Times New Roman" w:cs="Times New Roman"/>
                <w:color w:val="auto"/>
                <w:szCs w:val="24"/>
                <w:lang w:eastAsia="zh-CN"/>
              </w:rPr>
            </w:pPr>
            <w:r>
              <w:rPr>
                <w:rFonts w:hint="default" w:ascii="Times New Roman" w:hAnsi="Times New Roman" w:cs="Times New Roman"/>
                <w:b/>
                <w:bCs/>
                <w:color w:val="auto"/>
                <w:szCs w:val="24"/>
                <w:lang w:eastAsia="zh-CN"/>
              </w:rPr>
              <w:t>治理措施</w:t>
            </w:r>
            <w:r>
              <w:rPr>
                <w:rFonts w:hint="default" w:ascii="Times New Roman" w:hAnsi="Times New Roman" w:cs="Times New Roman"/>
                <w:color w:val="auto"/>
                <w:szCs w:val="24"/>
                <w:lang w:eastAsia="zh-CN"/>
              </w:rPr>
              <w:t>：为控制厂区道路扬尘，本项目对道路进行水泥硬化，定期对路面进行清扫洒水；原料及产品运输车辆加盖篷布，做好遮掩工作；并控制车速，减少运输扬尘量，并且行驶路线避开人口集中区及其他敏感点；厂区围墙设置喷雾装置降尘，厂区内配备雾炮机定期对厂区内洒水降尘。通过采取以上措施后， 抑尘效率按60%，则运输粉尘无组织排放量为 0.0096t/a，0.004kg/h。</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装卸</w:t>
            </w:r>
            <w:r>
              <w:rPr>
                <w:rFonts w:hint="eastAsia" w:ascii="Times New Roman" w:hAnsi="Times New Roman" w:cs="Times New Roman"/>
                <w:color w:val="auto"/>
                <w:szCs w:val="24"/>
                <w:lang w:val="en-US" w:eastAsia="zh-CN"/>
              </w:rPr>
              <w:t>扬</w:t>
            </w:r>
            <w:r>
              <w:rPr>
                <w:rFonts w:hint="default" w:ascii="Times New Roman" w:hAnsi="Times New Roman" w:cs="Times New Roman"/>
                <w:color w:val="auto"/>
                <w:szCs w:val="24"/>
                <w:lang w:val="en-US" w:eastAsia="zh-CN"/>
              </w:rPr>
              <w:t>尘</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项目原料装卸扬尘主要为沙子、石渣在装卸过程中产生的。根据山西环科研究所、武汉水运工程学院提出的经验公式，计算自卸汽车卸料起尘量。</w:t>
            </w:r>
          </w:p>
          <w:p>
            <w:pPr>
              <w:pStyle w:val="19"/>
              <w:keepNext w:val="0"/>
              <w:keepLines w:val="0"/>
              <w:pageBreakBefore w:val="0"/>
              <w:widowControl/>
              <w:kinsoku/>
              <w:wordWrap/>
              <w:overflowPunct/>
              <w:topLinePunct w:val="0"/>
              <w:autoSpaceDE w:val="0"/>
              <w:autoSpaceDN w:val="0"/>
              <w:bidi w:val="0"/>
              <w:adjustRightInd/>
              <w:snapToGrid/>
              <w:spacing w:beforeAutospacing="0" w:afterAutospacing="0" w:line="360" w:lineRule="auto"/>
              <w:ind w:firstLine="0" w:firstLineChars="0"/>
              <w:jc w:val="center"/>
              <w:textAlignment w:val="auto"/>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Q=e</w:t>
            </w:r>
            <w:r>
              <w:rPr>
                <w:rFonts w:hint="default" w:ascii="Times New Roman" w:hAnsi="Times New Roman" w:cs="Times New Roman"/>
                <w:color w:val="auto"/>
                <w:szCs w:val="24"/>
                <w:vertAlign w:val="superscript"/>
                <w:lang w:eastAsia="zh-CN"/>
              </w:rPr>
              <w:t>0.61u</w:t>
            </w:r>
            <w:r>
              <w:rPr>
                <w:rFonts w:hint="default" w:ascii="Times New Roman" w:hAnsi="Times New Roman" w:cs="Times New Roman"/>
                <w:color w:val="auto"/>
                <w:szCs w:val="24"/>
                <w:lang w:eastAsia="zh-CN"/>
              </w:rPr>
              <w:t>M/13.5</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式中：Q——自卸汽车卸料起尘量，g/次；</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u——平均风速，m/s，此处按</w:t>
            </w:r>
            <w:r>
              <w:rPr>
                <w:rFonts w:hint="eastAsia" w:ascii="Times New Roman" w:hAnsi="Times New Roman" w:cs="Times New Roman"/>
                <w:color w:val="auto"/>
                <w:szCs w:val="24"/>
                <w:lang w:val="en-US" w:eastAsia="zh-CN"/>
              </w:rPr>
              <w:t>1</w:t>
            </w:r>
            <w:r>
              <w:rPr>
                <w:rFonts w:hint="default" w:ascii="Times New Roman" w:hAnsi="Times New Roman" w:cs="Times New Roman"/>
                <w:color w:val="auto"/>
                <w:szCs w:val="24"/>
                <w:lang w:eastAsia="zh-CN"/>
              </w:rPr>
              <w:t>m/s 计；</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M——汽车卸料量，t，此处按 30t/次计；</w:t>
            </w:r>
          </w:p>
          <w:p>
            <w:pPr>
              <w:pStyle w:val="19"/>
              <w:spacing w:beforeAutospacing="0" w:afterAutospacing="0" w:line="360" w:lineRule="auto"/>
              <w:ind w:firstLine="480" w:firstLineChars="200"/>
              <w:jc w:val="both"/>
              <w:rPr>
                <w:rFonts w:hint="default" w:ascii="Times New Roman" w:hAnsi="Times New Roman" w:cs="Times New Roman"/>
                <w:color w:val="auto"/>
                <w:szCs w:val="24"/>
                <w:lang w:eastAsia="zh-CN"/>
              </w:rPr>
            </w:pPr>
            <w:r>
              <w:rPr>
                <w:rFonts w:hint="default" w:ascii="Times New Roman" w:hAnsi="Times New Roman" w:cs="Times New Roman"/>
                <w:color w:val="auto"/>
                <w:szCs w:val="24"/>
                <w:lang w:eastAsia="zh-CN"/>
              </w:rPr>
              <w:t>根据上式，项目铲车装卸起尘系数 Q 为</w:t>
            </w:r>
            <w:r>
              <w:rPr>
                <w:rFonts w:hint="eastAsia" w:ascii="Times New Roman" w:hAnsi="Times New Roman" w:cs="Times New Roman"/>
                <w:color w:val="auto"/>
                <w:szCs w:val="24"/>
                <w:lang w:val="en-US" w:eastAsia="zh-CN"/>
              </w:rPr>
              <w:t>4.089</w:t>
            </w:r>
            <w:r>
              <w:rPr>
                <w:rFonts w:hint="default" w:ascii="Times New Roman" w:hAnsi="Times New Roman" w:cs="Times New Roman"/>
                <w:color w:val="auto"/>
                <w:szCs w:val="24"/>
                <w:lang w:eastAsia="zh-CN"/>
              </w:rPr>
              <w:t>g/次，水泥、沙子等原料的总运输量合计为</w:t>
            </w:r>
            <w:r>
              <w:rPr>
                <w:rFonts w:hint="eastAsia" w:ascii="Times New Roman" w:hAnsi="Times New Roman" w:cs="Times New Roman"/>
                <w:color w:val="auto"/>
                <w:szCs w:val="24"/>
                <w:lang w:val="en-US" w:eastAsia="zh-CN"/>
              </w:rPr>
              <w:t>900</w:t>
            </w:r>
            <w:r>
              <w:rPr>
                <w:rFonts w:hint="default" w:ascii="Times New Roman" w:hAnsi="Times New Roman" w:cs="Times New Roman"/>
                <w:color w:val="auto"/>
                <w:szCs w:val="24"/>
                <w:lang w:eastAsia="zh-CN"/>
              </w:rPr>
              <w:t>00t/a，用30t汽车运输，需运输</w:t>
            </w:r>
            <w:r>
              <w:rPr>
                <w:rFonts w:hint="eastAsia" w:ascii="Times New Roman" w:hAnsi="Times New Roman" w:cs="Times New Roman"/>
                <w:color w:val="auto"/>
                <w:szCs w:val="24"/>
                <w:lang w:val="en-US" w:eastAsia="zh-CN"/>
              </w:rPr>
              <w:t>3000</w:t>
            </w:r>
            <w:r>
              <w:rPr>
                <w:rFonts w:hint="default" w:ascii="Times New Roman" w:hAnsi="Times New Roman" w:cs="Times New Roman"/>
                <w:color w:val="auto"/>
                <w:szCs w:val="24"/>
                <w:lang w:eastAsia="zh-CN"/>
              </w:rPr>
              <w:t>次，则预计项目运营期原料装卸扬尘产生量为0.0</w:t>
            </w:r>
            <w:r>
              <w:rPr>
                <w:rFonts w:hint="eastAsia" w:ascii="Times New Roman" w:hAnsi="Times New Roman" w:cs="Times New Roman"/>
                <w:color w:val="auto"/>
                <w:szCs w:val="24"/>
                <w:lang w:val="en-US" w:eastAsia="zh-CN"/>
              </w:rPr>
              <w:t>123</w:t>
            </w:r>
            <w:r>
              <w:rPr>
                <w:rFonts w:hint="default" w:ascii="Times New Roman" w:hAnsi="Times New Roman" w:cs="Times New Roman"/>
                <w:color w:val="auto"/>
                <w:szCs w:val="24"/>
                <w:lang w:eastAsia="zh-CN"/>
              </w:rPr>
              <w:t>t/a，0.00</w:t>
            </w:r>
            <w:r>
              <w:rPr>
                <w:rFonts w:hint="eastAsia" w:ascii="Times New Roman" w:hAnsi="Times New Roman" w:cs="Times New Roman"/>
                <w:color w:val="auto"/>
                <w:szCs w:val="24"/>
                <w:lang w:val="en-US" w:eastAsia="zh-CN"/>
              </w:rPr>
              <w:t>5</w:t>
            </w:r>
            <w:r>
              <w:rPr>
                <w:rFonts w:hint="default" w:ascii="Times New Roman" w:hAnsi="Times New Roman" w:cs="Times New Roman"/>
                <w:color w:val="auto"/>
                <w:szCs w:val="24"/>
                <w:lang w:eastAsia="zh-CN"/>
              </w:rPr>
              <w:t>kg/h。</w:t>
            </w:r>
          </w:p>
          <w:p>
            <w:pPr>
              <w:pStyle w:val="19"/>
              <w:spacing w:beforeAutospacing="0" w:afterAutospacing="0" w:line="360" w:lineRule="auto"/>
              <w:ind w:firstLine="482" w:firstLineChars="200"/>
              <w:jc w:val="both"/>
              <w:rPr>
                <w:rFonts w:hint="default" w:ascii="Times New Roman" w:hAnsi="Times New Roman" w:cs="Times New Roman"/>
                <w:color w:val="auto"/>
                <w:szCs w:val="24"/>
                <w:lang w:eastAsia="zh-CN"/>
              </w:rPr>
            </w:pPr>
            <w:r>
              <w:rPr>
                <w:rFonts w:hint="default" w:ascii="Times New Roman" w:hAnsi="Times New Roman" w:cs="Times New Roman"/>
                <w:b/>
                <w:bCs/>
                <w:color w:val="auto"/>
                <w:szCs w:val="24"/>
                <w:lang w:eastAsia="zh-CN"/>
              </w:rPr>
              <w:t>治理措施</w:t>
            </w:r>
            <w:r>
              <w:rPr>
                <w:rFonts w:hint="default" w:ascii="Times New Roman" w:hAnsi="Times New Roman" w:cs="Times New Roman"/>
                <w:color w:val="auto"/>
                <w:szCs w:val="24"/>
                <w:lang w:eastAsia="zh-CN"/>
              </w:rPr>
              <w:t>：项目原辅料库为密闭房间（预留进出口），内部设置水雾喷淋，定期水雾喷淋降尘防治，并采取降低物料装卸过程高度差等降尘防治措施，类比同类型项目，降尘率按60%计，则预计项目运营期原料装卸扬尘无组织排放量为0.00</w:t>
            </w:r>
            <w:r>
              <w:rPr>
                <w:rFonts w:hint="eastAsia" w:ascii="Times New Roman" w:hAnsi="Times New Roman" w:cs="Times New Roman"/>
                <w:color w:val="auto"/>
                <w:szCs w:val="24"/>
                <w:lang w:val="en-US" w:eastAsia="zh-CN"/>
              </w:rPr>
              <w:t>5</w:t>
            </w:r>
            <w:r>
              <w:rPr>
                <w:rFonts w:hint="default" w:ascii="Times New Roman" w:hAnsi="Times New Roman" w:cs="Times New Roman"/>
                <w:color w:val="auto"/>
                <w:szCs w:val="24"/>
                <w:lang w:eastAsia="zh-CN"/>
              </w:rPr>
              <w:t>t/a，0.00</w:t>
            </w:r>
            <w:r>
              <w:rPr>
                <w:rFonts w:hint="eastAsia" w:ascii="Times New Roman" w:hAnsi="Times New Roman" w:cs="Times New Roman"/>
                <w:color w:val="auto"/>
                <w:szCs w:val="24"/>
                <w:lang w:val="en-US" w:eastAsia="zh-CN"/>
              </w:rPr>
              <w:t>2</w:t>
            </w:r>
            <w:r>
              <w:rPr>
                <w:rFonts w:hint="default" w:ascii="Times New Roman" w:hAnsi="Times New Roman" w:cs="Times New Roman"/>
                <w:color w:val="auto"/>
                <w:szCs w:val="24"/>
                <w:lang w:eastAsia="zh-CN"/>
              </w:rPr>
              <w:t>kg/h。</w:t>
            </w:r>
          </w:p>
          <w:p>
            <w:pPr>
              <w:pStyle w:val="19"/>
              <w:spacing w:beforeAutospacing="0" w:afterAutospacing="0" w:line="360" w:lineRule="auto"/>
              <w:ind w:firstLine="480" w:firstLineChars="200"/>
              <w:jc w:val="both"/>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3</w:t>
            </w:r>
            <w:r>
              <w:rPr>
                <w:rFonts w:hint="default"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堆场</w:t>
            </w:r>
            <w:r>
              <w:rPr>
                <w:rFonts w:hint="default" w:ascii="Times New Roman" w:hAnsi="Times New Roman" w:cs="Times New Roman"/>
                <w:color w:val="auto"/>
                <w:szCs w:val="24"/>
                <w:lang w:val="en-US" w:eastAsia="zh-CN"/>
              </w:rPr>
              <w:t>扬尘</w:t>
            </w:r>
          </w:p>
          <w:p>
            <w:pPr>
              <w:pStyle w:val="19"/>
              <w:spacing w:beforeAutospacing="0" w:afterAutospacing="0" w:line="360" w:lineRule="auto"/>
              <w:ind w:firstLine="480" w:firstLineChars="200"/>
              <w:jc w:val="both"/>
              <w:rPr>
                <w:rFonts w:hint="default" w:ascii="Times New Roman" w:hAnsi="Times New Roman" w:cs="Times New Roman"/>
                <w:color w:val="auto"/>
                <w:szCs w:val="24"/>
              </w:rPr>
            </w:pPr>
            <w:r>
              <w:rPr>
                <w:rFonts w:hint="default" w:ascii="Times New Roman" w:hAnsi="Times New Roman" w:cs="Times New Roman"/>
                <w:color w:val="auto"/>
                <w:szCs w:val="24"/>
              </w:rPr>
              <w:t>项目原料沙的粒径较小，在堆放过程中将因风力作用产生少量扬尘。参考《逸</w:t>
            </w:r>
          </w:p>
          <w:p>
            <w:pPr>
              <w:pStyle w:val="19"/>
              <w:spacing w:beforeAutospacing="0" w:afterAutospacing="0" w:line="360" w:lineRule="auto"/>
              <w:jc w:val="both"/>
              <w:rPr>
                <w:rFonts w:hint="default" w:ascii="Times New Roman" w:hAnsi="Times New Roman" w:cs="Times New Roman"/>
                <w:color w:val="auto"/>
                <w:szCs w:val="24"/>
              </w:rPr>
            </w:pPr>
            <w:r>
              <w:rPr>
                <w:rFonts w:hint="default" w:ascii="Times New Roman" w:hAnsi="Times New Roman" w:cs="Times New Roman"/>
                <w:color w:val="auto"/>
                <w:szCs w:val="24"/>
              </w:rPr>
              <w:t>散性工业粉尘控制技术》，原料沙堆放过程产生系数按 0.01kg/t 计。项目原料沙的最大储存量为150m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/周期，2天为一个生产周期，1m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沙子的重量约为1.35t~1.45t，本项目按1.4t/m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计，为210t，则预计项目运营期原料堆场扬尘的产生量为0.</w:t>
            </w:r>
            <w:r>
              <w:rPr>
                <w:rFonts w:hint="eastAsia" w:ascii="Times New Roman" w:hAnsi="Times New Roman" w:cs="Times New Roman"/>
                <w:color w:val="auto"/>
                <w:szCs w:val="24"/>
                <w:lang w:val="en-US" w:eastAsia="zh-CN"/>
              </w:rPr>
              <w:t>315</w:t>
            </w:r>
            <w:r>
              <w:rPr>
                <w:rFonts w:hint="default" w:ascii="Times New Roman" w:hAnsi="Times New Roman" w:cs="Times New Roman"/>
                <w:color w:val="auto"/>
                <w:szCs w:val="24"/>
              </w:rPr>
              <w:t>t/a，</w:t>
            </w:r>
            <w:r>
              <w:rPr>
                <w:rFonts w:hint="eastAsia" w:ascii="Times New Roman" w:hAnsi="Times New Roman" w:cs="Times New Roman"/>
                <w:color w:val="auto"/>
                <w:szCs w:val="24"/>
                <w:lang w:val="en-US" w:eastAsia="zh-CN"/>
              </w:rPr>
              <w:t>0.131</w:t>
            </w:r>
            <w:r>
              <w:rPr>
                <w:rFonts w:hint="default" w:ascii="Times New Roman" w:hAnsi="Times New Roman" w:cs="Times New Roman"/>
                <w:color w:val="auto"/>
                <w:szCs w:val="24"/>
              </w:rPr>
              <w:t>kg/h。</w:t>
            </w:r>
          </w:p>
          <w:p>
            <w:pPr>
              <w:pStyle w:val="19"/>
              <w:spacing w:beforeAutospacing="0" w:afterAutospacing="0" w:line="360" w:lineRule="auto"/>
              <w:ind w:firstLine="482" w:firstLineChars="200"/>
              <w:jc w:val="both"/>
              <w:rPr>
                <w:rFonts w:hint="default" w:ascii="Times New Roman" w:hAnsi="Times New Roman" w:cs="Times New Roman"/>
                <w:color w:val="auto"/>
                <w:szCs w:val="24"/>
              </w:rPr>
            </w:pPr>
            <w:r>
              <w:rPr>
                <w:rFonts w:hint="default" w:ascii="Times New Roman" w:hAnsi="Times New Roman" w:cs="Times New Roman"/>
                <w:b/>
                <w:bCs/>
                <w:color w:val="auto"/>
                <w:szCs w:val="24"/>
              </w:rPr>
              <w:t>治理措施</w:t>
            </w:r>
            <w:r>
              <w:rPr>
                <w:rFonts w:hint="default" w:ascii="Times New Roman" w:hAnsi="Times New Roman" w:cs="Times New Roman"/>
                <w:color w:val="auto"/>
                <w:szCs w:val="24"/>
              </w:rPr>
              <w:t>：项目设置独立封闭（预留出入口）的原辅料库1个，内部设置喷雾降尘装置，定期水雾喷淋降尘。类比同类型项目，降尘率按 60%计，则预计项目运营期原料堆场扬尘无组织排放量为0.</w:t>
            </w:r>
            <w:r>
              <w:rPr>
                <w:rFonts w:hint="eastAsia" w:ascii="Times New Roman" w:hAnsi="Times New Roman" w:cs="Times New Roman"/>
                <w:color w:val="auto"/>
                <w:szCs w:val="24"/>
                <w:lang w:val="en-US" w:eastAsia="zh-CN"/>
              </w:rPr>
              <w:t>189</w:t>
            </w:r>
            <w:r>
              <w:rPr>
                <w:rFonts w:hint="default" w:ascii="Times New Roman" w:hAnsi="Times New Roman" w:cs="Times New Roman"/>
                <w:color w:val="auto"/>
                <w:szCs w:val="24"/>
              </w:rPr>
              <w:t>t/a，0.0</w:t>
            </w:r>
            <w:r>
              <w:rPr>
                <w:rFonts w:hint="eastAsia" w:ascii="Times New Roman" w:hAnsi="Times New Roman" w:cs="Times New Roman"/>
                <w:color w:val="auto"/>
                <w:szCs w:val="24"/>
                <w:lang w:val="en-US" w:eastAsia="zh-CN"/>
              </w:rPr>
              <w:t>786</w:t>
            </w:r>
            <w:r>
              <w:rPr>
                <w:rFonts w:hint="default" w:ascii="Times New Roman" w:hAnsi="Times New Roman" w:cs="Times New Roman"/>
                <w:color w:val="auto"/>
                <w:szCs w:val="24"/>
              </w:rPr>
              <w:t>kg/h。</w:t>
            </w:r>
          </w:p>
          <w:p>
            <w:pPr>
              <w:pStyle w:val="19"/>
              <w:spacing w:beforeAutospacing="0" w:afterAutospacing="0" w:line="360" w:lineRule="auto"/>
              <w:ind w:firstLine="480" w:firstLineChars="200"/>
              <w:jc w:val="both"/>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4</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筒仓粉尘</w:t>
            </w:r>
          </w:p>
          <w:p>
            <w:pPr>
              <w:pStyle w:val="19"/>
              <w:spacing w:beforeAutospacing="0" w:afterAutospacing="0" w:line="360" w:lineRule="auto"/>
              <w:ind w:firstLine="480" w:firstLineChars="200"/>
              <w:jc w:val="both"/>
              <w:rPr>
                <w:rFonts w:hint="default" w:ascii="Times New Roman" w:hAnsi="Times New Roman" w:cs="Times New Roman"/>
                <w:color w:val="auto"/>
                <w:szCs w:val="24"/>
              </w:rPr>
            </w:pPr>
            <w:r>
              <w:rPr>
                <w:rFonts w:hint="default" w:ascii="Times New Roman" w:hAnsi="Times New Roman" w:cs="Times New Roman"/>
                <w:color w:val="auto"/>
                <w:szCs w:val="24"/>
              </w:rPr>
              <w:t>项目设有</w:t>
            </w:r>
            <w:r>
              <w:rPr>
                <w:rFonts w:hint="eastAsia" w:ascii="Times New Roman" w:hAnsi="Times New Roman" w:cs="Times New Roman"/>
                <w:color w:val="auto"/>
                <w:szCs w:val="24"/>
                <w:lang w:val="en-US" w:eastAsia="zh-CN"/>
              </w:rPr>
              <w:t>1</w:t>
            </w:r>
            <w:r>
              <w:rPr>
                <w:rFonts w:hint="default" w:ascii="Times New Roman" w:hAnsi="Times New Roman" w:cs="Times New Roman"/>
                <w:color w:val="auto"/>
                <w:szCs w:val="24"/>
              </w:rPr>
              <w:t>个储量</w:t>
            </w:r>
            <w:r>
              <w:rPr>
                <w:rFonts w:hint="eastAsia" w:ascii="Times New Roman" w:hAnsi="Times New Roman" w:cs="Times New Roman"/>
                <w:color w:val="auto"/>
                <w:szCs w:val="24"/>
                <w:lang w:val="en-US" w:eastAsia="zh-CN"/>
              </w:rPr>
              <w:t>20</w:t>
            </w:r>
            <w:r>
              <w:rPr>
                <w:rFonts w:hint="default" w:ascii="Times New Roman" w:hAnsi="Times New Roman" w:cs="Times New Roman"/>
                <w:color w:val="auto"/>
                <w:szCs w:val="24"/>
              </w:rPr>
              <w:t>0t的水泥储存仓，水泥仓最大储存量为</w:t>
            </w:r>
            <w:r>
              <w:rPr>
                <w:rFonts w:hint="eastAsia" w:ascii="Times New Roman" w:hAnsi="Times New Roman" w:cs="Times New Roman"/>
                <w:color w:val="auto"/>
                <w:szCs w:val="24"/>
                <w:lang w:val="en-US" w:eastAsia="zh-CN"/>
              </w:rPr>
              <w:t>100</w:t>
            </w:r>
            <w:r>
              <w:rPr>
                <w:rFonts w:hint="default" w:ascii="Times New Roman" w:hAnsi="Times New Roman" w:cs="Times New Roman"/>
                <w:color w:val="auto"/>
                <w:szCs w:val="24"/>
              </w:rPr>
              <w:t>t，运输罐车利用自带空气泵将物料输送至水泥仓过程中会产生大量粉尘。参考《逸散性工业粉尘控制技术》，卸水泥到筒仓过程粉尘排放系数按0.12kg/t-水泥计，则单个水泥仓入仓粉尘产生量为0.0</w:t>
            </w:r>
            <w:r>
              <w:rPr>
                <w:rFonts w:hint="eastAsia" w:ascii="Times New Roman" w:hAnsi="Times New Roman" w:cs="Times New Roman"/>
                <w:color w:val="auto"/>
                <w:szCs w:val="24"/>
                <w:lang w:val="en-US" w:eastAsia="zh-CN"/>
              </w:rPr>
              <w:t>12</w:t>
            </w:r>
            <w:r>
              <w:rPr>
                <w:rFonts w:hint="default" w:ascii="Times New Roman" w:hAnsi="Times New Roman" w:cs="Times New Roman"/>
                <w:color w:val="auto"/>
                <w:szCs w:val="24"/>
              </w:rPr>
              <w:t>t/次。项目水泥用量为</w:t>
            </w:r>
            <w:r>
              <w:rPr>
                <w:rFonts w:hint="eastAsia" w:ascii="Times New Roman" w:hAnsi="Times New Roman" w:cs="Times New Roman"/>
                <w:color w:val="auto"/>
                <w:szCs w:val="24"/>
                <w:lang w:val="en-US" w:eastAsia="zh-CN"/>
              </w:rPr>
              <w:t>21000</w:t>
            </w:r>
            <w:r>
              <w:rPr>
                <w:rFonts w:hint="default" w:ascii="Times New Roman" w:hAnsi="Times New Roman" w:cs="Times New Roman"/>
                <w:color w:val="auto"/>
                <w:szCs w:val="24"/>
              </w:rPr>
              <w:t>吨，水泥仓入料次数为</w:t>
            </w:r>
            <w:r>
              <w:rPr>
                <w:rFonts w:hint="eastAsia" w:ascii="Times New Roman" w:hAnsi="Times New Roman" w:cs="Times New Roman"/>
                <w:color w:val="auto"/>
                <w:szCs w:val="24"/>
                <w:lang w:val="en-US" w:eastAsia="zh-CN"/>
              </w:rPr>
              <w:t>210</w:t>
            </w:r>
            <w:r>
              <w:rPr>
                <w:rFonts w:hint="default" w:ascii="Times New Roman" w:hAnsi="Times New Roman" w:cs="Times New Roman"/>
                <w:color w:val="auto"/>
                <w:szCs w:val="24"/>
              </w:rPr>
              <w:t>次/年，则预计项目运营期水泥仓的入仓粉尘产生量为</w:t>
            </w:r>
            <w:r>
              <w:rPr>
                <w:rFonts w:hint="eastAsia" w:ascii="Times New Roman" w:hAnsi="Times New Roman" w:cs="Times New Roman"/>
                <w:color w:val="auto"/>
                <w:szCs w:val="24"/>
                <w:lang w:val="en-US" w:eastAsia="zh-CN"/>
              </w:rPr>
              <w:t>2.52</w:t>
            </w:r>
            <w:r>
              <w:rPr>
                <w:rFonts w:hint="default" w:ascii="Times New Roman" w:hAnsi="Times New Roman" w:cs="Times New Roman"/>
                <w:color w:val="auto"/>
                <w:szCs w:val="24"/>
              </w:rPr>
              <w:t>t/a，</w:t>
            </w:r>
            <w:r>
              <w:rPr>
                <w:rFonts w:hint="eastAsia" w:ascii="Times New Roman" w:hAnsi="Times New Roman" w:cs="Times New Roman"/>
                <w:color w:val="auto"/>
                <w:szCs w:val="24"/>
                <w:lang w:val="en-US" w:eastAsia="zh-CN"/>
              </w:rPr>
              <w:t>1.05</w:t>
            </w:r>
            <w:r>
              <w:rPr>
                <w:rFonts w:hint="default" w:ascii="Times New Roman" w:hAnsi="Times New Roman" w:cs="Times New Roman"/>
                <w:color w:val="auto"/>
                <w:szCs w:val="24"/>
              </w:rPr>
              <w:t>kg/h。</w:t>
            </w:r>
          </w:p>
          <w:p>
            <w:pPr>
              <w:pStyle w:val="19"/>
              <w:spacing w:beforeAutospacing="0" w:afterAutospacing="0" w:line="360" w:lineRule="auto"/>
              <w:ind w:firstLine="482" w:firstLineChars="200"/>
              <w:jc w:val="both"/>
              <w:rPr>
                <w:rFonts w:hint="default" w:ascii="Times New Roman" w:hAnsi="Times New Roman" w:cs="Times New Roman"/>
                <w:color w:val="auto"/>
                <w:szCs w:val="24"/>
              </w:rPr>
            </w:pPr>
            <w:r>
              <w:rPr>
                <w:rFonts w:hint="default" w:ascii="Times New Roman" w:hAnsi="Times New Roman" w:cs="Times New Roman"/>
                <w:b/>
                <w:bCs/>
                <w:color w:val="auto"/>
                <w:szCs w:val="24"/>
              </w:rPr>
              <w:t>治理措施</w:t>
            </w:r>
            <w:r>
              <w:rPr>
                <w:rFonts w:hint="default" w:ascii="Times New Roman" w:hAnsi="Times New Roman" w:cs="Times New Roman"/>
                <w:color w:val="auto"/>
                <w:szCs w:val="24"/>
              </w:rPr>
              <w:t>：建设单位在水泥储料仓顶设置布袋除尘装置，入仓粉尘经仓顶的布袋除尘装置密闭收尘后外排。与水泥储料仓相连的搅拌机盖、水泥计量仓的排尘管均与收尘器相连，加注口设阻尘板，使得水泥投料时产生的粉尘完全进入收尘器，收集后的粉尘经震动清理落入料仓。参考同类型项目，布袋除尘装置除尘效率按 99%计，则预计项目运营期水泥入仓粉尘无组织排放量为</w:t>
            </w:r>
            <w:r>
              <w:rPr>
                <w:rFonts w:hint="eastAsia" w:ascii="Times New Roman" w:hAnsi="Times New Roman" w:cs="Times New Roman"/>
                <w:color w:val="auto"/>
                <w:szCs w:val="24"/>
                <w:lang w:val="en-US" w:eastAsia="zh-CN"/>
              </w:rPr>
              <w:t>0.0252</w:t>
            </w:r>
            <w:r>
              <w:rPr>
                <w:rFonts w:hint="default" w:ascii="Times New Roman" w:hAnsi="Times New Roman" w:cs="Times New Roman"/>
                <w:color w:val="auto"/>
                <w:szCs w:val="24"/>
              </w:rPr>
              <w:t>t/a，</w:t>
            </w:r>
            <w:r>
              <w:rPr>
                <w:rFonts w:hint="eastAsia" w:ascii="Times New Roman" w:hAnsi="Times New Roman" w:cs="Times New Roman"/>
                <w:color w:val="auto"/>
                <w:szCs w:val="24"/>
                <w:lang w:val="en-US" w:eastAsia="zh-CN"/>
              </w:rPr>
              <w:t>0.010</w:t>
            </w:r>
            <w:r>
              <w:rPr>
                <w:rFonts w:hint="default" w:ascii="Times New Roman" w:hAnsi="Times New Roman" w:cs="Times New Roman"/>
                <w:color w:val="auto"/>
                <w:szCs w:val="24"/>
              </w:rPr>
              <w:t>kg/h。</w:t>
            </w:r>
          </w:p>
          <w:p>
            <w:pPr>
              <w:pStyle w:val="19"/>
              <w:spacing w:beforeAutospacing="0" w:afterAutospacing="0" w:line="360" w:lineRule="auto"/>
              <w:ind w:firstLine="480" w:firstLineChars="200"/>
              <w:jc w:val="both"/>
              <w:rPr>
                <w:rFonts w:hint="eastAsia" w:ascii="Times New Roman" w:hAnsi="Times New Roman" w:eastAsia="宋体" w:cs="Times New Roman"/>
                <w:color w:val="auto"/>
                <w:szCs w:val="24"/>
                <w:lang w:val="en-US" w:eastAsia="zh-CN"/>
              </w:rPr>
            </w:pP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5</w:t>
            </w:r>
            <w:r>
              <w:rPr>
                <w:rFonts w:hint="default" w:ascii="Times New Roman" w:hAnsi="Times New Roman" w:cs="Times New Roman"/>
                <w:color w:val="auto"/>
                <w:szCs w:val="24"/>
              </w:rPr>
              <w:t>）搅拌</w:t>
            </w:r>
            <w:r>
              <w:rPr>
                <w:rFonts w:hint="eastAsia" w:ascii="Times New Roman" w:hAnsi="Times New Roman" w:cs="Times New Roman"/>
                <w:color w:val="auto"/>
                <w:szCs w:val="24"/>
                <w:lang w:val="en-US" w:eastAsia="zh-CN"/>
              </w:rPr>
              <w:t>粉尘</w:t>
            </w:r>
          </w:p>
          <w:p>
            <w:pPr>
              <w:widowControl/>
              <w:wordWrap w:val="0"/>
              <w:spacing w:line="360" w:lineRule="auto"/>
              <w:ind w:firstLine="480" w:firstLineChars="200"/>
              <w:jc w:val="both"/>
              <w:rPr>
                <w:rFonts w:ascii="Times New Roman" w:hAnsi="Times New Roman" w:cs="Times New Roman"/>
                <w:bCs/>
                <w:color w:val="auto"/>
                <w:sz w:val="24"/>
                <w:szCs w:val="24"/>
              </w:rPr>
            </w:pPr>
            <w:r>
              <w:rPr>
                <w:rFonts w:hint="default" w:ascii="Times New Roman" w:hAnsi="Times New Roman" w:cs="Times New Roman"/>
                <w:color w:val="auto"/>
                <w:sz w:val="24"/>
                <w:szCs w:val="24"/>
              </w:rPr>
              <w:t>本项目设有搅拌工序，加工过程会产生一定量的粉尘。</w:t>
            </w:r>
            <w:r>
              <w:rPr>
                <w:rFonts w:hint="default" w:ascii="Times New Roman" w:hAnsi="Times New Roman" w:cs="Times New Roman"/>
                <w:bCs/>
                <w:color w:val="auto"/>
                <w:sz w:val="24"/>
                <w:szCs w:val="24"/>
              </w:rPr>
              <w:t>本项目</w:t>
            </w:r>
            <w:r>
              <w:rPr>
                <w:rFonts w:hint="default" w:ascii="Times New Roman" w:hAnsi="Times New Roman" w:cs="Times New Roman"/>
                <w:bCs/>
                <w:color w:val="auto"/>
                <w:sz w:val="24"/>
                <w:szCs w:val="24"/>
                <w:lang w:val="en-US" w:eastAsia="zh-CN"/>
              </w:rPr>
              <w:t>水泥</w:t>
            </w:r>
            <w:r>
              <w:rPr>
                <w:rFonts w:hint="default" w:ascii="Times New Roman" w:hAnsi="Times New Roman" w:cs="Times New Roman"/>
                <w:bCs/>
                <w:color w:val="auto"/>
                <w:sz w:val="24"/>
                <w:szCs w:val="24"/>
              </w:rPr>
              <w:t>制品的原材料的使用量为9万吨，</w:t>
            </w:r>
            <w:r>
              <w:rPr>
                <w:rFonts w:hint="default" w:ascii="Times New Roman" w:hAnsi="Times New Roman" w:cs="Times New Roman"/>
                <w:color w:val="auto"/>
                <w:sz w:val="24"/>
                <w:szCs w:val="24"/>
              </w:rPr>
              <w:t>参考</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排放源统计调查产排污核算方法和系数手册3021水泥制品制造行业系数手册</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得知：在物料搅拌过程，颗粒物的产生量为5.23*10</w:t>
            </w:r>
            <w:r>
              <w:rPr>
                <w:rFonts w:hint="default" w:ascii="Times New Roman" w:hAnsi="Times New Roman" w:cs="Times New Roman"/>
                <w:color w:val="auto"/>
                <w:sz w:val="24"/>
                <w:szCs w:val="24"/>
                <w:vertAlign w:val="superscript"/>
              </w:rPr>
              <w:t>-1</w:t>
            </w:r>
            <w:r>
              <w:rPr>
                <w:rFonts w:hint="default" w:ascii="Times New Roman" w:hAnsi="Times New Roman" w:cs="Times New Roman"/>
                <w:color w:val="auto"/>
                <w:sz w:val="24"/>
                <w:szCs w:val="24"/>
              </w:rPr>
              <w:t>千克/吨-产品，</w:t>
            </w:r>
            <w:r>
              <w:rPr>
                <w:rFonts w:hint="eastAsia" w:ascii="Times New Roman" w:hAnsi="Times New Roman" w:cs="Times New Roman"/>
                <w:color w:val="auto"/>
                <w:sz w:val="24"/>
                <w:szCs w:val="24"/>
                <w:lang w:val="en-US" w:eastAsia="zh-CN"/>
              </w:rPr>
              <w:t>本项目</w:t>
            </w:r>
            <w:r>
              <w:rPr>
                <w:rFonts w:hint="default" w:ascii="Times New Roman" w:hAnsi="Times New Roman" w:cs="Times New Roman"/>
                <w:bCs/>
                <w:color w:val="auto"/>
                <w:sz w:val="24"/>
                <w:szCs w:val="24"/>
              </w:rPr>
              <w:t>产品产量9万吨，</w:t>
            </w:r>
            <w:r>
              <w:rPr>
                <w:rFonts w:hint="eastAsia" w:ascii="Times New Roman" w:hAnsi="Times New Roman" w:cs="Times New Roman"/>
                <w:color w:val="auto"/>
                <w:sz w:val="24"/>
                <w:szCs w:val="24"/>
                <w:lang w:val="en-US" w:eastAsia="zh-CN"/>
              </w:rPr>
              <w:t>则粉尘产生量为47.07</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19.6125kg/h。</w:t>
            </w:r>
            <w:r>
              <w:rPr>
                <w:rFonts w:hint="default" w:ascii="Times New Roman" w:hAnsi="Times New Roman" w:cs="Times New Roman"/>
                <w:color w:val="auto"/>
                <w:sz w:val="24"/>
                <w:szCs w:val="24"/>
              </w:rPr>
              <w:t>产生的废气有组织排放量为0.127t/a，排放速率为0.053kg/h</w:t>
            </w:r>
            <w:r>
              <w:rPr>
                <w:rFonts w:ascii="Times New Roman" w:hAnsi="Times New Roman" w:cs="Times New Roman"/>
                <w:bCs/>
                <w:color w:val="auto"/>
                <w:sz w:val="24"/>
                <w:szCs w:val="24"/>
              </w:rPr>
              <w:t>。</w:t>
            </w:r>
          </w:p>
          <w:p>
            <w:pPr>
              <w:pStyle w:val="19"/>
              <w:spacing w:beforeAutospacing="0" w:afterAutospacing="0" w:line="360" w:lineRule="auto"/>
              <w:ind w:firstLine="482" w:firstLineChars="200"/>
              <w:jc w:val="both"/>
              <w:rPr>
                <w:rFonts w:hint="default" w:ascii="Times New Roman" w:hAnsi="Times New Roman" w:cs="Times New Roman"/>
                <w:color w:val="auto"/>
                <w:sz w:val="24"/>
                <w:szCs w:val="24"/>
                <w:lang w:val="en-US"/>
              </w:rPr>
            </w:pPr>
            <w:r>
              <w:rPr>
                <w:rFonts w:hint="eastAsia" w:ascii="Times New Roman" w:hAnsi="Times New Roman" w:cs="Times New Roman"/>
                <w:b/>
                <w:bCs/>
                <w:color w:val="auto"/>
                <w:szCs w:val="24"/>
              </w:rPr>
              <w:t>治理措施</w:t>
            </w:r>
            <w:r>
              <w:rPr>
                <w:rFonts w:hint="eastAsia" w:ascii="Times New Roman" w:hAnsi="Times New Roman" w:cs="Times New Roman"/>
                <w:color w:val="auto"/>
                <w:szCs w:val="24"/>
              </w:rPr>
              <w:t>：项目搅拌机入料口处为封闭式，同时采取水雾喷淋、降低物料装卸过程高度差等降尘防治措施，减少粉尘的无组织排放。降尘率按</w:t>
            </w:r>
            <w:r>
              <w:rPr>
                <w:rFonts w:hint="eastAsia" w:ascii="Times New Roman" w:hAnsi="Times New Roman" w:cs="Times New Roman"/>
                <w:color w:val="auto"/>
                <w:szCs w:val="24"/>
                <w:lang w:val="en-US" w:eastAsia="zh-CN"/>
              </w:rPr>
              <w:t>99.7</w:t>
            </w:r>
            <w:r>
              <w:rPr>
                <w:rFonts w:hint="eastAsia" w:ascii="Times New Roman" w:hAnsi="Times New Roman" w:cs="Times New Roman"/>
                <w:color w:val="auto"/>
                <w:szCs w:val="24"/>
              </w:rPr>
              <w:t>%计，则预计项目运营期搅拌机投料粉尘无组织排放量为</w:t>
            </w:r>
            <w:r>
              <w:rPr>
                <w:rFonts w:hint="default" w:ascii="Times New Roman" w:hAnsi="Times New Roman" w:cs="Times New Roman"/>
                <w:color w:val="auto"/>
                <w:sz w:val="24"/>
                <w:szCs w:val="24"/>
                <w:lang w:val="en-US" w:eastAsia="zh-CN"/>
              </w:rPr>
              <w:t>4.707t/a</w:t>
            </w:r>
            <w:r>
              <w:rPr>
                <w:rFonts w:hint="eastAsia" w:ascii="Times New Roman" w:hAnsi="Times New Roman" w:cs="Times New Roman"/>
                <w:color w:val="auto"/>
                <w:szCs w:val="24"/>
              </w:rPr>
              <w:t>，</w:t>
            </w:r>
            <w:r>
              <w:rPr>
                <w:rFonts w:hint="default" w:ascii="Times New Roman" w:hAnsi="Times New Roman" w:cs="Times New Roman"/>
                <w:color w:val="auto"/>
                <w:sz w:val="24"/>
                <w:szCs w:val="24"/>
                <w:lang w:val="en-US" w:eastAsia="zh-CN"/>
              </w:rPr>
              <w:t>同时结合四</w:t>
            </w:r>
            <w:r>
              <w:rPr>
                <w:rFonts w:hint="default" w:ascii="Times New Roman" w:hAnsi="Times New Roman" w:cs="Times New Roman"/>
                <w:color w:val="auto"/>
                <w:sz w:val="24"/>
                <w:szCs w:val="24"/>
              </w:rPr>
              <w:t>周围挡</w:t>
            </w:r>
            <w:r>
              <w:rPr>
                <w:rFonts w:hint="default" w:ascii="Times New Roman" w:hAnsi="Times New Roman" w:cs="Times New Roman"/>
                <w:color w:val="auto"/>
                <w:sz w:val="24"/>
                <w:szCs w:val="24"/>
                <w:lang w:val="en-US" w:eastAsia="zh-CN"/>
              </w:rPr>
              <w:t>雾化喷淋除尘系统处置（降尘效率60%）</w:t>
            </w:r>
            <w:r>
              <w:rPr>
                <w:rFonts w:hint="eastAsia" w:ascii="Times New Roman" w:hAnsi="Times New Roman" w:cs="Times New Roman"/>
                <w:color w:val="auto"/>
                <w:sz w:val="24"/>
                <w:szCs w:val="24"/>
                <w:lang w:val="en-US" w:eastAsia="zh-CN"/>
              </w:rPr>
              <w:t>，无组织排放量降低至1.8828t/a，0.7845</w:t>
            </w:r>
            <w:r>
              <w:rPr>
                <w:rFonts w:hint="default" w:ascii="Times New Roman" w:hAnsi="Times New Roman" w:cs="Times New Roman"/>
                <w:color w:val="auto"/>
                <w:sz w:val="24"/>
                <w:szCs w:val="24"/>
              </w:rPr>
              <w:t>kg/h</w:t>
            </w:r>
            <w:r>
              <w:rPr>
                <w:rFonts w:hint="eastAsia" w:ascii="Times New Roman" w:hAnsi="Times New Roman" w:cs="Times New Roman"/>
                <w:color w:val="auto"/>
                <w:sz w:val="24"/>
                <w:szCs w:val="24"/>
                <w:lang w:val="en-US" w:eastAsia="zh-CN"/>
              </w:rPr>
              <w:t>。</w:t>
            </w:r>
          </w:p>
          <w:p>
            <w:pPr>
              <w:pStyle w:val="19"/>
              <w:numPr>
                <w:ilvl w:val="-1"/>
                <w:numId w:val="0"/>
              </w:numPr>
              <w:spacing w:beforeAutospacing="0" w:afterAutospacing="0" w:line="360" w:lineRule="auto"/>
              <w:ind w:left="440" w:leftChars="0" w:firstLine="0" w:firstLineChars="0"/>
              <w:jc w:val="both"/>
              <w:rPr>
                <w:rFonts w:ascii="Times New Roman" w:hAnsi="Times New Roman" w:cs="Times New Roman"/>
                <w:color w:val="auto"/>
                <w:szCs w:val="24"/>
              </w:rPr>
            </w:pPr>
            <w:r>
              <w:rPr>
                <w:rFonts w:hint="default" w:ascii="Times New Roman" w:hAnsi="Times New Roman" w:cs="Times New Roman"/>
                <w:color w:val="auto"/>
                <w:szCs w:val="24"/>
                <w:lang w:val="en-US" w:eastAsia="zh-CN"/>
              </w:rPr>
              <w:t>（</w:t>
            </w:r>
            <w:r>
              <w:rPr>
                <w:rFonts w:hint="eastAsia" w:ascii="Times New Roman" w:hAnsi="Times New Roman" w:cs="Times New Roman"/>
                <w:color w:val="auto"/>
                <w:szCs w:val="24"/>
                <w:lang w:val="en-US" w:eastAsia="zh-CN"/>
              </w:rPr>
              <w:t>6</w:t>
            </w:r>
            <w:r>
              <w:rPr>
                <w:rFonts w:hint="default" w:ascii="Times New Roman" w:hAnsi="Times New Roman" w:cs="Times New Roman"/>
                <w:color w:val="auto"/>
                <w:szCs w:val="24"/>
                <w:lang w:val="en-US" w:eastAsia="zh-CN"/>
              </w:rPr>
              <w:t>）</w:t>
            </w:r>
            <w:r>
              <w:rPr>
                <w:rFonts w:hint="eastAsia" w:ascii="Times New Roman" w:hAnsi="Times New Roman" w:cs="Times New Roman"/>
                <w:color w:val="auto"/>
                <w:szCs w:val="24"/>
                <w:lang w:val="en-US" w:eastAsia="zh-CN"/>
              </w:rPr>
              <w:t>天然气</w:t>
            </w:r>
            <w:r>
              <w:rPr>
                <w:rFonts w:hint="default" w:ascii="Times New Roman" w:hAnsi="Times New Roman" w:cs="Times New Roman"/>
                <w:color w:val="auto"/>
                <w:szCs w:val="24"/>
              </w:rPr>
              <w:t>蒸汽锅炉产生二氧化硫、氮氧化物、颗粒物等废气</w:t>
            </w:r>
          </w:p>
          <w:p>
            <w:pPr>
              <w:widowControl w:val="0"/>
              <w:wordWrap w:val="0"/>
              <w:topLinePunct/>
              <w:autoSpaceDE/>
              <w:autoSpaceDN/>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highlight w:val="none"/>
              </w:rPr>
              <w:t>本项目配有一台</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蒸汽锅炉，输送蒸汽用于电杆蒸汽养护环节，</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蒸汽锅炉的燃料为</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天然气</w:t>
            </w:r>
            <w:r>
              <w:rPr>
                <w:rFonts w:hint="default" w:ascii="Times New Roman" w:hAnsi="Times New Roman" w:cs="Times New Roman"/>
                <w:color w:val="auto"/>
                <w:sz w:val="24"/>
                <w:szCs w:val="24"/>
                <w:highlight w:val="none"/>
              </w:rPr>
              <w:t>使用量</w:t>
            </w:r>
            <w:r>
              <w:rPr>
                <w:rFonts w:hint="default" w:ascii="Times New Roman" w:hAnsi="Times New Roman" w:cs="Times New Roman"/>
                <w:color w:val="auto"/>
                <w:sz w:val="24"/>
                <w:szCs w:val="24"/>
                <w:highlight w:val="none"/>
                <w:lang w:val="en-US" w:eastAsia="zh-CN"/>
              </w:rPr>
              <w:t>2万m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/a，根据《排放源统计调查产排污核算方法和系数手册》中《292锅炉产排污量核算系数手册》4430工业锅炉（热力生产与供应行业）产污系数表-</w:t>
            </w:r>
            <w:r>
              <w:rPr>
                <w:rFonts w:hint="default" w:ascii="Times New Roman" w:hAnsi="Times New Roman" w:cs="Times New Roman"/>
                <w:color w:val="auto"/>
                <w:sz w:val="24"/>
                <w:szCs w:val="24"/>
                <w:highlight w:val="none"/>
                <w:lang w:val="en-US" w:eastAsia="zh-CN"/>
              </w:rPr>
              <w:t>燃气</w:t>
            </w:r>
            <w:r>
              <w:rPr>
                <w:rFonts w:hint="default" w:ascii="Times New Roman" w:hAnsi="Times New Roman" w:cs="Times New Roman"/>
                <w:color w:val="auto"/>
                <w:sz w:val="24"/>
                <w:szCs w:val="24"/>
                <w:highlight w:val="none"/>
              </w:rPr>
              <w:t>工业锅炉可知，SO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产污系数为</w:t>
            </w:r>
            <w:r>
              <w:rPr>
                <w:rFonts w:hint="default" w:ascii="Times New Roman" w:hAnsi="Times New Roman" w:cs="Times New Roman"/>
                <w:color w:val="auto"/>
                <w:sz w:val="24"/>
                <w:szCs w:val="24"/>
                <w:highlight w:val="none"/>
                <w:lang w:val="en-US" w:eastAsia="zh-CN"/>
              </w:rPr>
              <w:t>0.02</w:t>
            </w:r>
            <w:r>
              <w:rPr>
                <w:rFonts w:hint="default" w:ascii="Times New Roman" w:hAnsi="Times New Roman" w:cs="Times New Roman"/>
                <w:color w:val="auto"/>
                <w:sz w:val="24"/>
                <w:szCs w:val="24"/>
                <w:highlight w:val="none"/>
              </w:rPr>
              <w:t>S千克/</w:t>
            </w:r>
            <w:r>
              <w:rPr>
                <w:rFonts w:hint="default" w:ascii="Times New Roman" w:hAnsi="Times New Roman" w:cs="Times New Roman"/>
                <w:bCs/>
                <w:color w:val="auto"/>
                <w:sz w:val="24"/>
                <w:highlight w:val="none"/>
                <w:u w:color="FF0000"/>
                <w:lang w:val="en-US" w:eastAsia="zh-CN"/>
              </w:rPr>
              <w:t>万立方米</w:t>
            </w:r>
            <w:r>
              <w:rPr>
                <w:rFonts w:hint="default" w:ascii="Times New Roman" w:hAnsi="Times New Roman" w:cs="Times New Roman"/>
                <w:color w:val="auto"/>
                <w:sz w:val="24"/>
                <w:szCs w:val="24"/>
                <w:highlight w:val="none"/>
              </w:rPr>
              <w:t>-原料（</w:t>
            </w:r>
            <w:r>
              <w:rPr>
                <w:rFonts w:hint="default" w:ascii="Times New Roman" w:hAnsi="Times New Roman" w:cs="Times New Roman"/>
                <w:bCs/>
                <w:color w:val="auto"/>
                <w:sz w:val="24"/>
                <w:highlight w:val="none"/>
                <w:u w:color="FF0000"/>
                <w:lang w:val="en-US" w:eastAsia="zh-CN"/>
              </w:rPr>
              <w:t>S=20：S取值根据《天然气》GB17820-2018表1天然气质量要求</w:t>
            </w:r>
            <w:r>
              <w:rPr>
                <w:rFonts w:hint="default" w:ascii="Times New Roman" w:hAnsi="Times New Roman" w:cs="Times New Roman"/>
                <w:color w:val="auto"/>
                <w:sz w:val="24"/>
                <w:szCs w:val="24"/>
                <w:highlight w:val="none"/>
              </w:rPr>
              <w:t>）、氮氧化物产污系数为</w:t>
            </w:r>
            <w:r>
              <w:rPr>
                <w:rFonts w:hint="default" w:ascii="Times New Roman" w:hAnsi="Times New Roman" w:cs="Times New Roman"/>
                <w:bCs/>
                <w:color w:val="auto"/>
                <w:sz w:val="24"/>
                <w:highlight w:val="none"/>
                <w:u w:color="FF0000"/>
                <w:lang w:val="en-US" w:eastAsia="zh-CN"/>
              </w:rPr>
              <w:t>6.97千克/万立方米-原料</w:t>
            </w:r>
            <w:r>
              <w:rPr>
                <w:rFonts w:hint="default" w:ascii="Times New Roman" w:hAnsi="Times New Roman" w:cs="Times New Roman"/>
                <w:color w:val="auto"/>
                <w:sz w:val="24"/>
                <w:szCs w:val="24"/>
                <w:highlight w:val="none"/>
              </w:rPr>
              <w:t>。则本项目SO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产生量为</w:t>
            </w:r>
            <w:r>
              <w:rPr>
                <w:rFonts w:hint="default" w:ascii="Times New Roman" w:hAns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rPr>
              <w:t>kg/a（0.</w:t>
            </w:r>
            <w:r>
              <w:rPr>
                <w:rFonts w:hint="default" w:ascii="Times New Roman" w:hAnsi="Times New Roman" w:cs="Times New Roman"/>
                <w:color w:val="auto"/>
                <w:sz w:val="24"/>
                <w:szCs w:val="24"/>
                <w:highlight w:val="none"/>
                <w:lang w:val="en-US" w:eastAsia="zh-CN"/>
              </w:rPr>
              <w:t>0008</w:t>
            </w:r>
            <w:r>
              <w:rPr>
                <w:rFonts w:hint="default" w:ascii="Times New Roman" w:hAnsi="Times New Roman" w:cs="Times New Roman"/>
                <w:color w:val="auto"/>
                <w:sz w:val="24"/>
                <w:szCs w:val="24"/>
                <w:highlight w:val="none"/>
              </w:rPr>
              <w:t>t/a）、NOx产生量为</w:t>
            </w:r>
            <w:r>
              <w:rPr>
                <w:rFonts w:hint="default" w:ascii="Times New Roman" w:hAnsi="Times New Roman" w:cs="Times New Roman"/>
                <w:color w:val="auto"/>
                <w:sz w:val="24"/>
                <w:szCs w:val="24"/>
                <w:highlight w:val="none"/>
                <w:lang w:val="en-US" w:eastAsia="zh-CN"/>
              </w:rPr>
              <w:t>13.94</w:t>
            </w:r>
            <w:r>
              <w:rPr>
                <w:rFonts w:hint="default" w:ascii="Times New Roman" w:hAnsi="Times New Roman" w:cs="Times New Roman"/>
                <w:color w:val="auto"/>
                <w:sz w:val="24"/>
                <w:szCs w:val="24"/>
                <w:highlight w:val="none"/>
              </w:rPr>
              <w:t>kg/a（0.0</w:t>
            </w:r>
            <w:r>
              <w:rPr>
                <w:rFonts w:hint="default"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bCs/>
                <w:color w:val="auto"/>
                <w:sz w:val="24"/>
                <w:highlight w:val="none"/>
                <w:u w:color="FF0000"/>
              </w:rPr>
              <w:t>根据《环境保护实用数据手册》（1990，胡明操主编，机械工业出版社），天然气燃烧颗粒物排污系数为2.4kg/万m</w:t>
            </w:r>
            <w:r>
              <w:rPr>
                <w:rFonts w:hint="default" w:ascii="Times New Roman" w:hAnsi="Times New Roman" w:cs="Times New Roman"/>
                <w:bCs/>
                <w:color w:val="auto"/>
                <w:sz w:val="24"/>
                <w:highlight w:val="none"/>
                <w:u w:color="FF0000"/>
                <w:vertAlign w:val="superscript"/>
              </w:rPr>
              <w:t>3</w:t>
            </w:r>
            <w:r>
              <w:rPr>
                <w:rFonts w:hint="default" w:ascii="Times New Roman" w:hAnsi="Times New Roman" w:cs="Times New Roman"/>
                <w:bCs/>
                <w:color w:val="auto"/>
                <w:sz w:val="24"/>
                <w:highlight w:val="none"/>
                <w:u w:color="FF0000"/>
              </w:rPr>
              <w:t>，颗粒物的产生浓度为2.4mg/m</w:t>
            </w:r>
            <w:r>
              <w:rPr>
                <w:rFonts w:hint="default" w:ascii="Times New Roman" w:hAnsi="Times New Roman" w:cs="Times New Roman"/>
                <w:bCs/>
                <w:color w:val="auto"/>
                <w:sz w:val="24"/>
                <w:highlight w:val="none"/>
                <w:u w:color="FF0000"/>
                <w:vertAlign w:val="superscript"/>
              </w:rPr>
              <w:t>3</w:t>
            </w:r>
            <w:r>
              <w:rPr>
                <w:rFonts w:hint="default" w:ascii="Times New Roman" w:hAnsi="Times New Roman" w:cs="Times New Roman"/>
                <w:bCs/>
                <w:color w:val="auto"/>
                <w:sz w:val="24"/>
                <w:highlight w:val="none"/>
                <w:u w:color="FF0000"/>
                <w:vertAlign w:val="baseline"/>
                <w:lang w:eastAsia="zh-CN"/>
              </w:rPr>
              <w:t>，</w:t>
            </w:r>
            <w:r>
              <w:rPr>
                <w:rFonts w:hint="default" w:ascii="Times New Roman" w:hAnsi="Times New Roman" w:cs="Times New Roman"/>
                <w:bCs/>
                <w:color w:val="auto"/>
                <w:sz w:val="24"/>
                <w:highlight w:val="none"/>
                <w:u w:color="FF0000"/>
              </w:rPr>
              <w:t>产生量为0.0048t/a。</w:t>
            </w:r>
          </w:p>
          <w:p>
            <w:pPr>
              <w:pStyle w:val="19"/>
              <w:numPr>
                <w:ilvl w:val="-1"/>
                <w:numId w:val="0"/>
              </w:numPr>
              <w:spacing w:beforeAutospacing="0" w:afterAutospacing="0" w:line="360" w:lineRule="auto"/>
              <w:ind w:left="440" w:leftChars="0" w:firstLine="0" w:firstLineChars="0"/>
              <w:jc w:val="both"/>
              <w:rPr>
                <w:rFonts w:ascii="Times New Roman" w:hAnsi="Times New Roman" w:cs="Times New Roman"/>
                <w:color w:val="auto"/>
                <w:szCs w:val="24"/>
              </w:rPr>
            </w:pPr>
            <w:r>
              <w:rPr>
                <w:rFonts w:hint="default"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7</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食堂油烟</w:t>
            </w:r>
          </w:p>
          <w:p>
            <w:pPr>
              <w:spacing w:line="360" w:lineRule="auto"/>
              <w:ind w:firstLine="480" w:firstLineChars="200"/>
              <w:jc w:val="both"/>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食堂废气包括两部分，一部分为炒菜炊事油烟，另一部分为燃料燃烧废气。主要来自生活区食堂。参照相关资料，每人每天耗食油量为</w:t>
            </w:r>
            <w:r>
              <w:rPr>
                <w:rFonts w:hint="default" w:ascii="Times New Roman" w:hAnsi="Times New Roman" w:cs="Times New Roman"/>
                <w:color w:val="auto"/>
                <w:sz w:val="24"/>
                <w:szCs w:val="24"/>
              </w:rPr>
              <w:t>50</w:t>
            </w:r>
            <w:r>
              <w:rPr>
                <w:rFonts w:ascii="Times New Roman" w:hAnsi="Times New Roman" w:cs="Times New Roman"/>
                <w:color w:val="auto"/>
                <w:sz w:val="24"/>
                <w:szCs w:val="24"/>
              </w:rPr>
              <w:t>g，在炒作时油烟的挥发量约为</w:t>
            </w:r>
            <w:r>
              <w:rPr>
                <w:rFonts w:hint="default" w:ascii="Times New Roman" w:hAnsi="Times New Roman" w:cs="Times New Roman"/>
                <w:color w:val="auto"/>
                <w:sz w:val="24"/>
                <w:szCs w:val="24"/>
              </w:rPr>
              <w:t>4</w:t>
            </w:r>
            <w:r>
              <w:rPr>
                <w:rFonts w:ascii="Times New Roman" w:hAnsi="Times New Roman" w:cs="Times New Roman"/>
                <w:color w:val="auto"/>
                <w:sz w:val="24"/>
                <w:szCs w:val="24"/>
              </w:rPr>
              <w:t>%，每天工作人员</w:t>
            </w:r>
            <w:r>
              <w:rPr>
                <w:rFonts w:hint="default" w:ascii="Times New Roman" w:hAnsi="Times New Roman" w:cs="Times New Roman"/>
                <w:color w:val="auto"/>
                <w:sz w:val="24"/>
                <w:szCs w:val="24"/>
              </w:rPr>
              <w:t>20</w:t>
            </w:r>
            <w:r>
              <w:rPr>
                <w:rFonts w:ascii="Times New Roman" w:hAnsi="Times New Roman" w:cs="Times New Roman"/>
                <w:color w:val="auto"/>
                <w:sz w:val="24"/>
                <w:szCs w:val="24"/>
              </w:rPr>
              <w:t>人，则油烟产生量为</w:t>
            </w:r>
            <w:r>
              <w:rPr>
                <w:rFonts w:hint="default" w:ascii="Times New Roman" w:hAnsi="Times New Roman" w:cs="Times New Roman"/>
                <w:color w:val="auto"/>
                <w:sz w:val="24"/>
                <w:szCs w:val="24"/>
              </w:rPr>
              <w:t>12</w:t>
            </w:r>
            <w:r>
              <w:rPr>
                <w:rFonts w:ascii="Times New Roman" w:hAnsi="Times New Roman" w:cs="Times New Roman"/>
                <w:color w:val="auto"/>
                <w:sz w:val="24"/>
                <w:szCs w:val="24"/>
              </w:rPr>
              <w:t>kg/a， 安装油烟净化设施并保持正常使用，采取措施后油烟净化效率可达</w:t>
            </w:r>
            <w:r>
              <w:rPr>
                <w:rFonts w:hint="default" w:ascii="Times New Roman" w:hAnsi="Times New Roman" w:cs="Times New Roman"/>
                <w:color w:val="auto"/>
                <w:sz w:val="24"/>
                <w:szCs w:val="24"/>
              </w:rPr>
              <w:t>8</w:t>
            </w:r>
            <w:r>
              <w:rPr>
                <w:rFonts w:ascii="Times New Roman" w:hAnsi="Times New Roman" w:cs="Times New Roman"/>
                <w:color w:val="auto"/>
                <w:sz w:val="24"/>
                <w:szCs w:val="24"/>
              </w:rPr>
              <w:t>5%，排放量</w:t>
            </w:r>
            <w:r>
              <w:rPr>
                <w:rFonts w:hint="default" w:ascii="Times New Roman" w:hAnsi="Times New Roman" w:cs="Times New Roman"/>
                <w:color w:val="auto"/>
                <w:sz w:val="24"/>
                <w:szCs w:val="24"/>
              </w:rPr>
              <w:t>1.8</w:t>
            </w:r>
            <w:r>
              <w:rPr>
                <w:rFonts w:ascii="Times New Roman" w:hAnsi="Times New Roman" w:cs="Times New Roman"/>
                <w:color w:val="auto"/>
                <w:sz w:val="24"/>
                <w:szCs w:val="24"/>
              </w:rPr>
              <w:t>kg/a</w:t>
            </w:r>
            <w:r>
              <w:rPr>
                <w:rFonts w:hint="default" w:ascii="Times New Roman" w:hAnsi="Times New Roman" w:cs="Times New Roman"/>
                <w:color w:val="auto"/>
                <w:sz w:val="24"/>
                <w:szCs w:val="24"/>
              </w:rPr>
              <w:t>，</w:t>
            </w:r>
            <w:r>
              <w:rPr>
                <w:rFonts w:ascii="Times New Roman" w:hAnsi="Times New Roman" w:cs="Times New Roman"/>
                <w:color w:val="auto"/>
                <w:sz w:val="24"/>
                <w:szCs w:val="24"/>
              </w:rPr>
              <w:t>经净化处理后油烟浓度均小于标准限制，由专用油烟管道引至食堂楼顶排放，能达到国家《饮食业油烟排放标准》（GB18483-2001）（油烟排放浓度≤2.0mg/m</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）的限值要求。</w:t>
            </w:r>
            <w:r>
              <w:rPr>
                <w:rFonts w:hint="default" w:ascii="Times New Roman" w:hAnsi="Times New Roman" w:cs="Times New Roman"/>
                <w:color w:val="auto"/>
                <w:sz w:val="24"/>
                <w:szCs w:val="24"/>
              </w:rPr>
              <w:t xml:space="preserve"> </w:t>
            </w:r>
          </w:p>
          <w:p>
            <w:pPr>
              <w:adjustRightInd w:val="0"/>
              <w:ind w:firstLine="422" w:firstLineChars="200"/>
              <w:jc w:val="center"/>
              <w:textAlignment w:val="baseline"/>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食堂餐饮油烟排放情况</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1"/>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2538" w:type="pct"/>
                  <w:tcBorders>
                    <w:tl2br w:val="nil"/>
                    <w:tr2bl w:val="nil"/>
                  </w:tcBorders>
                  <w:shd w:val="clear" w:color="auto" w:fill="D7D7D7"/>
                  <w:vAlign w:val="center"/>
                </w:tcPr>
                <w:p>
                  <w:pPr>
                    <w:tabs>
                      <w:tab w:val="left" w:pos="2080"/>
                    </w:tabs>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2461" w:type="pct"/>
                  <w:tcBorders>
                    <w:tl2br w:val="nil"/>
                    <w:tr2bl w:val="nil"/>
                  </w:tcBorders>
                  <w:shd w:val="clear" w:color="auto" w:fill="D7D7D7"/>
                  <w:vAlign w:val="center"/>
                </w:tcPr>
                <w:p>
                  <w:pPr>
                    <w:tabs>
                      <w:tab w:val="left" w:pos="2080"/>
                    </w:tabs>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就餐人数（人）</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食用油用量kg/（人.d）</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油烟产生率</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w:t>
                  </w: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运行时间</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2h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治理措施</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油烟净化器、烟道楼顶排放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抽油烟机排气量（m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/h）</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5</w:t>
                  </w:r>
                  <w:r>
                    <w:rPr>
                      <w:rFonts w:ascii="Times New Roman" w:hAnsi="Times New Roman" w:cs="Times New Roman"/>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灶头数</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油烟净化率（%）</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油烟排放浓度（mg/m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《饮食业油烟排放标准》（GB18483-2001）油烟浓度标准（mg/m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w:t>
                  </w:r>
                </w:p>
              </w:tc>
              <w:tc>
                <w:tcPr>
                  <w:tcW w:w="2461" w:type="pct"/>
                  <w:tcBorders>
                    <w:tl2br w:val="nil"/>
                    <w:tr2bl w:val="nil"/>
                  </w:tcBorders>
                  <w:vAlign w:val="center"/>
                </w:tcPr>
                <w:p>
                  <w:pPr>
                    <w:tabs>
                      <w:tab w:val="left" w:pos="2080"/>
                    </w:tabs>
                    <w:jc w:val="center"/>
                    <w:rPr>
                      <w:rFonts w:ascii="Times New Roman" w:hAnsi="Times New Roman" w:cs="Times New Roman"/>
                      <w:color w:val="auto"/>
                      <w:sz w:val="21"/>
                      <w:szCs w:val="21"/>
                    </w:rPr>
                  </w:pPr>
                  <w:r>
                    <w:rPr>
                      <w:rFonts w:ascii="Times New Roman" w:hAnsi="Times New Roman" w:cs="Times New Roman"/>
                      <w:color w:val="auto"/>
                      <w:sz w:val="21"/>
                      <w:szCs w:val="21"/>
                    </w:rPr>
                    <w:t>2.0</w:t>
                  </w:r>
                </w:p>
              </w:tc>
            </w:tr>
          </w:tbl>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综上所述，项目营运期产生的各类废气经过相应措施处理后不会对项目周围大气环境造成明显不利影响，拟采取的大气污染防治措施合理可行。</w:t>
            </w:r>
          </w:p>
          <w:p>
            <w:pPr>
              <w:pStyle w:val="2"/>
              <w:ind w:firstLine="240" w:firstLineChars="1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焊接烟尘</w:t>
            </w:r>
          </w:p>
          <w:p>
            <w:pPr>
              <w:spacing w:line="360" w:lineRule="auto"/>
              <w:ind w:firstLine="480" w:firstLineChars="200"/>
              <w:rPr>
                <w:rFonts w:ascii="Times New Roman" w:hAnsi="Times New Roman" w:cs="Times New Roman"/>
                <w:color w:val="auto"/>
                <w:sz w:val="24"/>
                <w:szCs w:val="24"/>
                <w:u w:val="none"/>
              </w:rPr>
            </w:pPr>
            <w:r>
              <w:rPr>
                <w:rFonts w:ascii="Times New Roman" w:hAnsi="Times New Roman" w:cs="Times New Roman"/>
                <w:color w:val="auto"/>
                <w:sz w:val="24"/>
                <w:szCs w:val="24"/>
                <w:u w:val="none"/>
              </w:rPr>
              <w:t>本项目焊接过程采用</w:t>
            </w:r>
            <w:r>
              <w:rPr>
                <w:rFonts w:hint="default" w:ascii="Times New Roman" w:hAnsi="Times New Roman" w:cs="Times New Roman"/>
                <w:color w:val="auto"/>
                <w:sz w:val="24"/>
                <w:szCs w:val="24"/>
                <w:u w:val="none"/>
              </w:rPr>
              <w:t>手工电弧焊</w:t>
            </w:r>
            <w:r>
              <w:rPr>
                <w:rFonts w:ascii="Times New Roman" w:hAnsi="Times New Roman" w:cs="Times New Roman"/>
                <w:color w:val="auto"/>
                <w:sz w:val="24"/>
                <w:szCs w:val="24"/>
                <w:u w:val="none"/>
              </w:rPr>
              <w:t>，焊接使用焊</w:t>
            </w:r>
            <w:r>
              <w:rPr>
                <w:rFonts w:hint="default" w:ascii="Times New Roman" w:hAnsi="Times New Roman" w:cs="Times New Roman"/>
                <w:color w:val="auto"/>
                <w:sz w:val="24"/>
                <w:szCs w:val="24"/>
                <w:u w:val="none"/>
                <w:lang w:val="en-US" w:eastAsia="zh-CN"/>
              </w:rPr>
              <w:t>条</w:t>
            </w:r>
            <w:r>
              <w:rPr>
                <w:rFonts w:ascii="Times New Roman" w:hAnsi="Times New Roman" w:cs="Times New Roman"/>
                <w:color w:val="auto"/>
                <w:sz w:val="24"/>
                <w:szCs w:val="24"/>
                <w:u w:val="none"/>
              </w:rPr>
              <w:t>，会产生焊接烟气。主要污染物为颗粒物。</w:t>
            </w:r>
          </w:p>
          <w:p>
            <w:pPr>
              <w:spacing w:line="360" w:lineRule="auto"/>
              <w:ind w:firstLine="480" w:firstLineChars="200"/>
              <w:rPr>
                <w:rFonts w:hint="default" w:ascii="Times New Roman" w:hAnsi="Times New Roman" w:cs="Times New Roman"/>
                <w:color w:val="auto"/>
                <w:sz w:val="24"/>
                <w:szCs w:val="24"/>
                <w:u w:val="none"/>
              </w:rPr>
            </w:pPr>
            <w:r>
              <w:rPr>
                <w:rFonts w:ascii="Times New Roman" w:hAnsi="Times New Roman" w:cs="Times New Roman"/>
                <w:color w:val="auto"/>
                <w:sz w:val="24"/>
                <w:szCs w:val="24"/>
                <w:u w:val="none"/>
              </w:rPr>
              <w:t>根据《焊接技术手册》（王文瀚编）及《科技情报开发与经济》2010年第20卷第4期《不同焊接工艺的焊接烟尘污染特征》</w:t>
            </w:r>
            <w:r>
              <w:rPr>
                <w:rFonts w:hint="default" w:ascii="Times New Roman" w:hAnsi="Times New Roman" w:cs="Times New Roman"/>
                <w:color w:val="auto"/>
                <w:sz w:val="24"/>
                <w:szCs w:val="24"/>
                <w:u w:val="none"/>
              </w:rPr>
              <w:t>中有关资料</w:t>
            </w:r>
            <w:r>
              <w:rPr>
                <w:rFonts w:ascii="Times New Roman" w:hAnsi="Times New Roman" w:cs="Times New Roman"/>
                <w:color w:val="auto"/>
                <w:sz w:val="24"/>
                <w:szCs w:val="24"/>
                <w:u w:val="none"/>
              </w:rPr>
              <w:t>，</w:t>
            </w:r>
            <w:r>
              <w:rPr>
                <w:rFonts w:hint="default" w:ascii="Times New Roman" w:hAnsi="Times New Roman" w:cs="Times New Roman"/>
                <w:color w:val="auto"/>
                <w:sz w:val="24"/>
                <w:szCs w:val="24"/>
                <w:u w:val="none"/>
              </w:rPr>
              <w:t>各焊接方法和焊接材料焊接过程中的焊接粉尘产生量见下表：</w:t>
            </w:r>
          </w:p>
          <w:p>
            <w:pPr>
              <w:adjustRightInd w:val="0"/>
              <w:spacing w:line="240" w:lineRule="auto"/>
              <w:ind w:firstLine="422" w:firstLineChars="200"/>
              <w:jc w:val="center"/>
              <w:textAlignment w:val="baseline"/>
              <w:rPr>
                <w:rFonts w:ascii="Times New Roman" w:hAnsi="Times New Roman" w:cs="Times New Roman"/>
                <w:b/>
                <w:bCs/>
                <w:color w:val="auto"/>
                <w:sz w:val="21"/>
                <w:szCs w:val="21"/>
                <w:u w:val="none"/>
                <w:vertAlign w:val="baseline"/>
              </w:rPr>
            </w:pPr>
            <w:r>
              <w:rPr>
                <w:rFonts w:ascii="Times New Roman" w:hAnsi="Times New Roman" w:cs="Times New Roman"/>
                <w:b/>
                <w:bCs/>
                <w:color w:val="auto"/>
                <w:sz w:val="21"/>
                <w:szCs w:val="21"/>
                <w:u w:val="none"/>
              </w:rPr>
              <w:t>表</w:t>
            </w:r>
            <w:r>
              <w:rPr>
                <w:rFonts w:hint="default" w:ascii="Times New Roman" w:hAnsi="Times New Roman" w:cs="Times New Roman"/>
                <w:b/>
                <w:bCs/>
                <w:color w:val="auto"/>
                <w:sz w:val="21"/>
                <w:szCs w:val="21"/>
                <w:u w:val="none"/>
              </w:rPr>
              <w:t>4</w:t>
            </w:r>
            <w:r>
              <w:rPr>
                <w:rFonts w:ascii="Times New Roman" w:hAnsi="Times New Roman" w:cs="Times New Roman"/>
                <w:b/>
                <w:bCs/>
                <w:color w:val="auto"/>
                <w:sz w:val="21"/>
                <w:szCs w:val="21"/>
                <w:u w:val="none"/>
              </w:rPr>
              <w:t>-</w:t>
            </w:r>
            <w:r>
              <w:rPr>
                <w:rFonts w:hint="eastAsia" w:ascii="Times New Roman" w:hAnsi="Times New Roman" w:cs="Times New Roman"/>
                <w:b/>
                <w:bCs/>
                <w:color w:val="auto"/>
                <w:sz w:val="21"/>
                <w:szCs w:val="21"/>
                <w:u w:val="none"/>
                <w:lang w:val="en-US" w:eastAsia="zh-CN"/>
              </w:rPr>
              <w:t>4</w:t>
            </w:r>
            <w:r>
              <w:rPr>
                <w:rFonts w:ascii="Times New Roman" w:hAnsi="Times New Roman" w:cs="Times New Roman"/>
                <w:b/>
                <w:bCs/>
                <w:color w:val="auto"/>
                <w:sz w:val="21"/>
                <w:szCs w:val="21"/>
                <w:u w:val="none"/>
              </w:rPr>
              <w:t xml:space="preserve">  </w:t>
            </w:r>
            <w:r>
              <w:rPr>
                <w:rFonts w:hint="default" w:ascii="Times New Roman" w:hAnsi="Times New Roman" w:cs="Times New Roman"/>
                <w:b/>
                <w:bCs/>
                <w:color w:val="auto"/>
                <w:sz w:val="21"/>
                <w:szCs w:val="21"/>
                <w:u w:val="none"/>
              </w:rPr>
              <w:t>几种焊接方法的发尘量</w:t>
            </w:r>
          </w:p>
          <w:tbl>
            <w:tblPr>
              <w:tblStyle w:val="25"/>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772"/>
              <w:gridCol w:w="1772"/>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Align w:val="center"/>
                </w:tcPr>
                <w:p>
                  <w:pPr>
                    <w:adjustRightInd w:val="0"/>
                    <w:spacing w:line="240" w:lineRule="auto"/>
                    <w:jc w:val="center"/>
                    <w:textAlignment w:val="baseline"/>
                    <w:rPr>
                      <w:rFonts w:ascii="Times New Roman" w:hAnsi="Times New Roman" w:cs="Times New Roman"/>
                      <w:b/>
                      <w:bCs/>
                      <w:color w:val="auto"/>
                      <w:sz w:val="21"/>
                      <w:szCs w:val="21"/>
                      <w:u w:val="none"/>
                      <w:vertAlign w:val="baseline"/>
                    </w:rPr>
                  </w:pPr>
                  <w:r>
                    <w:rPr>
                      <w:rFonts w:ascii="Times New Roman" w:hAnsi="Times New Roman" w:cs="Times New Roman"/>
                      <w:b/>
                      <w:bCs/>
                      <w:color w:val="auto"/>
                      <w:sz w:val="21"/>
                      <w:szCs w:val="21"/>
                      <w:u w:val="none"/>
                    </w:rPr>
                    <w:t>焊接方法</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
                      <w:bCs/>
                      <w:color w:val="auto"/>
                      <w:sz w:val="21"/>
                      <w:szCs w:val="21"/>
                      <w:u w:val="none"/>
                    </w:rPr>
                    <w:t>焊接材料</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
                      <w:bCs/>
                      <w:color w:val="auto"/>
                      <w:sz w:val="21"/>
                      <w:szCs w:val="21"/>
                      <w:u w:val="none"/>
                    </w:rPr>
                    <w:t>施焊时发尘量（mg/min）</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
                      <w:bCs/>
                      <w:color w:val="auto"/>
                      <w:sz w:val="21"/>
                      <w:szCs w:val="21"/>
                      <w:u w:val="none"/>
                    </w:rPr>
                    <w:t>焊接材料的发尘量（g/kg）</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
                      <w:bCs/>
                      <w:color w:val="auto"/>
                      <w:sz w:val="21"/>
                      <w:szCs w:val="21"/>
                      <w:u w:val="no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Merge w:val="restart"/>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手工电弧焊</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低氢型焊条</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350~450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11~16</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Merge w:val="continue"/>
                  <w:vAlign w:val="center"/>
                </w:tcPr>
                <w:p>
                  <w:pPr>
                    <w:adjustRightInd w:val="0"/>
                    <w:spacing w:line="240" w:lineRule="auto"/>
                    <w:jc w:val="center"/>
                    <w:textAlignment w:val="baseline"/>
                    <w:rPr>
                      <w:rFonts w:ascii="Times New Roman" w:hAnsi="Times New Roman" w:cs="Times New Roman"/>
                      <w:b/>
                      <w:bCs/>
                      <w:color w:val="auto"/>
                      <w:sz w:val="21"/>
                      <w:szCs w:val="21"/>
                      <w:u w:val="none"/>
                      <w:vertAlign w:val="baseline"/>
                    </w:rPr>
                  </w:pP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钛钙型焊条</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200~280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6~8</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取值8g/kg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自保护焊</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药芯焊丝</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2000~3500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20~25</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Merge w:val="restart"/>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二氧化碳焊</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实心焊丝</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450~650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5~8</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Merge w:val="continue"/>
                  <w:vAlign w:val="center"/>
                </w:tcPr>
                <w:p>
                  <w:pPr>
                    <w:adjustRightInd w:val="0"/>
                    <w:spacing w:line="240" w:lineRule="auto"/>
                    <w:jc w:val="center"/>
                    <w:textAlignment w:val="baseline"/>
                    <w:rPr>
                      <w:rFonts w:ascii="Times New Roman" w:hAnsi="Times New Roman" w:cs="Times New Roman"/>
                      <w:b/>
                      <w:bCs/>
                      <w:color w:val="auto"/>
                      <w:sz w:val="21"/>
                      <w:szCs w:val="21"/>
                      <w:u w:val="none"/>
                      <w:vertAlign w:val="baseline"/>
                    </w:rPr>
                  </w:pP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药芯焊丝</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700~900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7~10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氩弧焊</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实心焊丝</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100~200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2~5</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1"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埋弧焊</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实心焊丝</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10~40</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ascii="Times New Roman" w:hAnsi="Times New Roman" w:cs="Times New Roman"/>
                      <w:bCs w:val="0"/>
                      <w:color w:val="auto"/>
                      <w:sz w:val="21"/>
                      <w:szCs w:val="21"/>
                      <w:u w:val="none"/>
                    </w:rPr>
                    <w:t>0.1~0.3</w:t>
                  </w:r>
                </w:p>
              </w:tc>
              <w:tc>
                <w:tcPr>
                  <w:tcW w:w="1772" w:type="dxa"/>
                  <w:vAlign w:val="center"/>
                </w:tcPr>
                <w:p>
                  <w:pPr>
                    <w:spacing w:line="240" w:lineRule="auto"/>
                    <w:ind w:firstLine="0" w:firstLineChars="0"/>
                    <w:jc w:val="center"/>
                    <w:rPr>
                      <w:rFonts w:ascii="Times New Roman" w:hAnsi="Times New Roman" w:cs="Times New Roman"/>
                      <w:b/>
                      <w:bCs/>
                      <w:color w:val="auto"/>
                      <w:sz w:val="21"/>
                      <w:szCs w:val="21"/>
                      <w:u w:val="none"/>
                      <w:vertAlign w:val="baseline"/>
                    </w:rPr>
                  </w:pPr>
                  <w:r>
                    <w:rPr>
                      <w:rFonts w:hint="default" w:ascii="Times New Roman" w:hAnsi="Times New Roman" w:cs="Times New Roman"/>
                      <w:bCs w:val="0"/>
                      <w:color w:val="auto"/>
                      <w:sz w:val="21"/>
                      <w:szCs w:val="21"/>
                      <w:u w:val="none"/>
                    </w:rPr>
                    <w:t>/</w:t>
                  </w:r>
                </w:p>
              </w:tc>
            </w:tr>
          </w:tbl>
          <w:p>
            <w:pPr>
              <w:adjustRightInd w:val="0"/>
              <w:spacing w:line="240" w:lineRule="auto"/>
              <w:ind w:firstLine="0" w:firstLineChars="0"/>
              <w:jc w:val="both"/>
              <w:textAlignment w:val="baseline"/>
              <w:rPr>
                <w:rFonts w:ascii="Times New Roman" w:hAnsi="Times New Roman" w:cs="Times New Roman"/>
                <w:b/>
                <w:bCs/>
                <w:color w:val="auto"/>
                <w:sz w:val="21"/>
                <w:szCs w:val="21"/>
                <w:u w:val="none"/>
              </w:rPr>
            </w:pPr>
          </w:p>
          <w:p>
            <w:pPr>
              <w:spacing w:line="360" w:lineRule="auto"/>
              <w:ind w:firstLine="480" w:firstLineChars="200"/>
              <w:rPr>
                <w:rFonts w:ascii="Times New Roman" w:hAnsi="Times New Roman" w:cs="Times New Roman"/>
                <w:color w:val="auto"/>
                <w:sz w:val="24"/>
                <w:szCs w:val="24"/>
                <w:u w:val="none"/>
              </w:rPr>
            </w:pPr>
            <w:r>
              <w:rPr>
                <w:rFonts w:hint="default" w:ascii="Times New Roman" w:hAnsi="Times New Roman" w:cs="Times New Roman"/>
                <w:color w:val="auto"/>
                <w:sz w:val="24"/>
                <w:szCs w:val="24"/>
                <w:u w:val="none"/>
              </w:rPr>
              <w:t>本</w:t>
            </w:r>
            <w:r>
              <w:rPr>
                <w:rFonts w:ascii="Times New Roman" w:hAnsi="Times New Roman" w:cs="Times New Roman"/>
                <w:color w:val="auto"/>
                <w:sz w:val="24"/>
                <w:szCs w:val="24"/>
                <w:u w:val="none"/>
              </w:rPr>
              <w:t>项</w:t>
            </w:r>
            <w:r>
              <w:rPr>
                <w:rFonts w:hint="default" w:ascii="Times New Roman" w:hAnsi="Times New Roman" w:cs="Times New Roman"/>
                <w:color w:val="auto"/>
                <w:sz w:val="24"/>
                <w:szCs w:val="24"/>
                <w:u w:val="none"/>
              </w:rPr>
              <w:t>目手工电弧焊</w:t>
            </w:r>
            <w:r>
              <w:rPr>
                <w:rFonts w:hint="default" w:ascii="Times New Roman" w:hAnsi="Times New Roman" w:cs="Times New Roman"/>
                <w:color w:val="auto"/>
                <w:sz w:val="24"/>
                <w:szCs w:val="24"/>
                <w:u w:val="none"/>
                <w:lang w:val="en-US" w:eastAsia="zh-CN"/>
              </w:rPr>
              <w:t>焊条</w:t>
            </w:r>
            <w:r>
              <w:rPr>
                <w:rFonts w:ascii="Times New Roman" w:hAnsi="Times New Roman" w:cs="Times New Roman"/>
                <w:color w:val="auto"/>
                <w:sz w:val="24"/>
                <w:szCs w:val="24"/>
                <w:u w:val="none"/>
              </w:rPr>
              <w:t>用量为</w:t>
            </w:r>
            <w:r>
              <w:rPr>
                <w:rFonts w:hint="default" w:ascii="Times New Roman" w:hAnsi="Times New Roman" w:cs="Times New Roman"/>
                <w:color w:val="auto"/>
                <w:sz w:val="24"/>
                <w:szCs w:val="24"/>
                <w:u w:val="none"/>
                <w:lang w:val="en-US" w:eastAsia="zh-CN"/>
              </w:rPr>
              <w:t>2</w:t>
            </w:r>
            <w:r>
              <w:rPr>
                <w:rFonts w:ascii="Times New Roman" w:hAnsi="Times New Roman" w:cs="Times New Roman"/>
                <w:color w:val="auto"/>
                <w:sz w:val="24"/>
                <w:szCs w:val="24"/>
                <w:u w:val="none"/>
              </w:rPr>
              <w:t>t/a</w:t>
            </w:r>
            <w:r>
              <w:rPr>
                <w:rFonts w:hint="default" w:ascii="Times New Roman" w:hAnsi="Times New Roman" w:cs="Times New Roman"/>
                <w:color w:val="auto"/>
                <w:sz w:val="24"/>
                <w:szCs w:val="24"/>
                <w:u w:val="none"/>
              </w:rPr>
              <w:t>，</w:t>
            </w:r>
            <w:r>
              <w:rPr>
                <w:rFonts w:ascii="Times New Roman" w:hAnsi="Times New Roman" w:cs="Times New Roman"/>
                <w:color w:val="auto"/>
                <w:sz w:val="24"/>
                <w:szCs w:val="24"/>
                <w:u w:val="none"/>
              </w:rPr>
              <w:t>焊接烟尘量按8g/kg</w:t>
            </w:r>
            <w:r>
              <w:rPr>
                <w:rFonts w:hint="default" w:ascii="Times New Roman" w:hAnsi="Times New Roman" w:cs="Times New Roman"/>
                <w:color w:val="auto"/>
                <w:sz w:val="24"/>
                <w:szCs w:val="24"/>
                <w:u w:val="none"/>
              </w:rPr>
              <w:t>，工作时间按</w:t>
            </w:r>
            <w:r>
              <w:rPr>
                <w:rFonts w:hint="default" w:ascii="Times New Roman" w:hAnsi="Times New Roman" w:cs="Times New Roman"/>
                <w:color w:val="auto"/>
                <w:sz w:val="24"/>
                <w:szCs w:val="24"/>
                <w:u w:val="none"/>
                <w:lang w:val="en-US" w:eastAsia="zh-CN"/>
              </w:rPr>
              <w:t>24</w:t>
            </w:r>
            <w:r>
              <w:rPr>
                <w:rFonts w:hint="default" w:ascii="Times New Roman" w:hAnsi="Times New Roman" w:cs="Times New Roman"/>
                <w:color w:val="auto"/>
                <w:sz w:val="24"/>
                <w:szCs w:val="24"/>
                <w:u w:val="none"/>
              </w:rPr>
              <w:t>00h/a计，</w:t>
            </w:r>
            <w:r>
              <w:rPr>
                <w:rFonts w:ascii="Times New Roman" w:hAnsi="Times New Roman" w:cs="Times New Roman"/>
                <w:color w:val="auto"/>
                <w:sz w:val="24"/>
                <w:szCs w:val="24"/>
                <w:u w:val="none"/>
              </w:rPr>
              <w:t>则焊接烟尘产生总量约为</w:t>
            </w:r>
            <w:r>
              <w:rPr>
                <w:rFonts w:hint="default" w:ascii="Times New Roman" w:hAnsi="Times New Roman" w:cs="Times New Roman"/>
                <w:color w:val="auto"/>
                <w:sz w:val="24"/>
                <w:szCs w:val="24"/>
                <w:u w:val="none"/>
              </w:rPr>
              <w:t>0.0</w:t>
            </w:r>
            <w:r>
              <w:rPr>
                <w:rFonts w:hint="default" w:ascii="Times New Roman" w:hAnsi="Times New Roman" w:cs="Times New Roman"/>
                <w:color w:val="auto"/>
                <w:sz w:val="24"/>
                <w:szCs w:val="24"/>
                <w:u w:val="none"/>
                <w:lang w:val="en-US" w:eastAsia="zh-CN"/>
              </w:rPr>
              <w:t>16</w:t>
            </w:r>
            <w:r>
              <w:rPr>
                <w:rFonts w:hint="default" w:ascii="Times New Roman" w:hAnsi="Times New Roman" w:cs="Times New Roman"/>
                <w:color w:val="auto"/>
                <w:sz w:val="24"/>
                <w:szCs w:val="24"/>
                <w:u w:val="none"/>
              </w:rPr>
              <w:t>t</w:t>
            </w:r>
            <w:r>
              <w:rPr>
                <w:rFonts w:ascii="Times New Roman" w:hAnsi="Times New Roman" w:cs="Times New Roman"/>
                <w:color w:val="auto"/>
                <w:sz w:val="24"/>
                <w:szCs w:val="24"/>
                <w:u w:val="none"/>
              </w:rPr>
              <w:t>/a</w:t>
            </w:r>
            <w:r>
              <w:rPr>
                <w:rFonts w:hint="default" w:ascii="Times New Roman" w:hAnsi="Times New Roman" w:cs="Times New Roman"/>
                <w:color w:val="auto"/>
                <w:sz w:val="24"/>
                <w:szCs w:val="24"/>
                <w:u w:val="none"/>
              </w:rPr>
              <w:t>（0.0</w:t>
            </w:r>
            <w:r>
              <w:rPr>
                <w:rFonts w:hint="default" w:ascii="Times New Roman" w:hAnsi="Times New Roman" w:cs="Times New Roman"/>
                <w:color w:val="auto"/>
                <w:sz w:val="24"/>
                <w:szCs w:val="24"/>
                <w:u w:val="none"/>
                <w:lang w:val="en-US" w:eastAsia="zh-CN"/>
              </w:rPr>
              <w:t>06</w:t>
            </w:r>
            <w:r>
              <w:rPr>
                <w:rFonts w:hint="default" w:ascii="Times New Roman" w:hAnsi="Times New Roman" w:cs="Times New Roman"/>
                <w:color w:val="auto"/>
                <w:sz w:val="24"/>
                <w:szCs w:val="24"/>
                <w:u w:val="none"/>
              </w:rPr>
              <w:t>kg/h）</w:t>
            </w:r>
            <w:r>
              <w:rPr>
                <w:rFonts w:hint="default" w:ascii="Times New Roman" w:hAnsi="Times New Roman" w:cs="Times New Roman"/>
                <w:color w:val="auto"/>
                <w:sz w:val="24"/>
                <w:szCs w:val="24"/>
                <w:u w:val="none"/>
                <w:lang w:eastAsia="zh-CN"/>
              </w:rPr>
              <w:t>，</w:t>
            </w:r>
            <w:r>
              <w:rPr>
                <w:rFonts w:hint="default" w:ascii="Times New Roman" w:hAnsi="Times New Roman" w:cs="Times New Roman"/>
                <w:color w:val="auto"/>
                <w:sz w:val="24"/>
                <w:szCs w:val="24"/>
                <w:u w:val="none"/>
                <w:lang w:val="en-US" w:eastAsia="zh-CN"/>
              </w:rPr>
              <w:t>烟尘产生量较小，不再做定量分析</w:t>
            </w:r>
            <w:r>
              <w:rPr>
                <w:rFonts w:hint="default" w:ascii="Times New Roman" w:hAnsi="Times New Roman" w:cs="Times New Roman"/>
                <w:color w:val="auto"/>
                <w:sz w:val="24"/>
                <w:szCs w:val="24"/>
                <w:u w:val="none"/>
              </w:rPr>
              <w:t>。</w:t>
            </w:r>
          </w:p>
          <w:p>
            <w:pPr>
              <w:adjustRightInd w:val="0"/>
              <w:spacing w:line="240" w:lineRule="auto"/>
              <w:ind w:firstLine="422" w:firstLineChars="200"/>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lang w:val="en-US" w:eastAsia="zh-CN"/>
              </w:rPr>
              <w:t>表4-5项目废气产生及排放情况一览表</w:t>
            </w:r>
          </w:p>
          <w:tbl>
            <w:tblPr>
              <w:tblStyle w:val="25"/>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690"/>
              <w:gridCol w:w="912"/>
              <w:gridCol w:w="888"/>
              <w:gridCol w:w="825"/>
              <w:gridCol w:w="2160"/>
              <w:gridCol w:w="685"/>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729"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位置</w:t>
                  </w:r>
                </w:p>
              </w:tc>
              <w:tc>
                <w:tcPr>
                  <w:tcW w:w="690"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产污环节</w:t>
                  </w:r>
                </w:p>
              </w:tc>
              <w:tc>
                <w:tcPr>
                  <w:tcW w:w="912"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污染物</w:t>
                  </w:r>
                </w:p>
              </w:tc>
              <w:tc>
                <w:tcPr>
                  <w:tcW w:w="888"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产生量（t/a）</w:t>
                  </w:r>
                </w:p>
              </w:tc>
              <w:tc>
                <w:tcPr>
                  <w:tcW w:w="3670" w:type="dxa"/>
                  <w:gridSpan w:val="3"/>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治理措施</w:t>
                  </w:r>
                </w:p>
              </w:tc>
              <w:tc>
                <w:tcPr>
                  <w:tcW w:w="985"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有组织排放（t/a）</w:t>
                  </w:r>
                </w:p>
              </w:tc>
              <w:tc>
                <w:tcPr>
                  <w:tcW w:w="985" w:type="dxa"/>
                  <w:vMerge w:val="restart"/>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无组织排放（t/a）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c>
                <w:tcPr>
                  <w:tcW w:w="690"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c>
                <w:tcPr>
                  <w:tcW w:w="912"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c>
                <w:tcPr>
                  <w:tcW w:w="888"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c>
                <w:tcPr>
                  <w:tcW w:w="825" w:type="dxa"/>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排放形式</w:t>
                  </w:r>
                </w:p>
              </w:tc>
              <w:tc>
                <w:tcPr>
                  <w:tcW w:w="2160" w:type="dxa"/>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治理措施</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处理能力</w:t>
                  </w:r>
                </w:p>
              </w:tc>
              <w:tc>
                <w:tcPr>
                  <w:tcW w:w="985"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c>
                <w:tcPr>
                  <w:tcW w:w="985" w:type="dxa"/>
                  <w:vMerge w:val="continue"/>
                  <w:vAlign w:val="center"/>
                </w:tcPr>
                <w:p>
                  <w:pPr>
                    <w:adjustRightInd w:val="0"/>
                    <w:spacing w:line="240" w:lineRule="auto"/>
                    <w:jc w:val="center"/>
                    <w:textAlignment w:val="baseline"/>
                    <w:rPr>
                      <w:rFonts w:hint="default" w:ascii="Times New Roman" w:hAnsi="Times New Roman" w:eastAsia="宋体" w:cs="Times New Roman"/>
                      <w:b/>
                      <w:bCs/>
                      <w:color w:val="auto"/>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生产车间</w:t>
                  </w: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运输扬尘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0.024</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216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lang w:eastAsia="zh-CN"/>
                    </w:rPr>
                    <w:t>水泥硬化</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洒水降尘、</w:t>
                  </w:r>
                  <w:r>
                    <w:rPr>
                      <w:rFonts w:hint="default" w:ascii="Times New Roman" w:hAnsi="Times New Roman" w:cs="Times New Roman"/>
                      <w:b w:val="0"/>
                      <w:bCs w:val="0"/>
                      <w:color w:val="auto"/>
                      <w:sz w:val="21"/>
                      <w:szCs w:val="21"/>
                      <w:lang w:eastAsia="zh-CN"/>
                    </w:rPr>
                    <w:t>厂区围墙设置喷雾装置降尘</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60%</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装卸扬尘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0.0123</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2160" w:type="dxa"/>
                  <w:vMerge w:val="restart"/>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u w:val="none"/>
                      <w:vertAlign w:val="baseline"/>
                      <w:lang w:val="en-US" w:eastAsia="zh-CN"/>
                    </w:rPr>
                  </w:pPr>
                  <w:r>
                    <w:rPr>
                      <w:rFonts w:hint="eastAsia" w:ascii="宋体" w:hAnsi="宋体" w:eastAsia="宋体" w:cs="宋体"/>
                      <w:b w:val="0"/>
                      <w:bCs w:val="0"/>
                      <w:color w:val="000000"/>
                      <w:kern w:val="0"/>
                      <w:sz w:val="21"/>
                      <w:szCs w:val="21"/>
                      <w:lang w:val="en-US" w:eastAsia="zh-CN" w:bidi="ar"/>
                    </w:rPr>
                    <w:t>内部设置喷雾降尘装置，定期水雾喷淋降尘</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60%</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堆场扬尘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0.315</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2160"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60%</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筒仓粉尘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2.52</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2160" w:type="dxa"/>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u w:val="none"/>
                      <w:vertAlign w:val="baseline"/>
                      <w:lang w:val="en-US" w:eastAsia="zh-CN"/>
                    </w:rPr>
                  </w:pPr>
                  <w:r>
                    <w:rPr>
                      <w:rFonts w:hint="eastAsia" w:ascii="宋体" w:hAnsi="宋体" w:eastAsia="宋体" w:cs="宋体"/>
                      <w:b w:val="0"/>
                      <w:bCs w:val="0"/>
                      <w:color w:val="000000"/>
                      <w:kern w:val="0"/>
                      <w:sz w:val="21"/>
                      <w:szCs w:val="21"/>
                      <w:lang w:val="en-US" w:eastAsia="zh-CN" w:bidi="ar"/>
                    </w:rPr>
                    <w:t>布袋除尘装置</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99%</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搅拌粉尘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47.07</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160" w:type="dxa"/>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u w:val="none"/>
                      <w:vertAlign w:val="baseline"/>
                      <w:lang w:val="en-US" w:eastAsia="zh-CN"/>
                    </w:rPr>
                  </w:pPr>
                  <w:r>
                    <w:rPr>
                      <w:rFonts w:hint="eastAsia" w:ascii="宋体" w:hAnsi="宋体" w:eastAsia="宋体" w:cs="宋体"/>
                      <w:b w:val="0"/>
                      <w:bCs w:val="0"/>
                      <w:color w:val="000000"/>
                      <w:kern w:val="0"/>
                      <w:sz w:val="21"/>
                      <w:szCs w:val="21"/>
                      <w:lang w:val="en-US" w:eastAsia="zh-CN" w:bidi="ar"/>
                    </w:rPr>
                    <w:t>搅拌机入料口封闭，水雾喷淋、降低物料装卸过程高度差</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99.7%</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0.127</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1.8828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焊接烟尘</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0.016</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无组织</w:t>
                  </w:r>
                </w:p>
              </w:tc>
              <w:tc>
                <w:tcPr>
                  <w:tcW w:w="216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锅炉</w:t>
                  </w:r>
                </w:p>
              </w:tc>
              <w:tc>
                <w:tcPr>
                  <w:tcW w:w="690"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锅炉废气</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SO</w:t>
                  </w:r>
                  <w:r>
                    <w:rPr>
                      <w:rFonts w:hint="eastAsia" w:ascii="Times New Roman" w:hAnsi="Times New Roman" w:eastAsia="宋体" w:cs="Times New Roman"/>
                      <w:b w:val="0"/>
                      <w:bCs w:val="0"/>
                      <w:color w:val="auto"/>
                      <w:sz w:val="21"/>
                      <w:szCs w:val="21"/>
                      <w:u w:val="none"/>
                      <w:vertAlign w:val="subscript"/>
                      <w:lang w:val="en-US" w:eastAsia="zh-CN"/>
                    </w:rPr>
                    <w:t>2</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0.0008</w:t>
                  </w:r>
                </w:p>
              </w:tc>
              <w:tc>
                <w:tcPr>
                  <w:tcW w:w="825"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160"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低氮燃烧装置8m排气筒</w:t>
                  </w:r>
                </w:p>
              </w:tc>
              <w:tc>
                <w:tcPr>
                  <w:tcW w:w="685" w:type="dxa"/>
                  <w:vMerge w:val="restart"/>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0.0008</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90" w:type="dxa"/>
                  <w:vMerge w:val="continue"/>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NO</w:t>
                  </w:r>
                  <w:r>
                    <w:rPr>
                      <w:rFonts w:hint="eastAsia" w:ascii="Times New Roman" w:hAnsi="Times New Roman" w:eastAsia="宋体" w:cs="Times New Roman"/>
                      <w:b w:val="0"/>
                      <w:bCs w:val="0"/>
                      <w:color w:val="auto"/>
                      <w:sz w:val="21"/>
                      <w:szCs w:val="21"/>
                      <w:u w:val="none"/>
                      <w:vertAlign w:val="subscript"/>
                      <w:lang w:val="en-US" w:eastAsia="zh-CN"/>
                    </w:rPr>
                    <w:t>X</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0.014</w:t>
                  </w:r>
                </w:p>
              </w:tc>
              <w:tc>
                <w:tcPr>
                  <w:tcW w:w="825" w:type="dxa"/>
                  <w:vMerge w:val="continue"/>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2160"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85"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0.014</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Merge w:val="continue"/>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690" w:type="dxa"/>
                  <w:vMerge w:val="continue"/>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0.0048</w:t>
                  </w:r>
                </w:p>
              </w:tc>
              <w:tc>
                <w:tcPr>
                  <w:tcW w:w="825" w:type="dxa"/>
                  <w:vMerge w:val="continue"/>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p>
              </w:tc>
              <w:tc>
                <w:tcPr>
                  <w:tcW w:w="2160"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685" w:type="dxa"/>
                  <w:vMerge w:val="continue"/>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bidi="ar-SA"/>
                    </w:rPr>
                  </w:pPr>
                  <w:r>
                    <w:rPr>
                      <w:rFonts w:hint="eastAsia" w:ascii="Times New Roman" w:hAnsi="Times New Roman" w:eastAsia="宋体" w:cs="Times New Roman"/>
                      <w:b w:val="0"/>
                      <w:bCs w:val="0"/>
                      <w:color w:val="auto"/>
                      <w:sz w:val="21"/>
                      <w:szCs w:val="21"/>
                      <w:u w:val="none"/>
                      <w:vertAlign w:val="baseline"/>
                      <w:lang w:val="en-US" w:eastAsia="zh-CN"/>
                    </w:rPr>
                    <w:t>0.0048</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9" w:type="dxa"/>
                  <w:vAlign w:val="center"/>
                </w:tcPr>
                <w:p>
                  <w:pPr>
                    <w:adjustRightInd w:val="0"/>
                    <w:spacing w:line="240" w:lineRule="auto"/>
                    <w:jc w:val="center"/>
                    <w:textAlignment w:val="baseline"/>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食堂</w:t>
                  </w:r>
                </w:p>
              </w:tc>
              <w:tc>
                <w:tcPr>
                  <w:tcW w:w="69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食堂油烟</w:t>
                  </w:r>
                </w:p>
              </w:tc>
              <w:tc>
                <w:tcPr>
                  <w:tcW w:w="912"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油烟</w:t>
                  </w:r>
                </w:p>
              </w:tc>
              <w:tc>
                <w:tcPr>
                  <w:tcW w:w="888"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0.012</w:t>
                  </w:r>
                </w:p>
              </w:tc>
              <w:tc>
                <w:tcPr>
                  <w:tcW w:w="82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有组织</w:t>
                  </w:r>
                </w:p>
              </w:tc>
              <w:tc>
                <w:tcPr>
                  <w:tcW w:w="2160"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油烟净化器</w:t>
                  </w:r>
                </w:p>
              </w:tc>
              <w:tc>
                <w:tcPr>
                  <w:tcW w:w="6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85%</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0.0018</w:t>
                  </w:r>
                </w:p>
              </w:tc>
              <w:tc>
                <w:tcPr>
                  <w:tcW w:w="985" w:type="dxa"/>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w:t>
                  </w:r>
                </w:p>
              </w:tc>
            </w:tr>
          </w:tbl>
          <w:p>
            <w:pPr>
              <w:adjustRightInd w:val="0"/>
              <w:spacing w:line="240" w:lineRule="auto"/>
              <w:ind w:firstLine="422" w:firstLineChars="200"/>
              <w:jc w:val="center"/>
              <w:textAlignment w:val="baseline"/>
              <w:rPr>
                <w:rFonts w:hint="default" w:ascii="Times New Roman" w:hAnsi="Times New Roman" w:eastAsia="宋体" w:cs="Times New Roman"/>
                <w:b/>
                <w:bCs/>
                <w:color w:val="auto"/>
                <w:sz w:val="21"/>
                <w:szCs w:val="21"/>
                <w:u w:val="none"/>
                <w:lang w:val="en-US" w:eastAsia="zh-CN"/>
              </w:rPr>
            </w:pPr>
          </w:p>
          <w:p>
            <w:pPr>
              <w:pStyle w:val="19"/>
              <w:spacing w:beforeAutospacing="0" w:afterAutospacing="0" w:line="360" w:lineRule="auto"/>
              <w:jc w:val="both"/>
              <w:rPr>
                <w:rFonts w:ascii="Times New Roman" w:hAnsi="Times New Roman" w:cs="Times New Roman"/>
                <w:b/>
                <w:bCs/>
                <w:color w:val="auto"/>
                <w:szCs w:val="32"/>
              </w:rPr>
            </w:pPr>
            <w:r>
              <w:rPr>
                <w:rFonts w:hint="default" w:ascii="Times New Roman" w:hAnsi="Times New Roman" w:cs="Times New Roman"/>
                <w:b/>
                <w:bCs/>
                <w:color w:val="auto"/>
                <w:szCs w:val="32"/>
              </w:rPr>
              <w:t>4、监测要求</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根据《排污许可证申请与核发技术规范 总则》（HJ942-2018）</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《排污单位自行监测技术指南 总则》（HJ819-2017）</w:t>
            </w:r>
            <w:r>
              <w:rPr>
                <w:rFonts w:hint="default" w:ascii="Times New Roman" w:hAnsi="Times New Roman" w:cs="Times New Roman"/>
                <w:color w:val="auto"/>
                <w:sz w:val="24"/>
                <w:szCs w:val="32"/>
                <w:lang w:val="en-US" w:eastAsia="zh-CN"/>
              </w:rPr>
              <w:t>和</w:t>
            </w:r>
            <w:r>
              <w:rPr>
                <w:rFonts w:hint="default" w:ascii="Times New Roman" w:hAnsi="Times New Roman" w:cs="Times New Roman"/>
                <w:color w:val="auto"/>
                <w:sz w:val="24"/>
                <w:highlight w:val="none"/>
              </w:rPr>
              <w:t>《排污许可证申请与核发技术规范 锅炉》（HJ953-2018）</w:t>
            </w:r>
            <w:r>
              <w:rPr>
                <w:rFonts w:hint="default" w:ascii="Times New Roman" w:hAnsi="Times New Roman" w:cs="Times New Roman"/>
                <w:color w:val="auto"/>
                <w:sz w:val="24"/>
                <w:szCs w:val="32"/>
              </w:rPr>
              <w:t>对废气设置监测要求。</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本项目运营期间各污染源监测要求详见下表：</w:t>
            </w:r>
          </w:p>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eastAsia" w:cs="Times New Roman"/>
                <w:color w:val="auto"/>
                <w:sz w:val="21"/>
                <w:szCs w:val="21"/>
                <w:lang w:val="en-US" w:eastAsia="zh-CN"/>
              </w:rPr>
              <w:t>5</w:t>
            </w:r>
            <w:r>
              <w:rPr>
                <w:rFonts w:hint="default" w:ascii="Times New Roman" w:hAnsi="Times New Roman" w:cs="Times New Roman"/>
                <w:color w:val="auto"/>
                <w:sz w:val="21"/>
                <w:szCs w:val="21"/>
              </w:rPr>
              <w:t xml:space="preserve">  废气监测一览表</w:t>
            </w:r>
          </w:p>
          <w:tbl>
            <w:tblPr>
              <w:tblStyle w:val="25"/>
              <w:tblW w:w="8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060"/>
              <w:gridCol w:w="1680"/>
              <w:gridCol w:w="2298"/>
              <w:gridCol w:w="1672"/>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sz w:val="21"/>
                      <w:szCs w:val="21"/>
                    </w:rPr>
                    <w:t>序号</w:t>
                  </w:r>
                </w:p>
              </w:tc>
              <w:tc>
                <w:tcPr>
                  <w:tcW w:w="274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1</w:t>
                  </w:r>
                </w:p>
              </w:tc>
              <w:tc>
                <w:tcPr>
                  <w:tcW w:w="1060"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生产车间</w:t>
                  </w: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混料搅拌</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DA001</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颗粒物</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1次/</w:t>
                  </w:r>
                  <w:r>
                    <w:rPr>
                      <w:rFonts w:hint="eastAsia" w:cs="Times New Roman"/>
                      <w:b w:val="0"/>
                      <w:bCs/>
                      <w:color w:val="auto"/>
                      <w:sz w:val="21"/>
                      <w:szCs w:val="21"/>
                      <w:lang w:val="en-US" w:eastAsia="zh-CN"/>
                    </w:rPr>
                    <w:t>半</w:t>
                  </w:r>
                  <w:r>
                    <w:rPr>
                      <w:rFonts w:hint="default" w:ascii="Times New Roman" w:hAnsi="Times New Roman" w:cs="Times New Roman"/>
                      <w:b w:val="0"/>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2</w:t>
                  </w:r>
                </w:p>
              </w:tc>
              <w:tc>
                <w:tcPr>
                  <w:tcW w:w="1060" w:type="dxa"/>
                  <w:vMerge w:val="continue"/>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cs="Times New Roman"/>
                      <w:b w:val="0"/>
                      <w:bCs/>
                      <w:color w:val="auto"/>
                      <w:sz w:val="21"/>
                      <w:szCs w:val="21"/>
                      <w:lang w:val="en-US" w:eastAsia="zh-CN"/>
                    </w:rPr>
                  </w:pP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无组织</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厂界</w:t>
                  </w:r>
                  <w:r>
                    <w:rPr>
                      <w:rFonts w:hint="default" w:ascii="Times New Roman" w:hAnsi="Times New Roman" w:cs="Times New Roman"/>
                      <w:b w:val="0"/>
                      <w:bCs/>
                      <w:color w:val="auto"/>
                      <w:sz w:val="21"/>
                      <w:szCs w:val="21"/>
                      <w:lang w:eastAsia="zh-CN"/>
                    </w:rPr>
                    <w:t>（</w:t>
                  </w:r>
                  <w:r>
                    <w:rPr>
                      <w:rFonts w:hint="default" w:ascii="Times New Roman" w:hAnsi="Times New Roman" w:cs="Times New Roman"/>
                      <w:b w:val="0"/>
                      <w:bCs/>
                      <w:color w:val="auto"/>
                      <w:sz w:val="21"/>
                      <w:szCs w:val="28"/>
                      <w:highlight w:val="none"/>
                      <w:u w:color="FF0000"/>
                    </w:rPr>
                    <w:t>项目上风一个点，下风向3 个点</w:t>
                  </w:r>
                  <w:r>
                    <w:rPr>
                      <w:rFonts w:hint="default" w:ascii="Times New Roman" w:hAnsi="Times New Roman" w:cs="Times New Roman"/>
                      <w:b w:val="0"/>
                      <w:bCs/>
                      <w:color w:val="auto"/>
                      <w:sz w:val="21"/>
                      <w:szCs w:val="21"/>
                      <w:lang w:eastAsia="zh-CN"/>
                    </w:rPr>
                    <w:t>）</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颗粒物</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1次/一年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3</w:t>
                  </w:r>
                </w:p>
              </w:tc>
              <w:tc>
                <w:tcPr>
                  <w:tcW w:w="1060"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锅炉房</w:t>
                  </w: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颗粒物</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排气筒DA002</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color w:val="auto"/>
                      <w:sz w:val="21"/>
                      <w:szCs w:val="21"/>
                    </w:rPr>
                    <w:t>颗粒物</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1次/一</w:t>
                  </w:r>
                  <w:r>
                    <w:rPr>
                      <w:rFonts w:hint="eastAsia" w:cs="Times New Roman"/>
                      <w:b w:val="0"/>
                      <w:bCs/>
                      <w:color w:val="auto"/>
                      <w:sz w:val="21"/>
                      <w:szCs w:val="28"/>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4</w:t>
                  </w:r>
                </w:p>
              </w:tc>
              <w:tc>
                <w:tcPr>
                  <w:tcW w:w="1060" w:type="dxa"/>
                  <w:vMerge w:val="continue"/>
                  <w:tcBorders>
                    <w:left w:val="single" w:color="000000" w:sz="8" w:space="0"/>
                    <w:right w:val="single" w:color="000000" w:sz="8" w:space="0"/>
                  </w:tcBorders>
                  <w:shd w:val="clear" w:color="auto" w:fill="FFFFFF"/>
                  <w:vAlign w:val="center"/>
                </w:tcPr>
                <w:p>
                  <w:pPr>
                    <w:pStyle w:val="38"/>
                    <w:rPr>
                      <w:rFonts w:hint="default" w:ascii="Times New Roman" w:hAnsi="Times New Roman" w:cs="Times New Roman"/>
                      <w:b w:val="0"/>
                      <w:bCs/>
                      <w:color w:val="auto"/>
                      <w:sz w:val="21"/>
                      <w:szCs w:val="21"/>
                    </w:rPr>
                  </w:pP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排气筒DA002</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SO</w:t>
                  </w:r>
                  <w:r>
                    <w:rPr>
                      <w:rFonts w:ascii="Times New Roman" w:hAnsi="Times New Roman" w:cs="Times New Roman"/>
                      <w:color w:val="auto"/>
                      <w:sz w:val="21"/>
                      <w:szCs w:val="21"/>
                      <w:vertAlign w:val="subscript"/>
                    </w:rPr>
                    <w:t>2</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1次/一年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5</w:t>
                  </w:r>
                </w:p>
              </w:tc>
              <w:tc>
                <w:tcPr>
                  <w:tcW w:w="1060" w:type="dxa"/>
                  <w:vMerge w:val="continue"/>
                  <w:tcBorders>
                    <w:left w:val="single" w:color="000000" w:sz="8" w:space="0"/>
                    <w:right w:val="single" w:color="000000" w:sz="8" w:space="0"/>
                  </w:tcBorders>
                  <w:shd w:val="clear" w:color="auto" w:fill="FFFFFF"/>
                  <w:vAlign w:val="center"/>
                </w:tcPr>
                <w:p>
                  <w:pPr>
                    <w:pStyle w:val="38"/>
                    <w:rPr>
                      <w:rFonts w:hint="default" w:ascii="Times New Roman" w:hAnsi="Times New Roman" w:cs="Times New Roman"/>
                      <w:b w:val="0"/>
                      <w:bCs/>
                      <w:color w:val="auto"/>
                      <w:sz w:val="21"/>
                      <w:szCs w:val="21"/>
                    </w:rPr>
                  </w:pP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NOx</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排气筒DA002</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NOx</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kern w:val="2"/>
                      <w:sz w:val="21"/>
                      <w:szCs w:val="28"/>
                      <w:lang w:val="en-US" w:eastAsia="zh-CN" w:bidi="ar-SA"/>
                    </w:rPr>
                  </w:pPr>
                  <w:r>
                    <w:rPr>
                      <w:rFonts w:hint="default" w:ascii="Times New Roman" w:hAnsi="Times New Roman" w:cs="Times New Roman"/>
                      <w:b w:val="0"/>
                      <w:bCs/>
                      <w:color w:val="auto"/>
                      <w:sz w:val="21"/>
                      <w:szCs w:val="28"/>
                    </w:rPr>
                    <w:t>1次/一</w:t>
                  </w:r>
                  <w:r>
                    <w:rPr>
                      <w:rFonts w:hint="eastAsia" w:cs="Times New Roman"/>
                      <w:b w:val="0"/>
                      <w:bCs/>
                      <w:color w:val="auto"/>
                      <w:sz w:val="21"/>
                      <w:szCs w:val="28"/>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6</w:t>
                  </w:r>
                </w:p>
              </w:tc>
              <w:tc>
                <w:tcPr>
                  <w:tcW w:w="1060" w:type="dxa"/>
                  <w:tcBorders>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食堂</w:t>
                  </w:r>
                </w:p>
              </w:tc>
              <w:tc>
                <w:tcPr>
                  <w:tcW w:w="16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有</w:t>
                  </w:r>
                  <w:r>
                    <w:rPr>
                      <w:rFonts w:hint="default" w:ascii="Times New Roman" w:hAnsi="Times New Roman" w:cs="Times New Roman"/>
                      <w:b w:val="0"/>
                      <w:bCs/>
                      <w:color w:val="auto"/>
                      <w:sz w:val="21"/>
                      <w:szCs w:val="21"/>
                    </w:rPr>
                    <w:t>组织</w:t>
                  </w:r>
                </w:p>
              </w:tc>
              <w:tc>
                <w:tcPr>
                  <w:tcW w:w="2298"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油烟废气排气筒</w:t>
                  </w:r>
                </w:p>
              </w:tc>
              <w:tc>
                <w:tcPr>
                  <w:tcW w:w="16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sz w:val="21"/>
                      <w:szCs w:val="21"/>
                      <w:lang w:val="en-US" w:eastAsia="zh-CN"/>
                    </w:rPr>
                    <w:t>油烟</w:t>
                  </w:r>
                </w:p>
              </w:tc>
              <w:tc>
                <w:tcPr>
                  <w:tcW w:w="15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1次/</w:t>
                  </w:r>
                  <w:r>
                    <w:rPr>
                      <w:rFonts w:hint="eastAsia" w:cs="Times New Roman"/>
                      <w:b w:val="0"/>
                      <w:bCs/>
                      <w:color w:val="auto"/>
                      <w:sz w:val="21"/>
                      <w:szCs w:val="21"/>
                      <w:lang w:val="en-US" w:eastAsia="zh-CN"/>
                    </w:rPr>
                    <w:t>一</w:t>
                  </w:r>
                  <w:r>
                    <w:rPr>
                      <w:rFonts w:hint="default" w:ascii="Times New Roman" w:hAnsi="Times New Roman" w:cs="Times New Roman"/>
                      <w:b w:val="0"/>
                      <w:bCs/>
                      <w:color w:val="auto"/>
                      <w:sz w:val="21"/>
                      <w:szCs w:val="21"/>
                    </w:rPr>
                    <w:t>年</w:t>
                  </w:r>
                </w:p>
              </w:tc>
            </w:tr>
          </w:tbl>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（二）非正常工况下污染物的排放情况</w:t>
            </w:r>
          </w:p>
          <w:p>
            <w:pPr>
              <w:spacing w:line="360" w:lineRule="auto"/>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本项目非正常工况包括：</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 1 \* GB3 \* MERGEFORMAT </w:instrText>
            </w:r>
            <w:r>
              <w:rPr>
                <w:rFonts w:hint="default" w:ascii="Times New Roman" w:hAnsi="Times New Roman" w:cs="Times New Roman"/>
                <w:color w:val="auto"/>
                <w:sz w:val="24"/>
                <w:szCs w:val="32"/>
              </w:rPr>
              <w:fldChar w:fldCharType="separate"/>
            </w:r>
            <w:r>
              <w:rPr>
                <w:rFonts w:ascii="Times New Roman" w:hAnsi="Times New Roman" w:cs="Times New Roman"/>
                <w:color w:val="auto"/>
                <w:sz w:val="24"/>
                <w:szCs w:val="32"/>
              </w:rPr>
              <w:t>①</w:t>
            </w:r>
            <w:r>
              <w:rPr>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rPr>
              <w:t>搅拌机等开关机时，环保设施</w:t>
            </w:r>
            <w:r>
              <w:rPr>
                <w:rFonts w:hint="default" w:ascii="Times New Roman" w:hAnsi="Times New Roman" w:cs="Times New Roman"/>
                <w:color w:val="auto"/>
                <w:sz w:val="24"/>
                <w:szCs w:val="32"/>
                <w:lang w:val="en-US" w:eastAsia="zh-CN"/>
              </w:rPr>
              <w:t>运转</w:t>
            </w:r>
            <w:r>
              <w:rPr>
                <w:rFonts w:hint="default" w:ascii="Times New Roman" w:hAnsi="Times New Roman" w:cs="Times New Roman"/>
                <w:color w:val="auto"/>
                <w:sz w:val="24"/>
                <w:szCs w:val="32"/>
              </w:rPr>
              <w:t>状况，废气未得到有效处置。</w:t>
            </w:r>
          </w:p>
          <w:p>
            <w:pPr>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color w:val="auto"/>
                <w:sz w:val="24"/>
                <w:szCs w:val="32"/>
              </w:rPr>
              <w:fldChar w:fldCharType="begin"/>
            </w:r>
            <w:r>
              <w:rPr>
                <w:rFonts w:ascii="Times New Roman" w:hAnsi="Times New Roman" w:cs="Times New Roman"/>
                <w:color w:val="auto"/>
                <w:sz w:val="24"/>
                <w:szCs w:val="32"/>
              </w:rPr>
              <w:instrText xml:space="preserve"> = 2 \* GB3 \* MERGEFORMAT </w:instrText>
            </w:r>
            <w:r>
              <w:rPr>
                <w:rFonts w:ascii="Times New Roman" w:hAnsi="Times New Roman" w:cs="Times New Roman"/>
                <w:color w:val="auto"/>
                <w:sz w:val="24"/>
                <w:szCs w:val="32"/>
              </w:rPr>
              <w:fldChar w:fldCharType="separate"/>
            </w:r>
            <w:r>
              <w:rPr>
                <w:rFonts w:ascii="Times New Roman" w:hAnsi="Times New Roman" w:cs="Times New Roman"/>
                <w:color w:val="auto"/>
                <w:sz w:val="24"/>
                <w:szCs w:val="32"/>
              </w:rPr>
              <w:t>②</w:t>
            </w:r>
            <w:r>
              <w:rPr>
                <w:rFonts w:ascii="Times New Roman" w:hAnsi="Times New Roman" w:cs="Times New Roman"/>
                <w:color w:val="auto"/>
                <w:sz w:val="24"/>
                <w:szCs w:val="32"/>
              </w:rPr>
              <w:fldChar w:fldCharType="end"/>
            </w:r>
            <w:r>
              <w:rPr>
                <w:rFonts w:hint="default" w:ascii="Times New Roman" w:hAnsi="Times New Roman" w:cs="Times New Roman"/>
                <w:color w:val="auto"/>
                <w:sz w:val="24"/>
                <w:szCs w:val="32"/>
              </w:rPr>
              <w:t>混料、搅拌车间环保设施集气系统故障，停机检修，废气未得到有效捕集和净化处置，反而呈无组织逸散至环境空气。</w:t>
            </w:r>
          </w:p>
          <w:p>
            <w:pPr>
              <w:spacing w:line="360" w:lineRule="auto"/>
              <w:ind w:firstLine="480" w:firstLineChars="200"/>
              <w:jc w:val="both"/>
              <w:rPr>
                <w:rFonts w:ascii="Times New Roman" w:hAnsi="Times New Roman" w:cs="Times New Roman"/>
                <w:color w:val="auto"/>
                <w:sz w:val="24"/>
                <w:szCs w:val="32"/>
              </w:rPr>
            </w:pPr>
            <w:r>
              <w:rPr>
                <w:rFonts w:ascii="Times New Roman" w:hAnsi="Times New Roman" w:cs="Times New Roman"/>
                <w:color w:val="auto"/>
                <w:sz w:val="24"/>
                <w:szCs w:val="32"/>
              </w:rPr>
              <w:fldChar w:fldCharType="begin"/>
            </w:r>
            <w:r>
              <w:rPr>
                <w:rFonts w:ascii="Times New Roman" w:hAnsi="Times New Roman" w:cs="Times New Roman"/>
                <w:color w:val="auto"/>
                <w:sz w:val="24"/>
                <w:szCs w:val="32"/>
              </w:rPr>
              <w:instrText xml:space="preserve"> = 3 \* GB3 \* MERGEFORMAT </w:instrText>
            </w:r>
            <w:r>
              <w:rPr>
                <w:rFonts w:ascii="Times New Roman" w:hAnsi="Times New Roman" w:cs="Times New Roman"/>
                <w:color w:val="auto"/>
                <w:sz w:val="24"/>
                <w:szCs w:val="32"/>
              </w:rPr>
              <w:fldChar w:fldCharType="separate"/>
            </w:r>
            <w:r>
              <w:rPr>
                <w:rFonts w:ascii="Times New Roman" w:hAnsi="Times New Roman" w:cs="Times New Roman"/>
                <w:color w:val="auto"/>
                <w:sz w:val="24"/>
                <w:szCs w:val="32"/>
              </w:rPr>
              <w:t>③</w:t>
            </w:r>
            <w:r>
              <w:rPr>
                <w:rFonts w:ascii="Times New Roman" w:hAnsi="Times New Roman" w:cs="Times New Roman"/>
                <w:color w:val="auto"/>
                <w:sz w:val="24"/>
                <w:szCs w:val="32"/>
              </w:rPr>
              <w:fldChar w:fldCharType="end"/>
            </w:r>
            <w:r>
              <w:rPr>
                <w:rFonts w:hint="default" w:ascii="Times New Roman" w:hAnsi="Times New Roman" w:cs="Times New Roman"/>
                <w:color w:val="auto"/>
                <w:sz w:val="24"/>
                <w:szCs w:val="32"/>
              </w:rPr>
              <w:t>混料、搅拌车间集气系统故障，废气未得到有效捕集，不能实现高空排放反而呈无组织逸散至环境空气。</w:t>
            </w:r>
          </w:p>
          <w:p>
            <w:pPr>
              <w:spacing w:line="360" w:lineRule="auto"/>
              <w:ind w:firstLine="480" w:firstLineChars="200"/>
              <w:jc w:val="both"/>
              <w:rPr>
                <w:rFonts w:ascii="Times New Roman" w:hAnsi="Times New Roman" w:cs="Times New Roman"/>
                <w:color w:val="auto"/>
                <w:sz w:val="21"/>
                <w:szCs w:val="21"/>
              </w:rPr>
            </w:pPr>
            <w:r>
              <w:rPr>
                <w:rFonts w:hint="default" w:ascii="Times New Roman" w:hAnsi="Times New Roman" w:cs="Times New Roman"/>
                <w:color w:val="auto"/>
                <w:sz w:val="24"/>
                <w:szCs w:val="32"/>
              </w:rPr>
              <w:t>本次评价从最不利环境影响分析非正常工况下污染物的排放情况，详见下表：</w:t>
            </w:r>
          </w:p>
          <w:p>
            <w:pPr>
              <w:pStyle w:val="38"/>
              <w:rPr>
                <w:rFonts w:ascii="Times New Roman" w:hAnsi="Times New Roman" w:cs="Times New Roman"/>
                <w:color w:val="auto"/>
                <w:sz w:val="21"/>
                <w:szCs w:val="21"/>
              </w:rPr>
            </w:pPr>
            <w:r>
              <w:rPr>
                <w:rFonts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7</w:t>
            </w:r>
            <w:r>
              <w:rPr>
                <w:rFonts w:ascii="Times New Roman" w:hAnsi="Times New Roman" w:cs="Times New Roman"/>
                <w:color w:val="auto"/>
                <w:sz w:val="21"/>
                <w:szCs w:val="21"/>
              </w:rPr>
              <w:t xml:space="preserve">  非正常工况下污染物的排放情况表</w:t>
            </w:r>
          </w:p>
          <w:tbl>
            <w:tblPr>
              <w:tblStyle w:val="25"/>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705"/>
              <w:gridCol w:w="937"/>
              <w:gridCol w:w="803"/>
              <w:gridCol w:w="805"/>
              <w:gridCol w:w="995"/>
              <w:gridCol w:w="1064"/>
              <w:gridCol w:w="859"/>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jc w:val="center"/>
              </w:trPr>
              <w:tc>
                <w:tcPr>
                  <w:tcW w:w="45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7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产污环节</w:t>
                  </w:r>
                </w:p>
              </w:tc>
              <w:tc>
                <w:tcPr>
                  <w:tcW w:w="9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排放口</w:t>
                  </w:r>
                </w:p>
              </w:tc>
              <w:tc>
                <w:tcPr>
                  <w:tcW w:w="8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污染物</w:t>
                  </w: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频次次/a</w:t>
                  </w:r>
                </w:p>
              </w:tc>
              <w:tc>
                <w:tcPr>
                  <w:tcW w:w="9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持续时间h/次</w:t>
                  </w:r>
                </w:p>
              </w:tc>
              <w:tc>
                <w:tcPr>
                  <w:tcW w:w="10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排放浓度mg/m</w:t>
                  </w:r>
                  <w:r>
                    <w:rPr>
                      <w:rFonts w:ascii="Times New Roman" w:hAnsi="Times New Roman" w:cs="Times New Roman"/>
                      <w:color w:val="auto"/>
                      <w:sz w:val="21"/>
                      <w:szCs w:val="21"/>
                      <w:vertAlign w:val="superscript"/>
                    </w:rPr>
                    <w:t>3</w:t>
                  </w:r>
                </w:p>
              </w:tc>
              <w:tc>
                <w:tcPr>
                  <w:tcW w:w="8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排放量kg/a</w:t>
                  </w:r>
                </w:p>
              </w:tc>
              <w:tc>
                <w:tcPr>
                  <w:tcW w:w="23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ascii="Times New Roman" w:hAnsi="Times New Roman" w:cs="Times New Roman"/>
                      <w:color w:val="auto"/>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5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1</w:t>
                  </w:r>
                </w:p>
              </w:tc>
              <w:tc>
                <w:tcPr>
                  <w:tcW w:w="705" w:type="dxa"/>
                  <w:vMerge w:val="restart"/>
                  <w:tcBorders>
                    <w:top w:val="single" w:color="000000" w:sz="8" w:space="0"/>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混料搅拌</w:t>
                  </w:r>
                </w:p>
              </w:tc>
              <w:tc>
                <w:tcPr>
                  <w:tcW w:w="9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DA001</w:t>
                  </w:r>
                </w:p>
              </w:tc>
              <w:tc>
                <w:tcPr>
                  <w:tcW w:w="8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 w:val="0"/>
                      <w:bCs/>
                      <w:color w:val="auto"/>
                      <w:sz w:val="21"/>
                      <w:szCs w:val="21"/>
                    </w:rPr>
                    <w:t>颗粒物</w:t>
                  </w: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9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0.5</w:t>
                  </w:r>
                </w:p>
              </w:tc>
              <w:tc>
                <w:tcPr>
                  <w:tcW w:w="10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Cs/>
                      <w:color w:val="auto"/>
                      <w:sz w:val="21"/>
                      <w:szCs w:val="21"/>
                    </w:rPr>
                  </w:pPr>
                  <w:r>
                    <w:rPr>
                      <w:rFonts w:hint="default" w:ascii="Times New Roman" w:hAnsi="Times New Roman" w:cs="Times New Roman"/>
                      <w:color w:val="auto"/>
                      <w:sz w:val="21"/>
                      <w:szCs w:val="21"/>
                    </w:rPr>
                    <w:t>12.42</w:t>
                  </w:r>
                </w:p>
              </w:tc>
              <w:tc>
                <w:tcPr>
                  <w:tcW w:w="8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Cs/>
                      <w:color w:val="auto"/>
                      <w:sz w:val="21"/>
                      <w:szCs w:val="21"/>
                    </w:rPr>
                  </w:pPr>
                  <w:r>
                    <w:rPr>
                      <w:rFonts w:hint="default" w:ascii="Times New Roman" w:hAnsi="Times New Roman" w:cs="Times New Roman"/>
                      <w:color w:val="auto"/>
                      <w:sz w:val="21"/>
                      <w:szCs w:val="21"/>
                    </w:rPr>
                    <w:t>18.6</w:t>
                  </w:r>
                </w:p>
              </w:tc>
              <w:tc>
                <w:tcPr>
                  <w:tcW w:w="2377"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jc w:val="both"/>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搅拌机启动时，环保设实行启动；搅拌机停机时，环保设施延后停机；设备启用前，检查集气系统，当发现环保设施故障时，立即停止运行，立刻检查。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3" w:hRule="atLeast"/>
                <w:jc w:val="center"/>
              </w:trPr>
              <w:tc>
                <w:tcPr>
                  <w:tcW w:w="45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2</w:t>
                  </w:r>
                </w:p>
              </w:tc>
              <w:tc>
                <w:tcPr>
                  <w:tcW w:w="705" w:type="dxa"/>
                  <w:vMerge w:val="continue"/>
                  <w:tcBorders>
                    <w:left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c>
                <w:tcPr>
                  <w:tcW w:w="93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无组织</w:t>
                  </w:r>
                </w:p>
              </w:tc>
              <w:tc>
                <w:tcPr>
                  <w:tcW w:w="8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Cs/>
                      <w:color w:val="auto"/>
                      <w:sz w:val="21"/>
                      <w:szCs w:val="21"/>
                    </w:rPr>
                  </w:pPr>
                  <w:r>
                    <w:rPr>
                      <w:rFonts w:ascii="Times New Roman" w:hAnsi="Times New Roman" w:cs="Times New Roman"/>
                      <w:b w:val="0"/>
                      <w:bCs/>
                      <w:color w:val="auto"/>
                      <w:sz w:val="21"/>
                      <w:szCs w:val="21"/>
                    </w:rPr>
                    <w:t>颗粒物</w:t>
                  </w:r>
                </w:p>
              </w:tc>
              <w:tc>
                <w:tcPr>
                  <w:tcW w:w="8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w:t>
                  </w:r>
                </w:p>
              </w:tc>
              <w:tc>
                <w:tcPr>
                  <w:tcW w:w="9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ascii="Times New Roman" w:hAnsi="Times New Roman" w:cs="Times New Roman"/>
                      <w:b w:val="0"/>
                      <w:bCs/>
                      <w:color w:val="auto"/>
                      <w:sz w:val="21"/>
                      <w:szCs w:val="21"/>
                    </w:rPr>
                    <w:t>0.5</w:t>
                  </w:r>
                </w:p>
              </w:tc>
              <w:tc>
                <w:tcPr>
                  <w:tcW w:w="10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Cs/>
                      <w:color w:val="auto"/>
                      <w:sz w:val="21"/>
                      <w:szCs w:val="21"/>
                    </w:rPr>
                  </w:pPr>
                  <w:r>
                    <w:rPr>
                      <w:rFonts w:ascii="Times New Roman" w:hAnsi="Times New Roman" w:cs="Times New Roman"/>
                      <w:color w:val="auto"/>
                      <w:sz w:val="21"/>
                      <w:szCs w:val="21"/>
                    </w:rPr>
                    <w:t>/</w:t>
                  </w:r>
                </w:p>
              </w:tc>
              <w:tc>
                <w:tcPr>
                  <w:tcW w:w="85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autoSpaceDE/>
                    <w:autoSpaceDN/>
                    <w:jc w:val="center"/>
                    <w:textAlignment w:val="center"/>
                    <w:rPr>
                      <w:rFonts w:ascii="Times New Roman" w:hAnsi="Times New Roman" w:cs="Times New Roman"/>
                      <w:bCs/>
                      <w:color w:val="auto"/>
                      <w:sz w:val="21"/>
                      <w:szCs w:val="21"/>
                    </w:rPr>
                  </w:pPr>
                  <w:r>
                    <w:rPr>
                      <w:rFonts w:hint="default" w:ascii="Times New Roman" w:hAnsi="Times New Roman" w:cs="Times New Roman"/>
                      <w:color w:val="auto"/>
                      <w:sz w:val="21"/>
                      <w:szCs w:val="21"/>
                    </w:rPr>
                    <w:t>7.86</w:t>
                  </w:r>
                </w:p>
              </w:tc>
              <w:tc>
                <w:tcPr>
                  <w:tcW w:w="2377"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p>
              </w:tc>
            </w:tr>
          </w:tbl>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由上表统计结果可知，在非正常工况下，项目会发生超标排放的同时还会污染周边环境空气质量。建设单位应按表中措施落实，尽可能杜绝非正常排放的发生；当发生非正常排放的情况，应及时检修，减轻对周围环境环境污染负荷。</w:t>
            </w:r>
          </w:p>
          <w:p>
            <w:pPr>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（三）环境空气影响评价</w:t>
            </w:r>
          </w:p>
          <w:p>
            <w:pPr>
              <w:pStyle w:val="7"/>
              <w:spacing w:line="360" w:lineRule="auto"/>
              <w:ind w:firstLine="480" w:firstLineChars="200"/>
              <w:jc w:val="both"/>
              <w:rPr>
                <w:rFonts w:ascii="Times New Roman" w:hAnsi="Times New Roman" w:cs="Times New Roman"/>
                <w:color w:val="auto"/>
                <w:sz w:val="24"/>
                <w:szCs w:val="24"/>
              </w:rPr>
            </w:pPr>
            <w:r>
              <w:rPr>
                <w:rFonts w:ascii="Times New Roman" w:hAnsi="Times New Roman" w:cs="Times New Roman"/>
                <w:color w:val="auto"/>
                <w:sz w:val="24"/>
                <w:szCs w:val="24"/>
              </w:rPr>
              <w:t>根据《</w:t>
            </w:r>
            <w:r>
              <w:rPr>
                <w:rStyle w:val="27"/>
                <w:rFonts w:hint="default" w:ascii="Times New Roman" w:hAnsi="Times New Roman" w:cs="Times New Roman"/>
                <w:b w:val="0"/>
                <w:bCs/>
                <w:color w:val="auto"/>
                <w:sz w:val="24"/>
                <w:szCs w:val="24"/>
              </w:rPr>
              <w:t>大气有害物质无组织排放卫生防护距离推导技术导则</w:t>
            </w:r>
            <w:r>
              <w:rPr>
                <w:rFonts w:ascii="Times New Roman" w:hAnsi="Times New Roman" w:cs="Times New Roman"/>
                <w:color w:val="auto"/>
                <w:sz w:val="24"/>
                <w:szCs w:val="24"/>
              </w:rPr>
              <w:t>》（GB/T39499-2020）的要求，当无组织排放的有害气体进入呼吸带大气层时，其浓度超过《环境空气质量标准》（GB3095-2012）</w:t>
            </w:r>
            <w:r>
              <w:rPr>
                <w:rFonts w:hint="default" w:ascii="Times New Roman" w:hAnsi="Times New Roman" w:cs="Times New Roman"/>
                <w:color w:val="auto"/>
                <w:sz w:val="24"/>
                <w:szCs w:val="24"/>
              </w:rPr>
              <w:t>的</w:t>
            </w:r>
            <w:r>
              <w:rPr>
                <w:rFonts w:ascii="Times New Roman" w:hAnsi="Times New Roman" w:cs="Times New Roman"/>
                <w:color w:val="auto"/>
                <w:sz w:val="24"/>
                <w:szCs w:val="24"/>
              </w:rPr>
              <w:t>规定的居住区允许浓度限值，则无组织排放源所在地的生产单元与居住区之间应设置卫生防护距离。卫生防护距离计算如下：</w:t>
            </w:r>
          </w:p>
          <w:p>
            <w:pPr>
              <w:autoSpaceDE/>
              <w:autoSpaceDN/>
              <w:spacing w:line="360" w:lineRule="auto"/>
              <w:jc w:val="center"/>
              <w:rPr>
                <w:rFonts w:ascii="Times New Roman" w:hAnsi="Times New Roman" w:cs="Times New Roman"/>
                <w:color w:val="auto"/>
                <w:sz w:val="24"/>
                <w:szCs w:val="24"/>
              </w:rPr>
            </w:pPr>
            <m:oMathPara>
              <m:oMath>
                <m:f>
                  <m:fPr>
                    <m:ctrlPr>
                      <w:rPr>
                        <w:rFonts w:ascii="Cambria Math" w:hAnsi="Cambria Math" w:cs="Times New Roman"/>
                        <w:color w:val="auto"/>
                        <w:sz w:val="24"/>
                      </w:rPr>
                    </m:ctrlPr>
                  </m:fPr>
                  <m:num>
                    <m:sSub>
                      <m:sSubPr>
                        <m:ctrlPr>
                          <w:rPr>
                            <w:rFonts w:ascii="Cambria Math" w:hAnsi="Cambria Math" w:cs="Times New Roman"/>
                            <w:i/>
                            <w:color w:val="auto"/>
                            <w:sz w:val="24"/>
                          </w:rPr>
                        </m:ctrlPr>
                      </m:sSubPr>
                      <m:e>
                        <m:r>
                          <m:rPr/>
                          <w:rPr>
                            <w:rFonts w:ascii="Cambria Math" w:hAnsi="Cambria Math" w:cs="Times New Roman"/>
                            <w:color w:val="auto"/>
                            <w:sz w:val="24"/>
                          </w:rPr>
                          <m:t>Q</m:t>
                        </m:r>
                        <m:ctrlPr>
                          <w:rPr>
                            <w:rFonts w:ascii="Cambria Math" w:hAnsi="Cambria Math" w:cs="Times New Roman"/>
                            <w:i/>
                            <w:color w:val="auto"/>
                            <w:sz w:val="24"/>
                          </w:rPr>
                        </m:ctrlPr>
                      </m:e>
                      <m:sub>
                        <m:r>
                          <m:rPr/>
                          <w:rPr>
                            <w:rFonts w:ascii="Cambria Math" w:hAnsi="Cambria Math" w:cs="Times New Roman"/>
                            <w:color w:val="auto"/>
                            <w:sz w:val="24"/>
                          </w:rPr>
                          <m:t>c</m:t>
                        </m:r>
                        <m:ctrlPr>
                          <w:rPr>
                            <w:rFonts w:ascii="Cambria Math" w:hAnsi="Cambria Math" w:cs="Times New Roman"/>
                            <w:i/>
                            <w:color w:val="auto"/>
                            <w:sz w:val="24"/>
                          </w:rPr>
                        </m:ctrlPr>
                      </m:sub>
                    </m:sSub>
                    <m:ctrlPr>
                      <w:rPr>
                        <w:rFonts w:ascii="Cambria Math" w:hAnsi="Cambria Math" w:cs="Times New Roman"/>
                        <w:color w:val="auto"/>
                        <w:sz w:val="24"/>
                      </w:rPr>
                    </m:ctrlPr>
                  </m:num>
                  <m:den>
                    <m:sSub>
                      <m:sSubPr>
                        <m:ctrlPr>
                          <w:rPr>
                            <w:rFonts w:ascii="Cambria Math" w:hAnsi="Cambria Math" w:cs="Times New Roman"/>
                            <w:i/>
                            <w:color w:val="auto"/>
                            <w:sz w:val="24"/>
                          </w:rPr>
                        </m:ctrlPr>
                      </m:sSubPr>
                      <m:e>
                        <m:r>
                          <m:rPr/>
                          <w:rPr>
                            <w:rFonts w:ascii="Cambria Math" w:hAnsi="Cambria Math" w:cs="Times New Roman"/>
                            <w:color w:val="auto"/>
                            <w:sz w:val="24"/>
                          </w:rPr>
                          <m:t>C</m:t>
                        </m:r>
                        <m:ctrlPr>
                          <w:rPr>
                            <w:rFonts w:ascii="Cambria Math" w:hAnsi="Cambria Math" w:cs="Times New Roman"/>
                            <w:i/>
                            <w:color w:val="auto"/>
                            <w:sz w:val="24"/>
                          </w:rPr>
                        </m:ctrlPr>
                      </m:e>
                      <m:sub>
                        <m:r>
                          <m:rPr/>
                          <w:rPr>
                            <w:rFonts w:ascii="Cambria Math" w:hAnsi="Cambria Math" w:cs="Times New Roman"/>
                            <w:color w:val="auto"/>
                            <w:sz w:val="24"/>
                          </w:rPr>
                          <m:t>m</m:t>
                        </m:r>
                        <m:ctrlPr>
                          <w:rPr>
                            <w:rFonts w:ascii="Cambria Math" w:hAnsi="Cambria Math" w:cs="Times New Roman"/>
                            <w:i/>
                            <w:color w:val="auto"/>
                            <w:sz w:val="24"/>
                          </w:rPr>
                        </m:ctrlPr>
                      </m:sub>
                    </m:sSub>
                    <m:ctrlPr>
                      <w:rPr>
                        <w:rFonts w:ascii="Cambria Math" w:hAnsi="Cambria Math" w:cs="Times New Roman"/>
                        <w:color w:val="auto"/>
                        <w:sz w:val="24"/>
                      </w:rPr>
                    </m:ctrlPr>
                  </m:den>
                </m:f>
                <m:r>
                  <m:rPr/>
                  <w:rPr>
                    <w:rFonts w:ascii="Cambria Math" w:hAnsi="Cambria Math" w:cs="Times New Roman"/>
                    <w:color w:val="auto"/>
                    <w:sz w:val="24"/>
                  </w:rPr>
                  <m:t>=</m:t>
                </m:r>
                <m:sSup>
                  <m:sSupPr>
                    <m:ctrlPr>
                      <w:rPr>
                        <w:rFonts w:ascii="Cambria Math" w:hAnsi="Cambria Math" w:cs="Times New Roman"/>
                        <w:i/>
                        <w:color w:val="auto"/>
                        <w:sz w:val="24"/>
                      </w:rPr>
                    </m:ctrlPr>
                  </m:sSupPr>
                  <m:e>
                    <m:f>
                      <m:fPr>
                        <m:ctrlPr>
                          <w:rPr>
                            <w:rFonts w:ascii="Cambria Math" w:hAnsi="Cambria Math" w:cs="Times New Roman"/>
                            <w:i/>
                            <w:color w:val="auto"/>
                            <w:sz w:val="24"/>
                          </w:rPr>
                        </m:ctrlPr>
                      </m:fPr>
                      <m:num>
                        <m:r>
                          <m:rPr/>
                          <w:rPr>
                            <w:rFonts w:ascii="Cambria Math" w:hAnsi="Cambria Math" w:cs="Times New Roman"/>
                            <w:color w:val="auto"/>
                            <w:sz w:val="24"/>
                          </w:rPr>
                          <m:t>1</m:t>
                        </m:r>
                        <m:ctrlPr>
                          <w:rPr>
                            <w:rFonts w:ascii="Cambria Math" w:hAnsi="Cambria Math" w:cs="Times New Roman"/>
                            <w:i/>
                            <w:color w:val="auto"/>
                            <w:sz w:val="24"/>
                          </w:rPr>
                        </m:ctrlPr>
                      </m:num>
                      <m:den>
                        <m:r>
                          <m:rPr/>
                          <w:rPr>
                            <w:rFonts w:ascii="Cambria Math" w:hAnsi="Cambria Math" w:cs="Times New Roman"/>
                            <w:color w:val="auto"/>
                            <w:sz w:val="24"/>
                          </w:rPr>
                          <m:t>A</m:t>
                        </m:r>
                        <m:ctrlPr>
                          <w:rPr>
                            <w:rFonts w:ascii="Cambria Math" w:hAnsi="Cambria Math" w:cs="Times New Roman"/>
                            <w:i/>
                            <w:color w:val="auto"/>
                            <w:sz w:val="24"/>
                          </w:rPr>
                        </m:ctrlPr>
                      </m:den>
                    </m:f>
                    <m:r>
                      <m:rPr/>
                      <w:rPr>
                        <w:rFonts w:ascii="Cambria Math" w:hAnsi="Cambria Math" w:cs="Times New Roman"/>
                        <w:color w:val="auto"/>
                        <w:sz w:val="24"/>
                      </w:rPr>
                      <m:t>（B·</m:t>
                    </m:r>
                    <m:sSup>
                      <m:sSupPr>
                        <m:ctrlPr>
                          <w:rPr>
                            <w:rFonts w:ascii="Cambria Math" w:hAnsi="Cambria Math" w:cs="Times New Roman"/>
                            <w:i/>
                            <w:color w:val="auto"/>
                            <w:sz w:val="24"/>
                          </w:rPr>
                        </m:ctrlPr>
                      </m:sSupPr>
                      <m:e>
                        <m:r>
                          <m:rPr/>
                          <w:rPr>
                            <w:rFonts w:ascii="Cambria Math" w:hAnsi="Cambria Math" w:cs="Times New Roman"/>
                            <w:color w:val="auto"/>
                            <w:sz w:val="24"/>
                          </w:rPr>
                          <m:t>L</m:t>
                        </m:r>
                        <m:ctrlPr>
                          <w:rPr>
                            <w:rFonts w:ascii="Cambria Math" w:hAnsi="Cambria Math" w:cs="Times New Roman"/>
                            <w:i/>
                            <w:color w:val="auto"/>
                            <w:sz w:val="24"/>
                          </w:rPr>
                        </m:ctrlPr>
                      </m:e>
                      <m:sup>
                        <m:r>
                          <m:rPr/>
                          <w:rPr>
                            <w:rFonts w:ascii="Cambria Math" w:hAnsi="Cambria Math" w:cs="Times New Roman"/>
                            <w:color w:val="auto"/>
                            <w:sz w:val="24"/>
                          </w:rPr>
                          <m:t>c</m:t>
                        </m:r>
                        <m:ctrlPr>
                          <w:rPr>
                            <w:rFonts w:ascii="Cambria Math" w:hAnsi="Cambria Math" w:cs="Times New Roman"/>
                            <w:i/>
                            <w:color w:val="auto"/>
                            <w:sz w:val="24"/>
                          </w:rPr>
                        </m:ctrlPr>
                      </m:sup>
                    </m:sSup>
                    <m:r>
                      <m:rPr/>
                      <w:rPr>
                        <w:rFonts w:ascii="Cambria Math" w:hAnsi="Cambria Math" w:cs="Times New Roman"/>
                        <w:color w:val="auto"/>
                        <w:sz w:val="24"/>
                      </w:rPr>
                      <m:t>+0.25</m:t>
                    </m:r>
                    <m:sSup>
                      <m:sSupPr>
                        <m:ctrlPr>
                          <w:rPr>
                            <w:rFonts w:ascii="Cambria Math" w:hAnsi="Cambria Math" w:cs="Times New Roman"/>
                            <w:i/>
                            <w:color w:val="auto"/>
                            <w:sz w:val="24"/>
                          </w:rPr>
                        </m:ctrlPr>
                      </m:sSupPr>
                      <m:e>
                        <m:r>
                          <m:rPr/>
                          <w:rPr>
                            <w:rFonts w:ascii="Cambria Math" w:hAnsi="Cambria Math" w:cs="Times New Roman"/>
                            <w:color w:val="auto"/>
                            <w:sz w:val="24"/>
                          </w:rPr>
                          <m:t>r</m:t>
                        </m:r>
                        <m:ctrlPr>
                          <w:rPr>
                            <w:rFonts w:ascii="Cambria Math" w:hAnsi="Cambria Math" w:cs="Times New Roman"/>
                            <w:i/>
                            <w:color w:val="auto"/>
                            <w:sz w:val="24"/>
                          </w:rPr>
                        </m:ctrlPr>
                      </m:e>
                      <m:sup>
                        <m:r>
                          <m:rPr/>
                          <w:rPr>
                            <w:rFonts w:ascii="Cambria Math" w:hAnsi="Cambria Math" w:cs="Times New Roman"/>
                            <w:color w:val="auto"/>
                            <w:sz w:val="24"/>
                          </w:rPr>
                          <m:t>2</m:t>
                        </m:r>
                        <m:ctrlPr>
                          <w:rPr>
                            <w:rFonts w:ascii="Cambria Math" w:hAnsi="Cambria Math" w:cs="Times New Roman"/>
                            <w:i/>
                            <w:color w:val="auto"/>
                            <w:sz w:val="24"/>
                          </w:rPr>
                        </m:ctrlPr>
                      </m:sup>
                    </m:sSup>
                    <m:r>
                      <m:rPr/>
                      <w:rPr>
                        <w:rFonts w:ascii="Cambria Math" w:hAnsi="Cambria Math" w:cs="Times New Roman"/>
                        <w:color w:val="auto"/>
                        <w:sz w:val="24"/>
                      </w:rPr>
                      <m:t>）</m:t>
                    </m:r>
                    <m:ctrlPr>
                      <w:rPr>
                        <w:rFonts w:ascii="Cambria Math" w:hAnsi="Cambria Math" w:cs="Times New Roman"/>
                        <w:i/>
                        <w:color w:val="auto"/>
                        <w:sz w:val="24"/>
                      </w:rPr>
                    </m:ctrlPr>
                  </m:e>
                  <m:sup>
                    <m:r>
                      <m:rPr/>
                      <w:rPr>
                        <w:rFonts w:ascii="Cambria Math" w:hAnsi="Cambria Math" w:cs="Times New Roman"/>
                        <w:color w:val="auto"/>
                        <w:sz w:val="24"/>
                      </w:rPr>
                      <m:t>0.50</m:t>
                    </m:r>
                    <m:ctrlPr>
                      <w:rPr>
                        <w:rFonts w:ascii="Cambria Math" w:hAnsi="Cambria Math" w:cs="Times New Roman"/>
                        <w:i/>
                        <w:color w:val="auto"/>
                        <w:sz w:val="24"/>
                      </w:rPr>
                    </m:ctrlPr>
                  </m:sup>
                </m:sSup>
                <m:r>
                  <m:rPr/>
                  <w:rPr>
                    <w:rFonts w:ascii="Cambria Math" w:hAnsi="Cambria Math" w:cs="Times New Roman"/>
                    <w:color w:val="auto"/>
                    <w:sz w:val="24"/>
                  </w:rPr>
                  <m:t>·</m:t>
                </m:r>
                <m:sSup>
                  <m:sSupPr>
                    <m:ctrlPr>
                      <w:rPr>
                        <w:rFonts w:ascii="Cambria Math" w:hAnsi="Cambria Math" w:cs="Times New Roman"/>
                        <w:i/>
                        <w:color w:val="auto"/>
                        <w:sz w:val="24"/>
                      </w:rPr>
                    </m:ctrlPr>
                  </m:sSupPr>
                  <m:e>
                    <m:r>
                      <m:rPr/>
                      <w:rPr>
                        <w:rFonts w:ascii="Cambria Math" w:hAnsi="Cambria Math" w:cs="Times New Roman"/>
                        <w:color w:val="auto"/>
                        <w:sz w:val="24"/>
                      </w:rPr>
                      <m:t>L</m:t>
                    </m:r>
                    <m:ctrlPr>
                      <w:rPr>
                        <w:rFonts w:ascii="Cambria Math" w:hAnsi="Cambria Math" w:cs="Times New Roman"/>
                        <w:i/>
                        <w:color w:val="auto"/>
                        <w:sz w:val="24"/>
                      </w:rPr>
                    </m:ctrlPr>
                  </m:e>
                  <m:sup>
                    <m:r>
                      <m:rPr/>
                      <w:rPr>
                        <w:rFonts w:ascii="Cambria Math" w:hAnsi="Cambria Math" w:cs="Times New Roman"/>
                        <w:color w:val="auto"/>
                        <w:sz w:val="24"/>
                      </w:rPr>
                      <m:t>D</m:t>
                    </m:r>
                    <m:ctrlPr>
                      <w:rPr>
                        <w:rFonts w:ascii="Cambria Math" w:hAnsi="Cambria Math" w:cs="Times New Roman"/>
                        <w:i/>
                        <w:color w:val="auto"/>
                        <w:sz w:val="24"/>
                      </w:rPr>
                    </m:ctrlPr>
                  </m:sup>
                </m:sSup>
              </m:oMath>
            </m:oMathPara>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式中：</w:t>
            </w:r>
            <m:oMath>
              <m:sSub>
                <m:sSubPr>
                  <m:ctrlPr>
                    <w:rPr>
                      <w:rFonts w:ascii="Cambria Math" w:hAnsi="Cambria Math" w:cs="Times New Roman"/>
                      <w:i/>
                      <w:color w:val="auto"/>
                      <w:sz w:val="24"/>
                    </w:rPr>
                  </m:ctrlPr>
                </m:sSubPr>
                <m:e>
                  <m:r>
                    <m:rPr/>
                    <w:rPr>
                      <w:rFonts w:ascii="Cambria Math" w:hAnsi="Cambria Math" w:cs="Times New Roman"/>
                      <w:color w:val="auto"/>
                      <w:sz w:val="24"/>
                    </w:rPr>
                    <m:t>C</m:t>
                  </m:r>
                  <m:ctrlPr>
                    <w:rPr>
                      <w:rFonts w:ascii="Cambria Math" w:hAnsi="Cambria Math" w:cs="Times New Roman"/>
                      <w:i/>
                      <w:color w:val="auto"/>
                      <w:sz w:val="24"/>
                    </w:rPr>
                  </m:ctrlPr>
                </m:e>
                <m:sub>
                  <m:r>
                    <m:rPr/>
                    <w:rPr>
                      <w:rFonts w:ascii="Cambria Math" w:hAnsi="Cambria Math" w:cs="Times New Roman"/>
                      <w:color w:val="auto"/>
                      <w:sz w:val="24"/>
                    </w:rPr>
                    <m:t>m</m:t>
                  </m:r>
                  <m:ctrlPr>
                    <w:rPr>
                      <w:rFonts w:ascii="Cambria Math" w:hAnsi="Cambria Math" w:cs="Times New Roman"/>
                      <w:i/>
                      <w:color w:val="auto"/>
                      <w:sz w:val="24"/>
                    </w:rPr>
                  </m:ctrlPr>
                </m:sub>
              </m:sSub>
            </m:oMath>
            <w:r>
              <w:rPr>
                <w:rFonts w:ascii="Times New Roman" w:hAnsi="Times New Roman" w:cs="Times New Roman"/>
                <w:color w:val="auto"/>
                <w:sz w:val="24"/>
                <w:szCs w:val="24"/>
              </w:rPr>
              <w:t>——标准浓度限值。</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m:oMath>
              <m:r>
                <m:rPr/>
                <w:rPr>
                  <w:rFonts w:ascii="Cambria Math" w:hAnsi="Cambria Math" w:cs="Times New Roman"/>
                  <w:color w:val="auto"/>
                  <w:sz w:val="24"/>
                </w:rPr>
                <m:t>L</m:t>
              </m:r>
            </m:oMath>
            <w:r>
              <w:rPr>
                <w:rFonts w:ascii="Times New Roman" w:hAnsi="Times New Roman" w:cs="Times New Roman"/>
                <w:color w:val="auto"/>
                <w:sz w:val="24"/>
                <w:szCs w:val="24"/>
              </w:rPr>
              <w:t>——工业企业所需卫生防护距离，m。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m:oMath>
              <m:r>
                <m:rPr/>
                <w:rPr>
                  <w:rFonts w:ascii="Cambria Math" w:hAnsi="Cambria Math" w:cs="Times New Roman"/>
                  <w:color w:val="auto"/>
                  <w:sz w:val="24"/>
                </w:rPr>
                <m:t>r</m:t>
              </m:r>
            </m:oMath>
            <w:r>
              <w:rPr>
                <w:rFonts w:ascii="Times New Roman" w:hAnsi="Times New Roman" w:cs="Times New Roman"/>
                <w:color w:val="auto"/>
                <w:sz w:val="24"/>
                <w:szCs w:val="24"/>
              </w:rPr>
              <w:t>——有害气体无组织排放源所在生产单元的等效半径，m。</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       </w:t>
            </w:r>
            <m:oMath>
              <m:sSub>
                <m:sSubPr>
                  <m:ctrlPr>
                    <w:rPr>
                      <w:rFonts w:ascii="Cambria Math" w:hAnsi="Cambria Math" w:cs="Times New Roman"/>
                      <w:i/>
                      <w:color w:val="auto"/>
                      <w:sz w:val="24"/>
                    </w:rPr>
                  </m:ctrlPr>
                </m:sSubPr>
                <m:e>
                  <m:r>
                    <m:rPr/>
                    <w:rPr>
                      <w:rFonts w:ascii="Cambria Math" w:hAnsi="Cambria Math" w:cs="Times New Roman"/>
                      <w:color w:val="auto"/>
                      <w:sz w:val="24"/>
                    </w:rPr>
                    <m:t>Q</m:t>
                  </m:r>
                  <m:ctrlPr>
                    <w:rPr>
                      <w:rFonts w:ascii="Cambria Math" w:hAnsi="Cambria Math" w:cs="Times New Roman"/>
                      <w:i/>
                      <w:color w:val="auto"/>
                      <w:sz w:val="24"/>
                    </w:rPr>
                  </m:ctrlPr>
                </m:e>
                <m:sub>
                  <m:r>
                    <m:rPr/>
                    <w:rPr>
                      <w:rFonts w:ascii="Cambria Math" w:hAnsi="Cambria Math" w:cs="Times New Roman"/>
                      <w:color w:val="auto"/>
                      <w:sz w:val="24"/>
                    </w:rPr>
                    <m:t>c</m:t>
                  </m:r>
                  <m:ctrlPr>
                    <w:rPr>
                      <w:rFonts w:ascii="Cambria Math" w:hAnsi="Cambria Math" w:cs="Times New Roman"/>
                      <w:i/>
                      <w:color w:val="auto"/>
                      <w:sz w:val="24"/>
                    </w:rPr>
                  </m:ctrlPr>
                </m:sub>
              </m:sSub>
            </m:oMath>
            <w:r>
              <w:rPr>
                <w:rFonts w:ascii="Times New Roman" w:hAnsi="Times New Roman" w:cs="Times New Roman"/>
                <w:color w:val="auto"/>
                <w:sz w:val="24"/>
                <w:szCs w:val="24"/>
              </w:rPr>
              <w:t>——工业企业有害气体无组织排放量可达到的控制水平。</w:t>
            </w:r>
          </w:p>
          <w:p>
            <w:pPr>
              <w:numPr>
                <w:ilvl w:val="0"/>
                <w:numId w:val="8"/>
              </w:num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B，C，D——计算系数，从GB/T13201-91中查取。计算结果见下表。</w:t>
            </w:r>
          </w:p>
          <w:p>
            <w:pPr>
              <w:pStyle w:val="34"/>
              <w:spacing w:line="240" w:lineRule="auto"/>
              <w:ind w:firstLine="442"/>
              <w:jc w:val="center"/>
              <w:rPr>
                <w:rFonts w:ascii="Times New Roman" w:hAnsi="Times New Roman" w:cs="Times New Roman"/>
                <w:b/>
                <w:color w:val="auto"/>
                <w:sz w:val="20"/>
                <w:szCs w:val="20"/>
              </w:rPr>
            </w:pPr>
            <w:r>
              <w:rPr>
                <w:rFonts w:ascii="Times New Roman" w:hAnsi="Times New Roman" w:cs="Times New Roman"/>
                <w:b/>
                <w:color w:val="auto"/>
                <w:sz w:val="20"/>
                <w:szCs w:val="20"/>
              </w:rPr>
              <w:t>表4-</w:t>
            </w:r>
            <w:r>
              <w:rPr>
                <w:rFonts w:hint="default" w:ascii="Times New Roman" w:hAnsi="Times New Roman" w:cs="Times New Roman"/>
                <w:b/>
                <w:color w:val="auto"/>
                <w:sz w:val="20"/>
                <w:szCs w:val="20"/>
                <w:lang w:val="en-US" w:eastAsia="zh-CN"/>
              </w:rPr>
              <w:t>8</w:t>
            </w:r>
            <w:r>
              <w:rPr>
                <w:rFonts w:ascii="Times New Roman" w:hAnsi="Times New Roman" w:cs="Times New Roman"/>
                <w:b/>
                <w:color w:val="auto"/>
                <w:sz w:val="20"/>
                <w:szCs w:val="20"/>
              </w:rPr>
              <w:t xml:space="preserve">  卫生防护距离计算结果</w:t>
            </w:r>
          </w:p>
          <w:tbl>
            <w:tblPr>
              <w:tblStyle w:val="25"/>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100"/>
              <w:gridCol w:w="1938"/>
              <w:gridCol w:w="1325"/>
              <w:gridCol w:w="1800"/>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98"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污染源</w:t>
                  </w:r>
                </w:p>
              </w:tc>
              <w:tc>
                <w:tcPr>
                  <w:tcW w:w="1100"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面积</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（m²）</w:t>
                  </w:r>
                </w:p>
              </w:tc>
              <w:tc>
                <w:tcPr>
                  <w:tcW w:w="1938"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主要污染</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因子</w:t>
                  </w:r>
                </w:p>
              </w:tc>
              <w:tc>
                <w:tcPr>
                  <w:tcW w:w="1325"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评价标准</w:t>
                  </w:r>
                </w:p>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（mg/m³）</w:t>
                  </w:r>
                </w:p>
              </w:tc>
              <w:tc>
                <w:tcPr>
                  <w:tcW w:w="1800"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无组织排放速率（kg/h）</w:t>
                  </w:r>
                </w:p>
              </w:tc>
              <w:tc>
                <w:tcPr>
                  <w:tcW w:w="1625" w:type="dxa"/>
                  <w:vAlign w:val="center"/>
                </w:tcPr>
                <w:p>
                  <w:pPr>
                    <w:jc w:val="center"/>
                    <w:rPr>
                      <w:rFonts w:ascii="Times New Roman" w:hAnsi="Times New Roman" w:cs="Times New Roman"/>
                      <w:b/>
                      <w:color w:val="auto"/>
                      <w:sz w:val="21"/>
                      <w:szCs w:val="21"/>
                    </w:rPr>
                  </w:pPr>
                  <w:r>
                    <w:rPr>
                      <w:rFonts w:ascii="Times New Roman" w:hAnsi="Times New Roman" w:cs="Times New Roman"/>
                      <w:b/>
                      <w:color w:val="auto"/>
                      <w:sz w:val="21"/>
                      <w:szCs w:val="21"/>
                    </w:rPr>
                    <w:t>卫生防护距离（m）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vMerge w:val="restart"/>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厂区</w:t>
                  </w:r>
                </w:p>
              </w:tc>
              <w:tc>
                <w:tcPr>
                  <w:tcW w:w="1100" w:type="dxa"/>
                  <w:vMerge w:val="restart"/>
                  <w:vAlign w:val="center"/>
                </w:tcPr>
                <w:p>
                  <w:pPr>
                    <w:autoSpaceDE/>
                    <w:autoSpaceDN/>
                    <w:jc w:val="center"/>
                    <w:rPr>
                      <w:rFonts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4000</w:t>
                  </w:r>
                  <w:r>
                    <w:rPr>
                      <w:rFonts w:hint="default" w:ascii="Times New Roman" w:hAnsi="Times New Roman" w:cs="Times New Roman"/>
                      <w:color w:val="auto"/>
                      <w:sz w:val="21"/>
                      <w:szCs w:val="21"/>
                    </w:rPr>
                    <w:t xml:space="preserve">  </w:t>
                  </w:r>
                </w:p>
              </w:tc>
              <w:tc>
                <w:tcPr>
                  <w:tcW w:w="1938"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p>
              </w:tc>
              <w:tc>
                <w:tcPr>
                  <w:tcW w:w="1325"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5</w:t>
                  </w:r>
                </w:p>
              </w:tc>
              <w:tc>
                <w:tcPr>
                  <w:tcW w:w="1800"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0.053</w:t>
                  </w:r>
                </w:p>
              </w:tc>
              <w:tc>
                <w:tcPr>
                  <w:tcW w:w="1625" w:type="dxa"/>
                  <w:vAlign w:val="center"/>
                </w:tcPr>
                <w:p>
                  <w:pPr>
                    <w:autoSpaceDE/>
                    <w:autoSpaceDN/>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4.426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vMerge w:val="continue"/>
                  <w:vAlign w:val="center"/>
                </w:tcPr>
                <w:p>
                  <w:pPr>
                    <w:autoSpaceDE/>
                    <w:autoSpaceDN/>
                    <w:jc w:val="center"/>
                    <w:rPr>
                      <w:rFonts w:ascii="Times New Roman" w:hAnsi="Times New Roman" w:cs="Times New Roman"/>
                      <w:color w:val="auto"/>
                      <w:sz w:val="21"/>
                      <w:szCs w:val="21"/>
                    </w:rPr>
                  </w:pPr>
                </w:p>
              </w:tc>
              <w:tc>
                <w:tcPr>
                  <w:tcW w:w="1100" w:type="dxa"/>
                  <w:vMerge w:val="continue"/>
                  <w:vAlign w:val="center"/>
                </w:tcPr>
                <w:p>
                  <w:pPr>
                    <w:autoSpaceDE/>
                    <w:autoSpaceDN/>
                    <w:jc w:val="center"/>
                    <w:rPr>
                      <w:rFonts w:ascii="Times New Roman" w:hAnsi="Times New Roman" w:cs="Times New Roman"/>
                      <w:color w:val="auto"/>
                      <w:sz w:val="21"/>
                      <w:szCs w:val="21"/>
                    </w:rPr>
                  </w:pPr>
                </w:p>
              </w:tc>
              <w:tc>
                <w:tcPr>
                  <w:tcW w:w="5063" w:type="dxa"/>
                  <w:gridSpan w:val="3"/>
                  <w:vAlign w:val="center"/>
                </w:tcPr>
                <w:p>
                  <w:pPr>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卫生防护距离</w:t>
                  </w:r>
                </w:p>
              </w:tc>
              <w:tc>
                <w:tcPr>
                  <w:tcW w:w="1625" w:type="dxa"/>
                  <w:vAlign w:val="center"/>
                </w:tcPr>
                <w:p>
                  <w:pPr>
                    <w:autoSpaceDE/>
                    <w:autoSpaceDN/>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098" w:type="dxa"/>
                  <w:vMerge w:val="continue"/>
                  <w:vAlign w:val="center"/>
                </w:tcPr>
                <w:p>
                  <w:pPr>
                    <w:autoSpaceDE/>
                    <w:autoSpaceDN/>
                    <w:jc w:val="center"/>
                    <w:rPr>
                      <w:rFonts w:ascii="Times New Roman" w:hAnsi="Times New Roman" w:cs="Times New Roman"/>
                      <w:color w:val="auto"/>
                      <w:sz w:val="21"/>
                      <w:szCs w:val="21"/>
                    </w:rPr>
                  </w:pPr>
                </w:p>
              </w:tc>
              <w:tc>
                <w:tcPr>
                  <w:tcW w:w="1100" w:type="dxa"/>
                  <w:vMerge w:val="continue"/>
                  <w:vAlign w:val="center"/>
                </w:tcPr>
                <w:p>
                  <w:pPr>
                    <w:autoSpaceDE/>
                    <w:autoSpaceDN/>
                    <w:jc w:val="center"/>
                    <w:rPr>
                      <w:rFonts w:ascii="Times New Roman" w:hAnsi="Times New Roman" w:cs="Times New Roman"/>
                      <w:color w:val="auto"/>
                      <w:sz w:val="21"/>
                      <w:szCs w:val="21"/>
                    </w:rPr>
                  </w:pPr>
                </w:p>
              </w:tc>
              <w:tc>
                <w:tcPr>
                  <w:tcW w:w="1938"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NO</w:t>
                  </w:r>
                  <w:r>
                    <w:rPr>
                      <w:rFonts w:hint="default" w:ascii="Times New Roman" w:hAnsi="Times New Roman" w:cs="Times New Roman"/>
                      <w:color w:val="auto"/>
                      <w:sz w:val="21"/>
                      <w:szCs w:val="21"/>
                      <w:vertAlign w:val="subscript"/>
                      <w:lang w:val="en-US" w:eastAsia="zh-CN"/>
                    </w:rPr>
                    <w:t>2</w:t>
                  </w:r>
                </w:p>
              </w:tc>
              <w:tc>
                <w:tcPr>
                  <w:tcW w:w="1325"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1800"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0.032</w:t>
                  </w:r>
                </w:p>
              </w:tc>
              <w:tc>
                <w:tcPr>
                  <w:tcW w:w="1625" w:type="dxa"/>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vMerge w:val="continue"/>
                  <w:vAlign w:val="center"/>
                </w:tcPr>
                <w:p>
                  <w:pPr>
                    <w:autoSpaceDE/>
                    <w:autoSpaceDN/>
                    <w:jc w:val="center"/>
                    <w:rPr>
                      <w:rFonts w:ascii="Times New Roman" w:hAnsi="Times New Roman" w:cs="Times New Roman"/>
                      <w:color w:val="auto"/>
                      <w:sz w:val="21"/>
                      <w:szCs w:val="21"/>
                    </w:rPr>
                  </w:pPr>
                </w:p>
              </w:tc>
              <w:tc>
                <w:tcPr>
                  <w:tcW w:w="1100" w:type="dxa"/>
                  <w:vMerge w:val="continue"/>
                  <w:vAlign w:val="center"/>
                </w:tcPr>
                <w:p>
                  <w:pPr>
                    <w:autoSpaceDE/>
                    <w:autoSpaceDN/>
                    <w:jc w:val="center"/>
                    <w:rPr>
                      <w:rFonts w:ascii="Times New Roman" w:hAnsi="Times New Roman" w:cs="Times New Roman"/>
                      <w:color w:val="auto"/>
                      <w:sz w:val="21"/>
                      <w:szCs w:val="21"/>
                    </w:rPr>
                  </w:pPr>
                </w:p>
              </w:tc>
              <w:tc>
                <w:tcPr>
                  <w:tcW w:w="5063" w:type="dxa"/>
                  <w:gridSpan w:val="3"/>
                  <w:vAlign w:val="center"/>
                </w:tcPr>
                <w:p>
                  <w:pPr>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卫生防护距离</w:t>
                  </w:r>
                </w:p>
              </w:tc>
              <w:tc>
                <w:tcPr>
                  <w:tcW w:w="1625" w:type="dxa"/>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vMerge w:val="continue"/>
                  <w:vAlign w:val="center"/>
                </w:tcPr>
                <w:p>
                  <w:pPr>
                    <w:autoSpaceDE/>
                    <w:autoSpaceDN/>
                    <w:jc w:val="center"/>
                    <w:rPr>
                      <w:rFonts w:ascii="Times New Roman" w:hAnsi="Times New Roman" w:cs="Times New Roman"/>
                      <w:color w:val="auto"/>
                      <w:sz w:val="21"/>
                      <w:szCs w:val="21"/>
                    </w:rPr>
                  </w:pPr>
                </w:p>
              </w:tc>
              <w:tc>
                <w:tcPr>
                  <w:tcW w:w="1100" w:type="dxa"/>
                  <w:vMerge w:val="continue"/>
                  <w:vAlign w:val="center"/>
                </w:tcPr>
                <w:p>
                  <w:pPr>
                    <w:autoSpaceDE/>
                    <w:autoSpaceDN/>
                    <w:jc w:val="center"/>
                    <w:rPr>
                      <w:rFonts w:ascii="Times New Roman" w:hAnsi="Times New Roman" w:cs="Times New Roman"/>
                      <w:color w:val="auto"/>
                      <w:sz w:val="21"/>
                      <w:szCs w:val="21"/>
                    </w:rPr>
                  </w:pPr>
                </w:p>
              </w:tc>
              <w:tc>
                <w:tcPr>
                  <w:tcW w:w="1938"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1325"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w:t>
                  </w:r>
                </w:p>
              </w:tc>
              <w:tc>
                <w:tcPr>
                  <w:tcW w:w="1800" w:type="dxa"/>
                  <w:vAlign w:val="center"/>
                </w:tcPr>
                <w:p>
                  <w:pPr>
                    <w:autoSpaceDE/>
                    <w:autoSpaceDN/>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0.856</w:t>
                  </w:r>
                </w:p>
              </w:tc>
              <w:tc>
                <w:tcPr>
                  <w:tcW w:w="1625" w:type="dxa"/>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45.258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8" w:type="dxa"/>
                  <w:vMerge w:val="continue"/>
                  <w:vAlign w:val="center"/>
                </w:tcPr>
                <w:p>
                  <w:pPr>
                    <w:autoSpaceDE/>
                    <w:autoSpaceDN/>
                    <w:jc w:val="center"/>
                    <w:rPr>
                      <w:rFonts w:ascii="Times New Roman" w:hAnsi="Times New Roman" w:cs="Times New Roman"/>
                      <w:color w:val="auto"/>
                      <w:sz w:val="21"/>
                      <w:szCs w:val="21"/>
                    </w:rPr>
                  </w:pPr>
                </w:p>
              </w:tc>
              <w:tc>
                <w:tcPr>
                  <w:tcW w:w="1100" w:type="dxa"/>
                  <w:vMerge w:val="continue"/>
                  <w:vAlign w:val="center"/>
                </w:tcPr>
                <w:p>
                  <w:pPr>
                    <w:autoSpaceDE/>
                    <w:autoSpaceDN/>
                    <w:jc w:val="center"/>
                    <w:rPr>
                      <w:rFonts w:ascii="Times New Roman" w:hAnsi="Times New Roman" w:cs="Times New Roman"/>
                      <w:color w:val="auto"/>
                      <w:sz w:val="21"/>
                      <w:szCs w:val="21"/>
                    </w:rPr>
                  </w:pPr>
                </w:p>
              </w:tc>
              <w:tc>
                <w:tcPr>
                  <w:tcW w:w="5063" w:type="dxa"/>
                  <w:gridSpan w:val="3"/>
                  <w:vAlign w:val="center"/>
                </w:tcPr>
                <w:p>
                  <w:pPr>
                    <w:autoSpaceDE/>
                    <w:autoSpaceDN/>
                    <w:jc w:val="center"/>
                    <w:rPr>
                      <w:rFonts w:ascii="Times New Roman" w:hAnsi="Times New Roman" w:cs="Times New Roman"/>
                      <w:color w:val="auto"/>
                      <w:sz w:val="21"/>
                      <w:szCs w:val="21"/>
                    </w:rPr>
                  </w:pPr>
                  <w:r>
                    <w:rPr>
                      <w:rFonts w:ascii="Times New Roman" w:hAnsi="Times New Roman" w:cs="Times New Roman"/>
                      <w:color w:val="auto"/>
                      <w:sz w:val="21"/>
                      <w:szCs w:val="21"/>
                    </w:rPr>
                    <w:t>卫生防护距离</w:t>
                  </w:r>
                </w:p>
              </w:tc>
              <w:tc>
                <w:tcPr>
                  <w:tcW w:w="1625" w:type="dxa"/>
                  <w:vAlign w:val="center"/>
                </w:tcPr>
                <w:p>
                  <w:pPr>
                    <w:autoSpaceDE/>
                    <w:autoSpaceDN/>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r>
          </w:tbl>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根据无组织排放的污染物计算结果，依据卫生防护距离设定要求，L值在两级之间取偏宽的一级，距离不足100m的，级差为50m，不足50m的取50m；超过100m，但小于1000m，级差为100m。无组织排放</w:t>
            </w:r>
            <w:r>
              <w:rPr>
                <w:rFonts w:hint="default" w:ascii="Times New Roman" w:hAnsi="Times New Roman" w:cs="Times New Roman"/>
                <w:color w:val="auto"/>
                <w:sz w:val="24"/>
                <w:szCs w:val="24"/>
              </w:rPr>
              <w:t>存在</w:t>
            </w:r>
            <w:r>
              <w:rPr>
                <w:rFonts w:ascii="Times New Roman" w:hAnsi="Times New Roman" w:cs="Times New Roman"/>
                <w:color w:val="auto"/>
                <w:sz w:val="24"/>
                <w:szCs w:val="24"/>
              </w:rPr>
              <w:t>多种有害</w:t>
            </w:r>
            <w:r>
              <w:rPr>
                <w:rFonts w:hint="default" w:ascii="Times New Roman" w:hAnsi="Times New Roman" w:cs="Times New Roman"/>
                <w:color w:val="auto"/>
                <w:sz w:val="24"/>
                <w:szCs w:val="24"/>
              </w:rPr>
              <w:t>物质时</w:t>
            </w:r>
            <w:r>
              <w:rPr>
                <w:rFonts w:ascii="Times New Roman" w:hAnsi="Times New Roman" w:cs="Times New Roman"/>
                <w:color w:val="auto"/>
                <w:sz w:val="24"/>
                <w:szCs w:val="24"/>
              </w:rPr>
              <w:t>，</w:t>
            </w:r>
            <w:r>
              <w:rPr>
                <w:rFonts w:hint="default" w:ascii="Times New Roman" w:hAnsi="Times New Roman" w:cs="Times New Roman"/>
                <w:color w:val="auto"/>
                <w:sz w:val="24"/>
                <w:szCs w:val="24"/>
              </w:rPr>
              <w:t>如果分别推导出的卫生防护距离初值在同一级别，则该企业的卫生防护距离终值应提高一级；卫生防护距离初值不在同一级别的，以卫生防护距离终值较大者为准</w:t>
            </w:r>
            <w:r>
              <w:rPr>
                <w:rFonts w:ascii="Times New Roman" w:hAnsi="Times New Roman" w:cs="Times New Roman"/>
                <w:color w:val="auto"/>
                <w:sz w:val="24"/>
                <w:szCs w:val="24"/>
              </w:rPr>
              <w:t>。</w:t>
            </w:r>
            <w:r>
              <w:rPr>
                <w:rFonts w:hint="default" w:ascii="Times New Roman" w:hAnsi="Times New Roman" w:cs="Times New Roman"/>
                <w:color w:val="auto"/>
                <w:sz w:val="24"/>
                <w:szCs w:val="24"/>
              </w:rPr>
              <w:t>通过计算Qc/c</w:t>
            </w:r>
            <w:r>
              <w:rPr>
                <w:rFonts w:hint="default" w:ascii="Times New Roman" w:hAnsi="Times New Roman" w:cs="Times New Roman"/>
                <w:color w:val="auto"/>
                <w:sz w:val="24"/>
                <w:szCs w:val="24"/>
                <w:vertAlign w:val="subscript"/>
              </w:rPr>
              <w:t>m</w:t>
            </w:r>
            <w:r>
              <w:rPr>
                <w:rFonts w:hint="default" w:ascii="Times New Roman" w:hAnsi="Times New Roman" w:cs="Times New Roman"/>
                <w:color w:val="auto"/>
                <w:sz w:val="24"/>
                <w:szCs w:val="24"/>
              </w:rPr>
              <w:t>得出差值为</w:t>
            </w:r>
            <w:r>
              <w:rPr>
                <w:rFonts w:hint="default" w:ascii="Times New Roman" w:hAnsi="Times New Roman" w:cs="Times New Roman"/>
                <w:color w:val="auto"/>
                <w:sz w:val="24"/>
                <w:szCs w:val="24"/>
                <w:lang w:val="en-US" w:eastAsia="zh-CN"/>
              </w:rPr>
              <w:t>0.73</w:t>
            </w:r>
            <w:r>
              <w:rPr>
                <w:rFonts w:hint="default" w:ascii="Times New Roman" w:hAnsi="Times New Roman" w:cs="Times New Roman"/>
                <w:color w:val="auto"/>
                <w:sz w:val="24"/>
                <w:szCs w:val="24"/>
              </w:rPr>
              <w:t>（大于10%），</w:t>
            </w:r>
            <w:r>
              <w:rPr>
                <w:rFonts w:ascii="Times New Roman" w:hAnsi="Times New Roman" w:cs="Times New Roman"/>
                <w:color w:val="auto"/>
                <w:sz w:val="24"/>
                <w:szCs w:val="24"/>
              </w:rPr>
              <w:t>本项目</w:t>
            </w:r>
            <w:r>
              <w:rPr>
                <w:rFonts w:hint="default" w:ascii="Times New Roman" w:hAnsi="Times New Roman" w:cs="Times New Roman"/>
                <w:color w:val="auto"/>
                <w:sz w:val="24"/>
                <w:szCs w:val="24"/>
              </w:rPr>
              <w:t>仅以</w:t>
            </w:r>
            <w:r>
              <w:rPr>
                <w:rFonts w:hint="default"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rPr>
              <w:t>进行</w:t>
            </w:r>
            <w:r>
              <w:rPr>
                <w:rFonts w:ascii="Times New Roman" w:hAnsi="Times New Roman" w:cs="Times New Roman"/>
                <w:color w:val="auto"/>
                <w:sz w:val="24"/>
                <w:szCs w:val="24"/>
              </w:rPr>
              <w:t>卫生防护距离</w:t>
            </w:r>
            <w:r>
              <w:rPr>
                <w:rFonts w:hint="default" w:ascii="Times New Roman" w:hAnsi="Times New Roman" w:cs="Times New Roman"/>
                <w:color w:val="auto"/>
                <w:sz w:val="24"/>
                <w:szCs w:val="24"/>
              </w:rPr>
              <w:t>计算，综上所述，</w:t>
            </w:r>
            <w:r>
              <w:rPr>
                <w:rFonts w:ascii="Times New Roman" w:hAnsi="Times New Roman" w:cs="Times New Roman"/>
                <w:color w:val="auto"/>
                <w:sz w:val="24"/>
                <w:szCs w:val="24"/>
              </w:rPr>
              <w:t>将分别以车间的边界为执行边界，向外划定</w:t>
            </w:r>
            <w:r>
              <w:rPr>
                <w:rFonts w:hint="default" w:ascii="Times New Roman" w:hAnsi="Times New Roman" w:cs="Times New Roman"/>
                <w:color w:val="auto"/>
                <w:sz w:val="24"/>
                <w:szCs w:val="24"/>
                <w:highlight w:val="none"/>
                <w:lang w:val="en-US" w:eastAsia="zh-CN"/>
              </w:rPr>
              <w:t>50m</w:t>
            </w:r>
            <w:r>
              <w:rPr>
                <w:rFonts w:ascii="Times New Roman" w:hAnsi="Times New Roman" w:cs="Times New Roman"/>
                <w:color w:val="auto"/>
                <w:sz w:val="24"/>
                <w:szCs w:val="24"/>
              </w:rPr>
              <w:t>的范围。根据现场勘查，卫生防护距离内无居民点、学校</w:t>
            </w:r>
            <w:r>
              <w:rPr>
                <w:rFonts w:hint="default" w:ascii="Times New Roman" w:hAnsi="Times New Roman" w:cs="Times New Roman"/>
                <w:color w:val="auto"/>
                <w:sz w:val="24"/>
                <w:szCs w:val="24"/>
              </w:rPr>
              <w:t>、食品企业</w:t>
            </w:r>
            <w:r>
              <w:rPr>
                <w:rFonts w:ascii="Times New Roman" w:hAnsi="Times New Roman" w:cs="Times New Roman"/>
                <w:color w:val="auto"/>
                <w:sz w:val="24"/>
                <w:szCs w:val="24"/>
              </w:rPr>
              <w:t>等环境敏感目标，</w:t>
            </w:r>
            <w:r>
              <w:rPr>
                <w:rFonts w:ascii="Times New Roman" w:hAnsi="Times New Roman" w:cs="Times New Roman"/>
                <w:bCs/>
                <w:color w:val="auto"/>
                <w:sz w:val="24"/>
                <w:szCs w:val="24"/>
              </w:rPr>
              <w:t>卫生防护距离包络线图</w:t>
            </w:r>
            <w:r>
              <w:rPr>
                <w:rFonts w:hint="default" w:ascii="Times New Roman" w:hAnsi="Times New Roman" w:cs="Times New Roman"/>
                <w:bCs/>
                <w:color w:val="auto"/>
                <w:sz w:val="24"/>
                <w:szCs w:val="24"/>
              </w:rPr>
              <w:t>（</w:t>
            </w:r>
            <w:r>
              <w:rPr>
                <w:rFonts w:ascii="Times New Roman" w:hAnsi="Times New Roman" w:cs="Times New Roman"/>
                <w:bCs/>
                <w:color w:val="auto"/>
                <w:sz w:val="24"/>
                <w:szCs w:val="24"/>
              </w:rPr>
              <w:t>详见附图</w:t>
            </w:r>
            <w:r>
              <w:rPr>
                <w:rFonts w:hint="default" w:ascii="Times New Roman" w:hAnsi="Times New Roman" w:cs="Times New Roman"/>
                <w:bCs/>
                <w:color w:val="auto"/>
                <w:sz w:val="24"/>
                <w:szCs w:val="24"/>
              </w:rPr>
              <w:t>5）</w:t>
            </w:r>
            <w:r>
              <w:rPr>
                <w:rFonts w:ascii="Times New Roman" w:hAnsi="Times New Roman" w:cs="Times New Roman"/>
                <w:bCs/>
                <w:color w:val="auto"/>
                <w:sz w:val="24"/>
                <w:szCs w:val="24"/>
              </w:rPr>
              <w:t>。</w:t>
            </w:r>
            <w:r>
              <w:rPr>
                <w:rFonts w:hint="default" w:ascii="Times New Roman" w:hAnsi="Times New Roman" w:cs="Times New Roman"/>
                <w:color w:val="auto"/>
                <w:sz w:val="24"/>
                <w:szCs w:val="24"/>
              </w:rPr>
              <w:t>项目位于环境空气环境达标区，可容纳本项目的建设；本项目在落实上述废气治理措施后，可实现稳定达标排放。</w:t>
            </w:r>
          </w:p>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因此，本项目的建成运营对区域环境空气质量的影响可接受。</w:t>
            </w:r>
          </w:p>
          <w:p>
            <w:pPr>
              <w:snapToGrid w:val="0"/>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二、</w:t>
            </w:r>
            <w:r>
              <w:rPr>
                <w:rFonts w:ascii="Times New Roman" w:hAnsi="Times New Roman" w:cs="Times New Roman"/>
                <w:b/>
                <w:bCs/>
                <w:color w:val="auto"/>
                <w:sz w:val="24"/>
                <w:szCs w:val="24"/>
              </w:rPr>
              <w:t>废水</w:t>
            </w:r>
          </w:p>
          <w:p>
            <w:pPr>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（一）废水产排情况</w:t>
            </w:r>
          </w:p>
          <w:p>
            <w:pPr>
              <w:spacing w:line="360" w:lineRule="auto"/>
              <w:jc w:val="both"/>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1、产排污环节、污染物及污染防治措施</w:t>
            </w:r>
          </w:p>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根据水平衡分析和工艺流程分析结果可知，本项目</w:t>
            </w:r>
            <w:r>
              <w:rPr>
                <w:rFonts w:hint="default" w:ascii="Times New Roman" w:hAnsi="Times New Roman" w:cs="Times New Roman"/>
                <w:color w:val="auto"/>
                <w:sz w:val="24"/>
                <w:szCs w:val="24"/>
                <w:lang w:val="en-US" w:eastAsia="zh-CN"/>
              </w:rPr>
              <w:t>用水环节主要为</w:t>
            </w:r>
            <w:r>
              <w:rPr>
                <w:rFonts w:hint="default" w:ascii="Times New Roman" w:hAnsi="Times New Roman" w:cs="Times New Roman"/>
                <w:color w:val="auto"/>
                <w:sz w:val="24"/>
                <w:szCs w:val="24"/>
              </w:rPr>
              <w:t>生活</w:t>
            </w:r>
            <w:r>
              <w:rPr>
                <w:rFonts w:hint="default" w:ascii="Times New Roman" w:hAnsi="Times New Roman" w:cs="Times New Roman"/>
                <w:color w:val="auto"/>
                <w:sz w:val="24"/>
                <w:szCs w:val="24"/>
                <w:lang w:val="en-US" w:eastAsia="zh-CN"/>
              </w:rPr>
              <w:t>用</w:t>
            </w:r>
            <w:r>
              <w:rPr>
                <w:rFonts w:hint="default" w:ascii="Times New Roman" w:hAnsi="Times New Roman" w:cs="Times New Roman"/>
                <w:color w:val="auto"/>
                <w:sz w:val="24"/>
                <w:szCs w:val="24"/>
              </w:rPr>
              <w:t>水和项目生产过程使用水（混料时原材料需兑水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养护用水等</w:t>
            </w:r>
            <w:r>
              <w:rPr>
                <w:rFonts w:hint="eastAsia" w:ascii="Times New Roman" w:hAnsi="Times New Roman" w:cs="Times New Roman"/>
                <w:color w:val="auto"/>
                <w:sz w:val="24"/>
                <w:szCs w:val="24"/>
                <w:lang w:val="en-US" w:eastAsia="zh-CN"/>
              </w:rPr>
              <w:t>自然蒸发不外排</w:t>
            </w:r>
            <w:r>
              <w:rPr>
                <w:rFonts w:hint="default" w:ascii="Times New Roman" w:hAnsi="Times New Roman" w:cs="Times New Roman"/>
                <w:color w:val="auto"/>
                <w:sz w:val="24"/>
                <w:szCs w:val="24"/>
              </w:rPr>
              <w:t>）。</w:t>
            </w:r>
          </w:p>
          <w:p>
            <w:pPr>
              <w:pStyle w:val="19"/>
              <w:spacing w:beforeAutospacing="0" w:afterAutospacing="0" w:line="360" w:lineRule="auto"/>
              <w:jc w:val="both"/>
              <w:rPr>
                <w:rFonts w:ascii="Times New Roman" w:hAnsi="Times New Roman" w:cs="Times New Roman"/>
                <w:b/>
                <w:bCs/>
                <w:color w:val="auto"/>
                <w:szCs w:val="24"/>
              </w:rPr>
            </w:pPr>
            <w:r>
              <w:rPr>
                <w:rFonts w:hint="default" w:ascii="Times New Roman" w:hAnsi="Times New Roman" w:cs="Times New Roman"/>
                <w:b/>
                <w:bCs/>
                <w:color w:val="auto"/>
                <w:szCs w:val="24"/>
              </w:rPr>
              <w:t>针对上述废水的处理，本项目拟采取的废水治理措施如下：</w:t>
            </w:r>
          </w:p>
          <w:p>
            <w:pPr>
              <w:pStyle w:val="19"/>
              <w:spacing w:beforeAutospacing="0" w:afterAutospacing="0"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（1）</w:t>
            </w:r>
            <w:r>
              <w:rPr>
                <w:rFonts w:hint="default" w:ascii="Times New Roman" w:hAnsi="Times New Roman" w:cs="Times New Roman"/>
                <w:b/>
                <w:bCs/>
                <w:color w:val="auto"/>
                <w:szCs w:val="24"/>
              </w:rPr>
              <w:t>项目生产过程使用水</w:t>
            </w:r>
          </w:p>
          <w:p>
            <w:pPr>
              <w:widowControl/>
              <w:spacing w:line="360" w:lineRule="auto"/>
              <w:ind w:firstLine="480" w:firstLineChars="200"/>
              <w:jc w:val="both"/>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①搅拌机混料用水</w:t>
            </w:r>
          </w:p>
          <w:p>
            <w:pPr>
              <w:pStyle w:val="36"/>
              <w:spacing w:line="360" w:lineRule="auto"/>
              <w:ind w:firstLine="480" w:firstLineChars="200"/>
              <w:jc w:val="both"/>
              <w:rPr>
                <w:rFonts w:hint="default" w:eastAsia="宋体"/>
                <w:lang w:val="en-US" w:eastAsia="zh-CN"/>
              </w:rPr>
            </w:pPr>
            <w:r>
              <w:rPr>
                <w:rFonts w:hint="default" w:ascii="Times New Roman" w:hAnsi="Times New Roman" w:eastAsia="宋体" w:cs="Times New Roman"/>
                <w:color w:val="auto"/>
              </w:rPr>
              <w:t>混料阶段砂石、水泥需兑水搅拌，</w:t>
            </w:r>
            <w:r>
              <w:rPr>
                <w:rFonts w:hint="eastAsia" w:ascii="Times New Roman" w:hAnsi="Times New Roman" w:eastAsia="宋体" w:cs="Times New Roman"/>
                <w:color w:val="auto"/>
                <w:lang w:val="en-US" w:eastAsia="zh-CN"/>
              </w:rPr>
              <w:t>混料用水</w:t>
            </w:r>
            <w:r>
              <w:rPr>
                <w:rFonts w:ascii="Times New Roman" w:hAnsi="Times New Roman" w:eastAsia="宋体" w:cs="Times New Roman"/>
                <w:color w:val="auto"/>
              </w:rPr>
              <w:t>年</w:t>
            </w:r>
            <w:r>
              <w:rPr>
                <w:rFonts w:hint="default" w:ascii="Times New Roman" w:hAnsi="Times New Roman" w:eastAsia="宋体" w:cs="Times New Roman"/>
                <w:color w:val="auto"/>
              </w:rPr>
              <w:t>使用</w:t>
            </w:r>
            <w:r>
              <w:rPr>
                <w:rFonts w:ascii="Times New Roman" w:hAnsi="Times New Roman" w:eastAsia="宋体" w:cs="Times New Roman"/>
                <w:color w:val="auto"/>
              </w:rPr>
              <w:t>水量约为</w:t>
            </w:r>
            <w:r>
              <w:rPr>
                <w:rFonts w:hint="eastAsia" w:ascii="Times New Roman" w:hAnsi="Times New Roman" w:eastAsia="宋体" w:cs="Times New Roman"/>
                <w:color w:val="auto"/>
                <w:lang w:val="en-US" w:eastAsia="zh-CN"/>
              </w:rPr>
              <w:t>584</w:t>
            </w:r>
            <w:r>
              <w:rPr>
                <w:rFonts w:hint="default" w:ascii="Times New Roman" w:hAnsi="Times New Roman" w:eastAsia="宋体" w:cs="Times New Roman"/>
                <w:color w:val="auto"/>
              </w:rPr>
              <w:t>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ascii="Times New Roman" w:hAnsi="Times New Roman" w:eastAsia="宋体" w:cs="Times New Roman"/>
                <w:color w:val="auto"/>
              </w:rPr>
              <w:t>/a。</w:t>
            </w:r>
            <w:r>
              <w:rPr>
                <w:rFonts w:hint="eastAsia" w:ascii="Times New Roman" w:eastAsia="宋体" w:cs="Times New Roman"/>
                <w:color w:val="auto"/>
                <w:lang w:val="en-US" w:eastAsia="zh-CN"/>
              </w:rPr>
              <w:t>全部进入产品。</w:t>
            </w:r>
          </w:p>
          <w:p>
            <w:pPr>
              <w:widowControl/>
              <w:spacing w:line="360" w:lineRule="auto"/>
              <w:ind w:firstLine="480" w:firstLineChars="200"/>
              <w:jc w:val="both"/>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②</w:t>
            </w:r>
            <w:r>
              <w:rPr>
                <w:rFonts w:hint="default" w:ascii="Times New Roman" w:hAnsi="Times New Roman" w:cs="Times New Roman"/>
                <w:color w:val="auto"/>
                <w:sz w:val="24"/>
                <w:szCs w:val="24"/>
              </w:rPr>
              <w:t>搅拌机冲洗用水</w:t>
            </w:r>
          </w:p>
          <w:p>
            <w:pPr>
              <w:pStyle w:val="36"/>
              <w:spacing w:line="360" w:lineRule="auto"/>
              <w:ind w:firstLine="480" w:firstLineChars="20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项目搅拌机在暂时停止生产时须进行冲洗。根据建设单位提供资料，项目搅拌机</w:t>
            </w:r>
            <w:r>
              <w:rPr>
                <w:rFonts w:hint="eastAsia" w:ascii="Times New Roman" w:eastAsia="宋体" w:cs="Times New Roman"/>
                <w:color w:val="auto"/>
                <w:lang w:val="en-US" w:eastAsia="zh-CN"/>
              </w:rPr>
              <w:t>一年</w:t>
            </w:r>
            <w:r>
              <w:rPr>
                <w:rFonts w:hint="default" w:ascii="Times New Roman" w:hAnsi="Times New Roman" w:eastAsia="宋体" w:cs="Times New Roman"/>
                <w:color w:val="auto"/>
              </w:rPr>
              <w:t>冲洗1</w:t>
            </w:r>
            <w:r>
              <w:rPr>
                <w:rFonts w:hint="eastAsia" w:ascii="Times New Roman" w:eastAsia="宋体" w:cs="Times New Roman"/>
                <w:color w:val="auto"/>
                <w:lang w:val="en-US" w:eastAsia="zh-CN"/>
              </w:rPr>
              <w:t>0</w:t>
            </w:r>
            <w:r>
              <w:rPr>
                <w:rFonts w:hint="default" w:ascii="Times New Roman" w:hAnsi="Times New Roman" w:eastAsia="宋体" w:cs="Times New Roman"/>
                <w:color w:val="auto"/>
              </w:rPr>
              <w:t>次，搅拌机冲洗用水按1.0m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/次计，则项目搅拌机冲洗用水量为1</w:t>
            </w:r>
            <w:r>
              <w:rPr>
                <w:rFonts w:hint="eastAsia" w:ascii="Times New Roman" w:eastAsia="宋体" w:cs="Times New Roman"/>
                <w:color w:val="auto"/>
                <w:lang w:val="en-US" w:eastAsia="zh-CN"/>
              </w:rPr>
              <w:t>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eastAsia" w:ascii="Times New Roman" w:eastAsia="宋体" w:cs="Times New Roman"/>
                <w:color w:val="auto"/>
                <w:lang w:val="en-US" w:eastAsia="zh-CN"/>
              </w:rPr>
              <w:t>经沉淀后回用于生产。</w:t>
            </w:r>
          </w:p>
          <w:p>
            <w:pPr>
              <w:widowControl/>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③地面冲洗水</w:t>
            </w:r>
          </w:p>
          <w:p>
            <w:pPr>
              <w:widowControl/>
              <w:spacing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本项目搅拌工序作业面需冲洗，其面积约</w:t>
            </w:r>
            <w:r>
              <w:rPr>
                <w:rFonts w:hint="eastAsia" w:ascii="Times New Roman" w:hAnsi="Times New Roman" w:cs="Times New Roman"/>
                <w:color w:val="auto"/>
                <w:sz w:val="24"/>
                <w:szCs w:val="24"/>
                <w:lang w:val="en-US" w:eastAsia="zh-CN"/>
              </w:rPr>
              <w:t>100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，每天进行冲洗，冲洗水量按 5L/m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·d，则用水量为 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eastAsia="宋体" w:cs="Times New Roman"/>
                <w:color w:val="auto"/>
                <w:sz w:val="24"/>
                <w:szCs w:val="24"/>
                <w:lang w:val="en-US" w:eastAsia="zh-CN"/>
              </w:rPr>
              <w:t>经沉淀后回用于生产。</w:t>
            </w:r>
          </w:p>
          <w:p>
            <w:pPr>
              <w:widowControl/>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④控尘用水</w:t>
            </w:r>
          </w:p>
          <w:p>
            <w:pPr>
              <w:widowControl/>
              <w:spacing w:line="360" w:lineRule="auto"/>
              <w:ind w:firstLine="480" w:firstLineChars="200"/>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本项目厂区内控尘喷淋及洒水用水按1.0m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 计，则年用水300m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/a。废水全部自然蒸发。</w:t>
            </w:r>
          </w:p>
          <w:p>
            <w:pPr>
              <w:widowControl/>
              <w:spacing w:line="360" w:lineRule="auto"/>
              <w:ind w:firstLine="480" w:firstLineChars="200"/>
              <w:jc w:val="both"/>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⑤</w:t>
            </w:r>
            <w:r>
              <w:rPr>
                <w:rFonts w:hint="default" w:ascii="Times New Roman" w:hAnsi="Times New Roman" w:cs="Times New Roman"/>
                <w:color w:val="auto"/>
                <w:sz w:val="24"/>
                <w:szCs w:val="24"/>
                <w:lang w:val="en-US" w:eastAsia="zh-CN"/>
              </w:rPr>
              <w:t>养护</w:t>
            </w:r>
            <w:r>
              <w:rPr>
                <w:rFonts w:hint="default" w:ascii="Times New Roman" w:hAnsi="Times New Roman" w:cs="Times New Roman"/>
                <w:color w:val="auto"/>
                <w:sz w:val="24"/>
                <w:szCs w:val="24"/>
              </w:rPr>
              <w:t>用水</w:t>
            </w:r>
          </w:p>
          <w:p>
            <w:pPr>
              <w:pStyle w:val="19"/>
              <w:spacing w:beforeAutospacing="0" w:afterAutospacing="0" w:line="360" w:lineRule="auto"/>
              <w:ind w:firstLine="480" w:firstLineChars="200"/>
              <w:jc w:val="both"/>
              <w:rPr>
                <w:rFonts w:ascii="Times New Roman" w:hAnsi="Times New Roman" w:cs="Times New Roman"/>
                <w:color w:val="auto"/>
                <w:szCs w:val="24"/>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养护用水用于锅炉燃烧产生蒸汽输送至养护池</w:t>
            </w:r>
            <w:r>
              <w:rPr>
                <w:rFonts w:hint="default" w:ascii="Times New Roman" w:hAnsi="Times New Roman" w:eastAsia="宋体" w:cs="Times New Roman"/>
                <w:color w:val="auto"/>
              </w:rPr>
              <w:t>，约</w:t>
            </w:r>
            <w:r>
              <w:rPr>
                <w:rFonts w:hint="eastAsia" w:ascii="Times New Roman" w:eastAsia="宋体" w:cs="Times New Roman"/>
                <w:color w:val="auto"/>
                <w:lang w:val="en-US" w:eastAsia="zh-CN"/>
              </w:rPr>
              <w:t>2</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eastAsia="宋体" w:cs="Times New Roman"/>
                <w:color w:val="auto"/>
                <w:lang w:val="en-US" w:eastAsia="zh-CN"/>
              </w:rPr>
              <w:t>6</w:t>
            </w:r>
            <w:r>
              <w:rPr>
                <w:rFonts w:hint="default" w:ascii="Times New Roman" w:hAnsi="Times New Roman" w:eastAsia="宋体" w:cs="Times New Roman"/>
                <w:color w:val="auto"/>
              </w:rPr>
              <w:t>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养护水自然蒸发不外排</w:t>
            </w:r>
            <w:r>
              <w:rPr>
                <w:rFonts w:hint="default" w:ascii="Times New Roman" w:hAnsi="Times New Roman" w:eastAsia="宋体" w:cs="Times New Roman"/>
                <w:color w:val="auto"/>
              </w:rPr>
              <w:t>。</w:t>
            </w:r>
          </w:p>
          <w:p>
            <w:pPr>
              <w:pStyle w:val="19"/>
              <w:spacing w:beforeAutospacing="0" w:afterAutospacing="0" w:line="360" w:lineRule="auto"/>
              <w:jc w:val="both"/>
              <w:rPr>
                <w:rFonts w:ascii="Times New Roman" w:hAnsi="Times New Roman" w:cs="Times New Roman"/>
                <w:color w:val="auto"/>
                <w:szCs w:val="24"/>
              </w:rPr>
            </w:pPr>
            <w:r>
              <w:rPr>
                <w:rFonts w:hint="default" w:ascii="Times New Roman" w:hAnsi="Times New Roman" w:cs="Times New Roman"/>
                <w:color w:val="auto"/>
                <w:szCs w:val="24"/>
              </w:rPr>
              <w:t>（2）生活污水</w:t>
            </w:r>
          </w:p>
          <w:p>
            <w:pPr>
              <w:pStyle w:val="19"/>
              <w:spacing w:beforeAutospacing="0" w:afterAutospacing="0" w:line="360" w:lineRule="auto"/>
              <w:ind w:firstLine="480" w:firstLineChars="200"/>
              <w:jc w:val="both"/>
              <w:rPr>
                <w:rFonts w:ascii="Times New Roman" w:hAnsi="Times New Roman" w:cs="Times New Roman"/>
                <w:color w:val="auto"/>
                <w:szCs w:val="24"/>
              </w:rPr>
            </w:pPr>
            <w:r>
              <w:rPr>
                <w:rFonts w:hint="default" w:ascii="Times New Roman" w:hAnsi="Times New Roman" w:cs="Times New Roman"/>
                <w:color w:val="auto"/>
                <w:szCs w:val="24"/>
              </w:rPr>
              <w:t>本项目员工劳动定</w:t>
            </w:r>
            <w:r>
              <w:rPr>
                <w:rFonts w:ascii="Times New Roman" w:hAnsi="Times New Roman" w:cs="Times New Roman"/>
                <w:color w:val="auto"/>
                <w:szCs w:val="24"/>
              </w:rPr>
              <w:t>员</w:t>
            </w:r>
            <w:r>
              <w:rPr>
                <w:rFonts w:hint="default" w:ascii="Times New Roman" w:hAnsi="Times New Roman" w:cs="Times New Roman"/>
                <w:color w:val="auto"/>
                <w:szCs w:val="24"/>
              </w:rPr>
              <w:t>20</w:t>
            </w:r>
            <w:r>
              <w:rPr>
                <w:rFonts w:ascii="Times New Roman" w:hAnsi="Times New Roman" w:cs="Times New Roman"/>
                <w:color w:val="auto"/>
                <w:szCs w:val="24"/>
              </w:rPr>
              <w:t>人，本项目全年工作日为300天，每天工作时间8小时。本项目提供员工食堂</w:t>
            </w:r>
            <w:r>
              <w:rPr>
                <w:rFonts w:hint="default" w:ascii="Times New Roman" w:hAnsi="Times New Roman" w:cs="Times New Roman"/>
                <w:color w:val="auto"/>
                <w:szCs w:val="24"/>
              </w:rPr>
              <w:t>和</w:t>
            </w:r>
            <w:r>
              <w:rPr>
                <w:rFonts w:ascii="Times New Roman" w:hAnsi="Times New Roman" w:cs="Times New Roman"/>
                <w:color w:val="auto"/>
                <w:szCs w:val="24"/>
              </w:rPr>
              <w:t>员工宿舍。参考《四川省地方标准-用水定额》（DB51/T2138-2016），并结合本项目实际情况考虑，员工生活用水按</w:t>
            </w:r>
            <w:r>
              <w:rPr>
                <w:rFonts w:hint="default" w:ascii="Times New Roman" w:hAnsi="Times New Roman" w:cs="Times New Roman"/>
                <w:color w:val="auto"/>
                <w:szCs w:val="24"/>
                <w:lang w:val="en-US" w:eastAsia="zh-CN"/>
              </w:rPr>
              <w:t>5</w:t>
            </w:r>
            <w:r>
              <w:rPr>
                <w:rFonts w:ascii="Times New Roman" w:hAnsi="Times New Roman" w:cs="Times New Roman"/>
                <w:color w:val="auto"/>
                <w:szCs w:val="24"/>
              </w:rPr>
              <w:t>0L/人d的计算，生活污水产生量按生活用水量的80%计算，则本项目生活污水产生量为</w:t>
            </w:r>
            <w:r>
              <w:rPr>
                <w:rFonts w:hint="default" w:ascii="Times New Roman" w:hAnsi="Times New Roman" w:cs="Times New Roman"/>
                <w:color w:val="auto"/>
                <w:szCs w:val="24"/>
              </w:rPr>
              <w:t>0.8</w:t>
            </w:r>
            <w:r>
              <w:rPr>
                <w:rFonts w:ascii="Times New Roman" w:hAnsi="Times New Roman" w:cs="Times New Roman"/>
                <w:color w:val="auto"/>
                <w:szCs w:val="24"/>
              </w:rPr>
              <w:t>m</w:t>
            </w:r>
            <w:r>
              <w:rPr>
                <w:rFonts w:ascii="Times New Roman" w:hAnsi="Times New Roman" w:cs="Times New Roman"/>
                <w:color w:val="auto"/>
                <w:szCs w:val="24"/>
                <w:vertAlign w:val="superscript"/>
              </w:rPr>
              <w:t>3</w:t>
            </w:r>
            <w:r>
              <w:rPr>
                <w:rFonts w:ascii="Times New Roman" w:hAnsi="Times New Roman" w:cs="Times New Roman"/>
                <w:color w:val="auto"/>
                <w:szCs w:val="24"/>
              </w:rPr>
              <w:t>/d（</w:t>
            </w:r>
            <w:r>
              <w:rPr>
                <w:rFonts w:hint="default" w:ascii="Times New Roman" w:hAnsi="Times New Roman" w:cs="Times New Roman"/>
                <w:color w:val="auto"/>
                <w:szCs w:val="24"/>
              </w:rPr>
              <w:t>240</w:t>
            </w:r>
            <w:r>
              <w:rPr>
                <w:rFonts w:ascii="Times New Roman" w:hAnsi="Times New Roman" w:cs="Times New Roman"/>
                <w:color w:val="auto"/>
                <w:szCs w:val="24"/>
              </w:rPr>
              <w:t>t/a）。</w:t>
            </w:r>
          </w:p>
          <w:p>
            <w:pPr>
              <w:pStyle w:val="19"/>
              <w:spacing w:beforeAutospacing="0" w:afterAutospacing="0" w:line="360" w:lineRule="auto"/>
              <w:ind w:firstLine="480" w:firstLineChars="200"/>
              <w:jc w:val="both"/>
              <w:rPr>
                <w:rFonts w:ascii="Times New Roman" w:hAnsi="Times New Roman" w:cs="Times New Roman"/>
                <w:color w:val="auto"/>
                <w:szCs w:val="24"/>
              </w:rPr>
            </w:pPr>
            <w:r>
              <w:rPr>
                <w:rFonts w:ascii="Times New Roman" w:hAnsi="Times New Roman" w:cs="Times New Roman"/>
                <w:color w:val="auto"/>
                <w:szCs w:val="24"/>
              </w:rPr>
              <w:t>本项目营运期</w:t>
            </w:r>
            <w:r>
              <w:rPr>
                <w:rFonts w:hint="default" w:ascii="Times New Roman" w:hAnsi="Times New Roman" w:cs="Times New Roman"/>
                <w:color w:val="auto"/>
                <w:szCs w:val="24"/>
              </w:rPr>
              <w:t>废水</w:t>
            </w:r>
            <w:r>
              <w:rPr>
                <w:rFonts w:ascii="Times New Roman" w:hAnsi="Times New Roman" w:cs="Times New Roman"/>
                <w:color w:val="auto"/>
                <w:szCs w:val="24"/>
              </w:rPr>
              <w:t>经</w:t>
            </w:r>
            <w:r>
              <w:rPr>
                <w:rFonts w:hint="default" w:ascii="Times New Roman" w:hAnsi="Times New Roman" w:cs="Times New Roman"/>
                <w:color w:val="auto"/>
                <w:szCs w:val="24"/>
              </w:rPr>
              <w:t>园区化粪池</w:t>
            </w:r>
            <w:r>
              <w:rPr>
                <w:rFonts w:ascii="Times New Roman" w:hAnsi="Times New Roman" w:cs="Times New Roman"/>
                <w:color w:val="auto"/>
                <w:szCs w:val="24"/>
              </w:rPr>
              <w:t>处理后，达到《污水综合排放标准》（GB8978-1996）三级标准，排入</w:t>
            </w:r>
            <w:r>
              <w:rPr>
                <w:rFonts w:hint="default" w:ascii="Times New Roman" w:hAnsi="Times New Roman" w:cs="Times New Roman"/>
                <w:color w:val="auto"/>
                <w:szCs w:val="24"/>
              </w:rPr>
              <w:t>市政污水</w:t>
            </w:r>
            <w:r>
              <w:rPr>
                <w:rFonts w:ascii="Times New Roman" w:hAnsi="Times New Roman" w:cs="Times New Roman"/>
                <w:color w:val="auto"/>
                <w:szCs w:val="24"/>
              </w:rPr>
              <w:t>管网</w:t>
            </w:r>
            <w:r>
              <w:rPr>
                <w:rFonts w:hint="default" w:ascii="Times New Roman" w:hAnsi="Times New Roman" w:cs="Times New Roman"/>
                <w:color w:val="auto"/>
                <w:szCs w:val="24"/>
              </w:rPr>
              <w:t>处理达到相应标准</w:t>
            </w:r>
            <w:r>
              <w:rPr>
                <w:rFonts w:ascii="Times New Roman" w:hAnsi="Times New Roman" w:cs="Times New Roman"/>
                <w:color w:val="auto"/>
                <w:szCs w:val="24"/>
              </w:rPr>
              <w:t>后排</w:t>
            </w:r>
            <w:r>
              <w:rPr>
                <w:rFonts w:hint="default" w:ascii="Times New Roman" w:hAnsi="Times New Roman" w:cs="Times New Roman"/>
                <w:color w:val="auto"/>
                <w:szCs w:val="24"/>
              </w:rPr>
              <w:t>放</w:t>
            </w:r>
            <w:r>
              <w:rPr>
                <w:rFonts w:ascii="Times New Roman" w:hAnsi="Times New Roman" w:cs="Times New Roman"/>
                <w:color w:val="auto"/>
                <w:szCs w:val="24"/>
              </w:rPr>
              <w:t>。</w:t>
            </w:r>
          </w:p>
          <w:p>
            <w:pPr>
              <w:spacing w:line="360" w:lineRule="auto"/>
              <w:ind w:firstLine="480" w:firstLineChars="200"/>
              <w:jc w:val="both"/>
              <w:rPr>
                <w:rFonts w:ascii="Times New Roman" w:hAnsi="Times New Roman" w:cs="Times New Roman"/>
                <w:color w:val="auto"/>
              </w:rPr>
            </w:pPr>
            <w:r>
              <w:rPr>
                <w:rFonts w:hint="default" w:ascii="Times New Roman" w:hAnsi="Times New Roman" w:cs="Times New Roman"/>
                <w:color w:val="auto"/>
                <w:sz w:val="24"/>
                <w:szCs w:val="24"/>
              </w:rPr>
              <w:t>综上所述，本项目废水产排污环节、主要污染物及污染防治措施详见下表：</w:t>
            </w:r>
          </w:p>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 xml:space="preserve">9 </w:t>
            </w:r>
            <w:r>
              <w:rPr>
                <w:rFonts w:hint="default" w:ascii="Times New Roman" w:hAnsi="Times New Roman" w:cs="Times New Roman"/>
                <w:color w:val="auto"/>
                <w:sz w:val="21"/>
                <w:szCs w:val="21"/>
              </w:rPr>
              <w:t xml:space="preserve"> 项目废水产污环节、污染物及污染防治措施一览表</w:t>
            </w:r>
          </w:p>
          <w:tbl>
            <w:tblPr>
              <w:tblStyle w:val="25"/>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430"/>
              <w:gridCol w:w="4050"/>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jc w:val="center"/>
              </w:trPr>
              <w:tc>
                <w:tcPr>
                  <w:tcW w:w="124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243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主要污染物项目</w:t>
                  </w:r>
                </w:p>
              </w:tc>
              <w:tc>
                <w:tcPr>
                  <w:tcW w:w="527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c>
                <w:tcPr>
                  <w:tcW w:w="243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p>
              </w:tc>
              <w:tc>
                <w:tcPr>
                  <w:tcW w:w="40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工艺</w:t>
                  </w:r>
                </w:p>
              </w:tc>
              <w:tc>
                <w:tcPr>
                  <w:tcW w:w="12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员工生活</w:t>
                  </w:r>
                </w:p>
              </w:tc>
              <w:tc>
                <w:tcPr>
                  <w:tcW w:w="24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pH、COD</w:t>
                  </w:r>
                  <w:r>
                    <w:rPr>
                      <w:rFonts w:hint="default" w:ascii="Times New Roman" w:hAnsi="Times New Roman" w:cs="Times New Roman"/>
                      <w:b w:val="0"/>
                      <w:bCs/>
                      <w:color w:val="auto"/>
                      <w:sz w:val="21"/>
                      <w:szCs w:val="21"/>
                      <w:vertAlign w:val="subscript"/>
                    </w:rPr>
                    <w:t>Cr</w:t>
                  </w:r>
                  <w:r>
                    <w:rPr>
                      <w:rFonts w:hint="default" w:ascii="Times New Roman" w:hAnsi="Times New Roman" w:cs="Times New Roman"/>
                      <w:b w:val="0"/>
                      <w:bCs/>
                      <w:color w:val="auto"/>
                      <w:sz w:val="21"/>
                      <w:szCs w:val="21"/>
                    </w:rPr>
                    <w:t>、BOD</w:t>
                  </w:r>
                  <w:r>
                    <w:rPr>
                      <w:rFonts w:hint="default" w:ascii="Times New Roman" w:hAnsi="Times New Roman" w:cs="Times New Roman"/>
                      <w:b w:val="0"/>
                      <w:bCs/>
                      <w:color w:val="auto"/>
                      <w:sz w:val="21"/>
                      <w:szCs w:val="21"/>
                      <w:vertAlign w:val="subscript"/>
                    </w:rPr>
                    <w:t>5</w:t>
                  </w:r>
                  <w:r>
                    <w:rPr>
                      <w:rFonts w:hint="default" w:ascii="Times New Roman" w:hAnsi="Times New Roman" w:cs="Times New Roman"/>
                      <w:b w:val="0"/>
                      <w:bCs/>
                      <w:color w:val="auto"/>
                      <w:sz w:val="21"/>
                      <w:szCs w:val="21"/>
                    </w:rPr>
                    <w:t>、SS、NH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-N、TP、动植物油等</w:t>
                  </w:r>
                </w:p>
              </w:tc>
              <w:tc>
                <w:tcPr>
                  <w:tcW w:w="40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生活污水排入化粪池处理后经厂区总排口排入园区污水管网，进入</w:t>
                  </w:r>
                  <w:r>
                    <w:rPr>
                      <w:rFonts w:hint="eastAsia" w:cs="Times New Roman"/>
                      <w:b w:val="0"/>
                      <w:bCs/>
                      <w:color w:val="auto"/>
                      <w:sz w:val="21"/>
                      <w:szCs w:val="21"/>
                      <w:lang w:val="en-US" w:eastAsia="zh-CN"/>
                    </w:rPr>
                    <w:t>蓬溪县经开区</w:t>
                  </w:r>
                  <w:r>
                    <w:rPr>
                      <w:rFonts w:hint="default" w:ascii="Times New Roman" w:hAnsi="Times New Roman" w:cs="Times New Roman"/>
                      <w:b w:val="0"/>
                      <w:bCs/>
                      <w:color w:val="auto"/>
                      <w:sz w:val="21"/>
                      <w:szCs w:val="21"/>
                    </w:rPr>
                    <w:t>污水处理厂处理达标后外排。</w:t>
                  </w:r>
                </w:p>
              </w:tc>
              <w:tc>
                <w:tcPr>
                  <w:tcW w:w="12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生产废水</w:t>
                  </w:r>
                </w:p>
              </w:tc>
              <w:tc>
                <w:tcPr>
                  <w:tcW w:w="24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SS</w:t>
                  </w:r>
                </w:p>
              </w:tc>
              <w:tc>
                <w:tcPr>
                  <w:tcW w:w="405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eastAsia" w:cs="Times New Roman"/>
                      <w:b w:val="0"/>
                      <w:bCs/>
                      <w:color w:val="auto"/>
                      <w:sz w:val="21"/>
                      <w:szCs w:val="21"/>
                      <w:lang w:val="en-US" w:eastAsia="zh-CN"/>
                    </w:rPr>
                    <w:t>搅拌冲洗废水</w:t>
                  </w:r>
                  <w:r>
                    <w:rPr>
                      <w:rFonts w:hint="default" w:ascii="Times New Roman" w:hAnsi="Times New Roman" w:cs="Times New Roman"/>
                      <w:b w:val="0"/>
                      <w:bCs/>
                      <w:color w:val="auto"/>
                      <w:sz w:val="21"/>
                      <w:szCs w:val="21"/>
                    </w:rPr>
                    <w:t>及</w:t>
                  </w:r>
                  <w:r>
                    <w:rPr>
                      <w:rFonts w:hint="eastAsia" w:cs="Times New Roman"/>
                      <w:b w:val="0"/>
                      <w:bCs/>
                      <w:color w:val="auto"/>
                      <w:sz w:val="21"/>
                      <w:szCs w:val="21"/>
                      <w:lang w:val="en-US" w:eastAsia="zh-CN"/>
                    </w:rPr>
                    <w:t>地面冲洗</w:t>
                  </w:r>
                  <w:r>
                    <w:rPr>
                      <w:rFonts w:hint="default" w:ascii="Times New Roman" w:hAnsi="Times New Roman" w:cs="Times New Roman"/>
                      <w:b w:val="0"/>
                      <w:bCs/>
                      <w:color w:val="auto"/>
                      <w:sz w:val="21"/>
                      <w:szCs w:val="21"/>
                    </w:rPr>
                    <w:t>废水经沉淀池处理后循环利用，不外排</w:t>
                  </w:r>
                </w:p>
              </w:tc>
              <w:tc>
                <w:tcPr>
                  <w:tcW w:w="12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是</w:t>
                  </w:r>
                </w:p>
              </w:tc>
            </w:tr>
          </w:tbl>
          <w:p>
            <w:pPr>
              <w:pStyle w:val="53"/>
              <w:spacing w:line="360" w:lineRule="auto"/>
              <w:ind w:left="0" w:right="0" w:firstLine="0"/>
              <w:jc w:val="both"/>
              <w:rPr>
                <w:rFonts w:ascii="Times New Roman" w:hAnsi="Times New Roman" w:cs="Times New Roman"/>
                <w:b/>
                <w:bCs/>
                <w:color w:val="auto"/>
                <w:kern w:val="2"/>
                <w:szCs w:val="24"/>
              </w:rPr>
            </w:pPr>
            <w:r>
              <w:rPr>
                <w:rFonts w:hint="default" w:ascii="Times New Roman" w:hAnsi="Times New Roman" w:cs="Times New Roman"/>
                <w:b/>
                <w:bCs/>
                <w:color w:val="auto"/>
                <w:kern w:val="2"/>
                <w:szCs w:val="24"/>
              </w:rPr>
              <w:t>2、排放口及执行标准</w:t>
            </w:r>
          </w:p>
          <w:p>
            <w:pPr>
              <w:pStyle w:val="53"/>
              <w:spacing w:line="360" w:lineRule="auto"/>
              <w:ind w:left="0" w:right="0" w:firstLine="480" w:firstLineChars="200"/>
              <w:jc w:val="both"/>
              <w:rPr>
                <w:rFonts w:ascii="Times New Roman" w:hAnsi="Times New Roman" w:cs="Times New Roman"/>
                <w:color w:val="auto"/>
                <w:kern w:val="2"/>
                <w:szCs w:val="24"/>
              </w:rPr>
            </w:pPr>
            <w:r>
              <w:rPr>
                <w:rFonts w:hint="default" w:ascii="Times New Roman" w:hAnsi="Times New Roman" w:cs="Times New Roman"/>
                <w:color w:val="auto"/>
                <w:kern w:val="2"/>
                <w:szCs w:val="24"/>
              </w:rPr>
              <w:t>本项目全厂设</w:t>
            </w:r>
            <w:r>
              <w:rPr>
                <w:rFonts w:hint="default" w:ascii="Times New Roman" w:hAnsi="Times New Roman" w:cs="Times New Roman"/>
                <w:color w:val="auto"/>
                <w:kern w:val="2"/>
                <w:szCs w:val="24"/>
                <w:lang w:val="en-US" w:eastAsia="zh-CN"/>
              </w:rPr>
              <w:t>两</w:t>
            </w:r>
            <w:r>
              <w:rPr>
                <w:rFonts w:hint="default" w:ascii="Times New Roman" w:hAnsi="Times New Roman" w:cs="Times New Roman"/>
                <w:color w:val="auto"/>
                <w:kern w:val="2"/>
                <w:szCs w:val="24"/>
              </w:rPr>
              <w:t>个排污口，排放口基本情况详见下表：</w:t>
            </w:r>
          </w:p>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表4-</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 xml:space="preserve">  厂区废水排放口基本情况及执行标准汇总表</w:t>
            </w:r>
          </w:p>
          <w:tbl>
            <w:tblPr>
              <w:tblStyle w:val="25"/>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901"/>
              <w:gridCol w:w="887"/>
              <w:gridCol w:w="859"/>
              <w:gridCol w:w="709"/>
              <w:gridCol w:w="941"/>
              <w:gridCol w:w="878"/>
              <w:gridCol w:w="581"/>
              <w:gridCol w:w="2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jc w:val="center"/>
              </w:trPr>
              <w:tc>
                <w:tcPr>
                  <w:tcW w:w="533"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01"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名称及编号</w:t>
                  </w:r>
                </w:p>
              </w:tc>
              <w:tc>
                <w:tcPr>
                  <w:tcW w:w="1746" w:type="dxa"/>
                  <w:gridSpan w:val="2"/>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709"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排放方式</w:t>
                  </w:r>
                </w:p>
              </w:tc>
              <w:tc>
                <w:tcPr>
                  <w:tcW w:w="941"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c>
                <w:tcPr>
                  <w:tcW w:w="878"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排放规律</w:t>
                  </w:r>
                </w:p>
              </w:tc>
              <w:tc>
                <w:tcPr>
                  <w:tcW w:w="581"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2534" w:type="dxa"/>
                  <w:vMerge w:val="restart"/>
                  <w:tcBorders>
                    <w:tl2br w:val="nil"/>
                    <w:tr2bl w:val="nil"/>
                  </w:tcBorders>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33"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901"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887"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经度</w:t>
                  </w:r>
                </w:p>
              </w:tc>
              <w:tc>
                <w:tcPr>
                  <w:tcW w:w="859"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纬度</w:t>
                  </w:r>
                </w:p>
              </w:tc>
              <w:tc>
                <w:tcPr>
                  <w:tcW w:w="709"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941"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878"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581"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c>
                <w:tcPr>
                  <w:tcW w:w="2534" w:type="dxa"/>
                  <w:vMerge w:val="continue"/>
                  <w:tcBorders>
                    <w:tl2br w:val="nil"/>
                    <w:tr2bl w:val="nil"/>
                  </w:tcBorders>
                  <w:vAlign w:val="center"/>
                </w:tcPr>
                <w:p>
                  <w:pPr>
                    <w:pStyle w:val="38"/>
                    <w:rPr>
                      <w:rFonts w:ascii="Times New Roman" w:hAnsi="Times New Roman" w:cs="Times New Roman"/>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jc w:val="center"/>
              </w:trPr>
              <w:tc>
                <w:tcPr>
                  <w:tcW w:w="533"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901"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厂区废水总排口（DW001）</w:t>
                  </w:r>
                </w:p>
              </w:tc>
              <w:tc>
                <w:tcPr>
                  <w:tcW w:w="887" w:type="dxa"/>
                  <w:tcBorders>
                    <w:tl2br w:val="nil"/>
                    <w:tr2bl w:val="nil"/>
                  </w:tcBorders>
                  <w:vAlign w:val="center"/>
                </w:tcPr>
                <w:p>
                  <w:pPr>
                    <w:pStyle w:val="38"/>
                    <w:rPr>
                      <w:rFonts w:ascii="Times New Roman" w:hAnsi="Times New Roman" w:eastAsia="Times New Roman" w:cs="Times New Roman"/>
                      <w:b w:val="0"/>
                      <w:bCs/>
                      <w:color w:val="auto"/>
                      <w:sz w:val="21"/>
                      <w:szCs w:val="21"/>
                    </w:rPr>
                  </w:pPr>
                  <w:r>
                    <w:rPr>
                      <w:rFonts w:hint="default" w:ascii="Times New Roman" w:hAnsi="Times New Roman" w:eastAsia="Times New Roman" w:cs="Times New Roman"/>
                      <w:b w:val="0"/>
                      <w:bCs/>
                      <w:color w:val="auto"/>
                      <w:sz w:val="21"/>
                      <w:szCs w:val="21"/>
                    </w:rPr>
                    <w:t>105°41′28.1</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Times New Roman" w:cs="Times New Roman"/>
                      <w:b w:val="0"/>
                      <w:bCs/>
                      <w:color w:val="auto"/>
                      <w:sz w:val="21"/>
                      <w:szCs w:val="21"/>
                    </w:rPr>
                    <w:t>″</w:t>
                  </w:r>
                </w:p>
              </w:tc>
              <w:tc>
                <w:tcPr>
                  <w:tcW w:w="859" w:type="dxa"/>
                  <w:tcBorders>
                    <w:tl2br w:val="nil"/>
                    <w:tr2bl w:val="nil"/>
                  </w:tcBorders>
                  <w:vAlign w:val="center"/>
                </w:tcPr>
                <w:p>
                  <w:pPr>
                    <w:pStyle w:val="38"/>
                    <w:rPr>
                      <w:rFonts w:ascii="Times New Roman" w:hAnsi="Times New Roman" w:eastAsia="Times New Roman" w:cs="Times New Roman"/>
                      <w:b w:val="0"/>
                      <w:bCs/>
                      <w:color w:val="auto"/>
                      <w:sz w:val="21"/>
                      <w:szCs w:val="21"/>
                    </w:rPr>
                  </w:pPr>
                  <w:r>
                    <w:rPr>
                      <w:rFonts w:hint="default" w:ascii="Times New Roman" w:hAnsi="Times New Roman" w:eastAsia="Times New Roman" w:cs="Times New Roman"/>
                      <w:b w:val="0"/>
                      <w:bCs/>
                      <w:color w:val="auto"/>
                      <w:sz w:val="21"/>
                      <w:szCs w:val="21"/>
                    </w:rPr>
                    <w:t>30°44′0.7</w:t>
                  </w:r>
                  <w:r>
                    <w:rPr>
                      <w:rFonts w:hint="default" w:ascii="Times New Roman" w:hAnsi="Times New Roman" w:eastAsia="宋体" w:cs="Times New Roman"/>
                      <w:b w:val="0"/>
                      <w:bCs/>
                      <w:color w:val="auto"/>
                      <w:sz w:val="21"/>
                      <w:szCs w:val="21"/>
                      <w:lang w:val="en-US" w:eastAsia="zh-CN"/>
                    </w:rPr>
                    <w:t>7</w:t>
                  </w:r>
                  <w:r>
                    <w:rPr>
                      <w:rFonts w:hint="default" w:ascii="Times New Roman" w:hAnsi="Times New Roman" w:eastAsia="Times New Roman" w:cs="Times New Roman"/>
                      <w:b w:val="0"/>
                      <w:bCs/>
                      <w:color w:val="auto"/>
                      <w:sz w:val="21"/>
                      <w:szCs w:val="21"/>
                    </w:rPr>
                    <w:t>″</w:t>
                  </w:r>
                </w:p>
              </w:tc>
              <w:tc>
                <w:tcPr>
                  <w:tcW w:w="709"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间接排放</w:t>
                  </w:r>
                </w:p>
              </w:tc>
              <w:tc>
                <w:tcPr>
                  <w:tcW w:w="941" w:type="dxa"/>
                  <w:tcBorders>
                    <w:tl2br w:val="nil"/>
                    <w:tr2bl w:val="nil"/>
                  </w:tcBorders>
                  <w:vAlign w:val="center"/>
                </w:tcPr>
                <w:p>
                  <w:pPr>
                    <w:pStyle w:val="38"/>
                    <w:rPr>
                      <w:rFonts w:ascii="Times New Roman" w:hAnsi="Times New Roman" w:cs="Times New Roman"/>
                      <w:b w:val="0"/>
                      <w:bCs/>
                      <w:color w:val="auto"/>
                      <w:sz w:val="21"/>
                      <w:szCs w:val="21"/>
                    </w:rPr>
                  </w:pPr>
                  <w:r>
                    <w:rPr>
                      <w:rFonts w:hint="eastAsia" w:cs="Times New Roman"/>
                      <w:b w:val="0"/>
                      <w:bCs/>
                      <w:color w:val="auto"/>
                      <w:sz w:val="21"/>
                      <w:szCs w:val="21"/>
                      <w:lang w:val="en-US" w:eastAsia="zh-CN"/>
                    </w:rPr>
                    <w:t>蓬溪县经开区</w:t>
                  </w:r>
                  <w:r>
                    <w:rPr>
                      <w:rFonts w:hint="default" w:ascii="Times New Roman" w:hAnsi="Times New Roman" w:cs="Times New Roman"/>
                      <w:b w:val="0"/>
                      <w:bCs/>
                      <w:color w:val="auto"/>
                      <w:sz w:val="21"/>
                      <w:szCs w:val="21"/>
                    </w:rPr>
                    <w:t>污水处理厂</w:t>
                  </w:r>
                </w:p>
              </w:tc>
              <w:tc>
                <w:tcPr>
                  <w:tcW w:w="878"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排放期间流量不稳定，但不属于冲击型排放</w:t>
                  </w:r>
                </w:p>
              </w:tc>
              <w:tc>
                <w:tcPr>
                  <w:tcW w:w="581"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一般排放口</w:t>
                  </w:r>
                </w:p>
              </w:tc>
              <w:tc>
                <w:tcPr>
                  <w:tcW w:w="2534" w:type="dxa"/>
                  <w:tcBorders>
                    <w:tl2br w:val="nil"/>
                    <w:tr2bl w:val="nil"/>
                  </w:tcBorders>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执行《污水综合排放标准》（</w:t>
                  </w:r>
                  <w:r>
                    <w:rPr>
                      <w:rFonts w:ascii="Times New Roman" w:hAnsi="Times New Roman" w:cs="Times New Roman"/>
                      <w:b w:val="0"/>
                      <w:bCs/>
                      <w:color w:val="auto"/>
                      <w:sz w:val="21"/>
                      <w:szCs w:val="21"/>
                    </w:rPr>
                    <w:t>GB8978-1996</w:t>
                  </w:r>
                  <w:r>
                    <w:rPr>
                      <w:rFonts w:hint="default" w:ascii="Times New Roman" w:hAnsi="Times New Roman" w:cs="Times New Roman"/>
                      <w:b w:val="0"/>
                      <w:bCs/>
                      <w:color w:val="auto"/>
                      <w:sz w:val="21"/>
                      <w:szCs w:val="21"/>
                    </w:rPr>
                    <w:t>）三级标准，其中，氨氮、总氮、总磷参照《污水排入城镇下水道水质标准》（GB/T31962-2015）中B级标准。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jc w:val="center"/>
              </w:trPr>
              <w:tc>
                <w:tcPr>
                  <w:tcW w:w="533" w:type="dxa"/>
                  <w:tcBorders>
                    <w:tl2br w:val="nil"/>
                    <w:tr2bl w:val="nil"/>
                  </w:tcBorders>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2</w:t>
                  </w:r>
                </w:p>
              </w:tc>
              <w:tc>
                <w:tcPr>
                  <w:tcW w:w="901" w:type="dxa"/>
                  <w:tcBorders>
                    <w:tl2br w:val="nil"/>
                    <w:tr2bl w:val="nil"/>
                  </w:tcBorders>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雨水排放口（YS002）</w:t>
                  </w:r>
                </w:p>
              </w:tc>
              <w:tc>
                <w:tcPr>
                  <w:tcW w:w="887" w:type="dxa"/>
                  <w:tcBorders>
                    <w:tl2br w:val="nil"/>
                    <w:tr2bl w:val="nil"/>
                  </w:tcBorders>
                  <w:vAlign w:val="center"/>
                </w:tcPr>
                <w:p>
                  <w:pPr>
                    <w:pStyle w:val="38"/>
                    <w:rPr>
                      <w:rFonts w:hint="default" w:ascii="Times New Roman" w:hAnsi="Times New Roman" w:eastAsia="Times New Roman" w:cs="Times New Roman"/>
                      <w:b w:val="0"/>
                      <w:bCs/>
                      <w:color w:val="auto"/>
                      <w:kern w:val="2"/>
                      <w:sz w:val="21"/>
                      <w:szCs w:val="21"/>
                      <w:lang w:val="en-US" w:eastAsia="zh-CN" w:bidi="ar-SA"/>
                    </w:rPr>
                  </w:pPr>
                  <w:r>
                    <w:rPr>
                      <w:rFonts w:hint="default" w:ascii="Times New Roman" w:hAnsi="Times New Roman" w:eastAsia="Times New Roman" w:cs="Times New Roman"/>
                      <w:b w:val="0"/>
                      <w:bCs/>
                      <w:color w:val="auto"/>
                      <w:sz w:val="21"/>
                      <w:szCs w:val="21"/>
                    </w:rPr>
                    <w:t>105°41′2</w:t>
                  </w:r>
                  <w:r>
                    <w:rPr>
                      <w:rFonts w:hint="default" w:ascii="Times New Roman" w:hAnsi="Times New Roman" w:eastAsia="宋体" w:cs="Times New Roman"/>
                      <w:b w:val="0"/>
                      <w:bCs/>
                      <w:color w:val="auto"/>
                      <w:sz w:val="21"/>
                      <w:szCs w:val="21"/>
                      <w:lang w:val="en-US" w:eastAsia="zh-CN"/>
                    </w:rPr>
                    <w:t>7</w:t>
                  </w:r>
                  <w:r>
                    <w:rPr>
                      <w:rFonts w:hint="default" w:ascii="Times New Roman" w:hAnsi="Times New Roman" w:eastAsia="Times New Roman"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57</w:t>
                  </w:r>
                  <w:r>
                    <w:rPr>
                      <w:rFonts w:hint="default" w:ascii="Times New Roman" w:hAnsi="Times New Roman" w:eastAsia="Times New Roman" w:cs="Times New Roman"/>
                      <w:b w:val="0"/>
                      <w:bCs/>
                      <w:color w:val="auto"/>
                      <w:sz w:val="21"/>
                      <w:szCs w:val="21"/>
                    </w:rPr>
                    <w:t>″</w:t>
                  </w:r>
                </w:p>
              </w:tc>
              <w:tc>
                <w:tcPr>
                  <w:tcW w:w="859" w:type="dxa"/>
                  <w:tcBorders>
                    <w:tl2br w:val="nil"/>
                    <w:tr2bl w:val="nil"/>
                  </w:tcBorders>
                  <w:vAlign w:val="center"/>
                </w:tcPr>
                <w:p>
                  <w:pPr>
                    <w:pStyle w:val="38"/>
                    <w:rPr>
                      <w:rFonts w:hint="default" w:ascii="Times New Roman" w:hAnsi="Times New Roman" w:eastAsia="Times New Roman" w:cs="Times New Roman"/>
                      <w:b w:val="0"/>
                      <w:bCs/>
                      <w:color w:val="auto"/>
                      <w:kern w:val="2"/>
                      <w:sz w:val="21"/>
                      <w:szCs w:val="21"/>
                      <w:lang w:val="en-US" w:eastAsia="zh-CN" w:bidi="ar-SA"/>
                    </w:rPr>
                  </w:pPr>
                  <w:r>
                    <w:rPr>
                      <w:rFonts w:hint="default" w:ascii="Times New Roman" w:hAnsi="Times New Roman" w:eastAsia="Times New Roman" w:cs="Times New Roman"/>
                      <w:b w:val="0"/>
                      <w:bCs/>
                      <w:color w:val="auto"/>
                      <w:sz w:val="21"/>
                      <w:szCs w:val="21"/>
                    </w:rPr>
                    <w:t>30°44′</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Times New Roman" w:cs="Times New Roman"/>
                      <w:b w:val="0"/>
                      <w:bCs/>
                      <w:color w:val="auto"/>
                      <w:sz w:val="21"/>
                      <w:szCs w:val="21"/>
                    </w:rPr>
                    <w:t>.</w:t>
                  </w:r>
                  <w:r>
                    <w:rPr>
                      <w:rFonts w:hint="default" w:ascii="Times New Roman" w:hAnsi="Times New Roman" w:eastAsia="宋体" w:cs="Times New Roman"/>
                      <w:b w:val="0"/>
                      <w:bCs/>
                      <w:color w:val="auto"/>
                      <w:sz w:val="21"/>
                      <w:szCs w:val="21"/>
                      <w:lang w:val="en-US" w:eastAsia="zh-CN"/>
                    </w:rPr>
                    <w:t>2</w:t>
                  </w:r>
                  <w:r>
                    <w:rPr>
                      <w:rFonts w:hint="default" w:ascii="Times New Roman" w:hAnsi="Times New Roman" w:cs="Times New Roman"/>
                      <w:b w:val="0"/>
                      <w:bCs/>
                      <w:color w:val="auto"/>
                      <w:sz w:val="21"/>
                      <w:szCs w:val="21"/>
                      <w:lang w:val="en-US" w:eastAsia="zh-CN"/>
                    </w:rPr>
                    <w:t>3</w:t>
                  </w:r>
                  <w:r>
                    <w:rPr>
                      <w:rFonts w:hint="default" w:ascii="Times New Roman" w:hAnsi="Times New Roman" w:eastAsia="Times New Roman" w:cs="Times New Roman"/>
                      <w:b w:val="0"/>
                      <w:bCs/>
                      <w:color w:val="auto"/>
                      <w:sz w:val="21"/>
                      <w:szCs w:val="21"/>
                    </w:rPr>
                    <w:t>″</w:t>
                  </w:r>
                </w:p>
              </w:tc>
              <w:tc>
                <w:tcPr>
                  <w:tcW w:w="709" w:type="dxa"/>
                  <w:tcBorders>
                    <w:tl2br w:val="nil"/>
                    <w:tr2bl w:val="nil"/>
                  </w:tcBorders>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直接排放</w:t>
                  </w:r>
                </w:p>
              </w:tc>
              <w:tc>
                <w:tcPr>
                  <w:tcW w:w="941" w:type="dxa"/>
                  <w:tcBorders>
                    <w:tl2br w:val="nil"/>
                    <w:tr2bl w:val="nil"/>
                  </w:tcBorders>
                  <w:vAlign w:val="center"/>
                </w:tcPr>
                <w:p>
                  <w:pPr>
                    <w:pStyle w:val="38"/>
                    <w:rPr>
                      <w:rFonts w:hint="default" w:ascii="Times New Roman" w:hAnsi="Times New Roman" w:cs="Times New Roman"/>
                      <w:b w:val="0"/>
                      <w:bCs/>
                      <w:color w:val="auto"/>
                      <w:sz w:val="21"/>
                      <w:szCs w:val="21"/>
                    </w:rPr>
                  </w:pPr>
                  <w:r>
                    <w:rPr>
                      <w:rFonts w:hint="default" w:ascii="Times New Roman" w:hAnsi="Times New Roman" w:eastAsia="宋体" w:cs="Times New Roman"/>
                      <w:b w:val="0"/>
                      <w:bCs/>
                      <w:i w:val="0"/>
                      <w:iCs w:val="0"/>
                      <w:caps w:val="0"/>
                      <w:color w:val="auto"/>
                      <w:spacing w:val="0"/>
                      <w:sz w:val="21"/>
                      <w:szCs w:val="21"/>
                      <w:shd w:val="clear"/>
                    </w:rPr>
                    <w:t>直接进入江河、湖、库等水环境</w:t>
                  </w:r>
                </w:p>
              </w:tc>
              <w:tc>
                <w:tcPr>
                  <w:tcW w:w="878" w:type="dxa"/>
                  <w:tcBorders>
                    <w:tl2br w:val="nil"/>
                    <w:tr2bl w:val="nil"/>
                  </w:tcBorders>
                  <w:vAlign w:val="center"/>
                </w:tcPr>
                <w:p>
                  <w:pPr>
                    <w:pStyle w:val="38"/>
                    <w:rPr>
                      <w:rFonts w:hint="default" w:ascii="Times New Roman" w:hAnsi="Times New Roman" w:cs="Times New Roman"/>
                      <w:b w:val="0"/>
                      <w:bCs/>
                      <w:color w:val="auto"/>
                      <w:sz w:val="21"/>
                      <w:szCs w:val="21"/>
                    </w:rPr>
                  </w:pPr>
                  <w:r>
                    <w:rPr>
                      <w:rFonts w:hint="default" w:ascii="Times New Roman" w:hAnsi="Times New Roman" w:eastAsia="宋体" w:cs="Times New Roman"/>
                      <w:b w:val="0"/>
                      <w:bCs/>
                      <w:i w:val="0"/>
                      <w:iCs w:val="0"/>
                      <w:caps w:val="0"/>
                      <w:color w:val="auto"/>
                      <w:spacing w:val="0"/>
                      <w:sz w:val="21"/>
                      <w:szCs w:val="21"/>
                      <w:shd w:val="clear"/>
                    </w:rPr>
                    <w:t>连续排放，流量稳定</w:t>
                  </w:r>
                </w:p>
              </w:tc>
              <w:tc>
                <w:tcPr>
                  <w:tcW w:w="581" w:type="dxa"/>
                  <w:tcBorders>
                    <w:tl2br w:val="nil"/>
                    <w:tr2bl w:val="nil"/>
                  </w:tcBorders>
                  <w:vAlign w:val="center"/>
                </w:tcPr>
                <w:p>
                  <w:pPr>
                    <w:pStyle w:val="38"/>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rPr>
                    <w:t>一般排放口</w:t>
                  </w:r>
                </w:p>
              </w:tc>
              <w:tc>
                <w:tcPr>
                  <w:tcW w:w="2534" w:type="dxa"/>
                  <w:tcBorders>
                    <w:tl2br w:val="nil"/>
                    <w:tr2bl w:val="nil"/>
                  </w:tcBorders>
                  <w:vAlign w:val="center"/>
                </w:tcPr>
                <w:p>
                  <w:pPr>
                    <w:pStyle w:val="38"/>
                    <w:rPr>
                      <w:rFonts w:hint="default" w:ascii="Times New Roman" w:hAnsi="Times New Roman" w:cs="Times New Roman"/>
                      <w:b w:val="0"/>
                      <w:bCs/>
                      <w:color w:val="auto"/>
                      <w:sz w:val="21"/>
                      <w:szCs w:val="21"/>
                    </w:rPr>
                  </w:pPr>
                  <w:r>
                    <w:rPr>
                      <w:rFonts w:hint="default" w:ascii="Times New Roman" w:hAnsi="Times New Roman" w:eastAsia="宋体" w:cs="Times New Roman"/>
                      <w:b w:val="0"/>
                      <w:bCs/>
                      <w:i w:val="0"/>
                      <w:iCs w:val="0"/>
                      <w:caps w:val="0"/>
                      <w:color w:val="auto"/>
                      <w:spacing w:val="0"/>
                      <w:sz w:val="21"/>
                      <w:szCs w:val="21"/>
                      <w:shd w:val="clear"/>
                    </w:rPr>
                    <w:t>《污水综合排放标准》GB18918-2002 </w:t>
                  </w:r>
                </w:p>
              </w:tc>
            </w:tr>
          </w:tbl>
          <w:p>
            <w:pPr>
              <w:pStyle w:val="19"/>
              <w:spacing w:beforeAutospacing="0" w:afterAutospacing="0" w:line="360" w:lineRule="auto"/>
              <w:ind w:firstLine="480" w:firstLineChars="200"/>
              <w:jc w:val="both"/>
              <w:rPr>
                <w:rFonts w:ascii="Times New Roman" w:hAnsi="Times New Roman" w:cs="Times New Roman"/>
                <w:color w:val="auto"/>
                <w:szCs w:val="24"/>
              </w:rPr>
            </w:pPr>
            <w:r>
              <w:rPr>
                <w:rFonts w:ascii="Times New Roman" w:hAnsi="Times New Roman" w:cs="Times New Roman"/>
                <w:color w:val="auto"/>
                <w:szCs w:val="24"/>
              </w:rPr>
              <w:t>由上表可知，经生活污水预处理设施处理后，氨氮和</w:t>
            </w:r>
            <w:r>
              <w:rPr>
                <w:rFonts w:hint="default" w:ascii="Times New Roman" w:hAnsi="Times New Roman" w:cs="Times New Roman"/>
                <w:color w:val="auto"/>
                <w:szCs w:val="24"/>
              </w:rPr>
              <w:t>总磷</w:t>
            </w:r>
            <w:r>
              <w:rPr>
                <w:rFonts w:ascii="Times New Roman" w:hAnsi="Times New Roman" w:cs="Times New Roman"/>
                <w:color w:val="auto"/>
                <w:szCs w:val="24"/>
              </w:rPr>
              <w:t>浓度可达到《污水排入城镇下水道水质标准》（GB/T 31962-2015）</w:t>
            </w:r>
            <w:r>
              <w:rPr>
                <w:rFonts w:ascii="Times New Roman" w:hAnsi="Times New Roman" w:cs="Times New Roman"/>
                <w:bCs/>
                <w:color w:val="auto"/>
                <w:szCs w:val="24"/>
              </w:rPr>
              <w:t>B级标准</w:t>
            </w:r>
            <w:r>
              <w:rPr>
                <w:rFonts w:ascii="Times New Roman" w:hAnsi="Times New Roman" w:cs="Times New Roman"/>
                <w:color w:val="auto"/>
                <w:szCs w:val="24"/>
              </w:rPr>
              <w:t>，其余污染物可达到《污水综合排放标准》（GB8978-1996）表4中三级标准要求。</w:t>
            </w:r>
          </w:p>
          <w:p>
            <w:pPr>
              <w:spacing w:line="360" w:lineRule="auto"/>
              <w:rPr>
                <w:rFonts w:ascii="Times New Roman" w:hAnsi="Times New Roman" w:cs="Times New Roman"/>
                <w:b/>
                <w:bCs/>
                <w:color w:val="auto"/>
                <w:sz w:val="24"/>
              </w:rPr>
            </w:pPr>
            <w:r>
              <w:rPr>
                <w:rFonts w:hint="default" w:ascii="Times New Roman" w:hAnsi="Times New Roman" w:cs="Times New Roman"/>
                <w:b/>
                <w:bCs/>
                <w:color w:val="auto"/>
                <w:sz w:val="24"/>
              </w:rPr>
              <w:t>3、监测计划</w:t>
            </w:r>
          </w:p>
          <w:p>
            <w:pPr>
              <w:spacing w:line="360" w:lineRule="auto"/>
              <w:ind w:firstLine="480"/>
              <w:rPr>
                <w:rFonts w:ascii="Times New Roman" w:hAnsi="Times New Roman" w:cs="Times New Roman"/>
                <w:color w:val="auto"/>
              </w:rPr>
            </w:pPr>
            <w:r>
              <w:rPr>
                <w:rFonts w:hint="default" w:ascii="Times New Roman" w:hAnsi="Times New Roman" w:cs="Times New Roman"/>
                <w:color w:val="auto"/>
                <w:sz w:val="24"/>
              </w:rPr>
              <w:t>本项目运营期间各污染源监测要求详见下表：</w:t>
            </w:r>
          </w:p>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表4-1</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 xml:space="preserve">  废水监测一览表</w:t>
            </w:r>
          </w:p>
          <w:tbl>
            <w:tblPr>
              <w:tblStyle w:val="25"/>
              <w:tblW w:w="8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276"/>
              <w:gridCol w:w="1701"/>
              <w:gridCol w:w="2976"/>
              <w:gridCol w:w="1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903" w:type="dxa"/>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276" w:type="dxa"/>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701" w:type="dxa"/>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2976" w:type="dxa"/>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370" w:type="dxa"/>
                  <w:vAlign w:val="center"/>
                </w:tcPr>
                <w:p>
                  <w:pPr>
                    <w:pStyle w:val="38"/>
                    <w:rPr>
                      <w:rFonts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03"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w:t>
                  </w:r>
                </w:p>
              </w:tc>
              <w:tc>
                <w:tcPr>
                  <w:tcW w:w="1276"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生活污水</w:t>
                  </w:r>
                </w:p>
              </w:tc>
              <w:tc>
                <w:tcPr>
                  <w:tcW w:w="1701"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废水排放口</w:t>
                  </w:r>
                </w:p>
              </w:tc>
              <w:tc>
                <w:tcPr>
                  <w:tcW w:w="2976"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pH、COD</w:t>
                  </w:r>
                  <w:r>
                    <w:rPr>
                      <w:rFonts w:hint="default" w:ascii="Times New Roman" w:hAnsi="Times New Roman" w:cs="Times New Roman"/>
                      <w:b w:val="0"/>
                      <w:bCs/>
                      <w:color w:val="auto"/>
                      <w:sz w:val="21"/>
                      <w:szCs w:val="21"/>
                      <w:vertAlign w:val="subscript"/>
                    </w:rPr>
                    <w:t>Cr</w:t>
                  </w:r>
                  <w:r>
                    <w:rPr>
                      <w:rFonts w:hint="default" w:ascii="Times New Roman" w:hAnsi="Times New Roman" w:cs="Times New Roman"/>
                      <w:b w:val="0"/>
                      <w:bCs/>
                      <w:color w:val="auto"/>
                      <w:sz w:val="21"/>
                      <w:szCs w:val="21"/>
                    </w:rPr>
                    <w:t>、BOD</w:t>
                  </w:r>
                  <w:r>
                    <w:rPr>
                      <w:rFonts w:hint="default" w:ascii="Times New Roman" w:hAnsi="Times New Roman" w:cs="Times New Roman"/>
                      <w:b w:val="0"/>
                      <w:bCs/>
                      <w:color w:val="auto"/>
                      <w:sz w:val="21"/>
                      <w:szCs w:val="21"/>
                      <w:vertAlign w:val="subscript"/>
                    </w:rPr>
                    <w:t>5</w:t>
                  </w:r>
                  <w:r>
                    <w:rPr>
                      <w:rFonts w:hint="default" w:ascii="Times New Roman" w:hAnsi="Times New Roman" w:cs="Times New Roman"/>
                      <w:b w:val="0"/>
                      <w:bCs/>
                      <w:color w:val="auto"/>
                      <w:sz w:val="21"/>
                      <w:szCs w:val="21"/>
                    </w:rPr>
                    <w:t>、SS、NH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-N、TN、TP、动植物油</w:t>
                  </w:r>
                </w:p>
              </w:tc>
              <w:tc>
                <w:tcPr>
                  <w:tcW w:w="1370" w:type="dxa"/>
                  <w:vAlign w:val="center"/>
                </w:tcPr>
                <w:p>
                  <w:pPr>
                    <w:pStyle w:val="38"/>
                    <w:rPr>
                      <w:rFonts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1次/一年</w:t>
                  </w:r>
                </w:p>
              </w:tc>
            </w:tr>
          </w:tbl>
          <w:p>
            <w:pPr>
              <w:pStyle w:val="19"/>
              <w:spacing w:beforeAutospacing="0" w:afterAutospacing="0" w:line="360" w:lineRule="auto"/>
              <w:ind w:firstLine="480" w:firstLineChars="200"/>
              <w:jc w:val="both"/>
              <w:rPr>
                <w:rFonts w:ascii="Times New Roman" w:hAnsi="Times New Roman" w:cs="Times New Roman"/>
                <w:color w:val="auto"/>
                <w:szCs w:val="24"/>
              </w:rPr>
            </w:pPr>
          </w:p>
          <w:p>
            <w:pPr>
              <w:spacing w:line="360" w:lineRule="auto"/>
              <w:rPr>
                <w:rFonts w:ascii="Times New Roman" w:hAnsi="Times New Roman" w:cs="Times New Roman"/>
                <w:b/>
                <w:bCs/>
                <w:color w:val="auto"/>
                <w:sz w:val="24"/>
                <w:szCs w:val="24"/>
              </w:rPr>
            </w:pPr>
            <w:r>
              <w:rPr>
                <w:rFonts w:hint="default" w:ascii="Times New Roman" w:hAnsi="Times New Roman" w:cs="Times New Roman"/>
                <w:b/>
                <w:bCs/>
                <w:color w:val="auto"/>
                <w:sz w:val="24"/>
                <w:szCs w:val="24"/>
              </w:rPr>
              <w:t>（二）地表水环境影响评价</w:t>
            </w:r>
          </w:p>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ascii="Times New Roman" w:hAnsi="Times New Roman" w:cs="Times New Roman"/>
                <w:color w:val="auto"/>
                <w:sz w:val="24"/>
                <w:szCs w:val="24"/>
              </w:rPr>
              <w:t>雨水由厂区现有雨水排水管收集后</w:t>
            </w:r>
            <w:r>
              <w:rPr>
                <w:rFonts w:hint="default" w:ascii="Times New Roman" w:hAnsi="Times New Roman" w:cs="Times New Roman"/>
                <w:color w:val="auto"/>
                <w:sz w:val="24"/>
                <w:szCs w:val="24"/>
                <w:lang w:val="en-US" w:eastAsia="zh-CN"/>
              </w:rPr>
              <w:t>进入</w:t>
            </w:r>
            <w:r>
              <w:rPr>
                <w:rFonts w:ascii="Times New Roman" w:hAnsi="Times New Roman" w:cs="Times New Roman"/>
                <w:color w:val="auto"/>
                <w:sz w:val="24"/>
                <w:szCs w:val="24"/>
              </w:rPr>
              <w:t>城市雨水管网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rPr>
              <w:t>经厂区预处理达标后排入园区污水管网，最终经市政污水管网</w:t>
            </w:r>
            <w:r>
              <w:rPr>
                <w:rFonts w:hint="eastAsia" w:ascii="Times New Roman" w:hAnsi="Times New Roman" w:cs="Times New Roman"/>
                <w:color w:val="auto"/>
                <w:sz w:val="24"/>
                <w:szCs w:val="24"/>
                <w:lang w:val="en-US" w:eastAsia="zh-CN"/>
              </w:rPr>
              <w:t>进入蓬溪县经开区污水处理厂。</w:t>
            </w:r>
            <w:r>
              <w:rPr>
                <w:rFonts w:hint="default" w:ascii="Times New Roman" w:hAnsi="Times New Roman" w:cs="Times New Roman"/>
                <w:color w:val="auto"/>
                <w:sz w:val="24"/>
                <w:szCs w:val="24"/>
              </w:rPr>
              <w:t>本项目外排生活废水水质简单，可生化性好，废水经预处理池处理达标后可排入市政污水管网经</w:t>
            </w:r>
            <w:r>
              <w:rPr>
                <w:rFonts w:hint="eastAsia" w:ascii="Times New Roman" w:hAnsi="Times New Roman" w:cs="Times New Roman"/>
                <w:color w:val="auto"/>
                <w:sz w:val="24"/>
                <w:szCs w:val="24"/>
                <w:lang w:val="en-US" w:eastAsia="zh-CN"/>
              </w:rPr>
              <w:t>蓬溪县经开区</w:t>
            </w:r>
            <w:r>
              <w:rPr>
                <w:rFonts w:hint="default" w:ascii="Times New Roman" w:hAnsi="Times New Roman" w:cs="Times New Roman"/>
                <w:color w:val="auto"/>
                <w:sz w:val="24"/>
                <w:szCs w:val="24"/>
              </w:rPr>
              <w:t>污水处理厂处理后达标排放。</w:t>
            </w:r>
          </w:p>
          <w:p>
            <w:pPr>
              <w:pStyle w:val="44"/>
              <w:rPr>
                <w:rFonts w:ascii="Times New Roman" w:hAnsi="Times New Roman" w:cs="Times New Roman"/>
                <w:color w:val="auto"/>
                <w:szCs w:val="24"/>
              </w:rPr>
            </w:pPr>
            <w:r>
              <w:rPr>
                <w:rFonts w:hint="default" w:ascii="Times New Roman" w:hAnsi="Times New Roman" w:cs="Times New Roman"/>
                <w:color w:val="auto"/>
                <w:szCs w:val="24"/>
              </w:rPr>
              <w:t>三</w:t>
            </w:r>
            <w:r>
              <w:rPr>
                <w:rFonts w:ascii="Times New Roman" w:hAnsi="Times New Roman" w:cs="Times New Roman"/>
                <w:color w:val="auto"/>
                <w:szCs w:val="24"/>
              </w:rPr>
              <w:t>、噪声</w:t>
            </w:r>
          </w:p>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（一）噪声产排情况</w:t>
            </w:r>
          </w:p>
          <w:p>
            <w:pPr>
              <w:spacing w:line="360" w:lineRule="auto"/>
              <w:ind w:firstLine="480" w:firstLineChars="200"/>
              <w:jc w:val="both"/>
              <w:rPr>
                <w:rFonts w:ascii="Times New Roman" w:hAnsi="Times New Roman" w:cs="Times New Roman"/>
                <w:color w:val="auto"/>
                <w:kern w:val="1"/>
                <w:sz w:val="24"/>
                <w:szCs w:val="24"/>
              </w:rPr>
            </w:pPr>
            <w:r>
              <w:rPr>
                <w:rFonts w:ascii="Times New Roman" w:hAnsi="Times New Roman" w:cs="Times New Roman"/>
                <w:color w:val="auto"/>
                <w:sz w:val="24"/>
                <w:szCs w:val="24"/>
              </w:rPr>
              <w:t>本项目噪声主要来源于</w:t>
            </w:r>
            <w:r>
              <w:rPr>
                <w:rFonts w:hint="default" w:ascii="Times New Roman" w:hAnsi="Times New Roman" w:cs="Times New Roman"/>
                <w:color w:val="auto"/>
                <w:sz w:val="24"/>
                <w:szCs w:val="24"/>
              </w:rPr>
              <w:t>离心</w:t>
            </w:r>
            <w:r>
              <w:rPr>
                <w:rFonts w:ascii="Times New Roman" w:hAnsi="Times New Roman" w:cs="Times New Roman"/>
                <w:color w:val="auto"/>
                <w:sz w:val="24"/>
                <w:szCs w:val="24"/>
              </w:rPr>
              <w:t>机、</w:t>
            </w:r>
            <w:r>
              <w:rPr>
                <w:rFonts w:hint="default" w:ascii="Times New Roman" w:hAnsi="Times New Roman" w:cs="Times New Roman"/>
                <w:color w:val="auto"/>
                <w:sz w:val="24"/>
                <w:szCs w:val="24"/>
              </w:rPr>
              <w:t>搅拌</w:t>
            </w:r>
            <w:r>
              <w:rPr>
                <w:rFonts w:ascii="Times New Roman" w:hAnsi="Times New Roman" w:cs="Times New Roman"/>
                <w:color w:val="auto"/>
                <w:sz w:val="24"/>
                <w:szCs w:val="24"/>
              </w:rPr>
              <w:t>机</w:t>
            </w:r>
            <w:r>
              <w:rPr>
                <w:rFonts w:hint="default" w:ascii="Times New Roman" w:hAnsi="Times New Roman" w:cs="Times New Roman"/>
                <w:color w:val="auto"/>
                <w:sz w:val="24"/>
                <w:szCs w:val="24"/>
              </w:rPr>
              <w:t>、电焊机、张拉机、墩头机、滚焊机、调直机、行车</w:t>
            </w:r>
            <w:r>
              <w:rPr>
                <w:rFonts w:ascii="Times New Roman" w:hAnsi="Times New Roman" w:cs="Times New Roman"/>
                <w:color w:val="auto"/>
                <w:sz w:val="24"/>
                <w:szCs w:val="24"/>
              </w:rPr>
              <w:t>等工作时产生的噪声。</w:t>
            </w:r>
            <w:r>
              <w:rPr>
                <w:rFonts w:ascii="Times New Roman" w:hAnsi="Times New Roman" w:cs="Times New Roman"/>
                <w:color w:val="auto"/>
                <w:kern w:val="1"/>
                <w:sz w:val="24"/>
                <w:szCs w:val="24"/>
              </w:rPr>
              <w:t>企业拟对高噪声设备采取加减振垫、消音器等措施。</w:t>
            </w:r>
            <w:r>
              <w:rPr>
                <w:rFonts w:ascii="Times New Roman" w:hAnsi="Times New Roman" w:cs="Times New Roman"/>
                <w:color w:val="auto"/>
                <w:sz w:val="24"/>
                <w:szCs w:val="24"/>
              </w:rPr>
              <w:t>具体噪声源强见表4-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2</w:t>
            </w:r>
            <w:r>
              <w:rPr>
                <w:rFonts w:ascii="Times New Roman" w:hAnsi="Times New Roman" w:cs="Times New Roman"/>
                <w:color w:val="auto"/>
                <w:kern w:val="1"/>
                <w:sz w:val="24"/>
                <w:szCs w:val="24"/>
                <w:lang w:val="en-GB"/>
              </w:rPr>
              <w:t>所示。</w:t>
            </w:r>
          </w:p>
          <w:p>
            <w:pPr>
              <w:pStyle w:val="23"/>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default" w:ascii="Times New Roman" w:hAnsi="Times New Roman" w:cs="Times New Roman"/>
                <w:b/>
                <w:bCs/>
                <w:color w:val="auto"/>
                <w:sz w:val="21"/>
                <w:szCs w:val="21"/>
              </w:rPr>
              <w:t>1</w:t>
            </w:r>
            <w:r>
              <w:rPr>
                <w:rFonts w:hint="default" w:ascii="Times New Roman" w:hAnsi="Times New Roman" w:cs="Times New Roman"/>
                <w:b/>
                <w:bCs/>
                <w:color w:val="auto"/>
                <w:sz w:val="21"/>
                <w:szCs w:val="21"/>
                <w:lang w:val="en-US" w:eastAsia="zh-CN"/>
              </w:rPr>
              <w:t>2</w:t>
            </w:r>
            <w:r>
              <w:rPr>
                <w:rFonts w:ascii="Times New Roman" w:hAnsi="Times New Roman" w:cs="Times New Roman"/>
                <w:b/>
                <w:bCs/>
                <w:color w:val="auto"/>
                <w:sz w:val="21"/>
                <w:szCs w:val="21"/>
              </w:rPr>
              <w:t xml:space="preserve">  </w:t>
            </w:r>
            <w:r>
              <w:rPr>
                <w:rFonts w:ascii="Times New Roman" w:hAnsi="Times New Roman" w:cs="Times New Roman"/>
                <w:b/>
                <w:bCs/>
                <w:color w:val="auto"/>
              </w:rPr>
              <w:t xml:space="preserve">工业企业噪声源强调查清单（室内声源） </w:t>
            </w:r>
          </w:p>
          <w:tbl>
            <w:tblPr>
              <w:tblStyle w:val="25"/>
              <w:tblW w:w="8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50"/>
              <w:gridCol w:w="1150"/>
              <w:gridCol w:w="680"/>
              <w:gridCol w:w="645"/>
              <w:gridCol w:w="615"/>
              <w:gridCol w:w="648"/>
              <w:gridCol w:w="683"/>
              <w:gridCol w:w="530"/>
              <w:gridCol w:w="595"/>
              <w:gridCol w:w="427"/>
              <w:gridCol w:w="725"/>
              <w:gridCol w:w="610"/>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43"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450"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建筑物名称</w:t>
                  </w:r>
                </w:p>
              </w:tc>
              <w:tc>
                <w:tcPr>
                  <w:tcW w:w="1150"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声源名称</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声源源强</w:t>
                  </w:r>
                </w:p>
              </w:tc>
              <w:tc>
                <w:tcPr>
                  <w:tcW w:w="645"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声源控制措施</w:t>
                  </w:r>
                </w:p>
              </w:tc>
              <w:tc>
                <w:tcPr>
                  <w:tcW w:w="1946" w:type="dxa"/>
                  <w:gridSpan w:val="3"/>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空间相对位置/m</w:t>
                  </w:r>
                </w:p>
              </w:tc>
              <w:tc>
                <w:tcPr>
                  <w:tcW w:w="530"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距室内边</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界距离/m</w:t>
                  </w:r>
                </w:p>
              </w:tc>
              <w:tc>
                <w:tcPr>
                  <w:tcW w:w="595"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室内边界</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声级</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/dB(A)</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427"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运行时</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段</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725"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lang w:bidi="ar"/>
                    </w:rPr>
                    <w:t>建筑物</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插入损</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失/</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dB(A)</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1297" w:type="dxa"/>
                  <w:gridSpan w:val="2"/>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443"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11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p>
              </w:tc>
              <w:tc>
                <w:tcPr>
                  <w:tcW w:w="680" w:type="dxa"/>
                  <w:vAlign w:val="center"/>
                </w:tcPr>
                <w:p>
                  <w:pPr>
                    <w:keepNext w:val="0"/>
                    <w:keepLines w:val="0"/>
                    <w:pageBreakBefore w:val="0"/>
                    <w:kinsoku/>
                    <w:wordWrap w:val="0"/>
                    <w:overflowPunct/>
                    <w:topLine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声功率级/dB(A)</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X</w:t>
                  </w:r>
                </w:p>
              </w:tc>
              <w:tc>
                <w:tcPr>
                  <w:tcW w:w="648"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Y</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Z</w:t>
                  </w:r>
                </w:p>
              </w:tc>
              <w:tc>
                <w:tcPr>
                  <w:tcW w:w="53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59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声压级</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/dB(A)</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建筑物</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外距离</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color w:val="auto"/>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450"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snapToGrid w:val="0"/>
                      <w:color w:val="auto"/>
                      <w:sz w:val="21"/>
                      <w:szCs w:val="21"/>
                      <w:lang w:val="en-US" w:eastAsia="zh-CN"/>
                    </w:rPr>
                    <w:t>生产车间</w:t>
                  </w:r>
                </w:p>
              </w:tc>
              <w:tc>
                <w:tcPr>
                  <w:tcW w:w="1150" w:type="dxa"/>
                  <w:vAlign w:val="center"/>
                </w:tcPr>
                <w:p>
                  <w:pPr>
                    <w:keepNext w:val="0"/>
                    <w:keepLines w:val="0"/>
                    <w:pageBreakBefore w:val="0"/>
                    <w:kinsoku/>
                    <w:overflowPunct/>
                    <w:autoSpaceDE/>
                    <w:autoSpaceDN/>
                    <w:bidi w:val="0"/>
                    <w:adjustRightInd/>
                    <w:snapToGrid/>
                    <w:spacing w:line="240" w:lineRule="auto"/>
                    <w:ind w:firstLine="0" w:firstLineChars="0"/>
                    <w:jc w:val="center"/>
                    <w:rPr>
                      <w:rFonts w:hint="default" w:ascii="Times New Roman" w:hAnsi="Times New Roman" w:cs="Times New Roman"/>
                      <w:b/>
                      <w:color w:val="auto"/>
                      <w:sz w:val="21"/>
                      <w:szCs w:val="21"/>
                    </w:rPr>
                  </w:pPr>
                  <w:r>
                    <w:rPr>
                      <w:rFonts w:hint="eastAsia" w:ascii="Times New Roman" w:hAnsi="Times New Roman" w:cs="Times New Roman"/>
                      <w:color w:val="auto"/>
                      <w:kern w:val="2"/>
                      <w:sz w:val="21"/>
                      <w:szCs w:val="21"/>
                      <w:lang w:eastAsia="zh-CN"/>
                    </w:rPr>
                    <w:t>天然气</w:t>
                  </w:r>
                  <w:r>
                    <w:rPr>
                      <w:rFonts w:hint="default" w:ascii="Times New Roman" w:hAnsi="Times New Roman" w:cs="Times New Roman"/>
                      <w:color w:val="auto"/>
                      <w:kern w:val="2"/>
                      <w:sz w:val="21"/>
                      <w:szCs w:val="21"/>
                    </w:rPr>
                    <w:t>蒸汽锅炉</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w:t>
                  </w:r>
                </w:p>
              </w:tc>
              <w:tc>
                <w:tcPr>
                  <w:tcW w:w="645" w:type="dxa"/>
                  <w:vMerge w:val="restart"/>
                  <w:vAlign w:val="center"/>
                </w:tcPr>
                <w:p>
                  <w:pPr>
                    <w:pStyle w:val="10"/>
                    <w:keepNext w:val="0"/>
                    <w:keepLines w:val="0"/>
                    <w:pageBreakBefore w:val="0"/>
                    <w:kinsoku/>
                    <w:overflowPunct/>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color w:val="auto"/>
                      <w:kern w:val="1"/>
                      <w:sz w:val="21"/>
                      <w:szCs w:val="21"/>
                      <w:lang w:eastAsia="zh-CN"/>
                    </w:rPr>
                  </w:pPr>
                  <w:r>
                    <w:rPr>
                      <w:rFonts w:hint="default" w:ascii="Times New Roman" w:hAnsi="Times New Roman" w:cs="Times New Roman"/>
                      <w:snapToGrid w:val="0"/>
                      <w:color w:val="auto"/>
                      <w:sz w:val="21"/>
                      <w:szCs w:val="21"/>
                    </w:rPr>
                    <w:t>基础减振</w:t>
                  </w:r>
                  <w:r>
                    <w:rPr>
                      <w:rFonts w:hint="default" w:ascii="Times New Roman" w:hAnsi="Times New Roman" w:cs="Times New Roman"/>
                      <w:snapToGrid w:val="0"/>
                      <w:color w:val="auto"/>
                      <w:sz w:val="21"/>
                      <w:szCs w:val="21"/>
                      <w:lang w:eastAsia="zh-CN"/>
                    </w:rPr>
                    <w:t>、</w:t>
                  </w:r>
                  <w:r>
                    <w:rPr>
                      <w:rFonts w:hint="default" w:ascii="Times New Roman" w:hAnsi="Times New Roman" w:cs="Times New Roman"/>
                      <w:snapToGrid w:val="0"/>
                      <w:color w:val="auto"/>
                      <w:sz w:val="21"/>
                      <w:szCs w:val="21"/>
                      <w:lang w:val="en-US" w:eastAsia="zh-CN"/>
                    </w:rPr>
                    <w:t>合理布局、</w:t>
                  </w:r>
                  <w:r>
                    <w:rPr>
                      <w:rFonts w:ascii="Times New Roman" w:hAnsi="Times New Roman" w:cs="Times New Roman"/>
                      <w:color w:val="auto"/>
                      <w:kern w:val="1"/>
                      <w:sz w:val="21"/>
                      <w:szCs w:val="21"/>
                    </w:rPr>
                    <w:t>室内通风管道均加装消声器；环保设备室外风机减振、安装隔声罩</w:t>
                  </w:r>
                  <w:r>
                    <w:rPr>
                      <w:rFonts w:hint="default" w:ascii="Times New Roman" w:hAnsi="Times New Roman" w:cs="Times New Roman"/>
                      <w:color w:val="auto"/>
                      <w:kern w:val="1"/>
                      <w:sz w:val="21"/>
                      <w:szCs w:val="21"/>
                      <w:lang w:val="en-US" w:eastAsia="zh-CN"/>
                    </w:rPr>
                    <w:t>等</w:t>
                  </w:r>
                </w:p>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
                      <w:color w:val="auto"/>
                      <w:sz w:val="21"/>
                      <w:szCs w:val="21"/>
                      <w:lang w:val="en-US" w:eastAsia="zh-CN"/>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2</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12</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68.42 </w:t>
                  </w:r>
                </w:p>
              </w:tc>
              <w:tc>
                <w:tcPr>
                  <w:tcW w:w="427" w:type="dxa"/>
                  <w:vMerge w:val="restart"/>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r>
                    <w:rPr>
                      <w:rFonts w:hint="default" w:ascii="Times New Roman" w:hAnsi="Times New Roman" w:cs="Times New Roman"/>
                      <w:bCs/>
                      <w:color w:val="auto"/>
                      <w:sz w:val="21"/>
                      <w:szCs w:val="21"/>
                    </w:rPr>
                    <w:t>昼间</w:t>
                  </w: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58.4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kinsoku/>
                    <w:overflowPunct/>
                    <w:autoSpaceDE/>
                    <w:autoSpaceDN/>
                    <w:bidi w:val="0"/>
                    <w:adjustRightInd/>
                    <w:snapToGrid/>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离心机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95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2</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18</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69.89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59.9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kinsoku/>
                    <w:overflowPunct/>
                    <w:autoSpaceDE/>
                    <w:autoSpaceDN/>
                    <w:bidi w:val="0"/>
                    <w:adjustRightInd/>
                    <w:snapToGrid/>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行车</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7</w:t>
                  </w:r>
                  <w:r>
                    <w:rPr>
                      <w:rFonts w:hint="default" w:ascii="Times New Roman" w:hAnsi="Times New Roman" w:cs="Times New Roman"/>
                      <w:bCs/>
                      <w:color w:val="auto"/>
                      <w:sz w:val="21"/>
                      <w:szCs w:val="21"/>
                    </w:rPr>
                    <w:t>0</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12</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70.00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60.0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kinsoku/>
                    <w:overflowPunct/>
                    <w:autoSpaceDE/>
                    <w:autoSpaceDN/>
                    <w:bidi w:val="0"/>
                    <w:adjustRightInd/>
                    <w:snapToGrid/>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搅拌机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95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3</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68.98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59.0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kinsoku/>
                    <w:overflowPunct/>
                    <w:autoSpaceDE/>
                    <w:autoSpaceDN/>
                    <w:bidi w:val="0"/>
                    <w:adjustRightInd/>
                    <w:snapToGrid/>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电焊机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8</w:t>
                  </w:r>
                  <w:r>
                    <w:rPr>
                      <w:rFonts w:hint="default" w:ascii="Times New Roman" w:hAnsi="Times New Roman" w:cs="Times New Roman"/>
                      <w:bCs/>
                      <w:color w:val="auto"/>
                      <w:sz w:val="21"/>
                      <w:szCs w:val="21"/>
                      <w:lang w:val="en-US" w:eastAsia="zh-CN"/>
                    </w:rPr>
                    <w:t>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83"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8</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66.94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56.9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widowControl/>
                    <w:kinsoku/>
                    <w:overflowPunct/>
                    <w:bidi w:val="0"/>
                    <w:adjustRightInd/>
                    <w:snapToGrid/>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张拉机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65.00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55.0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widowControl/>
                    <w:kinsoku/>
                    <w:overflowPunct/>
                    <w:bidi w:val="0"/>
                    <w:adjustRightInd/>
                    <w:snapToGrid/>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墩头机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eastAsia"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rPr>
                    <w:t>8</w:t>
                  </w:r>
                  <w:r>
                    <w:rPr>
                      <w:rFonts w:hint="eastAsia" w:ascii="Times New Roman" w:hAnsi="Times New Roman" w:cs="Times New Roman"/>
                      <w:bCs/>
                      <w:color w:val="auto"/>
                      <w:sz w:val="21"/>
                      <w:szCs w:val="21"/>
                      <w:lang w:val="en-US" w:eastAsia="zh-CN"/>
                    </w:rPr>
                    <w:t>6</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66.00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w:t>
                  </w:r>
                </w:p>
              </w:tc>
              <w:tc>
                <w:tcPr>
                  <w:tcW w:w="450"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widowControl/>
                    <w:kinsoku/>
                    <w:overflowPunct/>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rPr>
                  </w:pPr>
                  <w:r>
                    <w:rPr>
                      <w:rFonts w:hint="default" w:ascii="Times New Roman" w:hAnsi="Times New Roman" w:cs="Times New Roman"/>
                      <w:color w:val="auto"/>
                      <w:sz w:val="21"/>
                      <w:szCs w:val="21"/>
                    </w:rPr>
                    <w:t>打圈机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75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56.94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46.9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9</w:t>
                  </w:r>
                </w:p>
              </w:tc>
              <w:tc>
                <w:tcPr>
                  <w:tcW w:w="45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widowControl/>
                    <w:kinsoku/>
                    <w:overflowPunct/>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rPr>
                  </w:pPr>
                  <w:r>
                    <w:rPr>
                      <w:rFonts w:hint="default" w:ascii="Times New Roman" w:hAnsi="Times New Roman" w:cs="Times New Roman"/>
                      <w:color w:val="auto"/>
                      <w:sz w:val="21"/>
                      <w:szCs w:val="21"/>
                    </w:rPr>
                    <w:t>滚焊机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66.02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4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10</w:t>
                  </w:r>
                </w:p>
              </w:tc>
              <w:tc>
                <w:tcPr>
                  <w:tcW w:w="45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1150" w:type="dxa"/>
                  <w:vAlign w:val="center"/>
                </w:tcPr>
                <w:p>
                  <w:pPr>
                    <w:keepNext w:val="0"/>
                    <w:keepLines w:val="0"/>
                    <w:pageBreakBefore w:val="0"/>
                    <w:widowControl/>
                    <w:kinsoku/>
                    <w:overflowPunct/>
                    <w:bidi w:val="0"/>
                    <w:adjustRightInd/>
                    <w:snapToGrid/>
                    <w:spacing w:line="240" w:lineRule="auto"/>
                    <w:ind w:firstLine="0" w:firstLineChars="0"/>
                    <w:jc w:val="center"/>
                    <w:textAlignment w:val="center"/>
                    <w:rPr>
                      <w:rFonts w:hint="default" w:ascii="Times New Roman" w:hAnsi="Times New Roman" w:cs="Times New Roman"/>
                      <w:i w:val="0"/>
                      <w:iCs w:val="0"/>
                      <w:color w:val="auto"/>
                      <w:sz w:val="21"/>
                      <w:szCs w:val="21"/>
                    </w:rPr>
                  </w:pPr>
                  <w:r>
                    <w:rPr>
                      <w:rFonts w:hint="default" w:ascii="Times New Roman" w:hAnsi="Times New Roman" w:cs="Times New Roman"/>
                      <w:color w:val="auto"/>
                      <w:sz w:val="21"/>
                      <w:szCs w:val="21"/>
                    </w:rPr>
                    <w:t>调直机</w:t>
                  </w:r>
                </w:p>
              </w:tc>
              <w:tc>
                <w:tcPr>
                  <w:tcW w:w="68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c>
                <w:tcPr>
                  <w:tcW w:w="645"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615"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648" w:type="dxa"/>
                  <w:vAlign w:val="center"/>
                </w:tcPr>
                <w:p>
                  <w:pPr>
                    <w:keepNext w:val="0"/>
                    <w:keepLines w:val="0"/>
                    <w:pageBreakBefore w:val="0"/>
                    <w:kinsoku/>
                    <w:wordWrap w:val="0"/>
                    <w:overflowPunct/>
                    <w:topLinePunct/>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p>
              </w:tc>
              <w:tc>
                <w:tcPr>
                  <w:tcW w:w="683"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w:t>
                  </w:r>
                </w:p>
              </w:tc>
              <w:tc>
                <w:tcPr>
                  <w:tcW w:w="530"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c>
                <w:tcPr>
                  <w:tcW w:w="59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61.02 </w:t>
                  </w:r>
                </w:p>
              </w:tc>
              <w:tc>
                <w:tcPr>
                  <w:tcW w:w="427" w:type="dxa"/>
                  <w:vMerge w:val="continue"/>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cs="Times New Roman"/>
                      <w:b/>
                      <w:color w:val="auto"/>
                      <w:sz w:val="21"/>
                      <w:szCs w:val="21"/>
                    </w:rPr>
                  </w:pPr>
                </w:p>
              </w:tc>
              <w:tc>
                <w:tcPr>
                  <w:tcW w:w="725"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p>
              </w:tc>
              <w:tc>
                <w:tcPr>
                  <w:tcW w:w="610" w:type="dxa"/>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51.0 </w:t>
                  </w:r>
                </w:p>
              </w:tc>
              <w:tc>
                <w:tcPr>
                  <w:tcW w:w="687" w:type="dxa"/>
                  <w:vAlign w:val="center"/>
                </w:tcPr>
                <w:p>
                  <w:pPr>
                    <w:keepNext w:val="0"/>
                    <w:keepLines w:val="0"/>
                    <w:pageBreakBefore w:val="0"/>
                    <w:kinsoku/>
                    <w:overflowPunct/>
                    <w:bidi w:val="0"/>
                    <w:adjustRightInd/>
                    <w:snapToGrid/>
                    <w:spacing w:line="240" w:lineRule="auto"/>
                    <w:ind w:firstLine="0" w:firstLineChars="0"/>
                    <w:jc w:val="center"/>
                    <w:outlineLvl w:val="3"/>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w:t>
                  </w:r>
                </w:p>
              </w:tc>
            </w:tr>
          </w:tbl>
          <w:p>
            <w:pPr>
              <w:pStyle w:val="44"/>
              <w:autoSpaceDE/>
              <w:autoSpaceDN/>
              <w:ind w:firstLine="482" w:firstLineChars="200"/>
              <w:rPr>
                <w:rFonts w:ascii="Times New Roman" w:hAnsi="Times New Roman" w:cs="Times New Roman"/>
                <w:color w:val="auto"/>
                <w:szCs w:val="24"/>
              </w:rPr>
            </w:pPr>
            <w:r>
              <w:rPr>
                <w:rFonts w:ascii="Times New Roman" w:hAnsi="Times New Roman" w:cs="Times New Roman"/>
                <w:color w:val="auto"/>
                <w:szCs w:val="24"/>
              </w:rPr>
              <w:t>治理措施：</w:t>
            </w:r>
          </w:p>
          <w:p>
            <w:pPr>
              <w:pStyle w:val="10"/>
              <w:autoSpaceDE/>
              <w:autoSpaceDN/>
              <w:spacing w:after="0" w:line="360" w:lineRule="auto"/>
              <w:ind w:left="0" w:leftChars="0" w:firstLine="480" w:firstLineChars="200"/>
              <w:jc w:val="both"/>
              <w:rPr>
                <w:rFonts w:ascii="Times New Roman" w:hAnsi="Times New Roman" w:cs="Times New Roman"/>
                <w:color w:val="auto"/>
                <w:kern w:val="1"/>
                <w:szCs w:val="24"/>
              </w:rPr>
            </w:pPr>
            <w:r>
              <w:rPr>
                <w:rFonts w:ascii="Times New Roman" w:hAnsi="Times New Roman" w:cs="Times New Roman"/>
                <w:color w:val="auto"/>
                <w:kern w:val="1"/>
                <w:szCs w:val="24"/>
              </w:rPr>
              <w:t>（1）声源降噪：各产噪设备均进行减振处理，在安装连接时采用合理的连接方式，在设备和基础之间加装隔振元件（如减振器、橡胶隔振垫等），设置防振沟，从声源处避免噪声和振动的远距离传播；</w:t>
            </w:r>
          </w:p>
          <w:p>
            <w:pPr>
              <w:pStyle w:val="10"/>
              <w:autoSpaceDE/>
              <w:autoSpaceDN/>
              <w:spacing w:after="0" w:line="360" w:lineRule="auto"/>
              <w:ind w:left="0" w:leftChars="0" w:firstLine="480" w:firstLineChars="200"/>
              <w:jc w:val="both"/>
              <w:rPr>
                <w:rFonts w:ascii="Times New Roman" w:hAnsi="Times New Roman" w:cs="Times New Roman"/>
                <w:color w:val="auto"/>
                <w:kern w:val="1"/>
                <w:szCs w:val="24"/>
              </w:rPr>
            </w:pPr>
            <w:r>
              <w:rPr>
                <w:rFonts w:ascii="Times New Roman" w:hAnsi="Times New Roman" w:cs="Times New Roman"/>
                <w:color w:val="auto"/>
                <w:kern w:val="1"/>
                <w:szCs w:val="24"/>
              </w:rPr>
              <w:t>（2）生产线所有产噪设备均安装在室内，室内通风管道均加装消声器；环保设备室外风机减振、安装隔声罩；</w:t>
            </w:r>
          </w:p>
          <w:p>
            <w:pPr>
              <w:pStyle w:val="10"/>
              <w:autoSpaceDE/>
              <w:autoSpaceDN/>
              <w:spacing w:after="0" w:line="360" w:lineRule="auto"/>
              <w:ind w:left="0" w:leftChars="0" w:firstLine="480" w:firstLineChars="200"/>
              <w:jc w:val="both"/>
              <w:rPr>
                <w:rFonts w:ascii="Times New Roman" w:hAnsi="Times New Roman" w:cs="Times New Roman"/>
                <w:color w:val="auto"/>
                <w:kern w:val="1"/>
                <w:szCs w:val="24"/>
              </w:rPr>
            </w:pPr>
            <w:r>
              <w:rPr>
                <w:rFonts w:ascii="Times New Roman" w:hAnsi="Times New Roman" w:cs="Times New Roman"/>
                <w:color w:val="auto"/>
                <w:kern w:val="1"/>
                <w:szCs w:val="24"/>
              </w:rPr>
              <w:t>（3）合理布置产生噪声的设备，建设单位在布设生产设备时，将高噪声设备集中摆放，置于厂区中部，以有效利用噪声距离衰减作用；</w:t>
            </w:r>
          </w:p>
          <w:p>
            <w:pPr>
              <w:pStyle w:val="44"/>
              <w:autoSpaceDE/>
              <w:autoSpaceDN/>
              <w:ind w:firstLine="480" w:firstLineChars="200"/>
              <w:rPr>
                <w:rFonts w:ascii="Times New Roman" w:hAnsi="Times New Roman" w:eastAsia="宋体" w:cs="Times New Roman"/>
                <w:b w:val="0"/>
                <w:bCs w:val="0"/>
                <w:color w:val="auto"/>
                <w:kern w:val="1"/>
                <w:sz w:val="24"/>
                <w:szCs w:val="24"/>
                <w:lang w:val="en-US" w:eastAsia="zh-CN" w:bidi="ar-SA"/>
              </w:rPr>
            </w:pPr>
            <w:r>
              <w:rPr>
                <w:rFonts w:ascii="Times New Roman" w:hAnsi="Times New Roman" w:eastAsia="宋体" w:cs="Times New Roman"/>
                <w:b w:val="0"/>
                <w:bCs w:val="0"/>
                <w:color w:val="auto"/>
                <w:kern w:val="1"/>
                <w:sz w:val="24"/>
                <w:szCs w:val="24"/>
                <w:lang w:val="en-US" w:eastAsia="zh-CN" w:bidi="ar-SA"/>
              </w:rPr>
              <w:t>（4）建立设备定期维护、保养的管理制度，以防止设备故障形成的非正常生产噪声，同时确保环保措施发挥最佳有效的功能；加强职工环保意识教育，提倡文明生产，防止人为噪声，最大限度减少流动噪声源。</w:t>
            </w:r>
          </w:p>
          <w:p>
            <w:pPr>
              <w:pStyle w:val="44"/>
              <w:autoSpaceDE/>
              <w:autoSpaceDN/>
              <w:ind w:firstLine="480" w:firstLineChars="200"/>
              <w:rPr>
                <w:rFonts w:hint="default" w:ascii="Times New Roman" w:hAnsi="Times New Roman" w:eastAsia="宋体" w:cs="Times New Roman"/>
                <w:b w:val="0"/>
                <w:bCs w:val="0"/>
                <w:color w:val="auto"/>
                <w:szCs w:val="24"/>
                <w:lang w:val="en-US" w:eastAsia="zh-CN"/>
              </w:rPr>
            </w:pPr>
            <w:r>
              <w:rPr>
                <w:rFonts w:hint="default" w:ascii="Times New Roman" w:hAnsi="Times New Roman" w:cs="Times New Roman"/>
                <w:b w:val="0"/>
                <w:bCs w:val="0"/>
                <w:color w:val="auto"/>
                <w:szCs w:val="24"/>
                <w:lang w:val="en-US" w:eastAsia="zh-CN"/>
              </w:rPr>
              <w:t>根据上表可知，噪声源强在布局以及厂区门窗、墙体的阻隔下</w:t>
            </w:r>
            <w:r>
              <w:rPr>
                <w:rFonts w:ascii="Times New Roman" w:hAnsi="Times New Roman" w:cs="Times New Roman"/>
                <w:b w:val="0"/>
                <w:bCs w:val="0"/>
                <w:color w:val="auto"/>
                <w:szCs w:val="24"/>
              </w:rPr>
              <w:t>能够</w:t>
            </w:r>
            <w:r>
              <w:rPr>
                <w:rFonts w:ascii="Times New Roman" w:hAnsi="Times New Roman" w:cs="Times New Roman"/>
                <w:b w:val="0"/>
                <w:bCs w:val="0"/>
                <w:color w:val="auto"/>
                <w:kern w:val="1"/>
                <w:szCs w:val="24"/>
              </w:rPr>
              <w:t>满足</w:t>
            </w:r>
            <w:r>
              <w:rPr>
                <w:rFonts w:ascii="Times New Roman" w:hAnsi="Times New Roman" w:cs="Times New Roman"/>
                <w:b w:val="0"/>
                <w:bCs w:val="0"/>
                <w:color w:val="auto"/>
                <w:szCs w:val="24"/>
              </w:rPr>
              <w:t>《工业企业厂界环境噪声排放标准》（GB12348-2008）3类标准</w:t>
            </w:r>
            <w:r>
              <w:rPr>
                <w:rFonts w:hint="default" w:ascii="Times New Roman" w:hAnsi="Times New Roman" w:cs="Times New Roman"/>
                <w:b w:val="0"/>
                <w:bCs w:val="0"/>
                <w:color w:val="auto"/>
                <w:szCs w:val="24"/>
                <w:lang w:eastAsia="zh-CN"/>
              </w:rPr>
              <w:t>。</w:t>
            </w:r>
          </w:p>
          <w:p>
            <w:pPr>
              <w:pStyle w:val="23"/>
              <w:keepNext w:val="0"/>
              <w:keepLines w:val="0"/>
              <w:pageBreakBefore w:val="0"/>
              <w:widowControl w:val="0"/>
              <w:kinsoku/>
              <w:wordWrap/>
              <w:overflowPunct/>
              <w:topLinePunct w:val="0"/>
              <w:autoSpaceDE w:val="0"/>
              <w:autoSpaceDN w:val="0"/>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4</w:t>
            </w:r>
            <w:r>
              <w:rPr>
                <w:rFonts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3</w:t>
            </w:r>
            <w:r>
              <w:rPr>
                <w:rFonts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本项目环境噪声影响预测结果表</w:t>
            </w:r>
          </w:p>
          <w:tbl>
            <w:tblPr>
              <w:tblStyle w:val="25"/>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76"/>
              <w:gridCol w:w="477"/>
              <w:gridCol w:w="1088"/>
              <w:gridCol w:w="638"/>
              <w:gridCol w:w="896"/>
              <w:gridCol w:w="594"/>
              <w:gridCol w:w="893"/>
              <w:gridCol w:w="698"/>
              <w:gridCol w:w="911"/>
              <w:gridCol w:w="663"/>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vMerge w:val="restar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269" w:type="pct"/>
                  <w:vMerge w:val="restar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c>
                <w:tcPr>
                  <w:tcW w:w="615" w:type="pct"/>
                  <w:vMerge w:val="restar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治理后噪声源强［dB(A)］</w:t>
                  </w:r>
                </w:p>
              </w:tc>
              <w:tc>
                <w:tcPr>
                  <w:tcW w:w="3506" w:type="pct"/>
                  <w:gridSpan w:val="8"/>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与预测点距离（m）及预测值［dB(A)］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269"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615"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867" w:type="pct"/>
                  <w:gridSpan w:val="2"/>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东</w:t>
                  </w:r>
                </w:p>
              </w:tc>
              <w:tc>
                <w:tcPr>
                  <w:tcW w:w="840" w:type="pct"/>
                  <w:gridSpan w:val="2"/>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南</w:t>
                  </w:r>
                </w:p>
              </w:tc>
              <w:tc>
                <w:tcPr>
                  <w:tcW w:w="909" w:type="pct"/>
                  <w:gridSpan w:val="2"/>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西</w:t>
                  </w:r>
                </w:p>
              </w:tc>
              <w:tc>
                <w:tcPr>
                  <w:tcW w:w="888" w:type="pct"/>
                  <w:gridSpan w:val="2"/>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269"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615" w:type="pct"/>
                  <w:vMerge w:val="continue"/>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360"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w:t>
                  </w:r>
                </w:p>
              </w:tc>
              <w:tc>
                <w:tcPr>
                  <w:tcW w:w="506"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贡献值</w:t>
                  </w:r>
                </w:p>
              </w:tc>
              <w:tc>
                <w:tcPr>
                  <w:tcW w:w="33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w:t>
                  </w:r>
                </w:p>
              </w:tc>
              <w:tc>
                <w:tcPr>
                  <w:tcW w:w="50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贡献值</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w:t>
                  </w:r>
                </w:p>
              </w:tc>
              <w:tc>
                <w:tcPr>
                  <w:tcW w:w="51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贡献值</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距离</w:t>
                  </w:r>
                </w:p>
              </w:tc>
              <w:tc>
                <w:tcPr>
                  <w:tcW w:w="513"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kern w:val="2"/>
                      <w:sz w:val="21"/>
                      <w:szCs w:val="21"/>
                      <w:lang w:eastAsia="zh-CN"/>
                    </w:rPr>
                    <w:t>天然气</w:t>
                  </w:r>
                  <w:r>
                    <w:rPr>
                      <w:rFonts w:hint="default" w:ascii="Times New Roman" w:hAnsi="Times New Roman" w:cs="Times New Roman"/>
                      <w:color w:val="auto"/>
                      <w:kern w:val="2"/>
                      <w:sz w:val="21"/>
                      <w:szCs w:val="21"/>
                    </w:rPr>
                    <w:t>蒸汽锅炉</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1</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58.4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48.86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48.86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52.38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46.36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离心机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3</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59.9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4</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47.86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6</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44.34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45.92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行车</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4</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60.0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5</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46.02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5</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46.02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47.96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50.46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搅拌机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3</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59.0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4</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46.96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7</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42.10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49.46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电焊机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5</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56.9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47.36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3.5</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46.02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41.34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42.92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张拉机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2</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55.0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2</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48.98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5</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41.02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4.5</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41.94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39.44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墩头机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2</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1</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56.00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46.46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43.96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打圈机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1</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46.9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1</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46.90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2</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40.88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37.36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滚焊机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1</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56.0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2</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49.98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4</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43.96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49.98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8" w:type="pct"/>
                  <w:noWrap w:val="0"/>
                  <w:tcMar>
                    <w:top w:w="0" w:type="dxa"/>
                    <w:left w:w="57" w:type="dxa"/>
                    <w:bottom w:w="0" w:type="dxa"/>
                    <w:right w:w="57" w:type="dxa"/>
                  </w:tcMar>
                  <w:vAlign w:val="center"/>
                </w:tcPr>
                <w:p>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sz w:val="21"/>
                      <w:szCs w:val="21"/>
                    </w:rPr>
                    <w:t>调直机</w:t>
                  </w:r>
                </w:p>
              </w:tc>
              <w:tc>
                <w:tcPr>
                  <w:tcW w:w="269" w:type="pct"/>
                  <w:noWrap w:val="0"/>
                  <w:tcMar>
                    <w:top w:w="0" w:type="dxa"/>
                    <w:left w:w="57" w:type="dxa"/>
                    <w:bottom w:w="0" w:type="dxa"/>
                    <w:right w:w="57" w:type="dxa"/>
                  </w:tcMar>
                  <w:vAlign w:val="center"/>
                </w:tcPr>
                <w:p>
                  <w:pPr>
                    <w:autoSpaceDE/>
                    <w:autoSpaceDN/>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1</w:t>
                  </w:r>
                </w:p>
              </w:tc>
              <w:tc>
                <w:tcPr>
                  <w:tcW w:w="61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 xml:space="preserve">51.0 </w:t>
                  </w:r>
                </w:p>
              </w:tc>
              <w:tc>
                <w:tcPr>
                  <w:tcW w:w="360"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1</w:t>
                  </w:r>
                </w:p>
              </w:tc>
              <w:tc>
                <w:tcPr>
                  <w:tcW w:w="896"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51.00 </w:t>
                  </w:r>
                </w:p>
              </w:tc>
              <w:tc>
                <w:tcPr>
                  <w:tcW w:w="335" w:type="pct"/>
                  <w:noWrap w:val="0"/>
                  <w:tcMar>
                    <w:top w:w="0" w:type="dxa"/>
                    <w:left w:w="57" w:type="dxa"/>
                    <w:bottom w:w="0" w:type="dxa"/>
                    <w:right w:w="57" w:type="dxa"/>
                  </w:tcMar>
                  <w:vAlign w:val="center"/>
                </w:tcPr>
                <w:p>
                  <w:pPr>
                    <w:wordWrap w:val="0"/>
                    <w:topLinePunct/>
                    <w:spacing w:line="240" w:lineRule="auto"/>
                    <w:ind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lang w:val="en-US" w:eastAsia="zh-CN"/>
                    </w:rPr>
                    <w:t>3</w:t>
                  </w:r>
                </w:p>
              </w:tc>
              <w:tc>
                <w:tcPr>
                  <w:tcW w:w="893"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41.46 </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w:t>
                  </w:r>
                </w:p>
              </w:tc>
              <w:tc>
                <w:tcPr>
                  <w:tcW w:w="911"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44.98 </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2.5</w:t>
                  </w:r>
                </w:p>
              </w:tc>
              <w:tc>
                <w:tcPr>
                  <w:tcW w:w="909" w:type="dxa"/>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 xml:space="preserve">43.04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3" w:type="pct"/>
                  <w:gridSpan w:val="3"/>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时段</w:t>
                  </w:r>
                </w:p>
              </w:tc>
              <w:tc>
                <w:tcPr>
                  <w:tcW w:w="360"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昼间</w:t>
                  </w:r>
                </w:p>
              </w:tc>
              <w:tc>
                <w:tcPr>
                  <w:tcW w:w="506"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夜间</w:t>
                  </w:r>
                </w:p>
              </w:tc>
              <w:tc>
                <w:tcPr>
                  <w:tcW w:w="33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昼间</w:t>
                  </w:r>
                </w:p>
              </w:tc>
              <w:tc>
                <w:tcPr>
                  <w:tcW w:w="50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夜间</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昼间</w:t>
                  </w:r>
                </w:p>
              </w:tc>
              <w:tc>
                <w:tcPr>
                  <w:tcW w:w="51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夜间</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昼间</w:t>
                  </w:r>
                </w:p>
              </w:tc>
              <w:tc>
                <w:tcPr>
                  <w:tcW w:w="513"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3" w:type="pct"/>
                  <w:gridSpan w:val="3"/>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贡献值</w:t>
                  </w:r>
                </w:p>
              </w:tc>
              <w:tc>
                <w:tcPr>
                  <w:tcW w:w="360"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60.34</w:t>
                  </w:r>
                  <w:r>
                    <w:rPr>
                      <w:rFonts w:hint="default" w:ascii="Times New Roman" w:hAnsi="Times New Roman" w:eastAsia="宋体" w:cs="Times New Roman"/>
                      <w:i w:val="0"/>
                      <w:iCs w:val="0"/>
                      <w:color w:val="000000"/>
                      <w:kern w:val="0"/>
                      <w:sz w:val="22"/>
                      <w:szCs w:val="22"/>
                      <w:u w:val="none"/>
                      <w:lang w:val="en-US" w:eastAsia="zh-CN" w:bidi="ar"/>
                    </w:rPr>
                    <w:t xml:space="preserve"> </w:t>
                  </w:r>
                </w:p>
              </w:tc>
              <w:tc>
                <w:tcPr>
                  <w:tcW w:w="506"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35"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bidi="ar-SA"/>
                    </w:rPr>
                  </w:pPr>
                  <w:r>
                    <w:rPr>
                      <w:rFonts w:hint="eastAsia" w:ascii="Times New Roman" w:hAnsi="Times New Roman" w:eastAsia="宋体" w:cs="Times New Roman"/>
                      <w:i w:val="0"/>
                      <w:iCs w:val="0"/>
                      <w:color w:val="000000"/>
                      <w:kern w:val="0"/>
                      <w:sz w:val="22"/>
                      <w:szCs w:val="22"/>
                      <w:u w:val="none"/>
                      <w:lang w:val="en-US" w:eastAsia="zh-CN" w:bidi="ar"/>
                    </w:rPr>
                    <w:t>55.1</w:t>
                  </w:r>
                </w:p>
              </w:tc>
              <w:tc>
                <w:tcPr>
                  <w:tcW w:w="50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94"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57.47</w:t>
                  </w:r>
                </w:p>
              </w:tc>
              <w:tc>
                <w:tcPr>
                  <w:tcW w:w="51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374" w:type="pct"/>
                  <w:noWrap w:val="0"/>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55.76</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513"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3" w:type="pct"/>
                  <w:gridSpan w:val="3"/>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标准限值</w:t>
                  </w:r>
                </w:p>
              </w:tc>
              <w:tc>
                <w:tcPr>
                  <w:tcW w:w="360"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506"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c>
                <w:tcPr>
                  <w:tcW w:w="33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50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c>
                <w:tcPr>
                  <w:tcW w:w="39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515"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c>
                <w:tcPr>
                  <w:tcW w:w="374"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513" w:type="pct"/>
                  <w:noWrap w:val="0"/>
                  <w:tcMar>
                    <w:top w:w="0" w:type="dxa"/>
                    <w:left w:w="57" w:type="dxa"/>
                    <w:bottom w:w="0" w:type="dxa"/>
                    <w:right w:w="57" w:type="dxa"/>
                  </w:tcMar>
                  <w:vAlign w:val="center"/>
                </w:tcPr>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bl>
          <w:p>
            <w:pPr>
              <w:pStyle w:val="10"/>
              <w:autoSpaceDE/>
              <w:autoSpaceDN/>
              <w:spacing w:after="0" w:line="360" w:lineRule="auto"/>
              <w:ind w:left="0" w:leftChars="0" w:firstLine="480" w:firstLineChars="200"/>
              <w:jc w:val="both"/>
              <w:rPr>
                <w:rFonts w:ascii="Times New Roman" w:hAnsi="Times New Roman" w:cs="Times New Roman"/>
                <w:b/>
                <w:color w:val="auto"/>
                <w:szCs w:val="24"/>
              </w:rPr>
            </w:pPr>
            <w:r>
              <w:rPr>
                <w:rFonts w:hint="default" w:ascii="Times New Roman" w:hAnsi="Times New Roman" w:eastAsia="宋体" w:cs="Times New Roman"/>
                <w:color w:val="auto"/>
                <w:sz w:val="24"/>
                <w:szCs w:val="24"/>
                <w:lang w:val="en-US" w:eastAsia="zh-CN"/>
              </w:rPr>
              <w:t>由上表预测结果可见，本项目主要产噪设备均布置在车间厂房内，经过隔声、消声、距离衰减等防治措施后，</w:t>
            </w:r>
            <w:r>
              <w:rPr>
                <w:rFonts w:ascii="Times New Roman" w:hAnsi="Times New Roman" w:cs="Times New Roman"/>
                <w:color w:val="auto"/>
                <w:szCs w:val="24"/>
              </w:rPr>
              <w:t>本项目营运过程中产生的噪声能够</w:t>
            </w:r>
            <w:r>
              <w:rPr>
                <w:rFonts w:ascii="Times New Roman" w:hAnsi="Times New Roman" w:cs="Times New Roman"/>
                <w:color w:val="auto"/>
                <w:kern w:val="1"/>
                <w:szCs w:val="24"/>
              </w:rPr>
              <w:t>满足</w:t>
            </w:r>
            <w:r>
              <w:rPr>
                <w:rFonts w:ascii="Times New Roman" w:hAnsi="Times New Roman" w:cs="Times New Roman"/>
                <w:color w:val="auto"/>
                <w:szCs w:val="24"/>
              </w:rPr>
              <w:t>《工业企业厂界环境噪声排放标准》（GB12348-2008）3类标准，</w:t>
            </w:r>
            <w:r>
              <w:rPr>
                <w:rFonts w:ascii="Times New Roman" w:hAnsi="Times New Roman" w:cs="Times New Roman"/>
                <w:color w:val="auto"/>
                <w:kern w:val="1"/>
                <w:szCs w:val="24"/>
              </w:rPr>
              <w:t>不会对厂界外声环境质量造成明显影响</w:t>
            </w:r>
            <w:r>
              <w:rPr>
                <w:rFonts w:ascii="Times New Roman" w:hAnsi="Times New Roman" w:cs="Times New Roman"/>
                <w:color w:val="auto"/>
                <w:szCs w:val="24"/>
              </w:rPr>
              <w:t>。</w:t>
            </w:r>
          </w:p>
          <w:p>
            <w:pPr>
              <w:spacing w:line="360" w:lineRule="auto"/>
              <w:jc w:val="both"/>
              <w:rPr>
                <w:rFonts w:ascii="Times New Roman" w:hAnsi="Times New Roman" w:cs="Times New Roman"/>
                <w:b/>
                <w:bCs/>
                <w:color w:val="auto"/>
                <w:sz w:val="24"/>
                <w:szCs w:val="32"/>
              </w:rPr>
            </w:pPr>
            <w:r>
              <w:rPr>
                <w:rFonts w:hint="default" w:ascii="Times New Roman" w:hAnsi="Times New Roman" w:cs="Times New Roman"/>
                <w:b/>
                <w:bCs/>
                <w:color w:val="auto"/>
                <w:sz w:val="24"/>
                <w:szCs w:val="32"/>
              </w:rPr>
              <w:t>（二）监测管理要求</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kern w:val="2"/>
                <w:sz w:val="24"/>
                <w:szCs w:val="24"/>
              </w:rPr>
              <w:t>根据</w:t>
            </w:r>
            <w:r>
              <w:rPr>
                <w:rFonts w:ascii="Times New Roman" w:hAnsi="Times New Roman" w:cs="Times New Roman"/>
                <w:color w:val="auto"/>
                <w:kern w:val="2"/>
                <w:sz w:val="24"/>
                <w:szCs w:val="24"/>
              </w:rPr>
              <w:t>《</w:t>
            </w:r>
            <w:r>
              <w:rPr>
                <w:rFonts w:hint="default" w:ascii="Times New Roman" w:hAnsi="Times New Roman" w:cs="Times New Roman"/>
                <w:color w:val="auto"/>
                <w:kern w:val="2"/>
                <w:sz w:val="24"/>
                <w:szCs w:val="24"/>
                <w:lang w:val="en-US" w:eastAsia="zh-CN"/>
              </w:rPr>
              <w:t>排污单位自行监测技术指南  总则</w:t>
            </w:r>
            <w:r>
              <w:rPr>
                <w:rFonts w:ascii="Times New Roman" w:hAnsi="Times New Roman" w:cs="Times New Roman"/>
                <w:color w:val="auto"/>
                <w:kern w:val="2"/>
                <w:sz w:val="24"/>
                <w:szCs w:val="24"/>
              </w:rPr>
              <w:t>》</w:t>
            </w:r>
            <w:r>
              <w:rPr>
                <w:rFonts w:hint="default" w:ascii="Times New Roman" w:hAnsi="Times New Roman" w:cs="Times New Roman"/>
                <w:color w:val="auto"/>
                <w:kern w:val="2"/>
                <w:sz w:val="24"/>
                <w:szCs w:val="24"/>
              </w:rPr>
              <w:t>相关要求，</w:t>
            </w:r>
            <w:r>
              <w:rPr>
                <w:rFonts w:hint="default" w:ascii="Times New Roman" w:hAnsi="Times New Roman" w:cs="Times New Roman"/>
                <w:color w:val="auto"/>
                <w:sz w:val="24"/>
                <w:szCs w:val="32"/>
              </w:rPr>
              <w:t>本项目运营期噪声监测要求拟定如下：</w:t>
            </w:r>
          </w:p>
          <w:p>
            <w:pPr>
              <w:pStyle w:val="36"/>
              <w:jc w:val="center"/>
              <w:rPr>
                <w:rFonts w:ascii="Times New Roman" w:hAnsi="Times New Roman" w:eastAsia="宋体" w:cs="Times New Roman"/>
                <w:b/>
                <w:bCs/>
                <w:color w:val="auto"/>
              </w:rPr>
            </w:pPr>
            <w:r>
              <w:rPr>
                <w:rFonts w:ascii="Times New Roman" w:hAnsi="Times New Roman" w:eastAsia="宋体" w:cs="Times New Roman"/>
                <w:b/>
                <w:bCs/>
                <w:color w:val="auto"/>
                <w:sz w:val="22"/>
                <w:szCs w:val="22"/>
              </w:rPr>
              <w:t>表4-1</w:t>
            </w:r>
            <w:r>
              <w:rPr>
                <w:rFonts w:hint="default" w:ascii="Times New Roman" w:hAnsi="Times New Roman" w:eastAsia="宋体" w:cs="Times New Roman"/>
                <w:b/>
                <w:bCs/>
                <w:color w:val="auto"/>
                <w:sz w:val="22"/>
                <w:szCs w:val="22"/>
                <w:lang w:val="en-US" w:eastAsia="zh-CN"/>
              </w:rPr>
              <w:t>4</w:t>
            </w:r>
            <w:r>
              <w:rPr>
                <w:rFonts w:hint="default" w:ascii="Times New Roman" w:hAnsi="Times New Roman" w:eastAsia="宋体" w:cs="Times New Roman"/>
                <w:b/>
                <w:bCs/>
                <w:color w:val="auto"/>
                <w:sz w:val="22"/>
                <w:szCs w:val="22"/>
              </w:rPr>
              <w:t xml:space="preserve"> </w:t>
            </w:r>
            <w:r>
              <w:rPr>
                <w:rFonts w:ascii="Times New Roman" w:hAnsi="Times New Roman" w:eastAsia="宋体" w:cs="Times New Roman"/>
                <w:b/>
                <w:bCs/>
                <w:color w:val="auto"/>
                <w:sz w:val="22"/>
                <w:szCs w:val="22"/>
              </w:rPr>
              <w:t xml:space="preserve"> 噪声监测计划表</w:t>
            </w:r>
          </w:p>
          <w:tbl>
            <w:tblPr>
              <w:tblStyle w:val="24"/>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3072"/>
              <w:gridCol w:w="3341"/>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961"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color w:val="auto"/>
                      <w:sz w:val="22"/>
                    </w:rPr>
                  </w:pPr>
                  <w:r>
                    <w:rPr>
                      <w:rFonts w:hint="default" w:ascii="Times New Roman" w:hAnsi="Times New Roman" w:cs="Times New Roman"/>
                      <w:color w:val="auto"/>
                      <w:sz w:val="22"/>
                    </w:rPr>
                    <w:t>类别</w:t>
                  </w:r>
                </w:p>
              </w:tc>
              <w:tc>
                <w:tcPr>
                  <w:tcW w:w="3072"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color w:val="auto"/>
                      <w:sz w:val="22"/>
                    </w:rPr>
                  </w:pPr>
                  <w:r>
                    <w:rPr>
                      <w:rFonts w:hint="default" w:ascii="Times New Roman" w:hAnsi="Times New Roman" w:cs="Times New Roman"/>
                      <w:color w:val="auto"/>
                      <w:sz w:val="22"/>
                    </w:rPr>
                    <w:t>监测位点</w:t>
                  </w:r>
                </w:p>
              </w:tc>
              <w:tc>
                <w:tcPr>
                  <w:tcW w:w="3341"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color w:val="auto"/>
                      <w:sz w:val="22"/>
                    </w:rPr>
                  </w:pPr>
                  <w:r>
                    <w:rPr>
                      <w:rFonts w:hint="default" w:ascii="Times New Roman" w:hAnsi="Times New Roman" w:cs="Times New Roman"/>
                      <w:color w:val="auto"/>
                      <w:sz w:val="22"/>
                    </w:rPr>
                    <w:t>监测项目</w:t>
                  </w:r>
                </w:p>
              </w:tc>
              <w:tc>
                <w:tcPr>
                  <w:tcW w:w="144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color w:val="auto"/>
                      <w:sz w:val="22"/>
                    </w:rPr>
                  </w:pPr>
                  <w:r>
                    <w:rPr>
                      <w:rFonts w:hint="default" w:ascii="Times New Roman" w:hAnsi="Times New Roman" w:cs="Times New Roman"/>
                      <w:color w:val="auto"/>
                      <w:sz w:val="22"/>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61"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 w:val="0"/>
                      <w:bCs/>
                      <w:color w:val="auto"/>
                      <w:sz w:val="22"/>
                    </w:rPr>
                  </w:pPr>
                  <w:r>
                    <w:rPr>
                      <w:rFonts w:hint="default" w:ascii="Times New Roman" w:hAnsi="Times New Roman" w:cs="Times New Roman"/>
                      <w:b w:val="0"/>
                      <w:bCs/>
                      <w:color w:val="auto"/>
                      <w:sz w:val="22"/>
                    </w:rPr>
                    <w:t>噪声</w:t>
                  </w:r>
                </w:p>
              </w:tc>
              <w:tc>
                <w:tcPr>
                  <w:tcW w:w="3072"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 w:val="0"/>
                      <w:bCs/>
                      <w:color w:val="auto"/>
                      <w:sz w:val="22"/>
                    </w:rPr>
                  </w:pPr>
                  <w:r>
                    <w:rPr>
                      <w:rFonts w:hint="default" w:ascii="Times New Roman" w:hAnsi="Times New Roman" w:cs="Times New Roman"/>
                      <w:b w:val="0"/>
                      <w:bCs/>
                      <w:color w:val="auto"/>
                      <w:sz w:val="22"/>
                    </w:rPr>
                    <w:t xml:space="preserve">厂界外1m </w:t>
                  </w:r>
                </w:p>
              </w:tc>
              <w:tc>
                <w:tcPr>
                  <w:tcW w:w="3341"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 w:val="0"/>
                      <w:bCs/>
                      <w:color w:val="auto"/>
                      <w:sz w:val="22"/>
                    </w:rPr>
                  </w:pPr>
                  <w:r>
                    <w:rPr>
                      <w:rFonts w:hint="default" w:ascii="Times New Roman" w:hAnsi="Times New Roman" w:cs="Times New Roman"/>
                      <w:b w:val="0"/>
                      <w:bCs/>
                      <w:color w:val="auto"/>
                      <w:sz w:val="22"/>
                    </w:rPr>
                    <w:t>昼间等效连续A声级</w:t>
                  </w:r>
                </w:p>
              </w:tc>
              <w:tc>
                <w:tcPr>
                  <w:tcW w:w="1445" w:type="dxa"/>
                  <w:tcBorders>
                    <w:top w:val="single" w:color="000000" w:sz="8" w:space="0"/>
                    <w:left w:val="single" w:color="000000" w:sz="8" w:space="0"/>
                    <w:bottom w:val="single" w:color="000000" w:sz="8" w:space="0"/>
                    <w:right w:val="single" w:color="000000" w:sz="8" w:space="0"/>
                    <w:tl2br w:val="nil"/>
                    <w:tr2bl w:val="nil"/>
                  </w:tcBorders>
                  <w:shd w:val="clear" w:color="auto" w:fill="FFFFFF"/>
                  <w:vAlign w:val="center"/>
                </w:tcPr>
                <w:p>
                  <w:pPr>
                    <w:pStyle w:val="38"/>
                    <w:rPr>
                      <w:rFonts w:ascii="Times New Roman" w:hAnsi="Times New Roman" w:cs="Times New Roman"/>
                      <w:b w:val="0"/>
                      <w:bCs/>
                      <w:color w:val="auto"/>
                      <w:sz w:val="22"/>
                    </w:rPr>
                  </w:pPr>
                  <w:r>
                    <w:rPr>
                      <w:rFonts w:hint="default" w:ascii="Times New Roman" w:hAnsi="Times New Roman" w:cs="Times New Roman"/>
                      <w:b w:val="0"/>
                      <w:bCs/>
                      <w:color w:val="auto"/>
                      <w:sz w:val="22"/>
                    </w:rPr>
                    <w:t>1次/</w:t>
                  </w:r>
                  <w:r>
                    <w:rPr>
                      <w:rFonts w:hint="eastAsia" w:cs="Times New Roman"/>
                      <w:b w:val="0"/>
                      <w:bCs/>
                      <w:color w:val="auto"/>
                      <w:sz w:val="22"/>
                      <w:lang w:val="en-US" w:eastAsia="zh-CN"/>
                    </w:rPr>
                    <w:t>季度</w:t>
                  </w:r>
                </w:p>
              </w:tc>
            </w:tr>
          </w:tbl>
          <w:p>
            <w:pPr>
              <w:pStyle w:val="38"/>
              <w:rPr>
                <w:rFonts w:ascii="Times New Roman" w:hAnsi="Times New Roman" w:cs="Times New Roman"/>
                <w:color w:val="auto"/>
                <w:sz w:val="21"/>
                <w:szCs w:val="28"/>
              </w:rPr>
            </w:pPr>
          </w:p>
          <w:p>
            <w:pPr>
              <w:pStyle w:val="44"/>
              <w:rPr>
                <w:rFonts w:ascii="Times New Roman" w:hAnsi="Times New Roman" w:cs="Times New Roman"/>
                <w:color w:val="auto"/>
                <w:szCs w:val="24"/>
              </w:rPr>
            </w:pPr>
            <w:r>
              <w:rPr>
                <w:rFonts w:hint="default" w:ascii="Times New Roman" w:hAnsi="Times New Roman" w:cs="Times New Roman"/>
                <w:color w:val="auto"/>
                <w:szCs w:val="24"/>
              </w:rPr>
              <w:t>四、</w:t>
            </w:r>
            <w:r>
              <w:rPr>
                <w:rFonts w:ascii="Times New Roman" w:hAnsi="Times New Roman" w:cs="Times New Roman"/>
                <w:color w:val="auto"/>
                <w:szCs w:val="24"/>
              </w:rPr>
              <w:t>固体废物</w:t>
            </w:r>
          </w:p>
          <w:p>
            <w:pPr>
              <w:pStyle w:val="44"/>
              <w:ind w:firstLine="480" w:firstLineChars="200"/>
              <w:rPr>
                <w:rFonts w:ascii="Times New Roman" w:hAnsi="Times New Roman" w:cs="Times New Roman"/>
                <w:b w:val="0"/>
                <w:bCs w:val="0"/>
                <w:color w:val="auto"/>
                <w:szCs w:val="24"/>
              </w:rPr>
            </w:pPr>
            <w:r>
              <w:rPr>
                <w:rFonts w:ascii="Times New Roman" w:hAnsi="Times New Roman" w:cs="Times New Roman"/>
                <w:b w:val="0"/>
                <w:bCs w:val="0"/>
                <w:color w:val="auto"/>
                <w:szCs w:val="24"/>
              </w:rPr>
              <w:t>本项目运营期间固体废物主要包括一般废物和危险废物。</w:t>
            </w:r>
          </w:p>
          <w:p>
            <w:pPr>
              <w:pStyle w:val="44"/>
              <w:rPr>
                <w:rFonts w:ascii="Times New Roman" w:hAnsi="Times New Roman" w:cs="Times New Roman"/>
                <w:b/>
                <w:bCs/>
                <w:color w:val="auto"/>
                <w:szCs w:val="24"/>
              </w:rPr>
            </w:pPr>
            <w:r>
              <w:rPr>
                <w:rFonts w:ascii="Times New Roman" w:hAnsi="Times New Roman" w:cs="Times New Roman"/>
                <w:b/>
                <w:bCs/>
                <w:color w:val="auto"/>
                <w:szCs w:val="24"/>
              </w:rPr>
              <w:t>（1）一般废物</w:t>
            </w:r>
          </w:p>
          <w:p>
            <w:pPr>
              <w:adjustRightInd w:val="0"/>
              <w:snapToGrid w:val="0"/>
              <w:spacing w:line="360" w:lineRule="auto"/>
              <w:ind w:firstLine="480"/>
              <w:rPr>
                <w:rFonts w:ascii="Times New Roman" w:hAnsi="Times New Roman" w:cs="Times New Roman"/>
                <w:color w:val="auto"/>
                <w:sz w:val="24"/>
                <w:szCs w:val="24"/>
              </w:rPr>
            </w:pPr>
            <w:r>
              <w:rPr>
                <w:rFonts w:ascii="Times New Roman" w:hAnsi="Times New Roman" w:cs="Times New Roman"/>
                <w:b/>
                <w:bCs/>
                <w:color w:val="auto"/>
                <w:sz w:val="24"/>
                <w:szCs w:val="24"/>
              </w:rPr>
              <w:t>员工生活垃圾</w:t>
            </w:r>
            <w:r>
              <w:rPr>
                <w:rFonts w:hint="default" w:ascii="Times New Roman" w:hAnsi="Times New Roman" w:cs="Times New Roman"/>
                <w:color w:val="auto"/>
                <w:sz w:val="24"/>
                <w:szCs w:val="24"/>
              </w:rPr>
              <w:t>：本项目一期劳动定员20人，生活垃圾以每人每天</w:t>
            </w:r>
            <w:r>
              <w:rPr>
                <w:rFonts w:ascii="Times New Roman" w:hAnsi="Times New Roman" w:cs="Times New Roman"/>
                <w:color w:val="auto"/>
                <w:sz w:val="24"/>
                <w:szCs w:val="24"/>
              </w:rPr>
              <w:t>0.5kg</w:t>
            </w:r>
            <w:r>
              <w:rPr>
                <w:rFonts w:hint="default" w:ascii="Times New Roman" w:hAnsi="Times New Roman" w:cs="Times New Roman"/>
                <w:color w:val="auto"/>
                <w:sz w:val="24"/>
                <w:szCs w:val="24"/>
              </w:rPr>
              <w:t>计，每年工作日</w:t>
            </w:r>
            <w:r>
              <w:rPr>
                <w:rFonts w:ascii="Times New Roman" w:hAnsi="Times New Roman" w:cs="Times New Roman"/>
                <w:color w:val="auto"/>
                <w:sz w:val="24"/>
                <w:szCs w:val="24"/>
              </w:rPr>
              <w:t>300</w:t>
            </w:r>
            <w:r>
              <w:rPr>
                <w:rFonts w:hint="default" w:ascii="Times New Roman" w:hAnsi="Times New Roman" w:cs="Times New Roman"/>
                <w:color w:val="auto"/>
                <w:sz w:val="24"/>
                <w:szCs w:val="24"/>
              </w:rPr>
              <w:t>天进行计算，生活垃圾产生量为3t/a，生活垃圾由环卫部门统一清运处理。</w:t>
            </w:r>
          </w:p>
          <w:p>
            <w:pPr>
              <w:pStyle w:val="36"/>
              <w:spacing w:line="360" w:lineRule="auto"/>
              <w:ind w:firstLine="482" w:firstLineChars="200"/>
              <w:rPr>
                <w:rFonts w:ascii="Times New Roman" w:hAnsi="Times New Roman" w:eastAsia="宋体" w:cs="Times New Roman"/>
                <w:color w:val="auto"/>
              </w:rPr>
            </w:pPr>
            <w:r>
              <w:rPr>
                <w:rFonts w:ascii="Times New Roman" w:hAnsi="Times New Roman" w:eastAsia="宋体" w:cs="Times New Roman"/>
                <w:b/>
                <w:bCs/>
                <w:color w:val="auto"/>
              </w:rPr>
              <w:t>废料（布袋装置收集的粉尘）：</w:t>
            </w:r>
            <w:r>
              <w:rPr>
                <w:rFonts w:ascii="Times New Roman" w:hAnsi="Times New Roman" w:eastAsia="宋体" w:cs="Times New Roman"/>
                <w:color w:val="auto"/>
              </w:rPr>
              <w:t>由集气罩与布袋除尘收集的粉尘，共计</w:t>
            </w:r>
            <w:r>
              <w:rPr>
                <w:rFonts w:hint="default" w:ascii="Times New Roman" w:hAnsi="Times New Roman" w:eastAsia="宋体" w:cs="Times New Roman"/>
                <w:color w:val="auto"/>
              </w:rPr>
              <w:t>42.236</w:t>
            </w:r>
            <w:r>
              <w:rPr>
                <w:rFonts w:ascii="Times New Roman" w:hAnsi="Times New Roman" w:eastAsia="宋体" w:cs="Times New Roman"/>
                <w:color w:val="auto"/>
              </w:rPr>
              <w:t>t/a，全部回用于混料生产环节。</w:t>
            </w:r>
          </w:p>
          <w:p>
            <w:pPr>
              <w:pStyle w:val="36"/>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废钢筋：</w:t>
            </w:r>
            <w:r>
              <w:rPr>
                <w:rFonts w:hint="default" w:ascii="Times New Roman" w:hAnsi="Times New Roman" w:eastAsia="宋体" w:cs="Times New Roman"/>
                <w:b w:val="0"/>
                <w:bCs w:val="0"/>
                <w:color w:val="auto"/>
                <w:lang w:val="en-US" w:eastAsia="zh-CN"/>
              </w:rPr>
              <w:t>生产过程中废钢筋产生量约为5t/a，暂存固废间定期外售。</w:t>
            </w:r>
          </w:p>
          <w:p>
            <w:pPr>
              <w:pStyle w:val="36"/>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不合格产品：</w:t>
            </w:r>
            <w:r>
              <w:rPr>
                <w:rFonts w:hint="default" w:ascii="Times New Roman" w:hAnsi="Times New Roman" w:eastAsia="宋体" w:cs="Times New Roman"/>
                <w:b w:val="0"/>
                <w:bCs w:val="0"/>
                <w:color w:val="auto"/>
                <w:lang w:val="en-US" w:eastAsia="zh-CN"/>
              </w:rPr>
              <w:t>养护过程中可</w:t>
            </w:r>
            <w:r>
              <w:rPr>
                <w:rFonts w:hint="eastAsia" w:ascii="Times New Roman" w:eastAsia="宋体" w:cs="Times New Roman"/>
                <w:b w:val="0"/>
                <w:bCs w:val="0"/>
                <w:color w:val="auto"/>
                <w:lang w:val="en-US" w:eastAsia="zh-CN"/>
              </w:rPr>
              <w:t>能</w:t>
            </w:r>
            <w:r>
              <w:rPr>
                <w:rFonts w:hint="default" w:ascii="Times New Roman" w:hAnsi="Times New Roman" w:eastAsia="宋体" w:cs="Times New Roman"/>
                <w:b w:val="0"/>
                <w:bCs w:val="0"/>
                <w:color w:val="auto"/>
                <w:lang w:val="en-US" w:eastAsia="zh-CN"/>
              </w:rPr>
              <w:t>出现不合格产品，产生量约10t/a，定期外售。</w:t>
            </w:r>
          </w:p>
          <w:p>
            <w:pPr>
              <w:adjustRightInd w:val="0"/>
              <w:snapToGrid w:val="0"/>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（2）危险废物</w:t>
            </w:r>
          </w:p>
          <w:p>
            <w:pPr>
              <w:pStyle w:val="44"/>
              <w:ind w:firstLine="482" w:firstLineChars="200"/>
              <w:rPr>
                <w:rFonts w:ascii="Times New Roman" w:hAnsi="Times New Roman" w:cs="Times New Roman"/>
                <w:b w:val="0"/>
                <w:bCs w:val="0"/>
                <w:color w:val="auto"/>
                <w:szCs w:val="24"/>
              </w:rPr>
            </w:pPr>
            <w:r>
              <w:rPr>
                <w:rFonts w:ascii="Times New Roman" w:hAnsi="Times New Roman" w:cs="Times New Roman"/>
                <w:color w:val="auto"/>
                <w:szCs w:val="24"/>
              </w:rPr>
              <w:t>设备维护产生的废润滑油、废油棉布</w:t>
            </w:r>
            <w:r>
              <w:rPr>
                <w:rFonts w:hint="default" w:ascii="Times New Roman" w:hAnsi="Times New Roman" w:cs="Times New Roman"/>
                <w:b w:val="0"/>
                <w:bCs w:val="0"/>
                <w:color w:val="auto"/>
                <w:szCs w:val="24"/>
              </w:rPr>
              <w:t>：</w:t>
            </w:r>
            <w:r>
              <w:rPr>
                <w:rFonts w:ascii="Times New Roman" w:hAnsi="Times New Roman" w:cs="Times New Roman"/>
                <w:b w:val="0"/>
                <w:bCs w:val="0"/>
                <w:color w:val="auto"/>
                <w:szCs w:val="24"/>
              </w:rPr>
              <w:t>设备维护产生的废润滑油、废油棉布产生量约为0.0</w:t>
            </w:r>
            <w:r>
              <w:rPr>
                <w:rFonts w:hint="default" w:ascii="Times New Roman" w:hAnsi="Times New Roman" w:cs="Times New Roman"/>
                <w:b w:val="0"/>
                <w:bCs w:val="0"/>
                <w:color w:val="auto"/>
                <w:szCs w:val="24"/>
                <w:lang w:val="en-US" w:eastAsia="zh-CN"/>
              </w:rPr>
              <w:t>3</w:t>
            </w:r>
            <w:r>
              <w:rPr>
                <w:rFonts w:ascii="Times New Roman" w:hAnsi="Times New Roman" w:cs="Times New Roman"/>
                <w:b w:val="0"/>
                <w:bCs w:val="0"/>
                <w:color w:val="auto"/>
                <w:szCs w:val="24"/>
              </w:rPr>
              <w:t>t/a，交由有危险废物处置资质的单位处置。</w:t>
            </w:r>
          </w:p>
          <w:p>
            <w:pPr>
              <w:widowControl/>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综上，建设单位应建立使用更换台账，记录更换时间、更换量、操作人员、初始压差等信息</w:t>
            </w:r>
            <w:r>
              <w:rPr>
                <w:rFonts w:hint="default" w:ascii="Times New Roman" w:hAnsi="Times New Roman" w:cs="Times New Roman"/>
                <w:color w:val="auto"/>
                <w:sz w:val="24"/>
                <w:szCs w:val="24"/>
              </w:rPr>
              <w:t>。</w:t>
            </w:r>
          </w:p>
          <w:p>
            <w:pPr>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项目营运期固废产生情况见表4-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5</w:t>
            </w:r>
            <w:r>
              <w:rPr>
                <w:rFonts w:ascii="Times New Roman" w:hAnsi="Times New Roman" w:cs="Times New Roman"/>
                <w:color w:val="auto"/>
                <w:sz w:val="24"/>
                <w:szCs w:val="24"/>
              </w:rPr>
              <w:t>。</w:t>
            </w:r>
          </w:p>
          <w:p>
            <w:pPr>
              <w:pStyle w:val="8"/>
              <w:tabs>
                <w:tab w:val="left" w:pos="2940"/>
              </w:tabs>
              <w:autoSpaceDE/>
              <w:autoSpaceDN/>
              <w:snapToGrid/>
              <w:spacing w:line="240" w:lineRule="auto"/>
              <w:ind w:firstLine="0" w:firstLineChars="0"/>
              <w:jc w:val="center"/>
              <w:rPr>
                <w:rFonts w:ascii="Times New Roman" w:hAnsi="Times New Roman" w:cs="Times New Roman"/>
                <w:b/>
                <w:color w:val="auto"/>
                <w:kern w:val="2"/>
                <w:sz w:val="21"/>
                <w:szCs w:val="21"/>
              </w:rPr>
            </w:pPr>
            <w:r>
              <w:rPr>
                <w:rFonts w:ascii="Times New Roman" w:hAnsi="Times New Roman" w:cs="Times New Roman"/>
                <w:b/>
                <w:color w:val="auto"/>
                <w:kern w:val="2"/>
                <w:sz w:val="21"/>
                <w:szCs w:val="21"/>
              </w:rPr>
              <w:t>表4-</w:t>
            </w:r>
            <w:r>
              <w:rPr>
                <w:rFonts w:hint="default" w:ascii="Times New Roman" w:hAnsi="Times New Roman" w:cs="Times New Roman"/>
                <w:b/>
                <w:color w:val="auto"/>
                <w:kern w:val="2"/>
                <w:sz w:val="21"/>
                <w:szCs w:val="21"/>
              </w:rPr>
              <w:t>1</w:t>
            </w:r>
            <w:r>
              <w:rPr>
                <w:rFonts w:hint="default" w:ascii="Times New Roman" w:hAnsi="Times New Roman" w:cs="Times New Roman"/>
                <w:b/>
                <w:color w:val="auto"/>
                <w:kern w:val="2"/>
                <w:sz w:val="21"/>
                <w:szCs w:val="21"/>
                <w:lang w:val="en-US" w:eastAsia="zh-CN"/>
              </w:rPr>
              <w:t>5</w:t>
            </w:r>
            <w:r>
              <w:rPr>
                <w:rFonts w:hint="default" w:ascii="Times New Roman" w:hAnsi="Times New Roman" w:cs="Times New Roman"/>
                <w:b/>
                <w:color w:val="auto"/>
                <w:kern w:val="2"/>
                <w:sz w:val="21"/>
                <w:szCs w:val="21"/>
              </w:rPr>
              <w:t xml:space="preserve"> </w:t>
            </w:r>
            <w:r>
              <w:rPr>
                <w:rFonts w:ascii="Times New Roman" w:hAnsi="Times New Roman" w:cs="Times New Roman"/>
                <w:b/>
                <w:color w:val="auto"/>
                <w:kern w:val="2"/>
                <w:sz w:val="21"/>
                <w:szCs w:val="21"/>
              </w:rPr>
              <w:t xml:space="preserve"> 本项目固废产生及排放情况一览表</w:t>
            </w:r>
          </w:p>
          <w:tbl>
            <w:tblPr>
              <w:tblStyle w:val="24"/>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226"/>
              <w:gridCol w:w="2594"/>
              <w:gridCol w:w="1151"/>
              <w:gridCol w:w="2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382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种类</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w:t>
                  </w:r>
                  <w:r>
                    <w:rPr>
                      <w:rFonts w:hint="default" w:ascii="Times New Roman" w:hAnsi="Times New Roman" w:cs="Times New Roman"/>
                      <w:b/>
                      <w:bCs/>
                      <w:color w:val="auto"/>
                      <w:sz w:val="21"/>
                      <w:szCs w:val="21"/>
                    </w:rPr>
                    <w:t>（</w:t>
                  </w:r>
                  <w:r>
                    <w:rPr>
                      <w:rFonts w:ascii="Times New Roman" w:hAnsi="Times New Roman" w:cs="Times New Roman"/>
                      <w:b/>
                      <w:bCs/>
                      <w:color w:val="auto"/>
                      <w:sz w:val="21"/>
                      <w:szCs w:val="21"/>
                    </w:rPr>
                    <w:t>t/a</w:t>
                  </w:r>
                  <w:r>
                    <w:rPr>
                      <w:rFonts w:hint="default" w:ascii="Times New Roman" w:hAnsi="Times New Roman" w:cs="Times New Roman"/>
                      <w:b/>
                      <w:bCs/>
                      <w:color w:val="auto"/>
                      <w:sz w:val="21"/>
                      <w:szCs w:val="21"/>
                    </w:rPr>
                    <w:t>）</w:t>
                  </w:r>
                </w:p>
              </w:tc>
              <w:tc>
                <w:tcPr>
                  <w:tcW w:w="2986"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3820"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9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由环卫部门统一清运处理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1226" w:type="dxa"/>
                  <w:vMerge w:val="restart"/>
                  <w:tcBorders>
                    <w:top w:val="single" w:color="000000" w:sz="8" w:space="0"/>
                    <w:left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一般</w:t>
                  </w:r>
                </w:p>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固废</w:t>
                  </w:r>
                </w:p>
              </w:tc>
              <w:tc>
                <w:tcPr>
                  <w:tcW w:w="25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废料</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42.236</w:t>
                  </w:r>
                </w:p>
              </w:tc>
              <w:tc>
                <w:tcPr>
                  <w:tcW w:w="29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6"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3</w:t>
                  </w:r>
                </w:p>
              </w:tc>
              <w:tc>
                <w:tcPr>
                  <w:tcW w:w="1226" w:type="dxa"/>
                  <w:vMerge w:val="continue"/>
                  <w:tcBorders>
                    <w:left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p>
              </w:tc>
              <w:tc>
                <w:tcPr>
                  <w:tcW w:w="25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废钢筋</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29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4</w:t>
                  </w:r>
                </w:p>
              </w:tc>
              <w:tc>
                <w:tcPr>
                  <w:tcW w:w="1226" w:type="dxa"/>
                  <w:vMerge w:val="continue"/>
                  <w:tcBorders>
                    <w:left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p>
              </w:tc>
              <w:tc>
                <w:tcPr>
                  <w:tcW w:w="25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不合格产品</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29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 w:hRule="atLeast"/>
                <w:jc w:val="center"/>
              </w:trPr>
              <w:tc>
                <w:tcPr>
                  <w:tcW w:w="72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5</w:t>
                  </w:r>
                </w:p>
              </w:tc>
              <w:tc>
                <w:tcPr>
                  <w:tcW w:w="122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w:t>
                  </w:r>
                </w:p>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废物</w:t>
                  </w:r>
                </w:p>
              </w:tc>
              <w:tc>
                <w:tcPr>
                  <w:tcW w:w="25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废润滑油及废润滑油桶</w:t>
                  </w:r>
                </w:p>
              </w:tc>
              <w:tc>
                <w:tcPr>
                  <w:tcW w:w="115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sz w:val="21"/>
                      <w:szCs w:val="21"/>
                      <w:lang w:eastAsia="zh-CN"/>
                    </w:rPr>
                  </w:pPr>
                  <w:r>
                    <w:rPr>
                      <w:rFonts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3</w:t>
                  </w:r>
                </w:p>
              </w:tc>
              <w:tc>
                <w:tcPr>
                  <w:tcW w:w="29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收集暂存于危废暂存间，交由有资质单位处理</w:t>
                  </w:r>
                </w:p>
              </w:tc>
            </w:tr>
          </w:tbl>
          <w:p>
            <w:pPr>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本项目不自行处置固废，项目设置一般固废暂存区和危险废物暂存间，用于上述废物的收集与暂存，同时严格按照工业固体废物申报登记制度，对固废产生种类、产生量、处置去向进行记录和申报。</w:t>
            </w:r>
          </w:p>
          <w:p>
            <w:pPr>
              <w:spacing w:line="360" w:lineRule="auto"/>
              <w:ind w:firstLine="480" w:firstLineChars="200"/>
              <w:rPr>
                <w:rFonts w:ascii="Times New Roman" w:hAnsi="Times New Roman" w:cs="Times New Roman"/>
                <w:color w:val="auto"/>
                <w:sz w:val="24"/>
                <w:szCs w:val="24"/>
              </w:rPr>
            </w:pPr>
            <w:r>
              <w:rPr>
                <w:rFonts w:hint="default" w:ascii="Times New Roman" w:hAnsi="Times New Roman" w:cs="Times New Roman"/>
                <w:color w:val="auto"/>
                <w:sz w:val="24"/>
                <w:szCs w:val="24"/>
              </w:rPr>
              <w:t>项目固废间和危废间自行建设，采用自行建设的危废间固废间（</w:t>
            </w:r>
            <w:r>
              <w:rPr>
                <w:rFonts w:ascii="Times New Roman" w:hAnsi="Times New Roman" w:cs="Times New Roman"/>
                <w:color w:val="auto"/>
                <w:sz w:val="24"/>
                <w:szCs w:val="24"/>
              </w:rPr>
              <w:t>共40m</w:t>
            </w:r>
            <w:r>
              <w:rPr>
                <w:rFonts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）用于暂存，</w:t>
            </w:r>
            <w:r>
              <w:rPr>
                <w:rFonts w:ascii="Times New Roman" w:hAnsi="Times New Roman" w:cs="Times New Roman"/>
                <w:color w:val="auto"/>
                <w:sz w:val="24"/>
                <w:szCs w:val="24"/>
              </w:rPr>
              <w:t>一般固废暂存区用于各处固废的收集运输，并有运输通道与厂外连接。一般固废间有完善的“防风、防雨、防晒”措施，分类堆放，设标识牌。</w:t>
            </w:r>
          </w:p>
          <w:p>
            <w:pPr>
              <w:pStyle w:val="44"/>
              <w:ind w:firstLine="480" w:firstLineChars="200"/>
              <w:rPr>
                <w:rFonts w:ascii="Times New Roman" w:hAnsi="Times New Roman" w:cs="Times New Roman"/>
                <w:color w:val="auto"/>
                <w:kern w:val="2"/>
                <w:sz w:val="21"/>
                <w:szCs w:val="28"/>
              </w:rPr>
            </w:pPr>
            <w:r>
              <w:rPr>
                <w:rFonts w:ascii="Times New Roman" w:hAnsi="Times New Roman" w:cs="Times New Roman"/>
                <w:b w:val="0"/>
                <w:bCs w:val="0"/>
                <w:color w:val="auto"/>
                <w:szCs w:val="24"/>
              </w:rPr>
              <w:t>本项目在营运期间需注意防范火灾风险，应禁止员工在车间内进行可能产生火源的行为，同时定期检查车间内消防设施是否能正常运行，保证车间消防系统随时处于完善状态；根据《建设项目危险废物环境影响评价指南》，项目营运期危险废物产生及处理情况见表4-</w:t>
            </w:r>
            <w:r>
              <w:rPr>
                <w:rFonts w:hint="default" w:ascii="Times New Roman" w:hAnsi="Times New Roman" w:cs="Times New Roman"/>
                <w:b w:val="0"/>
                <w:bCs w:val="0"/>
                <w:color w:val="auto"/>
                <w:szCs w:val="24"/>
              </w:rPr>
              <w:t>1</w:t>
            </w:r>
            <w:r>
              <w:rPr>
                <w:rFonts w:hint="default" w:ascii="Times New Roman" w:hAnsi="Times New Roman" w:cs="Times New Roman"/>
                <w:b w:val="0"/>
                <w:bCs w:val="0"/>
                <w:color w:val="auto"/>
                <w:szCs w:val="24"/>
                <w:lang w:val="en-US" w:eastAsia="zh-CN"/>
              </w:rPr>
              <w:t>6</w:t>
            </w:r>
            <w:r>
              <w:rPr>
                <w:rFonts w:ascii="Times New Roman" w:hAnsi="Times New Roman" w:cs="Times New Roman"/>
                <w:b w:val="0"/>
                <w:bCs w:val="0"/>
                <w:color w:val="auto"/>
                <w:szCs w:val="24"/>
              </w:rPr>
              <w:t>。</w:t>
            </w:r>
          </w:p>
          <w:p>
            <w:pPr>
              <w:pStyle w:val="8"/>
              <w:tabs>
                <w:tab w:val="left" w:pos="2940"/>
              </w:tabs>
              <w:autoSpaceDE/>
              <w:autoSpaceDN/>
              <w:spacing w:line="240" w:lineRule="auto"/>
              <w:ind w:firstLine="0" w:firstLineChars="0"/>
              <w:jc w:val="center"/>
              <w:rPr>
                <w:rFonts w:ascii="Times New Roman" w:hAnsi="Times New Roman" w:cs="Times New Roman"/>
                <w:b/>
                <w:color w:val="auto"/>
                <w:kern w:val="2"/>
                <w:sz w:val="21"/>
                <w:szCs w:val="21"/>
              </w:rPr>
            </w:pPr>
            <w:r>
              <w:rPr>
                <w:rFonts w:ascii="Times New Roman" w:hAnsi="Times New Roman" w:cs="Times New Roman"/>
                <w:b/>
                <w:color w:val="auto"/>
                <w:kern w:val="2"/>
                <w:sz w:val="21"/>
                <w:szCs w:val="21"/>
              </w:rPr>
              <w:t>表4-</w:t>
            </w:r>
            <w:r>
              <w:rPr>
                <w:rFonts w:hint="default" w:ascii="Times New Roman" w:hAnsi="Times New Roman" w:cs="Times New Roman"/>
                <w:b/>
                <w:color w:val="auto"/>
                <w:kern w:val="2"/>
                <w:sz w:val="21"/>
                <w:szCs w:val="21"/>
              </w:rPr>
              <w:t>1</w:t>
            </w:r>
            <w:r>
              <w:rPr>
                <w:rFonts w:hint="default" w:ascii="Times New Roman" w:hAnsi="Times New Roman" w:cs="Times New Roman"/>
                <w:b/>
                <w:color w:val="auto"/>
                <w:kern w:val="2"/>
                <w:sz w:val="21"/>
                <w:szCs w:val="21"/>
                <w:lang w:val="en-US" w:eastAsia="zh-CN"/>
              </w:rPr>
              <w:t>6</w:t>
            </w:r>
            <w:r>
              <w:rPr>
                <w:rFonts w:hint="default" w:ascii="Times New Roman" w:hAnsi="Times New Roman" w:cs="Times New Roman"/>
                <w:b/>
                <w:color w:val="auto"/>
                <w:kern w:val="2"/>
                <w:sz w:val="21"/>
                <w:szCs w:val="21"/>
              </w:rPr>
              <w:t xml:space="preserve">  </w:t>
            </w:r>
            <w:r>
              <w:rPr>
                <w:rFonts w:ascii="Times New Roman" w:hAnsi="Times New Roman" w:cs="Times New Roman"/>
                <w:b/>
                <w:color w:val="auto"/>
                <w:kern w:val="2"/>
                <w:sz w:val="21"/>
                <w:szCs w:val="21"/>
              </w:rPr>
              <w:t>项目危险废物汇总表</w:t>
            </w:r>
          </w:p>
          <w:tbl>
            <w:tblPr>
              <w:tblStyle w:val="24"/>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7"/>
              <w:gridCol w:w="928"/>
              <w:gridCol w:w="780"/>
              <w:gridCol w:w="1170"/>
              <w:gridCol w:w="818"/>
              <w:gridCol w:w="981"/>
              <w:gridCol w:w="577"/>
              <w:gridCol w:w="646"/>
              <w:gridCol w:w="623"/>
              <w:gridCol w:w="585"/>
              <w:gridCol w:w="49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序号</w:t>
                  </w:r>
                </w:p>
              </w:tc>
              <w:tc>
                <w:tcPr>
                  <w:tcW w:w="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危险废物名称</w:t>
                  </w:r>
                </w:p>
              </w:tc>
              <w:tc>
                <w:tcPr>
                  <w:tcW w:w="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危险废物类别</w:t>
                  </w:r>
                </w:p>
              </w:tc>
              <w:tc>
                <w:tcPr>
                  <w:tcW w:w="11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代码</w:t>
                  </w:r>
                </w:p>
              </w:tc>
              <w:tc>
                <w:tcPr>
                  <w:tcW w:w="81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产生量</w:t>
                  </w:r>
                </w:p>
              </w:tc>
              <w:tc>
                <w:tcPr>
                  <w:tcW w:w="9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产生工序及装置</w:t>
                  </w:r>
                </w:p>
              </w:tc>
              <w:tc>
                <w:tcPr>
                  <w:tcW w:w="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形态</w:t>
                  </w: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主要成分</w:t>
                  </w:r>
                </w:p>
              </w:tc>
              <w:tc>
                <w:tcPr>
                  <w:tcW w:w="6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有害成分</w:t>
                  </w:r>
                </w:p>
              </w:tc>
              <w:tc>
                <w:tcPr>
                  <w:tcW w:w="5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产废周期</w:t>
                  </w: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特性</w:t>
                  </w:r>
                </w:p>
              </w:tc>
              <w:tc>
                <w:tcPr>
                  <w:tcW w:w="9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49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9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废润滑油</w:t>
                  </w:r>
                </w:p>
              </w:tc>
              <w:tc>
                <w:tcPr>
                  <w:tcW w:w="7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HW08</w:t>
                  </w:r>
                </w:p>
              </w:tc>
              <w:tc>
                <w:tcPr>
                  <w:tcW w:w="11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900-249-08</w:t>
                  </w:r>
                </w:p>
              </w:tc>
              <w:tc>
                <w:tcPr>
                  <w:tcW w:w="81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3</w:t>
                  </w:r>
                  <w:r>
                    <w:rPr>
                      <w:rFonts w:ascii="Times New Roman" w:hAnsi="Times New Roman" w:cs="Times New Roman"/>
                      <w:color w:val="auto"/>
                      <w:sz w:val="21"/>
                      <w:szCs w:val="21"/>
                    </w:rPr>
                    <w:t>t/a</w:t>
                  </w:r>
                </w:p>
              </w:tc>
              <w:tc>
                <w:tcPr>
                  <w:tcW w:w="9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设备维护</w:t>
                  </w:r>
                </w:p>
              </w:tc>
              <w:tc>
                <w:tcPr>
                  <w:tcW w:w="5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固态</w:t>
                  </w: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烃类</w:t>
                  </w:r>
                </w:p>
              </w:tc>
              <w:tc>
                <w:tcPr>
                  <w:tcW w:w="623"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烃类</w:t>
                  </w:r>
                </w:p>
              </w:tc>
              <w:tc>
                <w:tcPr>
                  <w:tcW w:w="58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1a</w:t>
                  </w:r>
                </w:p>
              </w:tc>
              <w:tc>
                <w:tcPr>
                  <w:tcW w:w="4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T/I</w:t>
                  </w:r>
                </w:p>
              </w:tc>
              <w:tc>
                <w:tcPr>
                  <w:tcW w:w="9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分类储存于危废暂存间后委外处理</w:t>
                  </w:r>
                </w:p>
              </w:tc>
            </w:tr>
          </w:tbl>
          <w:p>
            <w:pPr>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根据《建设项目危险废物环境影响评价指南》，项目营运期危险废物贮存场所基本情况见表4-</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ascii="Times New Roman" w:hAnsi="Times New Roman" w:cs="Times New Roman"/>
                <w:color w:val="auto"/>
                <w:sz w:val="24"/>
                <w:szCs w:val="24"/>
              </w:rPr>
              <w:t>：</w:t>
            </w:r>
          </w:p>
          <w:p>
            <w:pPr>
              <w:pStyle w:val="8"/>
              <w:tabs>
                <w:tab w:val="left" w:pos="2940"/>
              </w:tabs>
              <w:autoSpaceDE/>
              <w:autoSpaceDN/>
              <w:spacing w:line="240" w:lineRule="auto"/>
              <w:ind w:firstLine="0" w:firstLineChars="0"/>
              <w:jc w:val="center"/>
              <w:rPr>
                <w:rFonts w:ascii="Times New Roman" w:hAnsi="Times New Roman" w:cs="Times New Roman"/>
                <w:b/>
                <w:color w:val="auto"/>
                <w:kern w:val="2"/>
                <w:sz w:val="21"/>
                <w:szCs w:val="21"/>
              </w:rPr>
            </w:pPr>
            <w:r>
              <w:rPr>
                <w:rFonts w:ascii="Times New Roman" w:hAnsi="Times New Roman" w:cs="Times New Roman"/>
                <w:b/>
                <w:color w:val="auto"/>
                <w:kern w:val="2"/>
                <w:sz w:val="21"/>
                <w:szCs w:val="21"/>
              </w:rPr>
              <w:t>表4-</w:t>
            </w:r>
            <w:r>
              <w:rPr>
                <w:rFonts w:hint="default" w:ascii="Times New Roman" w:hAnsi="Times New Roman" w:cs="Times New Roman"/>
                <w:b/>
                <w:color w:val="auto"/>
                <w:kern w:val="2"/>
                <w:sz w:val="21"/>
                <w:szCs w:val="21"/>
              </w:rPr>
              <w:t>1</w:t>
            </w:r>
            <w:r>
              <w:rPr>
                <w:rFonts w:hint="default" w:ascii="Times New Roman" w:hAnsi="Times New Roman" w:cs="Times New Roman"/>
                <w:b/>
                <w:color w:val="auto"/>
                <w:kern w:val="2"/>
                <w:sz w:val="21"/>
                <w:szCs w:val="21"/>
                <w:lang w:val="en-US" w:eastAsia="zh-CN"/>
              </w:rPr>
              <w:t>7</w:t>
            </w:r>
            <w:r>
              <w:rPr>
                <w:rFonts w:ascii="Times New Roman" w:hAnsi="Times New Roman" w:cs="Times New Roman"/>
                <w:b/>
                <w:color w:val="auto"/>
                <w:kern w:val="2"/>
                <w:sz w:val="21"/>
                <w:szCs w:val="21"/>
              </w:rPr>
              <w:t xml:space="preserve"> 项目危险废物贮存场所（设施）基本情况表</w:t>
            </w:r>
          </w:p>
          <w:tbl>
            <w:tblPr>
              <w:tblStyle w:val="24"/>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4"/>
              <w:gridCol w:w="1640"/>
              <w:gridCol w:w="1328"/>
              <w:gridCol w:w="1120"/>
              <w:gridCol w:w="892"/>
              <w:gridCol w:w="692"/>
              <w:gridCol w:w="724"/>
              <w:gridCol w:w="580"/>
              <w:gridCol w:w="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2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贮存场所（设施）名称</w:t>
                  </w:r>
                </w:p>
              </w:tc>
              <w:tc>
                <w:tcPr>
                  <w:tcW w:w="16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危险废物名称</w:t>
                  </w: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危险废物类别</w:t>
                  </w:r>
                </w:p>
              </w:tc>
              <w:tc>
                <w:tcPr>
                  <w:tcW w:w="11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危险废物</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代码</w:t>
                  </w:r>
                </w:p>
              </w:tc>
              <w:tc>
                <w:tcPr>
                  <w:tcW w:w="8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位置</w:t>
                  </w:r>
                </w:p>
              </w:tc>
              <w:tc>
                <w:tcPr>
                  <w:tcW w:w="6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占地</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面积</w:t>
                  </w:r>
                </w:p>
              </w:tc>
              <w:tc>
                <w:tcPr>
                  <w:tcW w:w="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贮存</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方式</w:t>
                  </w:r>
                </w:p>
              </w:tc>
              <w:tc>
                <w:tcPr>
                  <w:tcW w:w="5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贮存</w:t>
                  </w:r>
                </w:p>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能力</w:t>
                  </w:r>
                </w:p>
              </w:tc>
              <w:tc>
                <w:tcPr>
                  <w:tcW w:w="6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125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危废暂存间</w:t>
                  </w:r>
                </w:p>
              </w:tc>
              <w:tc>
                <w:tcPr>
                  <w:tcW w:w="16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废润滑油</w:t>
                  </w:r>
                </w:p>
              </w:tc>
              <w:tc>
                <w:tcPr>
                  <w:tcW w:w="1328"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HW08</w:t>
                  </w:r>
                </w:p>
              </w:tc>
              <w:tc>
                <w:tcPr>
                  <w:tcW w:w="11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900-249-08</w:t>
                  </w:r>
                </w:p>
              </w:tc>
              <w:tc>
                <w:tcPr>
                  <w:tcW w:w="8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车间外</w:t>
                  </w:r>
                </w:p>
              </w:tc>
              <w:tc>
                <w:tcPr>
                  <w:tcW w:w="6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共</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p>
              </w:tc>
              <w:tc>
                <w:tcPr>
                  <w:tcW w:w="724"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防渗专用容器</w:t>
                  </w:r>
                </w:p>
              </w:tc>
              <w:tc>
                <w:tcPr>
                  <w:tcW w:w="58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20t</w:t>
                  </w:r>
                </w:p>
              </w:tc>
              <w:tc>
                <w:tcPr>
                  <w:tcW w:w="6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sz w:val="21"/>
                      <w:szCs w:val="21"/>
                    </w:rPr>
                  </w:pPr>
                  <w:r>
                    <w:rPr>
                      <w:rFonts w:hint="default" w:ascii="Times New Roman" w:hAnsi="Times New Roman" w:cs="Times New Roman"/>
                      <w:color w:val="auto"/>
                      <w:sz w:val="21"/>
                      <w:szCs w:val="21"/>
                    </w:rPr>
                    <w:t>3</w:t>
                  </w:r>
                  <w:r>
                    <w:rPr>
                      <w:rFonts w:ascii="Times New Roman" w:hAnsi="Times New Roman" w:cs="Times New Roman"/>
                      <w:color w:val="auto"/>
                      <w:sz w:val="21"/>
                      <w:szCs w:val="21"/>
                    </w:rPr>
                    <w:t>个月</w:t>
                  </w:r>
                </w:p>
              </w:tc>
            </w:tr>
          </w:tbl>
          <w:p>
            <w:pPr>
              <w:adjustRightInd w:val="0"/>
              <w:snapToGrid w:val="0"/>
              <w:spacing w:line="360" w:lineRule="auto"/>
              <w:ind w:firstLine="482" w:firstLineChars="200"/>
              <w:rPr>
                <w:rFonts w:ascii="Times New Roman" w:hAnsi="Times New Roman" w:cs="Times New Roman"/>
                <w:color w:val="auto"/>
                <w:sz w:val="24"/>
                <w:szCs w:val="24"/>
              </w:rPr>
            </w:pPr>
            <w:r>
              <w:rPr>
                <w:rFonts w:ascii="Times New Roman" w:hAnsi="Times New Roman" w:cs="Times New Roman"/>
                <w:b/>
                <w:color w:val="auto"/>
                <w:sz w:val="24"/>
                <w:szCs w:val="24"/>
              </w:rPr>
              <w:t>危险废物管理要求：</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1 \* GB3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①</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危险废物不能与生活垃圾混合收集，应单独设立收集装置；</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2 \* GB3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②</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在厂区内设置独立的危险废物暂存间，并设立明显的危险废物标识，对不同类型的危废分类收集；</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3 \* GB3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③</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危险废物集中收集后定期交有资质的危险废物处置单位回收，并对其进行安全处置；</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4 \* GB3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④</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对危险废物暂存间地面进行</w:t>
            </w:r>
            <w:r>
              <w:rPr>
                <w:rFonts w:hint="default" w:ascii="Times New Roman" w:hAnsi="Times New Roman" w:cs="Times New Roman"/>
                <w:color w:val="auto"/>
                <w:sz w:val="24"/>
                <w:szCs w:val="24"/>
              </w:rPr>
              <w:t>重点防渗，硬化地面，</w:t>
            </w:r>
            <w:r>
              <w:rPr>
                <w:rFonts w:ascii="Times New Roman" w:hAnsi="Times New Roman" w:cs="Times New Roman"/>
                <w:color w:val="auto"/>
                <w:sz w:val="24"/>
                <w:szCs w:val="24"/>
              </w:rPr>
              <w:t>防止危险废物发生泄漏造成地下水的污染；</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 5 \* GB3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⑤</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按相关要求对项目产生的危险废物进行管理，与有资质的危险废物处置单位签订处置协议，并报当地生态环境局备案。</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 xml:space="preserve">在危废的处理处置过程中，应严格执行环保相关规定及要求，危废交由有资质的危废处理单位统一收集处置。厂区内的危险废物临时贮存应按《危险废物贮存污染控制标准》（GB18597-2001）及其修改单严格执行以下措施： </w:t>
            </w:r>
          </w:p>
          <w:p>
            <w:pPr>
              <w:snapToGrid w:val="0"/>
              <w:spacing w:line="360" w:lineRule="auto"/>
              <w:ind w:firstLine="472" w:firstLineChars="196"/>
              <w:rPr>
                <w:rFonts w:ascii="Times New Roman" w:hAnsi="Times New Roman" w:cs="Times New Roman"/>
                <w:b/>
                <w:color w:val="auto"/>
                <w:sz w:val="24"/>
                <w:szCs w:val="24"/>
              </w:rPr>
            </w:pPr>
            <w:r>
              <w:rPr>
                <w:rFonts w:ascii="Times New Roman" w:hAnsi="Times New Roman" w:cs="Times New Roman"/>
                <w:b/>
                <w:color w:val="auto"/>
                <w:sz w:val="24"/>
                <w:szCs w:val="24"/>
              </w:rPr>
              <w:t>一般措施：</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①对所有的危险废物应建造专用的危险废物贮存设施。</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②在常温常压下不水解、不挥发的固体危险废物可在贮存设施内分别堆放，其余的危险废物必须装入容器内。</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③禁止将不相容（相互反应）的危险废物在同一容器内混装。</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④无法装入常用容器的危险废物可用防漏胶袋等盛装。</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⑤装载液体、半固体危险废物的容器内须留足够空间，容器顶部与液体表面之间保留100mm以上的空间。</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⑥盛装危险废物的容器上必须粘贴符合标准的标签。</w:t>
            </w:r>
          </w:p>
          <w:p>
            <w:pPr>
              <w:snapToGrid w:val="0"/>
              <w:spacing w:line="360" w:lineRule="auto"/>
              <w:ind w:firstLine="472" w:firstLineChars="196"/>
              <w:rPr>
                <w:rFonts w:ascii="Times New Roman" w:hAnsi="Times New Roman" w:cs="Times New Roman"/>
                <w:b/>
                <w:color w:val="auto"/>
                <w:sz w:val="24"/>
                <w:szCs w:val="24"/>
              </w:rPr>
            </w:pPr>
            <w:r>
              <w:rPr>
                <w:rFonts w:ascii="Times New Roman" w:hAnsi="Times New Roman" w:cs="Times New Roman"/>
                <w:b/>
                <w:color w:val="auto"/>
                <w:sz w:val="24"/>
                <w:szCs w:val="24"/>
              </w:rPr>
              <w:t>危险废物贮存容器：</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①应当使用符合标准的容器盛装危险废物。</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②装载危险废物的容器及材质要满足相应的强度要求。</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③装载危险废物的容器必须完好无损。</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④盛装危险废物的容器材质和衬里要与危险废物相容（不相互反应）。</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⑤液体危险废物可注入开孔直径不超过70mm并有放气孔的桶中。</w:t>
            </w:r>
          </w:p>
          <w:p>
            <w:pPr>
              <w:snapToGrid w:val="0"/>
              <w:spacing w:line="360" w:lineRule="auto"/>
              <w:ind w:firstLine="472" w:firstLineChars="196"/>
              <w:rPr>
                <w:rFonts w:ascii="Times New Roman" w:hAnsi="Times New Roman" w:cs="Times New Roman"/>
                <w:b/>
                <w:color w:val="auto"/>
                <w:sz w:val="24"/>
                <w:szCs w:val="24"/>
              </w:rPr>
            </w:pPr>
            <w:r>
              <w:rPr>
                <w:rFonts w:ascii="Times New Roman" w:hAnsi="Times New Roman" w:cs="Times New Roman"/>
                <w:b/>
                <w:color w:val="auto"/>
                <w:sz w:val="24"/>
                <w:szCs w:val="24"/>
              </w:rPr>
              <w:t>危险废物贮存设施的运行与管理：</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①从事危险废物贮存的单位，必须得到有资质单位出具的该危险废物样品物理和化学性质的分析报告，认定可以贮存后，方可接收。</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②危险废物贮存前应进行检验，确保同预定接收的危险废物一致，并登记注册。</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③不得接收未粘贴符合规定的标签或标签没按规定填写的危险废物。</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④盛装在容器内的同类危险废物可以堆叠存放。</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⑤每个堆间应留有搬运通道。</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⑥不得将不相容的废物混合或合并存放。</w:t>
            </w:r>
          </w:p>
          <w:p>
            <w:pPr>
              <w:widowControl/>
              <w:adjustRightInd w:val="0"/>
              <w:snapToGrid w:val="0"/>
              <w:spacing w:line="360" w:lineRule="auto"/>
              <w:ind w:firstLine="456" w:firstLineChars="200"/>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⑦危险废物产生者和危险废物贮存设施经营者均须</w:t>
            </w:r>
            <w:r>
              <w:rPr>
                <w:rFonts w:hint="default" w:ascii="Times New Roman" w:hAnsi="Times New Roman" w:cs="Times New Roman"/>
                <w:color w:val="auto"/>
                <w:spacing w:val="-6"/>
                <w:sz w:val="24"/>
                <w:szCs w:val="24"/>
              </w:rPr>
              <w:t>做好</w:t>
            </w:r>
            <w:r>
              <w:rPr>
                <w:rFonts w:ascii="Times New Roman" w:hAnsi="Times New Roman" w:cs="Times New Roman"/>
                <w:color w:val="auto"/>
                <w:spacing w:val="-6"/>
                <w:sz w:val="24"/>
                <w:szCs w:val="24"/>
              </w:rPr>
              <w:t>危险废物情况的记录，记录上须注明危险废物的名称、来源、数量、特性和包装容器的类别、入库日期、存放库位、废物出库日期及接收单位名称。危险废物的记录和货单在危险废物回取后应继续保留三年。</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⑧必须定期对所贮存的危险废物包装容器及贮存设施进行检查，发现破损，应及时采取措施清理更换。</w:t>
            </w:r>
          </w:p>
          <w:p>
            <w:pPr>
              <w:snapToGrid w:val="0"/>
              <w:spacing w:line="360" w:lineRule="auto"/>
              <w:ind w:firstLine="472" w:firstLineChars="196"/>
              <w:rPr>
                <w:rFonts w:ascii="Times New Roman" w:hAnsi="Times New Roman" w:cs="Times New Roman"/>
                <w:b/>
                <w:color w:val="auto"/>
                <w:sz w:val="24"/>
                <w:szCs w:val="24"/>
              </w:rPr>
            </w:pPr>
            <w:r>
              <w:rPr>
                <w:rFonts w:ascii="Times New Roman" w:hAnsi="Times New Roman" w:cs="Times New Roman"/>
                <w:b/>
                <w:color w:val="auto"/>
                <w:sz w:val="24"/>
                <w:szCs w:val="24"/>
              </w:rPr>
              <w:t>危险废物贮存设施的安全防护与监测：</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①安全防护：危险废物贮存设施都必须按GB15562.2的规定设置警示标志。危险废物贮存设施周围应设置围墙或其它防护栅栏。危险废物贮存设施应配备通讯设备、照明设施、安全防护服装及工具，并设有应急防护设施。危险废物贮存设施内清理出来的泄漏物，一律按危险废物处理。</w:t>
            </w:r>
          </w:p>
          <w:p>
            <w:pPr>
              <w:widowControl/>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②按国家污染源管理要求对危险废物贮存设施进行监测。</w:t>
            </w:r>
          </w:p>
          <w:p>
            <w:pPr>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ascii="Times New Roman" w:hAnsi="Times New Roman" w:cs="Times New Roman"/>
                <w:color w:val="auto"/>
                <w:sz w:val="24"/>
                <w:szCs w:val="24"/>
              </w:rPr>
              <w:t>本项目危险固体废物处理后交由有资质的单位外运处置，但厂区内必须建立一个</w:t>
            </w:r>
            <w:r>
              <w:rPr>
                <w:rFonts w:hint="default" w:ascii="Times New Roman" w:hAnsi="Times New Roman" w:cs="Times New Roman"/>
                <w:color w:val="auto"/>
                <w:sz w:val="24"/>
                <w:szCs w:val="24"/>
                <w:lang w:val="en-US" w:eastAsia="zh-CN"/>
              </w:rPr>
              <w:t>10m</w:t>
            </w:r>
            <w:r>
              <w:rPr>
                <w:rFonts w:hint="default" w:ascii="Times New Roman" w:hAnsi="Times New Roman" w:cs="Times New Roman"/>
                <w:color w:val="auto"/>
                <w:sz w:val="24"/>
                <w:szCs w:val="24"/>
                <w:vertAlign w:val="superscript"/>
                <w:lang w:val="en-US" w:eastAsia="zh-CN"/>
              </w:rPr>
              <w:t>2</w:t>
            </w:r>
            <w:r>
              <w:rPr>
                <w:rFonts w:ascii="Times New Roman" w:hAnsi="Times New Roman" w:cs="Times New Roman"/>
                <w:color w:val="auto"/>
                <w:sz w:val="24"/>
                <w:szCs w:val="24"/>
              </w:rPr>
              <w:t>危险废物暂存间，</w:t>
            </w:r>
            <w:r>
              <w:rPr>
                <w:rFonts w:hint="default" w:ascii="Times New Roman" w:hAnsi="Times New Roman" w:cs="Times New Roman"/>
                <w:color w:val="auto"/>
                <w:sz w:val="24"/>
                <w:szCs w:val="24"/>
              </w:rPr>
              <w:t>砖混结构，设置危险废物警示标志；危废暂存间地面和1m高的墙裙采取防渗处理，暂存间内沿墙角线设置围堰；</w:t>
            </w:r>
            <w:r>
              <w:rPr>
                <w:rFonts w:ascii="Times New Roman" w:hAnsi="Times New Roman" w:cs="Times New Roman"/>
                <w:color w:val="auto"/>
                <w:sz w:val="24"/>
                <w:szCs w:val="24"/>
              </w:rPr>
              <w:t>地面必须采用按重点防渗区要求采取防渗措施</w:t>
            </w:r>
            <w:r>
              <w:rPr>
                <w:rFonts w:hint="default" w:ascii="Times New Roman" w:hAnsi="Times New Roman" w:cs="Times New Roman"/>
                <w:color w:val="auto"/>
                <w:sz w:val="24"/>
                <w:szCs w:val="24"/>
                <w:lang w:eastAsia="zh-CN"/>
              </w:rPr>
              <w:t>（环氧树脂防腐层+抗渗混凝土面层（厚度30cm，抗渗等级不低于P8）+厚土压实）；危险废物分区暂存于危险废物暂存间内，容器加盖，桶外贴附标签；由专人上锁管理，并建立健全危险废物登记管理制度，做好危险废物情况的记录，记</w:t>
            </w:r>
          </w:p>
          <w:p>
            <w:pPr>
              <w:adjustRightInd w:val="0"/>
              <w:snapToGrid w:val="0"/>
              <w:spacing w:line="360" w:lineRule="auto"/>
              <w:rPr>
                <w:rFonts w:ascii="Times New Roman" w:hAnsi="Times New Roman" w:cs="Times New Roman"/>
                <w:b/>
                <w:color w:val="auto"/>
                <w:sz w:val="24"/>
                <w:szCs w:val="24"/>
              </w:rPr>
            </w:pPr>
            <w:r>
              <w:rPr>
                <w:rFonts w:hint="default" w:ascii="Times New Roman" w:hAnsi="Times New Roman" w:cs="Times New Roman"/>
                <w:color w:val="auto"/>
                <w:sz w:val="24"/>
                <w:szCs w:val="24"/>
                <w:lang w:eastAsia="zh-CN"/>
              </w:rPr>
              <w:t>录上须注明危险废物的名称、来源、数量、特性和包装容器的类别、入库日期、存放库位、废物出库日期及接收单位名称</w:t>
            </w:r>
            <w:r>
              <w:rPr>
                <w:rFonts w:ascii="Times New Roman" w:hAnsi="Times New Roman" w:cs="Times New Roman"/>
                <w:color w:val="auto"/>
                <w:sz w:val="24"/>
                <w:szCs w:val="24"/>
              </w:rPr>
              <w:t>。</w:t>
            </w:r>
          </w:p>
          <w:p>
            <w:pPr>
              <w:adjustRightInd w:val="0"/>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综合上述分析，本项目对各类固废采取了安全、合理、卫生的处理和处置方法，可有效防止二次污染。</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五、生态环境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由于项目用地为工业用地，项目不涉及生态环境影响。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六、地下水、土壤</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根据地下水污染防治措施和对策，坚持“源头控制、分区防控、污染监控、应急响应，重点突出饮用水水质安全”的原则。</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42" w:firstLineChars="200"/>
              <w:jc w:val="both"/>
              <w:textAlignment w:val="auto"/>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1、源头控制措施</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项目应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cs="Times New Roman"/>
                <w:b/>
                <w:bCs w:val="0"/>
                <w:color w:val="auto"/>
                <w:spacing w:val="-10"/>
                <w:sz w:val="24"/>
                <w:szCs w:val="24"/>
              </w:rPr>
            </w:pPr>
            <w:r>
              <w:rPr>
                <w:rFonts w:hint="default" w:ascii="Times New Roman" w:hAnsi="Times New Roman" w:eastAsia="宋体" w:cs="Times New Roman"/>
                <w:color w:val="auto"/>
                <w:sz w:val="24"/>
                <w:szCs w:val="24"/>
                <w:lang w:val="en-US" w:eastAsia="zh-CN"/>
              </w:rPr>
              <w:t>②对工艺、设备、污水储存及处理构筑物采取控制措施，防止污染物的跑、冒、滴、漏，将污染物泄漏的环境风险事故降到最低限度。</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42" w:firstLineChars="200"/>
              <w:jc w:val="both"/>
              <w:textAlignment w:val="auto"/>
              <w:rPr>
                <w:rFonts w:hint="default" w:ascii="Times New Roman" w:hAnsi="Times New Roman" w:cs="Times New Roman"/>
                <w:b/>
                <w:bCs w:val="0"/>
                <w:color w:val="auto"/>
                <w:spacing w:val="-10"/>
                <w:sz w:val="24"/>
                <w:szCs w:val="24"/>
              </w:rPr>
            </w:pPr>
            <w:r>
              <w:rPr>
                <w:rFonts w:hint="default" w:ascii="Times New Roman" w:hAnsi="Times New Roman" w:cs="Times New Roman"/>
                <w:b/>
                <w:bCs w:val="0"/>
                <w:color w:val="auto"/>
                <w:spacing w:val="-10"/>
                <w:sz w:val="24"/>
                <w:szCs w:val="24"/>
              </w:rPr>
              <w:t>2、分区防渗措施</w:t>
            </w:r>
          </w:p>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产生固体废物和废水，如果管理不善，会因入渗而污染地下水。本项目产生的污水如果渗排、漏排，固体废物乱堆乱放，污染物经过土壤过滤、吸附、离子交换、沉淀、水解及生物积累等过程使部分污染物渗入地下，将对地下水造成严重污染。为保护该区地下水，项目内防渗分区分为重点防渗区、一般防渗区和简单防渗区。具体分区防渗详见下表。</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表4</w:t>
            </w:r>
            <w:r>
              <w:rPr>
                <w:rFonts w:ascii="Times New Roman" w:hAnsi="Times New Roman" w:eastAsia="宋体" w:cs="Times New Roman"/>
                <w:b/>
                <w:color w:val="auto"/>
                <w:kern w:val="2"/>
                <w:sz w:val="21"/>
                <w:szCs w:val="21"/>
                <w:lang w:val="en-US" w:eastAsia="zh-CN" w:bidi="ar-SA"/>
              </w:rPr>
              <w:t>-</w:t>
            </w:r>
            <w:r>
              <w:rPr>
                <w:rFonts w:hint="default" w:ascii="Times New Roman" w:hAnsi="Times New Roman" w:eastAsia="宋体" w:cs="Times New Roman"/>
                <w:b/>
                <w:color w:val="auto"/>
                <w:kern w:val="2"/>
                <w:sz w:val="21"/>
                <w:szCs w:val="21"/>
                <w:lang w:val="en-US" w:eastAsia="zh-CN" w:bidi="ar-SA"/>
              </w:rPr>
              <w:t>1</w:t>
            </w:r>
            <w:r>
              <w:rPr>
                <w:rFonts w:hint="default" w:ascii="Times New Roman" w:hAnsi="Times New Roman" w:cs="Times New Roman"/>
                <w:b/>
                <w:color w:val="auto"/>
                <w:kern w:val="2"/>
                <w:sz w:val="21"/>
                <w:szCs w:val="21"/>
                <w:lang w:val="en-US" w:eastAsia="zh-CN" w:bidi="ar-SA"/>
              </w:rPr>
              <w:t>8</w:t>
            </w:r>
            <w:r>
              <w:rPr>
                <w:rFonts w:ascii="Times New Roman" w:hAnsi="Times New Roman" w:eastAsia="宋体" w:cs="Times New Roman"/>
                <w:b/>
                <w:color w:val="auto"/>
                <w:kern w:val="2"/>
                <w:sz w:val="21"/>
                <w:szCs w:val="21"/>
                <w:lang w:val="en-US" w:eastAsia="zh-CN" w:bidi="ar-SA"/>
              </w:rPr>
              <w:t xml:space="preserve"> </w:t>
            </w:r>
            <w:r>
              <w:rPr>
                <w:rFonts w:hint="default" w:ascii="Times New Roman" w:hAnsi="Times New Roman" w:eastAsia="宋体" w:cs="Times New Roman"/>
                <w:b/>
                <w:color w:val="auto"/>
                <w:kern w:val="2"/>
                <w:sz w:val="21"/>
                <w:szCs w:val="21"/>
                <w:lang w:val="en-US" w:eastAsia="zh-CN" w:bidi="ar-SA"/>
              </w:rPr>
              <w:t>项目分区防渗一览表</w:t>
            </w:r>
          </w:p>
          <w:tbl>
            <w:tblPr>
              <w:tblStyle w:val="24"/>
              <w:tblW w:w="49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88"/>
              <w:gridCol w:w="1560"/>
              <w:gridCol w:w="1195"/>
              <w:gridCol w:w="1556"/>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392"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89"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车间名称</w:t>
                  </w:r>
                </w:p>
              </w:tc>
              <w:tc>
                <w:tcPr>
                  <w:tcW w:w="681"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分区类别</w:t>
                  </w:r>
                </w:p>
              </w:tc>
              <w:tc>
                <w:tcPr>
                  <w:tcW w:w="886"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租赁车间已采取</w:t>
                  </w:r>
                  <w:r>
                    <w:rPr>
                      <w:rFonts w:hint="default" w:ascii="Times New Roman" w:hAnsi="Times New Roman" w:cs="Times New Roman"/>
                      <w:b/>
                      <w:bCs/>
                      <w:color w:val="auto"/>
                      <w:sz w:val="21"/>
                      <w:szCs w:val="21"/>
                      <w:lang w:eastAsia="zh-CN"/>
                    </w:rPr>
                    <w:t>防渗措施</w:t>
                  </w:r>
                </w:p>
              </w:tc>
              <w:tc>
                <w:tcPr>
                  <w:tcW w:w="2150"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0" w:hRule="atLeast"/>
                <w:jc w:val="center"/>
              </w:trPr>
              <w:tc>
                <w:tcPr>
                  <w:tcW w:w="392"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889"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u w:val="none" w:color="auto"/>
                      <w:vertAlign w:val="baseline"/>
                    </w:rPr>
                    <w:t>危废暂存间</w:t>
                  </w:r>
                </w:p>
              </w:tc>
              <w:tc>
                <w:tcPr>
                  <w:tcW w:w="681"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886"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地面采用混凝土硬化</w:t>
                  </w:r>
                </w:p>
              </w:tc>
              <w:tc>
                <w:tcPr>
                  <w:tcW w:w="2150"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eastAsia="zh-CN"/>
                    </w:rPr>
                    <w:t>等效黏土防渗层Mb≥6.0m，K≤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10</w:t>
                  </w:r>
                  <w:r>
                    <w:rPr>
                      <w:rFonts w:hint="default" w:ascii="Times New Roman" w:hAnsi="Times New Roman" w:cs="Times New Roman"/>
                      <w:color w:val="auto"/>
                      <w:sz w:val="21"/>
                      <w:szCs w:val="21"/>
                      <w:vertAlign w:val="superscript"/>
                      <w:lang w:eastAsia="zh-CN"/>
                    </w:rPr>
                    <w:t>-</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eastAsia="zh-CN"/>
                    </w:rPr>
                    <w:t>cm/s；</w:t>
                  </w:r>
                  <w:r>
                    <w:rPr>
                      <w:rFonts w:hint="default" w:ascii="Times New Roman" w:hAnsi="Times New Roman" w:cs="Times New Roman"/>
                      <w:color w:val="auto"/>
                      <w:sz w:val="21"/>
                      <w:szCs w:val="21"/>
                      <w:lang w:val="en-US" w:eastAsia="zh-CN"/>
                    </w:rPr>
                    <w:t>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3" w:hRule="atLeast"/>
                <w:jc w:val="center"/>
              </w:trPr>
              <w:tc>
                <w:tcPr>
                  <w:tcW w:w="392"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89"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其他</w:t>
                  </w:r>
                  <w:r>
                    <w:rPr>
                      <w:rFonts w:hint="default" w:ascii="Times New Roman" w:hAnsi="Times New Roman" w:cs="Times New Roman"/>
                      <w:color w:val="auto"/>
                      <w:sz w:val="21"/>
                      <w:szCs w:val="21"/>
                      <w:lang w:eastAsia="zh-CN"/>
                    </w:rPr>
                    <w:t>生产区域</w:t>
                  </w:r>
                </w:p>
              </w:tc>
              <w:tc>
                <w:tcPr>
                  <w:tcW w:w="681"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一般防渗区</w:t>
                  </w:r>
                </w:p>
              </w:tc>
              <w:tc>
                <w:tcPr>
                  <w:tcW w:w="886"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地面采用混凝土硬化</w:t>
                  </w:r>
                </w:p>
              </w:tc>
              <w:tc>
                <w:tcPr>
                  <w:tcW w:w="2150"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等效</w:t>
                  </w:r>
                  <w:r>
                    <w:rPr>
                      <w:rFonts w:hint="default" w:ascii="Times New Roman" w:hAnsi="Times New Roman" w:cs="Times New Roman"/>
                      <w:color w:val="auto"/>
                      <w:sz w:val="21"/>
                      <w:szCs w:val="21"/>
                      <w:lang w:eastAsia="zh-CN"/>
                    </w:rPr>
                    <w:t>黏</w:t>
                  </w:r>
                  <w:r>
                    <w:rPr>
                      <w:rFonts w:hint="default" w:ascii="Times New Roman" w:hAnsi="Times New Roman" w:cs="Times New Roman"/>
                      <w:color w:val="auto"/>
                      <w:sz w:val="21"/>
                      <w:szCs w:val="21"/>
                    </w:rPr>
                    <w:t>土防渗</w:t>
                  </w:r>
                  <w:r>
                    <w:rPr>
                      <w:rFonts w:hint="default" w:ascii="Times New Roman" w:hAnsi="Times New Roman" w:cs="Times New Roman"/>
                      <w:color w:val="auto"/>
                      <w:sz w:val="21"/>
                      <w:szCs w:val="21"/>
                      <w:lang w:val="en-US" w:eastAsia="zh-CN"/>
                    </w:rPr>
                    <w:t>层</w:t>
                  </w:r>
                  <w:r>
                    <w:rPr>
                      <w:rFonts w:hint="default" w:ascii="Times New Roman" w:hAnsi="Times New Roman" w:cs="Times New Roman"/>
                      <w:color w:val="auto"/>
                      <w:sz w:val="21"/>
                      <w:szCs w:val="21"/>
                    </w:rPr>
                    <w:t>Mb≥1.5m，K≤</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或参照GB16889执行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71" w:hRule="atLeast"/>
                <w:jc w:val="center"/>
              </w:trPr>
              <w:tc>
                <w:tcPr>
                  <w:tcW w:w="392"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89"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u w:val="none" w:color="auto"/>
                    </w:rPr>
                    <w:t>办公</w:t>
                  </w:r>
                  <w:r>
                    <w:rPr>
                      <w:rFonts w:hint="default" w:ascii="Times New Roman" w:hAnsi="Times New Roman" w:cs="Times New Roman"/>
                      <w:color w:val="auto"/>
                      <w:sz w:val="21"/>
                      <w:szCs w:val="21"/>
                      <w:u w:val="none" w:color="auto"/>
                      <w:lang w:val="en-US" w:eastAsia="zh-CN"/>
                    </w:rPr>
                    <w:t>室</w:t>
                  </w:r>
                  <w:r>
                    <w:rPr>
                      <w:rFonts w:hint="default" w:ascii="Times New Roman" w:hAnsi="Times New Roman" w:cs="Times New Roman"/>
                      <w:color w:val="auto"/>
                      <w:sz w:val="21"/>
                      <w:szCs w:val="21"/>
                      <w:u w:val="none" w:color="auto"/>
                    </w:rPr>
                    <w:t>、厂区通道</w:t>
                  </w:r>
                </w:p>
              </w:tc>
              <w:tc>
                <w:tcPr>
                  <w:tcW w:w="681"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简单防渗区</w:t>
                  </w:r>
                </w:p>
              </w:tc>
              <w:tc>
                <w:tcPr>
                  <w:tcW w:w="886"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地面采用混凝土硬化</w:t>
                  </w:r>
                </w:p>
              </w:tc>
              <w:tc>
                <w:tcPr>
                  <w:tcW w:w="2150" w:type="pct"/>
                  <w:tcBorders>
                    <w:tl2br w:val="nil"/>
                    <w:tr2bl w:val="nil"/>
                  </w:tcBorders>
                  <w:noWrap w:val="0"/>
                  <w:tcMar>
                    <w:top w:w="0" w:type="dxa"/>
                    <w:left w:w="57" w:type="dxa"/>
                    <w:bottom w:w="0" w:type="dxa"/>
                    <w:right w:w="57" w:type="dxa"/>
                  </w:tcMar>
                  <w:vAlign w:val="center"/>
                </w:tcPr>
                <w:p>
                  <w:pPr>
                    <w:pStyle w:val="59"/>
                    <w:keepNext/>
                    <w:keepLines/>
                    <w:pageBreakBefore w:val="0"/>
                    <w:widowControl/>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一般地面硬化</w:t>
                  </w:r>
                </w:p>
              </w:tc>
            </w:tr>
          </w:tbl>
          <w:p>
            <w:pPr>
              <w:pStyle w:val="9"/>
              <w:keepNext w:val="0"/>
              <w:keepLines w:val="0"/>
              <w:pageBreakBefore w:val="0"/>
              <w:widowControl w:val="0"/>
              <w:numPr>
                <w:ilvl w:val="0"/>
                <w:numId w:val="0"/>
              </w:numPr>
              <w:kinsoku/>
              <w:wordWrap/>
              <w:overflowPunct/>
              <w:topLinePunct w:val="0"/>
              <w:autoSpaceDE/>
              <w:autoSpaceDN/>
              <w:bidi w:val="0"/>
              <w:adjustRightInd/>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由污染途径及对应措施分析可知，项目对可能产生地下水、土壤影响的各项途径均进行有效预防，在确保各项防渗措施得以落实，并加强环境管理的前提下，可有效阻隔危险废物的下渗途径，防治地下水和土壤环境受到污染。</w:t>
            </w:r>
          </w:p>
          <w:p>
            <w:pPr>
              <w:snapToGrid w:val="0"/>
              <w:spacing w:line="360" w:lineRule="auto"/>
              <w:ind w:firstLine="482" w:firstLineChars="200"/>
              <w:rPr>
                <w:rFonts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七</w:t>
            </w:r>
            <w:r>
              <w:rPr>
                <w:rFonts w:hint="default" w:ascii="Times New Roman" w:hAnsi="Times New Roman" w:cs="Times New Roman"/>
                <w:b/>
                <w:bCs/>
                <w:color w:val="auto"/>
                <w:sz w:val="24"/>
                <w:szCs w:val="24"/>
              </w:rPr>
              <w:t>、环境风险</w:t>
            </w:r>
          </w:p>
          <w:p>
            <w:pPr>
              <w:widowControl/>
              <w:snapToGrid w:val="0"/>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风险防范意识是企业安全生产的前提和保障，根据《建设项目环境风险评价技术导则》（HJ169-2018）分析，本次评价采取分析潜在的危险源和可能造成的污染事故及环境影响进行分析，并提出</w:t>
            </w:r>
            <w:r>
              <w:rPr>
                <w:rFonts w:hint="default" w:ascii="Times New Roman" w:hAnsi="Times New Roman" w:cs="Times New Roman"/>
                <w:color w:val="auto"/>
                <w:sz w:val="24"/>
                <w:szCs w:val="24"/>
              </w:rPr>
              <w:t>防治措施，</w:t>
            </w:r>
            <w:r>
              <w:rPr>
                <w:rFonts w:ascii="Times New Roman" w:hAnsi="Times New Roman" w:cs="Times New Roman"/>
                <w:color w:val="auto"/>
                <w:sz w:val="24"/>
                <w:szCs w:val="24"/>
              </w:rPr>
              <w:t>以达到降低风险，减少危害的目的。</w:t>
            </w:r>
          </w:p>
          <w:p>
            <w:pPr>
              <w:widowControl/>
              <w:snapToGrid w:val="0"/>
              <w:spacing w:line="360" w:lineRule="auto"/>
              <w:ind w:firstLine="480" w:firstLineChars="200"/>
              <w:rPr>
                <w:rFonts w:ascii="Times New Roman" w:hAnsi="Times New Roman" w:cs="Times New Roman"/>
                <w:b/>
                <w:color w:val="auto"/>
                <w:spacing w:val="2"/>
                <w:sz w:val="24"/>
                <w:szCs w:val="24"/>
              </w:rPr>
            </w:pPr>
            <w:r>
              <w:rPr>
                <w:rFonts w:ascii="Times New Roman" w:hAnsi="Times New Roman" w:cs="Times New Roman"/>
                <w:color w:val="auto"/>
                <w:sz w:val="24"/>
                <w:szCs w:val="24"/>
              </w:rPr>
              <w:t>根据《建设项目环境风险评价技术导则》（HJ169-2018）相关规定判定，本项目环境风险潜势为 I，可开展简单分析。</w:t>
            </w:r>
          </w:p>
          <w:p>
            <w:pPr>
              <w:widowControl/>
              <w:snapToGrid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1、风险调查</w:t>
            </w:r>
          </w:p>
          <w:p>
            <w:pPr>
              <w:widowControl/>
              <w:snapToGrid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（1）建设项目风险源调查</w:t>
            </w:r>
          </w:p>
          <w:p>
            <w:pPr>
              <w:pStyle w:val="8"/>
              <w:tabs>
                <w:tab w:val="left" w:pos="2940"/>
              </w:tabs>
              <w:autoSpaceDE/>
              <w:autoSpaceDN/>
              <w:ind w:firstLine="480"/>
              <w:rPr>
                <w:rFonts w:ascii="Times New Roman" w:hAnsi="Times New Roman" w:cs="Times New Roman"/>
                <w:color w:val="auto"/>
                <w:u w:color="FF0000"/>
                <w:lang w:bidi="ar"/>
              </w:rPr>
            </w:pPr>
            <w:r>
              <w:rPr>
                <w:rFonts w:ascii="Times New Roman" w:hAnsi="Times New Roman" w:cs="Times New Roman"/>
                <w:color w:val="auto"/>
                <w:u w:color="FF0000"/>
                <w:lang w:bidi="ar"/>
              </w:rPr>
              <w:t>本项目涉及的原料、辅料、产品及废物等物质均不属于《建设项目环境风险评价技术导则》（HJ169-2018）附录B中的所列的有毒有害、易燃易爆物质。本项目使用原辅材料均未构成重大危险源。</w:t>
            </w:r>
          </w:p>
          <w:p>
            <w:pPr>
              <w:pStyle w:val="8"/>
              <w:tabs>
                <w:tab w:val="left" w:pos="2940"/>
              </w:tabs>
              <w:autoSpaceDE/>
              <w:autoSpaceDN/>
              <w:spacing w:line="240" w:lineRule="auto"/>
              <w:ind w:firstLine="422"/>
              <w:jc w:val="center"/>
              <w:rPr>
                <w:rFonts w:ascii="Times New Roman" w:hAnsi="Times New Roman" w:cs="Times New Roman"/>
                <w:b/>
                <w:color w:val="auto"/>
                <w:kern w:val="2"/>
                <w:sz w:val="21"/>
                <w:szCs w:val="28"/>
              </w:rPr>
            </w:pPr>
            <w:r>
              <w:rPr>
                <w:rFonts w:ascii="Times New Roman" w:hAnsi="Times New Roman" w:cs="Times New Roman"/>
                <w:b/>
                <w:color w:val="auto"/>
                <w:kern w:val="2"/>
                <w:sz w:val="21"/>
                <w:szCs w:val="21"/>
              </w:rPr>
              <w:t>表4-</w:t>
            </w:r>
            <w:r>
              <w:rPr>
                <w:rFonts w:hint="default" w:ascii="Times New Roman" w:hAnsi="Times New Roman" w:cs="Times New Roman"/>
                <w:b/>
                <w:color w:val="auto"/>
                <w:kern w:val="2"/>
                <w:sz w:val="21"/>
                <w:szCs w:val="21"/>
              </w:rPr>
              <w:t>1</w:t>
            </w:r>
            <w:r>
              <w:rPr>
                <w:rFonts w:hint="default" w:ascii="Times New Roman" w:hAnsi="Times New Roman" w:cs="Times New Roman"/>
                <w:b/>
                <w:color w:val="auto"/>
                <w:kern w:val="2"/>
                <w:sz w:val="21"/>
                <w:szCs w:val="21"/>
                <w:lang w:val="en-US" w:eastAsia="zh-CN"/>
              </w:rPr>
              <w:t xml:space="preserve">9 </w:t>
            </w:r>
            <w:r>
              <w:rPr>
                <w:rFonts w:ascii="Times New Roman" w:hAnsi="Times New Roman" w:cs="Times New Roman"/>
                <w:b/>
                <w:color w:val="auto"/>
                <w:kern w:val="2"/>
                <w:sz w:val="21"/>
                <w:szCs w:val="21"/>
              </w:rPr>
              <w:t>项目涉及的各类主要环境风险物质年用量及日常存量表</w:t>
            </w:r>
          </w:p>
          <w:tbl>
            <w:tblPr>
              <w:tblStyle w:val="25"/>
              <w:tblW w:w="8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362"/>
              <w:gridCol w:w="1791"/>
              <w:gridCol w:w="1145"/>
              <w:gridCol w:w="1289"/>
              <w:gridCol w:w="745"/>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序号</w:t>
                  </w:r>
                </w:p>
              </w:tc>
              <w:tc>
                <w:tcPr>
                  <w:tcW w:w="23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危险物质名称</w:t>
                  </w:r>
                </w:p>
              </w:tc>
              <w:tc>
                <w:tcPr>
                  <w:tcW w:w="17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存放情况</w:t>
                  </w:r>
                </w:p>
              </w:tc>
              <w:tc>
                <w:tcPr>
                  <w:tcW w:w="11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年用量</w:t>
                  </w:r>
                </w:p>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(折纯，t)</w:t>
                  </w:r>
                </w:p>
              </w:tc>
              <w:tc>
                <w:tcPr>
                  <w:tcW w:w="12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最大存在量</w:t>
                  </w:r>
                </w:p>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(折纯，t)</w:t>
                  </w:r>
                </w:p>
              </w:tc>
              <w:tc>
                <w:tcPr>
                  <w:tcW w:w="7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临界量(t)</w:t>
                  </w:r>
                </w:p>
              </w:tc>
              <w:tc>
                <w:tcPr>
                  <w:tcW w:w="8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b/>
                      <w:bCs/>
                      <w:color w:val="auto"/>
                    </w:rPr>
                  </w:pPr>
                  <w:r>
                    <w:rPr>
                      <w:rFonts w:ascii="Times New Roman" w:hAnsi="Times New Roman" w:cs="Times New Roman"/>
                      <w:b/>
                      <w:bCs/>
                      <w:color w:val="auto"/>
                    </w:rPr>
                    <w:t>qn/Qn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1</w:t>
                  </w:r>
                </w:p>
              </w:tc>
              <w:tc>
                <w:tcPr>
                  <w:tcW w:w="2362"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油类物质（润滑油）</w:t>
                  </w:r>
                </w:p>
              </w:tc>
              <w:tc>
                <w:tcPr>
                  <w:tcW w:w="1791"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库房</w:t>
                  </w:r>
                </w:p>
              </w:tc>
              <w:tc>
                <w:tcPr>
                  <w:tcW w:w="11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hint="default" w:ascii="Times New Roman" w:hAnsi="Times New Roman" w:eastAsia="宋体" w:cs="Times New Roman"/>
                      <w:color w:val="auto"/>
                      <w:lang w:eastAsia="zh-CN"/>
                    </w:rPr>
                  </w:pPr>
                  <w:r>
                    <w:rPr>
                      <w:rFonts w:ascii="Times New Roman" w:hAnsi="Times New Roman" w:cs="Times New Roman"/>
                      <w:color w:val="auto"/>
                    </w:rPr>
                    <w:t>0.0</w:t>
                  </w:r>
                  <w:r>
                    <w:rPr>
                      <w:rFonts w:hint="default" w:ascii="Times New Roman" w:hAnsi="Times New Roman" w:cs="Times New Roman"/>
                      <w:color w:val="auto"/>
                      <w:lang w:val="en-US" w:eastAsia="zh-CN"/>
                    </w:rPr>
                    <w:t>3</w:t>
                  </w:r>
                </w:p>
              </w:tc>
              <w:tc>
                <w:tcPr>
                  <w:tcW w:w="1289"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0.</w:t>
                  </w:r>
                  <w:r>
                    <w:rPr>
                      <w:rFonts w:hint="default" w:ascii="Times New Roman" w:hAnsi="Times New Roman" w:cs="Times New Roman"/>
                      <w:color w:val="auto"/>
                    </w:rPr>
                    <w:t>02</w:t>
                  </w:r>
                </w:p>
              </w:tc>
              <w:tc>
                <w:tcPr>
                  <w:tcW w:w="745"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2500</w:t>
                  </w:r>
                </w:p>
              </w:tc>
              <w:tc>
                <w:tcPr>
                  <w:tcW w:w="8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2" w:type="dxa"/>
                  <w:gridSpan w:val="6"/>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合计</w:t>
                  </w:r>
                </w:p>
              </w:tc>
              <w:tc>
                <w:tcPr>
                  <w:tcW w:w="8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autoSpaceDE/>
                    <w:autoSpaceDN/>
                    <w:adjustRightInd w:val="0"/>
                    <w:snapToGrid w:val="0"/>
                    <w:jc w:val="center"/>
                    <w:rPr>
                      <w:rFonts w:ascii="Times New Roman" w:hAnsi="Times New Roman" w:cs="Times New Roman"/>
                      <w:color w:val="auto"/>
                    </w:rPr>
                  </w:pPr>
                  <w:r>
                    <w:rPr>
                      <w:rFonts w:ascii="Times New Roman" w:hAnsi="Times New Roman" w:cs="Times New Roman"/>
                      <w:color w:val="auto"/>
                    </w:rPr>
                    <w:t>＜1</w:t>
                  </w:r>
                </w:p>
              </w:tc>
            </w:tr>
          </w:tbl>
          <w:p>
            <w:pPr>
              <w:adjustRightInd w:val="0"/>
              <w:snapToGrid w:val="0"/>
              <w:rPr>
                <w:rFonts w:ascii="Times New Roman" w:hAnsi="Times New Roman" w:cs="Times New Roman"/>
                <w:b/>
                <w:color w:val="auto"/>
                <w:sz w:val="21"/>
                <w:szCs w:val="21"/>
              </w:rPr>
            </w:pPr>
            <w:r>
              <w:rPr>
                <w:rFonts w:ascii="Times New Roman" w:hAnsi="Times New Roman" w:cs="Times New Roman"/>
                <w:b/>
                <w:color w:val="auto"/>
                <w:sz w:val="21"/>
                <w:szCs w:val="21"/>
              </w:rPr>
              <w:t>注：根据《建设项目环境风险评价技术导则》（HJ169-2018）附录B中表B.1中环境风险物质进行筛选。</w:t>
            </w:r>
          </w:p>
          <w:p>
            <w:pPr>
              <w:widowControl/>
              <w:snapToGrid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2、风险潜势初判</w:t>
            </w:r>
          </w:p>
          <w:p>
            <w:pPr>
              <w:widowControl/>
              <w:snapToGrid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（1）风险潜势初判</w:t>
            </w:r>
          </w:p>
          <w:p>
            <w:pPr>
              <w:adjustRightInd w:val="0"/>
              <w:snapToGrid w:val="0"/>
              <w:spacing w:line="360" w:lineRule="auto"/>
              <w:ind w:firstLine="480" w:firstLineChars="200"/>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根据《建设项目环境风险评价技术导则》（HJ169-2018）中附录C，提供的危险物质及工艺系统危险性（P）的分级，本项目危险物质数量与临界量比值（Q）&lt;1，项目不构成重大危险源。根据附录C，当Q&lt;1时，该项目环境风险潜势为Ⅰ。</w:t>
            </w:r>
          </w:p>
          <w:p>
            <w:pPr>
              <w:adjustRightInd w:val="0"/>
              <w:snapToGrid w:val="0"/>
              <w:spacing w:line="360" w:lineRule="auto"/>
              <w:ind w:firstLine="480" w:firstLineChars="200"/>
              <w:textAlignment w:val="baseline"/>
              <w:rPr>
                <w:rFonts w:ascii="Times New Roman" w:hAnsi="Times New Roman" w:cs="Times New Roman"/>
                <w:color w:val="auto"/>
                <w:sz w:val="24"/>
                <w:szCs w:val="24"/>
              </w:rPr>
            </w:pPr>
            <w:r>
              <w:rPr>
                <w:rFonts w:ascii="Times New Roman" w:hAnsi="Times New Roman" w:cs="Times New Roman"/>
                <w:color w:val="auto"/>
                <w:sz w:val="24"/>
                <w:szCs w:val="24"/>
              </w:rPr>
              <w:t>因此，本项目风险潜势判定为Ⅰ。</w:t>
            </w:r>
          </w:p>
          <w:p>
            <w:pPr>
              <w:topLinePunct/>
              <w:spacing w:line="360" w:lineRule="auto"/>
              <w:ind w:firstLine="482" w:firstLineChars="200"/>
              <w:rPr>
                <w:rFonts w:ascii="Times New Roman" w:hAnsi="Times New Roman" w:cs="Times New Roman"/>
                <w:b/>
                <w:color w:val="auto"/>
                <w:sz w:val="24"/>
                <w:u w:color="FF0000"/>
              </w:rPr>
            </w:pPr>
            <w:r>
              <w:rPr>
                <w:rFonts w:ascii="Times New Roman" w:hAnsi="Times New Roman" w:cs="Times New Roman"/>
                <w:b/>
                <w:color w:val="auto"/>
                <w:sz w:val="24"/>
                <w:u w:color="FF0000"/>
              </w:rPr>
              <w:t>（2）评价等级</w:t>
            </w:r>
          </w:p>
          <w:p>
            <w:pPr>
              <w:topLinePunct/>
              <w:spacing w:line="360" w:lineRule="auto"/>
              <w:ind w:firstLine="480" w:firstLineChars="200"/>
              <w:rPr>
                <w:rFonts w:ascii="Times New Roman" w:hAnsi="Times New Roman" w:cs="Times New Roman"/>
                <w:b/>
                <w:color w:val="auto"/>
                <w:sz w:val="24"/>
                <w:u w:color="FF0000"/>
              </w:rPr>
            </w:pPr>
            <w:r>
              <w:rPr>
                <w:rFonts w:ascii="Times New Roman" w:hAnsi="Times New Roman" w:cs="Times New Roman"/>
                <w:color w:val="auto"/>
                <w:sz w:val="24"/>
                <w:u w:color="FF0000"/>
              </w:rPr>
              <w:t>按照《建设项目环境风险评价技术导则》（HJ169-2018）的等级划分标准，环境风险评价工作级别判别标准见下表。</w:t>
            </w:r>
          </w:p>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t>表4-</w:t>
            </w:r>
            <w:r>
              <w:rPr>
                <w:rFonts w:hint="default" w:ascii="Times New Roman" w:hAnsi="Times New Roman" w:cs="Times New Roman"/>
                <w:b/>
                <w:color w:val="auto"/>
                <w:sz w:val="21"/>
                <w:u w:color="FF0000"/>
                <w:lang w:val="en-US" w:eastAsia="zh-CN"/>
              </w:rPr>
              <w:t>20</w:t>
            </w:r>
            <w:r>
              <w:rPr>
                <w:rFonts w:ascii="Times New Roman" w:hAnsi="Times New Roman" w:cs="Times New Roman"/>
                <w:b/>
                <w:color w:val="auto"/>
                <w:sz w:val="21"/>
                <w:u w:color="FF0000"/>
              </w:rPr>
              <w:t xml:space="preserve">  风险评价工作级别表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768"/>
              <w:gridCol w:w="1770"/>
              <w:gridCol w:w="1770"/>
              <w:gridCol w:w="1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pct"/>
                  <w:shd w:val="clear" w:color="auto" w:fill="D7D7D7" w:themeFill="background1" w:themeFillShade="D8"/>
                  <w:vAlign w:val="center"/>
                </w:tcPr>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t>环境风险潜势</w:t>
                  </w:r>
                </w:p>
              </w:tc>
              <w:tc>
                <w:tcPr>
                  <w:tcW w:w="999" w:type="pct"/>
                  <w:shd w:val="clear" w:color="auto" w:fill="D7D7D7" w:themeFill="background1" w:themeFillShade="D8"/>
                  <w:vAlign w:val="center"/>
                </w:tcPr>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fldChar w:fldCharType="begin"/>
                  </w:r>
                  <w:r>
                    <w:rPr>
                      <w:rFonts w:ascii="Times New Roman" w:hAnsi="Times New Roman" w:cs="Times New Roman"/>
                      <w:b/>
                      <w:color w:val="auto"/>
                      <w:sz w:val="21"/>
                      <w:u w:color="FF0000"/>
                    </w:rPr>
                    <w:instrText xml:space="preserve"> = 4 \* ROMAN \* MERGEFORMAT </w:instrText>
                  </w:r>
                  <w:r>
                    <w:rPr>
                      <w:rFonts w:ascii="Times New Roman" w:hAnsi="Times New Roman" w:cs="Times New Roman"/>
                      <w:b/>
                      <w:color w:val="auto"/>
                      <w:sz w:val="21"/>
                      <w:u w:color="FF0000"/>
                    </w:rPr>
                    <w:fldChar w:fldCharType="separate"/>
                  </w:r>
                  <w:r>
                    <w:rPr>
                      <w:rFonts w:ascii="Times New Roman" w:hAnsi="Times New Roman" w:cs="Times New Roman"/>
                      <w:b/>
                      <w:color w:val="auto"/>
                      <w:sz w:val="21"/>
                      <w:u w:color="FF0000"/>
                    </w:rPr>
                    <w:t>IV</w:t>
                  </w:r>
                  <w:r>
                    <w:rPr>
                      <w:rFonts w:ascii="Times New Roman" w:hAnsi="Times New Roman" w:cs="Times New Roman"/>
                      <w:b/>
                      <w:color w:val="auto"/>
                      <w:sz w:val="21"/>
                      <w:u w:color="FF0000"/>
                    </w:rPr>
                    <w:fldChar w:fldCharType="end"/>
                  </w:r>
                  <w:r>
                    <w:rPr>
                      <w:rFonts w:ascii="Times New Roman" w:hAnsi="Times New Roman" w:cs="Times New Roman"/>
                      <w:b/>
                      <w:color w:val="auto"/>
                      <w:sz w:val="21"/>
                      <w:u w:color="FF0000"/>
                    </w:rPr>
                    <w:t>、</w:t>
                  </w:r>
                  <w:r>
                    <w:rPr>
                      <w:rFonts w:ascii="Times New Roman" w:hAnsi="Times New Roman" w:cs="Times New Roman"/>
                      <w:b/>
                      <w:color w:val="auto"/>
                      <w:sz w:val="21"/>
                      <w:u w:color="FF0000"/>
                    </w:rPr>
                    <w:fldChar w:fldCharType="begin"/>
                  </w:r>
                  <w:r>
                    <w:rPr>
                      <w:rFonts w:ascii="Times New Roman" w:hAnsi="Times New Roman" w:cs="Times New Roman"/>
                      <w:b/>
                      <w:color w:val="auto"/>
                      <w:sz w:val="21"/>
                      <w:u w:color="FF0000"/>
                    </w:rPr>
                    <w:instrText xml:space="preserve"> = 4 \* ROMAN \* MERGEFORMAT </w:instrText>
                  </w:r>
                  <w:r>
                    <w:rPr>
                      <w:rFonts w:ascii="Times New Roman" w:hAnsi="Times New Roman" w:cs="Times New Roman"/>
                      <w:b/>
                      <w:color w:val="auto"/>
                      <w:sz w:val="21"/>
                      <w:u w:color="FF0000"/>
                    </w:rPr>
                    <w:fldChar w:fldCharType="separate"/>
                  </w:r>
                  <w:r>
                    <w:rPr>
                      <w:rFonts w:ascii="Times New Roman" w:hAnsi="Times New Roman" w:cs="Times New Roman"/>
                      <w:b/>
                      <w:color w:val="auto"/>
                      <w:sz w:val="21"/>
                      <w:u w:color="FF0000"/>
                    </w:rPr>
                    <w:t>IV</w:t>
                  </w:r>
                  <w:r>
                    <w:rPr>
                      <w:rFonts w:ascii="Times New Roman" w:hAnsi="Times New Roman" w:cs="Times New Roman"/>
                      <w:b/>
                      <w:color w:val="auto"/>
                      <w:sz w:val="21"/>
                      <w:u w:color="FF0000"/>
                    </w:rPr>
                    <w:fldChar w:fldCharType="end"/>
                  </w:r>
                  <w:r>
                    <w:rPr>
                      <w:rFonts w:ascii="Times New Roman" w:hAnsi="Times New Roman" w:cs="Times New Roman"/>
                      <w:b/>
                      <w:color w:val="auto"/>
                      <w:sz w:val="21"/>
                      <w:u w:color="FF0000"/>
                    </w:rPr>
                    <w:t>+</w:t>
                  </w:r>
                </w:p>
              </w:tc>
              <w:tc>
                <w:tcPr>
                  <w:tcW w:w="1000" w:type="pct"/>
                  <w:shd w:val="clear" w:color="auto" w:fill="D7D7D7" w:themeFill="background1" w:themeFillShade="D8"/>
                  <w:vAlign w:val="center"/>
                </w:tcPr>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fldChar w:fldCharType="begin"/>
                  </w:r>
                  <w:r>
                    <w:rPr>
                      <w:rFonts w:ascii="Times New Roman" w:hAnsi="Times New Roman" w:cs="Times New Roman"/>
                      <w:b/>
                      <w:color w:val="auto"/>
                      <w:sz w:val="21"/>
                      <w:u w:color="FF0000"/>
                    </w:rPr>
                    <w:instrText xml:space="preserve"> = 3 \* ROMAN \* MERGEFORMAT </w:instrText>
                  </w:r>
                  <w:r>
                    <w:rPr>
                      <w:rFonts w:ascii="Times New Roman" w:hAnsi="Times New Roman" w:cs="Times New Roman"/>
                      <w:b/>
                      <w:color w:val="auto"/>
                      <w:sz w:val="21"/>
                      <w:u w:color="FF0000"/>
                    </w:rPr>
                    <w:fldChar w:fldCharType="separate"/>
                  </w:r>
                  <w:r>
                    <w:rPr>
                      <w:rFonts w:ascii="Times New Roman" w:hAnsi="Times New Roman" w:cs="Times New Roman"/>
                      <w:b/>
                      <w:color w:val="auto"/>
                      <w:sz w:val="21"/>
                      <w:u w:color="FF0000"/>
                    </w:rPr>
                    <w:t>III</w:t>
                  </w:r>
                  <w:r>
                    <w:rPr>
                      <w:rFonts w:ascii="Times New Roman" w:hAnsi="Times New Roman" w:cs="Times New Roman"/>
                      <w:b/>
                      <w:color w:val="auto"/>
                      <w:sz w:val="21"/>
                      <w:u w:color="FF0000"/>
                    </w:rPr>
                    <w:fldChar w:fldCharType="end"/>
                  </w:r>
                </w:p>
              </w:tc>
              <w:tc>
                <w:tcPr>
                  <w:tcW w:w="1000" w:type="pct"/>
                  <w:shd w:val="clear" w:color="auto" w:fill="D7D7D7" w:themeFill="background1" w:themeFillShade="D8"/>
                  <w:vAlign w:val="center"/>
                </w:tcPr>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fldChar w:fldCharType="begin"/>
                  </w:r>
                  <w:r>
                    <w:rPr>
                      <w:rFonts w:ascii="Times New Roman" w:hAnsi="Times New Roman" w:cs="Times New Roman"/>
                      <w:b/>
                      <w:color w:val="auto"/>
                      <w:sz w:val="21"/>
                      <w:u w:color="FF0000"/>
                    </w:rPr>
                    <w:instrText xml:space="preserve"> = 2 \* ROMAN \* MERGEFORMAT </w:instrText>
                  </w:r>
                  <w:r>
                    <w:rPr>
                      <w:rFonts w:ascii="Times New Roman" w:hAnsi="Times New Roman" w:cs="Times New Roman"/>
                      <w:b/>
                      <w:color w:val="auto"/>
                      <w:sz w:val="21"/>
                      <w:u w:color="FF0000"/>
                    </w:rPr>
                    <w:fldChar w:fldCharType="separate"/>
                  </w:r>
                  <w:r>
                    <w:rPr>
                      <w:rFonts w:ascii="Times New Roman" w:hAnsi="Times New Roman" w:cs="Times New Roman"/>
                      <w:b/>
                      <w:color w:val="auto"/>
                      <w:sz w:val="21"/>
                      <w:u w:color="FF0000"/>
                    </w:rPr>
                    <w:t>II</w:t>
                  </w:r>
                  <w:r>
                    <w:rPr>
                      <w:rFonts w:ascii="Times New Roman" w:hAnsi="Times New Roman" w:cs="Times New Roman"/>
                      <w:b/>
                      <w:color w:val="auto"/>
                      <w:sz w:val="21"/>
                      <w:u w:color="FF0000"/>
                    </w:rPr>
                    <w:fldChar w:fldCharType="end"/>
                  </w:r>
                </w:p>
              </w:tc>
              <w:tc>
                <w:tcPr>
                  <w:tcW w:w="1000" w:type="pct"/>
                  <w:shd w:val="clear" w:color="auto" w:fill="D7D7D7" w:themeFill="background1" w:themeFillShade="D8"/>
                  <w:vAlign w:val="center"/>
                </w:tcPr>
                <w:p>
                  <w:pPr>
                    <w:pStyle w:val="34"/>
                    <w:spacing w:line="240" w:lineRule="auto"/>
                    <w:ind w:firstLine="0" w:firstLineChars="0"/>
                    <w:jc w:val="center"/>
                    <w:rPr>
                      <w:rFonts w:ascii="Times New Roman" w:hAnsi="Times New Roman" w:cs="Times New Roman"/>
                      <w:b/>
                      <w:color w:val="auto"/>
                      <w:sz w:val="21"/>
                      <w:u w:color="FF0000"/>
                    </w:rPr>
                  </w:pPr>
                  <w:r>
                    <w:rPr>
                      <w:rFonts w:ascii="Times New Roman" w:hAnsi="Times New Roman" w:cs="Times New Roman"/>
                      <w:b/>
                      <w:color w:val="auto"/>
                      <w:sz w:val="21"/>
                      <w:u w:color="FF0000"/>
                    </w:rPr>
                    <w:fldChar w:fldCharType="begin"/>
                  </w:r>
                  <w:r>
                    <w:rPr>
                      <w:rFonts w:ascii="Times New Roman" w:hAnsi="Times New Roman" w:cs="Times New Roman"/>
                      <w:b/>
                      <w:color w:val="auto"/>
                      <w:sz w:val="21"/>
                      <w:u w:color="FF0000"/>
                    </w:rPr>
                    <w:instrText xml:space="preserve"> = 1 \* ROMAN \* MERGEFORMAT </w:instrText>
                  </w:r>
                  <w:r>
                    <w:rPr>
                      <w:rFonts w:ascii="Times New Roman" w:hAnsi="Times New Roman" w:cs="Times New Roman"/>
                      <w:b/>
                      <w:color w:val="auto"/>
                      <w:sz w:val="21"/>
                      <w:u w:color="FF0000"/>
                    </w:rPr>
                    <w:fldChar w:fldCharType="separate"/>
                  </w:r>
                  <w:r>
                    <w:rPr>
                      <w:rFonts w:ascii="Times New Roman" w:hAnsi="Times New Roman" w:cs="Times New Roman"/>
                      <w:b/>
                      <w:color w:val="auto"/>
                      <w:sz w:val="21"/>
                      <w:u w:color="FF0000"/>
                    </w:rPr>
                    <w:t>I</w:t>
                  </w:r>
                  <w:r>
                    <w:rPr>
                      <w:rFonts w:ascii="Times New Roman" w:hAnsi="Times New Roman" w:cs="Times New Roman"/>
                      <w:b/>
                      <w:color w:val="auto"/>
                      <w:sz w:val="21"/>
                      <w:u w:color="FF000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pct"/>
                  <w:vAlign w:val="center"/>
                </w:tcPr>
                <w:p>
                  <w:pPr>
                    <w:pStyle w:val="38"/>
                    <w:spacing w:line="0" w:lineRule="atLeast"/>
                    <w:rPr>
                      <w:rFonts w:ascii="Times New Roman" w:hAnsi="Times New Roman" w:cs="Times New Roman"/>
                      <w:b w:val="0"/>
                      <w:bCs/>
                      <w:color w:val="auto"/>
                      <w:sz w:val="24"/>
                      <w:szCs w:val="24"/>
                      <w:u w:color="FF0000"/>
                    </w:rPr>
                  </w:pPr>
                  <w:r>
                    <w:rPr>
                      <w:rFonts w:ascii="Times New Roman" w:hAnsi="Times New Roman" w:cs="Times New Roman"/>
                      <w:b w:val="0"/>
                      <w:bCs/>
                      <w:color w:val="auto"/>
                      <w:sz w:val="24"/>
                      <w:szCs w:val="24"/>
                      <w:u w:color="FF0000"/>
                    </w:rPr>
                    <w:t>评价工作等级</w:t>
                  </w:r>
                </w:p>
              </w:tc>
              <w:tc>
                <w:tcPr>
                  <w:tcW w:w="999" w:type="pct"/>
                  <w:vAlign w:val="center"/>
                </w:tcPr>
                <w:p>
                  <w:pPr>
                    <w:pStyle w:val="38"/>
                    <w:spacing w:line="0" w:lineRule="atLeast"/>
                    <w:rPr>
                      <w:rFonts w:ascii="Times New Roman" w:hAnsi="Times New Roman" w:cs="Times New Roman"/>
                      <w:b w:val="0"/>
                      <w:bCs/>
                      <w:color w:val="auto"/>
                      <w:sz w:val="24"/>
                      <w:szCs w:val="24"/>
                      <w:u w:color="FF0000"/>
                    </w:rPr>
                  </w:pPr>
                  <w:r>
                    <w:rPr>
                      <w:rFonts w:ascii="Times New Roman" w:hAnsi="Times New Roman" w:cs="Times New Roman"/>
                      <w:b w:val="0"/>
                      <w:bCs/>
                      <w:color w:val="auto"/>
                      <w:sz w:val="24"/>
                      <w:szCs w:val="24"/>
                      <w:u w:color="FF0000"/>
                    </w:rPr>
                    <w:t>一</w:t>
                  </w:r>
                </w:p>
              </w:tc>
              <w:tc>
                <w:tcPr>
                  <w:tcW w:w="1000" w:type="pct"/>
                  <w:vAlign w:val="center"/>
                </w:tcPr>
                <w:p>
                  <w:pPr>
                    <w:pStyle w:val="38"/>
                    <w:spacing w:line="0" w:lineRule="atLeast"/>
                    <w:rPr>
                      <w:rFonts w:ascii="Times New Roman" w:hAnsi="Times New Roman" w:cs="Times New Roman"/>
                      <w:b w:val="0"/>
                      <w:bCs/>
                      <w:color w:val="auto"/>
                      <w:sz w:val="24"/>
                      <w:szCs w:val="24"/>
                      <w:u w:color="FF0000"/>
                    </w:rPr>
                  </w:pPr>
                  <w:r>
                    <w:rPr>
                      <w:rFonts w:ascii="Times New Roman" w:hAnsi="Times New Roman" w:cs="Times New Roman"/>
                      <w:b w:val="0"/>
                      <w:bCs/>
                      <w:color w:val="auto"/>
                      <w:sz w:val="24"/>
                      <w:szCs w:val="24"/>
                      <w:u w:color="FF0000"/>
                    </w:rPr>
                    <w:t>二</w:t>
                  </w:r>
                </w:p>
              </w:tc>
              <w:tc>
                <w:tcPr>
                  <w:tcW w:w="1000" w:type="pct"/>
                  <w:vAlign w:val="center"/>
                </w:tcPr>
                <w:p>
                  <w:pPr>
                    <w:pStyle w:val="38"/>
                    <w:spacing w:line="0" w:lineRule="atLeast"/>
                    <w:rPr>
                      <w:rFonts w:ascii="Times New Roman" w:hAnsi="Times New Roman" w:cs="Times New Roman"/>
                      <w:b w:val="0"/>
                      <w:bCs/>
                      <w:color w:val="auto"/>
                      <w:sz w:val="24"/>
                      <w:szCs w:val="24"/>
                      <w:u w:color="FF0000"/>
                    </w:rPr>
                  </w:pPr>
                  <w:r>
                    <w:rPr>
                      <w:rFonts w:ascii="Times New Roman" w:hAnsi="Times New Roman" w:cs="Times New Roman"/>
                      <w:b w:val="0"/>
                      <w:bCs/>
                      <w:color w:val="auto"/>
                      <w:sz w:val="24"/>
                      <w:szCs w:val="24"/>
                      <w:u w:color="FF0000"/>
                    </w:rPr>
                    <w:t>三</w:t>
                  </w:r>
                </w:p>
              </w:tc>
              <w:tc>
                <w:tcPr>
                  <w:tcW w:w="1000" w:type="pct"/>
                  <w:vAlign w:val="center"/>
                </w:tcPr>
                <w:p>
                  <w:pPr>
                    <w:pStyle w:val="38"/>
                    <w:spacing w:line="0" w:lineRule="atLeast"/>
                    <w:rPr>
                      <w:rFonts w:ascii="Times New Roman" w:hAnsi="Times New Roman" w:cs="Times New Roman"/>
                      <w:b w:val="0"/>
                      <w:bCs/>
                      <w:color w:val="auto"/>
                      <w:sz w:val="24"/>
                      <w:szCs w:val="24"/>
                      <w:u w:color="FF0000"/>
                    </w:rPr>
                  </w:pPr>
                  <w:r>
                    <w:rPr>
                      <w:rFonts w:ascii="Times New Roman" w:hAnsi="Times New Roman" w:cs="Times New Roman"/>
                      <w:b w:val="0"/>
                      <w:bCs/>
                      <w:color w:val="auto"/>
                      <w:sz w:val="24"/>
                      <w:szCs w:val="24"/>
                      <w:u w:color="FF0000"/>
                    </w:rPr>
                    <w:t>简单分析</w:t>
                  </w:r>
                </w:p>
              </w:tc>
            </w:tr>
          </w:tbl>
          <w:p>
            <w:pPr>
              <w:adjustRightInd w:val="0"/>
              <w:spacing w:line="360" w:lineRule="auto"/>
              <w:ind w:firstLine="480" w:firstLineChars="200"/>
              <w:textAlignment w:val="baseline"/>
              <w:rPr>
                <w:rFonts w:ascii="Times New Roman" w:hAnsi="Times New Roman" w:cs="Times New Roman"/>
                <w:b/>
                <w:color w:val="auto"/>
                <w:sz w:val="24"/>
                <w:szCs w:val="24"/>
              </w:rPr>
            </w:pPr>
            <w:r>
              <w:rPr>
                <w:rFonts w:ascii="Times New Roman" w:hAnsi="Times New Roman" w:cs="Times New Roman"/>
                <w:color w:val="auto"/>
                <w:sz w:val="24"/>
                <w:szCs w:val="24"/>
                <w:u w:color="FF0000"/>
              </w:rPr>
              <w:t>本项目营运过程中油类物质储存和使用量较小，危险物质数量与临界量比值Q＜1，环境风险潜势为</w:t>
            </w:r>
            <w:r>
              <w:rPr>
                <w:rFonts w:ascii="Times New Roman" w:hAnsi="Times New Roman" w:cs="Times New Roman"/>
                <w:color w:val="auto"/>
                <w:sz w:val="24"/>
                <w:szCs w:val="24"/>
                <w:u w:color="FF0000"/>
              </w:rPr>
              <w:fldChar w:fldCharType="begin"/>
            </w:r>
            <w:r>
              <w:rPr>
                <w:rFonts w:ascii="Times New Roman" w:hAnsi="Times New Roman" w:cs="Times New Roman"/>
                <w:color w:val="auto"/>
                <w:sz w:val="24"/>
                <w:szCs w:val="24"/>
                <w:u w:color="FF0000"/>
              </w:rPr>
              <w:instrText xml:space="preserve"> = 1 \* ROMAN \* MERGEFORMAT </w:instrText>
            </w:r>
            <w:r>
              <w:rPr>
                <w:rFonts w:ascii="Times New Roman" w:hAnsi="Times New Roman" w:cs="Times New Roman"/>
                <w:color w:val="auto"/>
                <w:sz w:val="24"/>
                <w:szCs w:val="24"/>
                <w:u w:color="FF0000"/>
              </w:rPr>
              <w:fldChar w:fldCharType="separate"/>
            </w:r>
            <w:r>
              <w:rPr>
                <w:rFonts w:ascii="Times New Roman" w:hAnsi="Times New Roman" w:cs="Times New Roman"/>
                <w:color w:val="auto"/>
                <w:sz w:val="24"/>
                <w:szCs w:val="24"/>
                <w:u w:color="FF0000"/>
              </w:rPr>
              <w:t>I</w:t>
            </w:r>
            <w:r>
              <w:rPr>
                <w:rFonts w:ascii="Times New Roman" w:hAnsi="Times New Roman" w:cs="Times New Roman"/>
                <w:color w:val="auto"/>
                <w:sz w:val="24"/>
                <w:szCs w:val="24"/>
                <w:u w:color="FF0000"/>
              </w:rPr>
              <w:fldChar w:fldCharType="end"/>
            </w:r>
            <w:r>
              <w:rPr>
                <w:rFonts w:ascii="Times New Roman" w:hAnsi="Times New Roman" w:cs="Times New Roman"/>
                <w:color w:val="auto"/>
                <w:sz w:val="24"/>
                <w:szCs w:val="24"/>
                <w:u w:color="FF0000"/>
              </w:rPr>
              <w:t>。因此，本项目风险评价只需进行简单分析。</w:t>
            </w:r>
          </w:p>
          <w:p>
            <w:pPr>
              <w:widowControl/>
              <w:snapToGrid w:val="0"/>
              <w:spacing w:line="360" w:lineRule="auto"/>
              <w:ind w:firstLine="482" w:firstLineChars="200"/>
              <w:rPr>
                <w:rFonts w:ascii="Times New Roman" w:hAnsi="Times New Roman" w:cs="Times New Roman"/>
                <w:b/>
                <w:color w:val="auto"/>
                <w:sz w:val="24"/>
                <w:szCs w:val="24"/>
              </w:rPr>
            </w:pPr>
            <w:r>
              <w:rPr>
                <w:rFonts w:ascii="Times New Roman" w:hAnsi="Times New Roman" w:cs="Times New Roman"/>
                <w:b/>
                <w:color w:val="auto"/>
                <w:sz w:val="24"/>
                <w:szCs w:val="24"/>
              </w:rPr>
              <w:t>3、环境风险识别及</w:t>
            </w:r>
            <w:r>
              <w:rPr>
                <w:rFonts w:hint="default" w:ascii="Times New Roman" w:hAnsi="Times New Roman" w:cs="Times New Roman"/>
                <w:b/>
                <w:color w:val="auto"/>
                <w:sz w:val="24"/>
                <w:szCs w:val="24"/>
              </w:rPr>
              <w:t>危害</w:t>
            </w:r>
            <w:r>
              <w:rPr>
                <w:rFonts w:ascii="Times New Roman" w:hAnsi="Times New Roman" w:cs="Times New Roman"/>
                <w:b/>
                <w:color w:val="auto"/>
                <w:sz w:val="24"/>
                <w:szCs w:val="24"/>
              </w:rPr>
              <w:t>分析</w:t>
            </w:r>
          </w:p>
          <w:p>
            <w:pPr>
              <w:snapToGrid w:val="0"/>
              <w:spacing w:line="360" w:lineRule="auto"/>
              <w:ind w:firstLine="480" w:firstLineChars="200"/>
              <w:rPr>
                <w:rFonts w:hint="default" w:ascii="Times New Roman" w:hAnsi="Times New Roman" w:cs="Times New Roman"/>
                <w:b/>
                <w:color w:val="auto"/>
                <w:sz w:val="24"/>
                <w:highlight w:val="none"/>
                <w:u w:val="none" w:color="auto"/>
              </w:rPr>
            </w:pPr>
            <w:r>
              <w:rPr>
                <w:rFonts w:hint="default" w:ascii="Times New Roman" w:hAnsi="Times New Roman" w:cs="Times New Roman"/>
                <w:bCs/>
                <w:color w:val="auto"/>
                <w:sz w:val="24"/>
                <w:highlight w:val="none"/>
                <w:u w:val="none" w:color="auto"/>
                <w:lang w:bidi="ar"/>
              </w:rPr>
              <w:t>（1）源项分析</w:t>
            </w:r>
          </w:p>
          <w:p>
            <w:pPr>
              <w:snapToGrid w:val="0"/>
              <w:spacing w:line="360" w:lineRule="auto"/>
              <w:ind w:firstLine="480" w:firstLineChars="200"/>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bidi="ar"/>
              </w:rPr>
              <w:t>根据项目性质，主要可能发生的环境风险为火灾</w:t>
            </w:r>
            <w:r>
              <w:rPr>
                <w:rFonts w:hint="eastAsia" w:ascii="Times New Roman" w:hAnsi="Times New Roman" w:cs="Times New Roman"/>
                <w:color w:val="auto"/>
                <w:sz w:val="24"/>
                <w:szCs w:val="28"/>
                <w:highlight w:val="none"/>
                <w:u w:val="none" w:color="auto"/>
                <w:lang w:val="en-US" w:eastAsia="zh-CN" w:bidi="ar"/>
              </w:rPr>
              <w:t>及危险物质</w:t>
            </w:r>
            <w:r>
              <w:rPr>
                <w:rFonts w:hint="default" w:ascii="Times New Roman" w:hAnsi="Times New Roman" w:cs="Times New Roman"/>
                <w:color w:val="auto"/>
                <w:sz w:val="24"/>
                <w:szCs w:val="28"/>
                <w:highlight w:val="none"/>
                <w:u w:val="none" w:color="auto"/>
                <w:lang w:bidi="ar"/>
              </w:rPr>
              <w:t>泄露。</w:t>
            </w:r>
          </w:p>
          <w:p>
            <w:pPr>
              <w:snapToGrid w:val="0"/>
              <w:spacing w:line="360" w:lineRule="auto"/>
              <w:ind w:firstLine="480" w:firstLineChars="200"/>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bidi="ar"/>
              </w:rPr>
              <w:t>结合类似厂区发生火灾原因分析，主要地导致火灾风险原因有：电气火灾</w:t>
            </w:r>
            <w:r>
              <w:rPr>
                <w:rFonts w:hint="eastAsia" w:ascii="Times New Roman" w:hAnsi="Times New Roman" w:cs="Times New Roman"/>
                <w:color w:val="auto"/>
                <w:sz w:val="24"/>
                <w:szCs w:val="28"/>
                <w:highlight w:val="none"/>
                <w:u w:val="none" w:color="auto"/>
                <w:lang w:eastAsia="zh-CN" w:bidi="ar"/>
              </w:rPr>
              <w:t>（</w:t>
            </w:r>
            <w:r>
              <w:rPr>
                <w:rFonts w:hint="default" w:ascii="Times New Roman" w:hAnsi="Times New Roman" w:cs="Times New Roman"/>
                <w:color w:val="auto"/>
                <w:sz w:val="24"/>
                <w:szCs w:val="28"/>
                <w:highlight w:val="none"/>
                <w:u w:val="none" w:color="auto"/>
                <w:lang w:bidi="ar"/>
              </w:rPr>
              <w:t>电气设备老化、绝缘破损、过流、短路、接线不规范、电器使用不当等遇明火等引起火灾，鼠患导致电线短路，造成火灾</w:t>
            </w:r>
            <w:r>
              <w:rPr>
                <w:rFonts w:hint="eastAsia" w:ascii="Times New Roman" w:hAnsi="Times New Roman" w:cs="Times New Roman"/>
                <w:color w:val="auto"/>
                <w:sz w:val="24"/>
                <w:szCs w:val="28"/>
                <w:highlight w:val="none"/>
                <w:u w:val="none" w:color="auto"/>
                <w:lang w:eastAsia="zh-CN" w:bidi="ar"/>
              </w:rPr>
              <w:t>）</w:t>
            </w:r>
            <w:r>
              <w:rPr>
                <w:rFonts w:hint="default" w:ascii="Times New Roman" w:hAnsi="Times New Roman" w:cs="Times New Roman"/>
                <w:color w:val="auto"/>
                <w:sz w:val="24"/>
                <w:szCs w:val="28"/>
                <w:highlight w:val="none"/>
                <w:u w:val="none" w:color="auto"/>
                <w:lang w:bidi="ar"/>
              </w:rPr>
              <w:t>；装卸工人抽烟，乱扔烟头；明火管理不严</w:t>
            </w:r>
            <w:r>
              <w:rPr>
                <w:rFonts w:hint="eastAsia" w:ascii="Times New Roman" w:hAnsi="Times New Roman" w:cs="Times New Roman"/>
                <w:color w:val="auto"/>
                <w:sz w:val="24"/>
                <w:szCs w:val="28"/>
                <w:highlight w:val="none"/>
                <w:u w:val="none" w:color="auto"/>
                <w:lang w:eastAsia="zh-CN" w:bidi="ar"/>
              </w:rPr>
              <w:t>；</w:t>
            </w:r>
            <w:r>
              <w:rPr>
                <w:rFonts w:hint="default" w:ascii="Times New Roman" w:hAnsi="Times New Roman" w:cs="Times New Roman"/>
                <w:color w:val="auto"/>
                <w:sz w:val="24"/>
                <w:szCs w:val="28"/>
                <w:highlight w:val="none"/>
                <w:u w:val="none" w:color="auto"/>
                <w:lang w:bidi="ar"/>
              </w:rPr>
              <w:t>生产、生活用火失控</w:t>
            </w:r>
            <w:r>
              <w:rPr>
                <w:rFonts w:hint="eastAsia" w:ascii="Times New Roman" w:hAnsi="Times New Roman" w:cs="Times New Roman"/>
                <w:color w:val="auto"/>
                <w:sz w:val="24"/>
                <w:szCs w:val="28"/>
                <w:highlight w:val="none"/>
                <w:u w:val="none" w:color="auto"/>
                <w:lang w:val="en-US" w:eastAsia="zh-CN" w:bidi="ar"/>
              </w:rPr>
              <w:t>等</w:t>
            </w:r>
            <w:r>
              <w:rPr>
                <w:rFonts w:hint="default" w:ascii="Times New Roman" w:hAnsi="Times New Roman" w:cs="Times New Roman"/>
                <w:color w:val="auto"/>
                <w:sz w:val="24"/>
                <w:szCs w:val="28"/>
                <w:highlight w:val="none"/>
                <w:u w:val="none" w:color="auto"/>
                <w:lang w:bidi="ar"/>
              </w:rPr>
              <w:t>，导致火灾。</w:t>
            </w:r>
          </w:p>
          <w:p>
            <w:pPr>
              <w:snapToGrid w:val="0"/>
              <w:spacing w:line="360" w:lineRule="auto"/>
              <w:ind w:firstLine="480" w:firstLineChars="200"/>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bidi="ar"/>
              </w:rPr>
              <w:t>本项目车间及库房发生火灾事故本身风险较小，同时项目火灾防范措施先进， 防火措施可靠，有效，能将火灾控制在较小范围内，同时按照操作规范使用各类材料，规范员工保护，完善应急设施，因此环境风险较小，在可接受范围内。</w:t>
            </w:r>
          </w:p>
          <w:p>
            <w:pPr>
              <w:snapToGrid w:val="0"/>
              <w:spacing w:line="360" w:lineRule="auto"/>
              <w:ind w:firstLine="480" w:firstLineChars="200"/>
              <w:rPr>
                <w:rFonts w:hint="default" w:ascii="Times New Roman" w:hAnsi="Times New Roman" w:cs="Times New Roman"/>
                <w:bCs/>
                <w:color w:val="auto"/>
                <w:sz w:val="24"/>
                <w:highlight w:val="none"/>
                <w:u w:val="none" w:color="auto"/>
              </w:rPr>
            </w:pPr>
            <w:r>
              <w:rPr>
                <w:rFonts w:hint="default" w:ascii="Times New Roman" w:hAnsi="Times New Roman" w:cs="Times New Roman"/>
                <w:bCs/>
                <w:color w:val="auto"/>
                <w:sz w:val="24"/>
                <w:highlight w:val="none"/>
                <w:u w:val="none" w:color="auto"/>
                <w:lang w:bidi="ar"/>
              </w:rPr>
              <w:t>（2）最大可信事故</w:t>
            </w:r>
          </w:p>
          <w:p>
            <w:pPr>
              <w:snapToGrid w:val="0"/>
              <w:spacing w:line="360" w:lineRule="auto"/>
              <w:ind w:firstLine="480" w:firstLineChars="200"/>
              <w:rPr>
                <w:rFonts w:hint="default" w:ascii="Times New Roman" w:hAnsi="Times New Roman" w:cs="Times New Roman"/>
                <w:color w:val="auto"/>
                <w:sz w:val="24"/>
                <w:szCs w:val="28"/>
                <w:highlight w:val="none"/>
                <w:u w:val="none" w:color="auto"/>
              </w:rPr>
            </w:pPr>
            <w:r>
              <w:rPr>
                <w:rFonts w:hint="default" w:ascii="Times New Roman" w:hAnsi="Times New Roman" w:cs="Times New Roman"/>
                <w:color w:val="auto"/>
                <w:sz w:val="24"/>
                <w:szCs w:val="28"/>
                <w:highlight w:val="none"/>
                <w:u w:val="none" w:color="auto"/>
                <w:lang w:bidi="ar"/>
              </w:rPr>
              <w:t>最大可信事故是指，在所有预测的概率不为零的事故中，对环境（或健康）危害最严重的重大事故。最大可信事故确定的目的是针对典型事故进行环境风险分析，并不意味着其它事故不具环境风险。在项目生产、贮存、运输等过程中，存在诸多事故风险因素，风险评价不可能面面具到，只能考虑对环境危害最大的事故风险。</w:t>
            </w:r>
          </w:p>
          <w:p>
            <w:pPr>
              <w:adjustRightInd w:val="0"/>
              <w:spacing w:line="360" w:lineRule="auto"/>
              <w:ind w:firstLine="480" w:firstLineChars="200"/>
              <w:textAlignment w:val="baseline"/>
              <w:rPr>
                <w:rFonts w:hint="default" w:ascii="Times New Roman" w:hAnsi="Times New Roman" w:cs="Times New Roman"/>
                <w:color w:val="auto"/>
                <w:sz w:val="24"/>
                <w:highlight w:val="none"/>
                <w:u w:val="none" w:color="auto"/>
              </w:rPr>
            </w:pPr>
            <w:r>
              <w:rPr>
                <w:rFonts w:hint="default" w:ascii="Times New Roman" w:hAnsi="Times New Roman" w:cs="Times New Roman"/>
                <w:color w:val="auto"/>
                <w:sz w:val="24"/>
                <w:szCs w:val="28"/>
                <w:highlight w:val="none"/>
                <w:u w:val="none" w:color="auto"/>
                <w:lang w:bidi="ar"/>
              </w:rPr>
              <w:t>根据分析，项目最大可信事故为</w:t>
            </w:r>
            <w:r>
              <w:rPr>
                <w:rFonts w:hint="eastAsia" w:ascii="Times New Roman" w:hAnsi="Times New Roman" w:cs="Times New Roman"/>
                <w:color w:val="auto"/>
                <w:sz w:val="24"/>
                <w:szCs w:val="28"/>
                <w:highlight w:val="none"/>
                <w:u w:val="none" w:color="auto"/>
                <w:lang w:val="en-US" w:eastAsia="zh-CN" w:bidi="ar"/>
              </w:rPr>
              <w:t>危险物质</w:t>
            </w:r>
            <w:r>
              <w:rPr>
                <w:rFonts w:hint="default" w:ascii="Times New Roman" w:hAnsi="Times New Roman" w:cs="Times New Roman"/>
                <w:color w:val="auto"/>
                <w:sz w:val="24"/>
                <w:szCs w:val="28"/>
                <w:highlight w:val="none"/>
                <w:u w:val="none" w:color="auto"/>
                <w:lang w:bidi="ar"/>
              </w:rPr>
              <w:t>泄露及火灾。根据危险化学品特性识别及重大危险源识别，项目危险化学品主要为润滑油等。润滑油为易燃物品，存在一定的燃爆风险。事故主要原因是因易燃物遇明火或由于其他原因，导致火灾、爆炸，致周围环境受到污染影响。</w:t>
            </w:r>
          </w:p>
          <w:p>
            <w:pPr>
              <w:widowControl/>
              <w:snapToGrid w:val="0"/>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rPr>
              <w:t>4</w:t>
            </w:r>
            <w:r>
              <w:rPr>
                <w:rFonts w:ascii="Times New Roman" w:hAnsi="Times New Roman" w:cs="Times New Roman"/>
                <w:b/>
                <w:color w:val="auto"/>
                <w:sz w:val="24"/>
                <w:szCs w:val="24"/>
              </w:rPr>
              <w:t>、环境风险防范措施</w:t>
            </w:r>
          </w:p>
          <w:p>
            <w:pPr>
              <w:snapToGrid w:val="0"/>
              <w:spacing w:line="360" w:lineRule="auto"/>
              <w:ind w:firstLine="480" w:firstLineChars="200"/>
              <w:rPr>
                <w:rFonts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rPr>
              <w:t>针对</w:t>
            </w:r>
            <w:r>
              <w:rPr>
                <w:rFonts w:hint="eastAsia" w:ascii="Times New Roman" w:hAnsi="Times New Roman" w:cs="Times New Roman"/>
                <w:color w:val="auto"/>
                <w:sz w:val="24"/>
                <w:szCs w:val="24"/>
                <w:u w:val="none" w:color="auto"/>
                <w:lang w:val="en-US" w:eastAsia="zh-CN"/>
              </w:rPr>
              <w:t>火灾风险以及</w:t>
            </w:r>
            <w:r>
              <w:rPr>
                <w:rFonts w:hint="eastAsia" w:ascii="Times New Roman" w:hAnsi="Times New Roman" w:cs="Times New Roman"/>
                <w:color w:val="auto"/>
                <w:sz w:val="24"/>
                <w:szCs w:val="24"/>
                <w:u w:val="none" w:color="auto"/>
              </w:rPr>
              <w:t>风险物质泄漏事故提出</w:t>
            </w:r>
            <w:r>
              <w:rPr>
                <w:rFonts w:hint="eastAsia" w:cs="Times New Roman"/>
                <w:color w:val="auto"/>
                <w:sz w:val="24"/>
                <w:szCs w:val="24"/>
                <w:u w:val="none" w:color="auto"/>
              </w:rPr>
              <w:t>以</w:t>
            </w:r>
            <w:r>
              <w:rPr>
                <w:rFonts w:hint="eastAsia" w:ascii="Times New Roman" w:hAnsi="Times New Roman" w:cs="Times New Roman"/>
                <w:color w:val="auto"/>
                <w:sz w:val="24"/>
                <w:szCs w:val="24"/>
                <w:u w:val="none" w:color="auto"/>
              </w:rPr>
              <w:t xml:space="preserve">下风险防范措施和应急措施： </w:t>
            </w:r>
          </w:p>
          <w:p>
            <w:pPr>
              <w:spacing w:line="360" w:lineRule="auto"/>
              <w:ind w:firstLine="480" w:firstLineChars="200"/>
              <w:rPr>
                <w:bCs/>
                <w:color w:val="auto"/>
                <w:sz w:val="24"/>
                <w:u w:val="none" w:color="auto"/>
                <w:lang w:bidi="ar"/>
              </w:rPr>
            </w:pPr>
            <w:r>
              <w:rPr>
                <w:rFonts w:hint="eastAsia"/>
                <w:bCs/>
                <w:color w:val="auto"/>
                <w:sz w:val="24"/>
                <w:u w:val="none" w:color="auto"/>
                <w:lang w:bidi="ar"/>
              </w:rPr>
              <w:t>（1）火灾事故防范措施</w:t>
            </w:r>
          </w:p>
          <w:p>
            <w:pPr>
              <w:spacing w:line="360" w:lineRule="auto"/>
              <w:ind w:firstLine="480" w:firstLineChars="200"/>
              <w:rPr>
                <w:bCs/>
                <w:color w:val="auto"/>
                <w:sz w:val="24"/>
                <w:u w:val="none" w:color="auto"/>
                <w:lang w:bidi="ar"/>
              </w:rPr>
            </w:pPr>
            <w:r>
              <w:rPr>
                <w:rFonts w:hint="eastAsia"/>
                <w:bCs/>
                <w:color w:val="auto"/>
                <w:sz w:val="24"/>
                <w:u w:val="none" w:color="auto"/>
                <w:lang w:bidi="ar"/>
              </w:rPr>
              <w:t>本项目环境风险防范措施重点在于防火上。除了有先进的防控设施外，还需加强管理和防备，做到以下防治措施：</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1 \* GB3 \* MERGEFORMAT </w:instrText>
            </w:r>
            <w:r>
              <w:rPr>
                <w:rFonts w:hint="eastAsia"/>
                <w:bCs/>
                <w:color w:val="auto"/>
                <w:sz w:val="24"/>
                <w:u w:val="none" w:color="auto"/>
                <w:lang w:bidi="ar"/>
              </w:rPr>
              <w:fldChar w:fldCharType="separate"/>
            </w:r>
            <w:r>
              <w:rPr>
                <w:color w:val="auto"/>
                <w:sz w:val="24"/>
                <w:u w:val="none" w:color="auto"/>
              </w:rPr>
              <w:t>①</w:t>
            </w:r>
            <w:r>
              <w:rPr>
                <w:rFonts w:hint="eastAsia"/>
                <w:bCs/>
                <w:color w:val="auto"/>
                <w:sz w:val="24"/>
                <w:u w:val="none" w:color="auto"/>
                <w:lang w:bidi="ar"/>
              </w:rPr>
              <w:fldChar w:fldCharType="end"/>
            </w:r>
            <w:r>
              <w:rPr>
                <w:rFonts w:hint="eastAsia"/>
                <w:bCs/>
                <w:color w:val="auto"/>
                <w:sz w:val="24"/>
                <w:u w:val="none" w:color="auto"/>
                <w:lang w:bidi="ar"/>
              </w:rPr>
              <w:t>设立专门的环境管理机构，制定日常管理措施、消防措施和应急预案。对工作人员进行火灾事态时的报警培训，项目方应成立环境风险事故应急救援领导小组和应急救援专业队伍。</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2 \* GB3 \* MERGEFORMAT </w:instrText>
            </w:r>
            <w:r>
              <w:rPr>
                <w:rFonts w:hint="eastAsia"/>
                <w:bCs/>
                <w:color w:val="auto"/>
                <w:sz w:val="24"/>
                <w:u w:val="none" w:color="auto"/>
                <w:lang w:bidi="ar"/>
              </w:rPr>
              <w:fldChar w:fldCharType="separate"/>
            </w:r>
            <w:r>
              <w:rPr>
                <w:color w:val="auto"/>
                <w:sz w:val="24"/>
                <w:u w:val="none" w:color="auto"/>
              </w:rPr>
              <w:t>②</w:t>
            </w:r>
            <w:r>
              <w:rPr>
                <w:rFonts w:hint="eastAsia"/>
                <w:bCs/>
                <w:color w:val="auto"/>
                <w:sz w:val="24"/>
                <w:u w:val="none" w:color="auto"/>
                <w:lang w:bidi="ar"/>
              </w:rPr>
              <w:fldChar w:fldCharType="end"/>
            </w:r>
            <w:r>
              <w:rPr>
                <w:rFonts w:hint="eastAsia"/>
                <w:bCs/>
                <w:color w:val="auto"/>
                <w:sz w:val="24"/>
                <w:u w:val="none" w:color="auto"/>
                <w:lang w:bidi="ar"/>
              </w:rPr>
              <w:t>加强厂区消防设施的日常管理，确保事故时消防设施能够正常使用，针对厂房等可能出现的火灾事故进行消防演练。</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3 \* GB3 \* MERGEFORMAT </w:instrText>
            </w:r>
            <w:r>
              <w:rPr>
                <w:rFonts w:hint="eastAsia"/>
                <w:bCs/>
                <w:color w:val="auto"/>
                <w:sz w:val="24"/>
                <w:u w:val="none" w:color="auto"/>
                <w:lang w:bidi="ar"/>
              </w:rPr>
              <w:fldChar w:fldCharType="separate"/>
            </w:r>
            <w:r>
              <w:rPr>
                <w:color w:val="auto"/>
                <w:sz w:val="24"/>
                <w:u w:val="none" w:color="auto"/>
              </w:rPr>
              <w:t>③</w:t>
            </w:r>
            <w:r>
              <w:rPr>
                <w:rFonts w:hint="eastAsia"/>
                <w:bCs/>
                <w:color w:val="auto"/>
                <w:sz w:val="24"/>
                <w:u w:val="none" w:color="auto"/>
                <w:lang w:bidi="ar"/>
              </w:rPr>
              <w:fldChar w:fldCharType="end"/>
            </w:r>
            <w:r>
              <w:rPr>
                <w:rFonts w:hint="eastAsia"/>
                <w:bCs/>
                <w:color w:val="auto"/>
                <w:sz w:val="24"/>
                <w:u w:val="none" w:color="auto"/>
                <w:lang w:bidi="ar"/>
              </w:rPr>
              <w:t>严格明火管理，严禁吸烟、动火。消除电气火花。严格按照《中华人民共和国爆炸危险场所安全规程》和现行有关标准、规程及要求执行。</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4 \* GB3 \* MERGEFORMAT </w:instrText>
            </w:r>
            <w:r>
              <w:rPr>
                <w:rFonts w:hint="eastAsia"/>
                <w:bCs/>
                <w:color w:val="auto"/>
                <w:sz w:val="24"/>
                <w:u w:val="none" w:color="auto"/>
                <w:lang w:bidi="ar"/>
              </w:rPr>
              <w:fldChar w:fldCharType="separate"/>
            </w:r>
            <w:r>
              <w:rPr>
                <w:rFonts w:hint="eastAsia"/>
                <w:bCs/>
                <w:color w:val="auto"/>
                <w:sz w:val="24"/>
                <w:u w:val="none" w:color="auto"/>
                <w:lang w:bidi="ar"/>
              </w:rPr>
              <w:t>④</w:t>
            </w:r>
            <w:r>
              <w:rPr>
                <w:rFonts w:hint="eastAsia"/>
                <w:bCs/>
                <w:color w:val="auto"/>
                <w:sz w:val="24"/>
                <w:u w:val="none" w:color="auto"/>
                <w:lang w:bidi="ar"/>
              </w:rPr>
              <w:fldChar w:fldCharType="end"/>
            </w:r>
            <w:r>
              <w:rPr>
                <w:rFonts w:hint="eastAsia"/>
                <w:bCs/>
                <w:color w:val="auto"/>
                <w:sz w:val="24"/>
                <w:u w:val="none" w:color="auto"/>
                <w:lang w:bidi="ar"/>
              </w:rPr>
              <w:t>消防器材应当设置在明显和便于取用的地点，周围不准堆放物品和杂物。消防设施、器材，应当由专人管理，负责检查、维修、保养、更换和添置，保证完好有效，严禁圈占、埋压和挪用。配备消防器材和消防设施；标示明确，使用方便；在厂房配备二氧化碳灭火器熄灭小型火灾，并设置消防池。同时在电气设备火灾易发处配备干粉灭火器。</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5 \* GB3 \* MERGEFORMAT </w:instrText>
            </w:r>
            <w:r>
              <w:rPr>
                <w:rFonts w:hint="eastAsia"/>
                <w:bCs/>
                <w:color w:val="auto"/>
                <w:sz w:val="24"/>
                <w:u w:val="none" w:color="auto"/>
                <w:lang w:bidi="ar"/>
              </w:rPr>
              <w:fldChar w:fldCharType="separate"/>
            </w:r>
            <w:r>
              <w:rPr>
                <w:rFonts w:hint="eastAsia"/>
                <w:bCs/>
                <w:color w:val="auto"/>
                <w:sz w:val="24"/>
                <w:u w:val="none" w:color="auto"/>
                <w:lang w:bidi="ar"/>
              </w:rPr>
              <w:t>⑤</w:t>
            </w:r>
            <w:r>
              <w:rPr>
                <w:rFonts w:hint="eastAsia"/>
                <w:bCs/>
                <w:color w:val="auto"/>
                <w:sz w:val="24"/>
                <w:u w:val="none" w:color="auto"/>
                <w:lang w:bidi="ar"/>
              </w:rPr>
              <w:fldChar w:fldCharType="end"/>
            </w:r>
            <w:r>
              <w:rPr>
                <w:rFonts w:hint="eastAsia"/>
                <w:bCs/>
                <w:color w:val="auto"/>
                <w:sz w:val="24"/>
                <w:u w:val="none" w:color="auto"/>
                <w:lang w:bidi="ar"/>
              </w:rPr>
              <w:t>项目内定期进行电路、电气检查，消除安全隐患。</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6 \* GB3 \* MERGEFORMAT </w:instrText>
            </w:r>
            <w:r>
              <w:rPr>
                <w:rFonts w:hint="eastAsia"/>
                <w:bCs/>
                <w:color w:val="auto"/>
                <w:sz w:val="24"/>
                <w:u w:val="none" w:color="auto"/>
                <w:lang w:bidi="ar"/>
              </w:rPr>
              <w:fldChar w:fldCharType="separate"/>
            </w:r>
            <w:r>
              <w:rPr>
                <w:rFonts w:hint="eastAsia"/>
                <w:bCs/>
                <w:color w:val="auto"/>
                <w:sz w:val="24"/>
                <w:u w:val="none" w:color="auto"/>
                <w:lang w:bidi="ar"/>
              </w:rPr>
              <w:t>⑥</w:t>
            </w:r>
            <w:r>
              <w:rPr>
                <w:rFonts w:hint="eastAsia"/>
                <w:bCs/>
                <w:color w:val="auto"/>
                <w:sz w:val="24"/>
                <w:u w:val="none" w:color="auto"/>
                <w:lang w:bidi="ar"/>
              </w:rPr>
              <w:fldChar w:fldCharType="end"/>
            </w:r>
            <w:r>
              <w:rPr>
                <w:rFonts w:hint="eastAsia"/>
                <w:bCs/>
                <w:color w:val="auto"/>
                <w:sz w:val="24"/>
                <w:u w:val="none" w:color="auto"/>
                <w:lang w:bidi="ar"/>
              </w:rPr>
              <w:t>出现火灾时应及时将可燃物品搬离，远离火源。</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7 \* GB3 \* MERGEFORMAT </w:instrText>
            </w:r>
            <w:r>
              <w:rPr>
                <w:rFonts w:hint="eastAsia"/>
                <w:bCs/>
                <w:color w:val="auto"/>
                <w:sz w:val="24"/>
                <w:u w:val="none" w:color="auto"/>
                <w:lang w:bidi="ar"/>
              </w:rPr>
              <w:fldChar w:fldCharType="separate"/>
            </w:r>
            <w:r>
              <w:rPr>
                <w:rFonts w:hint="eastAsia"/>
                <w:bCs/>
                <w:color w:val="auto"/>
                <w:sz w:val="24"/>
                <w:u w:val="none" w:color="auto"/>
                <w:lang w:bidi="ar"/>
              </w:rPr>
              <w:t>⑦</w:t>
            </w:r>
            <w:r>
              <w:rPr>
                <w:rFonts w:hint="eastAsia"/>
                <w:bCs/>
                <w:color w:val="auto"/>
                <w:sz w:val="24"/>
                <w:u w:val="none" w:color="auto"/>
                <w:lang w:bidi="ar"/>
              </w:rPr>
              <w:fldChar w:fldCharType="end"/>
            </w:r>
            <w:r>
              <w:rPr>
                <w:rFonts w:hint="eastAsia"/>
                <w:bCs/>
                <w:color w:val="auto"/>
                <w:sz w:val="24"/>
                <w:u w:val="none" w:color="auto"/>
                <w:lang w:bidi="ar"/>
              </w:rPr>
              <w:t>生产车间除尘系统管道定期进行清理和疏通，以防止木粉堵塞管道；</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8 \* GB3 \* MERGEFORMAT </w:instrText>
            </w:r>
            <w:r>
              <w:rPr>
                <w:rFonts w:hint="eastAsia"/>
                <w:bCs/>
                <w:color w:val="auto"/>
                <w:sz w:val="24"/>
                <w:u w:val="none" w:color="auto"/>
                <w:lang w:bidi="ar"/>
              </w:rPr>
              <w:fldChar w:fldCharType="separate"/>
            </w:r>
            <w:r>
              <w:rPr>
                <w:rFonts w:hint="eastAsia"/>
                <w:bCs/>
                <w:color w:val="auto"/>
                <w:sz w:val="24"/>
                <w:u w:val="none" w:color="auto"/>
                <w:lang w:bidi="ar"/>
              </w:rPr>
              <w:t>⑧</w:t>
            </w:r>
            <w:r>
              <w:rPr>
                <w:rFonts w:hint="eastAsia"/>
                <w:bCs/>
                <w:color w:val="auto"/>
                <w:sz w:val="24"/>
                <w:u w:val="none" w:color="auto"/>
                <w:lang w:bidi="ar"/>
              </w:rPr>
              <w:fldChar w:fldCharType="end"/>
            </w:r>
            <w:r>
              <w:rPr>
                <w:rFonts w:hint="eastAsia"/>
                <w:bCs/>
                <w:color w:val="auto"/>
                <w:sz w:val="24"/>
                <w:u w:val="none" w:color="auto"/>
                <w:lang w:bidi="ar"/>
              </w:rPr>
              <w:t>生产车间安装抽排风系统，用于保持车间空气的流通，降低粉尘浓度；</w:t>
            </w:r>
          </w:p>
          <w:p>
            <w:pPr>
              <w:spacing w:line="360" w:lineRule="auto"/>
              <w:ind w:firstLine="480" w:firstLineChars="200"/>
              <w:rPr>
                <w:bCs/>
                <w:color w:val="auto"/>
                <w:sz w:val="24"/>
                <w:u w:val="none" w:color="auto"/>
                <w:lang w:bidi="ar"/>
              </w:rPr>
            </w:pPr>
            <w:r>
              <w:rPr>
                <w:rFonts w:hint="eastAsia"/>
                <w:bCs/>
                <w:color w:val="auto"/>
                <w:sz w:val="24"/>
                <w:u w:val="none" w:color="auto"/>
                <w:lang w:bidi="ar"/>
              </w:rPr>
              <w:fldChar w:fldCharType="begin"/>
            </w:r>
            <w:r>
              <w:rPr>
                <w:rFonts w:hint="eastAsia"/>
                <w:bCs/>
                <w:color w:val="auto"/>
                <w:sz w:val="24"/>
                <w:u w:val="none" w:color="auto"/>
                <w:lang w:bidi="ar"/>
              </w:rPr>
              <w:instrText xml:space="preserve"> = 9 \* GB3 \* MERGEFORMAT </w:instrText>
            </w:r>
            <w:r>
              <w:rPr>
                <w:rFonts w:hint="eastAsia"/>
                <w:bCs/>
                <w:color w:val="auto"/>
                <w:sz w:val="24"/>
                <w:u w:val="none" w:color="auto"/>
                <w:lang w:bidi="ar"/>
              </w:rPr>
              <w:fldChar w:fldCharType="separate"/>
            </w:r>
            <w:r>
              <w:rPr>
                <w:rFonts w:hint="eastAsia"/>
                <w:bCs/>
                <w:color w:val="auto"/>
                <w:sz w:val="24"/>
                <w:u w:val="none" w:color="auto"/>
                <w:lang w:bidi="ar"/>
              </w:rPr>
              <w:t>⑨</w:t>
            </w:r>
            <w:r>
              <w:rPr>
                <w:rFonts w:hint="eastAsia"/>
                <w:bCs/>
                <w:color w:val="auto"/>
                <w:sz w:val="24"/>
                <w:u w:val="none" w:color="auto"/>
                <w:lang w:bidi="ar"/>
              </w:rPr>
              <w:fldChar w:fldCharType="end"/>
            </w:r>
            <w:r>
              <w:rPr>
                <w:rFonts w:hint="eastAsia"/>
                <w:bCs/>
                <w:color w:val="auto"/>
                <w:sz w:val="24"/>
                <w:u w:val="none" w:color="auto"/>
                <w:lang w:bidi="ar"/>
              </w:rPr>
              <w:t>对可能产生粉尘爆炸危险的厂房，必须严格按照防爆技术等级进行设计；</w:t>
            </w:r>
          </w:p>
          <w:p>
            <w:pPr>
              <w:snapToGrid w:val="0"/>
              <w:spacing w:line="360" w:lineRule="auto"/>
              <w:ind w:firstLine="480" w:firstLineChars="200"/>
              <w:rPr>
                <w:rFonts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rPr>
              <w:t>（</w:t>
            </w:r>
            <w:r>
              <w:rPr>
                <w:rFonts w:ascii="Times New Roman" w:hAnsi="Times New Roman" w:cs="Times New Roman"/>
                <w:color w:val="auto"/>
                <w:sz w:val="24"/>
                <w:szCs w:val="24"/>
                <w:u w:val="none" w:color="auto"/>
              </w:rPr>
              <w:t>2</w:t>
            </w:r>
            <w:r>
              <w:rPr>
                <w:rFonts w:hint="eastAsia" w:ascii="Times New Roman" w:hAnsi="Times New Roman" w:cs="Times New Roman"/>
                <w:color w:val="auto"/>
                <w:sz w:val="24"/>
                <w:szCs w:val="24"/>
                <w:u w:val="none" w:color="auto"/>
              </w:rPr>
              <w:t>）风险物质泄漏</w:t>
            </w:r>
            <w:r>
              <w:rPr>
                <w:rFonts w:hint="eastAsia" w:ascii="Times New Roman" w:hAnsi="Times New Roman" w:cs="Times New Roman"/>
                <w:color w:val="auto"/>
                <w:sz w:val="24"/>
                <w:szCs w:val="24"/>
                <w:u w:val="none" w:color="auto"/>
                <w:lang w:val="en-US" w:eastAsia="zh-CN"/>
              </w:rPr>
              <w:t>事故应急</w:t>
            </w:r>
            <w:r>
              <w:rPr>
                <w:rFonts w:hint="eastAsia" w:ascii="Times New Roman" w:hAnsi="Times New Roman" w:cs="Times New Roman"/>
                <w:color w:val="auto"/>
                <w:sz w:val="24"/>
                <w:szCs w:val="24"/>
                <w:u w:val="none" w:color="auto"/>
              </w:rPr>
              <w:t xml:space="preserve">措施 </w:t>
            </w:r>
          </w:p>
          <w:p>
            <w:pPr>
              <w:snapToGrid w:val="0"/>
              <w:spacing w:line="360" w:lineRule="auto"/>
              <w:ind w:firstLine="480" w:firstLineChars="200"/>
              <w:rPr>
                <w:rFonts w:ascii="Times New Roman" w:hAnsi="Times New Roman" w:cs="Times New Roman"/>
                <w:color w:val="auto"/>
                <w:sz w:val="24"/>
                <w:szCs w:val="24"/>
                <w:u w:val="none" w:color="auto"/>
              </w:rPr>
            </w:pPr>
            <w:r>
              <w:rPr>
                <w:rFonts w:hint="eastAsia" w:ascii="Times New Roman" w:hAnsi="Times New Roman" w:cs="Times New Roman"/>
                <w:color w:val="auto"/>
                <w:sz w:val="24"/>
                <w:szCs w:val="24"/>
                <w:u w:val="none" w:color="auto"/>
              </w:rPr>
              <w:t xml:space="preserve">危废间的危险物质一旦发生泄漏，应及时采用消防砂或其它不燃材料吸附或吸收，吸附废物集中收集后委托有资质的单位处理。 </w:t>
            </w:r>
          </w:p>
          <w:p>
            <w:pPr>
              <w:snapToGrid w:val="0"/>
              <w:spacing w:line="360" w:lineRule="auto"/>
              <w:ind w:firstLine="480" w:firstLineChars="200"/>
              <w:rPr>
                <w:rFonts w:ascii="Times New Roman" w:hAnsi="Times New Roman" w:cs="Times New Roman"/>
                <w:color w:val="auto"/>
                <w:sz w:val="24"/>
                <w:szCs w:val="24"/>
              </w:rPr>
            </w:pPr>
            <w:r>
              <w:rPr>
                <w:rFonts w:hint="eastAsia" w:ascii="Times New Roman" w:hAnsi="Times New Roman" w:cs="Times New Roman"/>
                <w:color w:val="auto"/>
                <w:sz w:val="24"/>
                <w:szCs w:val="24"/>
                <w:u w:val="none" w:color="auto"/>
              </w:rPr>
              <w:t>当发生燃烧事故时，现场人员或其他人员应立即通知有关人员停止作业，尽快切断所有电源，组织人员和其他易燃物品的疏散，同时利用就近的消防器材将火苗扑灭。</w:t>
            </w:r>
          </w:p>
          <w:p>
            <w:pPr>
              <w:widowControl/>
              <w:snapToGrid w:val="0"/>
              <w:spacing w:line="360" w:lineRule="auto"/>
              <w:ind w:firstLine="482" w:firstLineChars="200"/>
              <w:rPr>
                <w:rFonts w:ascii="Times New Roman" w:hAnsi="Times New Roman" w:cs="Times New Roman"/>
                <w:b/>
                <w:color w:val="auto"/>
                <w:sz w:val="24"/>
                <w:szCs w:val="24"/>
              </w:rPr>
            </w:pPr>
            <w:r>
              <w:rPr>
                <w:rFonts w:hint="default" w:ascii="Times New Roman" w:hAnsi="Times New Roman" w:cs="Times New Roman"/>
                <w:b/>
                <w:color w:val="auto"/>
                <w:sz w:val="24"/>
                <w:szCs w:val="24"/>
                <w:lang w:val="en-US" w:eastAsia="zh-CN"/>
              </w:rPr>
              <w:t>5</w:t>
            </w:r>
            <w:r>
              <w:rPr>
                <w:rFonts w:ascii="Times New Roman" w:hAnsi="Times New Roman" w:cs="Times New Roman"/>
                <w:b/>
                <w:color w:val="auto"/>
                <w:sz w:val="24"/>
                <w:szCs w:val="24"/>
              </w:rPr>
              <w:t>、环境风险评价结论</w:t>
            </w:r>
          </w:p>
          <w:p>
            <w:pPr>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综上分析，评价认为项目采取的各项目环境风险</w:t>
            </w:r>
            <w:r>
              <w:rPr>
                <w:rFonts w:hint="default" w:ascii="Times New Roman" w:hAnsi="Times New Roman" w:cs="Times New Roman"/>
                <w:color w:val="auto"/>
                <w:sz w:val="24"/>
                <w:szCs w:val="24"/>
              </w:rPr>
              <w:t>防范</w:t>
            </w:r>
            <w:r>
              <w:rPr>
                <w:rFonts w:ascii="Times New Roman" w:hAnsi="Times New Roman" w:cs="Times New Roman"/>
                <w:color w:val="auto"/>
                <w:sz w:val="24"/>
                <w:szCs w:val="24"/>
              </w:rPr>
              <w:t>措施合理可行，其发生事故的概率降低，其环境危害也是较小的，环境风险达到可以接受水平，因而从环境风险角度分析本项目是可行的。</w:t>
            </w:r>
          </w:p>
          <w:p>
            <w:pPr>
              <w:adjustRightInd w:val="0"/>
              <w:spacing w:line="360" w:lineRule="auto"/>
              <w:textAlignment w:val="baseline"/>
              <w:rPr>
                <w:rFonts w:ascii="Times New Roman" w:hAnsi="Times New Roman" w:cs="Times New Roman"/>
                <w:bCs/>
                <w:color w:val="auto"/>
                <w:spacing w:val="-10"/>
                <w:szCs w:val="21"/>
              </w:rPr>
            </w:pPr>
            <w:r>
              <w:rPr>
                <w:rFonts w:hint="default" w:ascii="Times New Roman" w:hAnsi="Times New Roman" w:cs="Times New Roman"/>
                <w:b/>
                <w:bCs/>
                <w:color w:val="auto"/>
                <w:sz w:val="24"/>
                <w:lang w:val="en-US" w:eastAsia="zh-CN"/>
              </w:rPr>
              <w:t>六</w:t>
            </w:r>
            <w:r>
              <w:rPr>
                <w:rFonts w:hint="default" w:ascii="Times New Roman" w:hAnsi="Times New Roman" w:cs="Times New Roman"/>
                <w:b/>
                <w:bCs/>
                <w:color w:val="auto"/>
                <w:sz w:val="24"/>
              </w:rPr>
              <w:t>、三本账</w:t>
            </w:r>
          </w:p>
          <w:p>
            <w:pPr>
              <w:adjustRightInd w:val="0"/>
              <w:spacing w:line="360" w:lineRule="auto"/>
              <w:ind w:firstLine="480" w:firstLineChars="200"/>
              <w:textAlignment w:val="baseline"/>
              <w:rPr>
                <w:rFonts w:ascii="Times New Roman" w:hAnsi="Times New Roman" w:cs="Times New Roman"/>
                <w:color w:val="auto"/>
                <w:kern w:val="0"/>
                <w:sz w:val="24"/>
                <w:szCs w:val="20"/>
              </w:rPr>
            </w:pPr>
            <w:r>
              <w:rPr>
                <w:rFonts w:hint="default" w:ascii="Times New Roman" w:hAnsi="Times New Roman" w:cs="Times New Roman"/>
                <w:color w:val="auto"/>
                <w:kern w:val="0"/>
                <w:sz w:val="24"/>
                <w:szCs w:val="20"/>
              </w:rPr>
              <w:t>本项目变更前后后，项目污染物</w:t>
            </w:r>
            <w:r>
              <w:rPr>
                <w:rFonts w:hint="default" w:ascii="Times New Roman" w:hAnsi="Times New Roman" w:cs="Times New Roman"/>
                <w:color w:val="auto"/>
                <w:kern w:val="0"/>
                <w:sz w:val="24"/>
                <w:szCs w:val="20"/>
                <w:lang w:val="en-US" w:eastAsia="zh-CN"/>
              </w:rPr>
              <w:t>使用</w:t>
            </w:r>
            <w:r>
              <w:rPr>
                <w:rFonts w:hint="default" w:ascii="Times New Roman" w:hAnsi="Times New Roman" w:cs="Times New Roman"/>
                <w:color w:val="auto"/>
                <w:kern w:val="0"/>
                <w:sz w:val="24"/>
                <w:szCs w:val="20"/>
              </w:rPr>
              <w:t>量情况见下表：</w:t>
            </w:r>
          </w:p>
          <w:p>
            <w:pPr>
              <w:jc w:val="center"/>
              <w:rPr>
                <w:rFonts w:ascii="Times New Roman" w:hAnsi="Times New Roman" w:cs="Times New Roman"/>
                <w:color w:val="auto"/>
                <w:sz w:val="24"/>
                <w:szCs w:val="24"/>
              </w:rPr>
            </w:pPr>
            <w:r>
              <w:rPr>
                <w:rFonts w:hint="default" w:ascii="Times New Roman" w:hAnsi="Times New Roman" w:cs="Times New Roman"/>
                <w:b/>
                <w:bCs/>
                <w:color w:val="auto"/>
                <w:sz w:val="21"/>
                <w:szCs w:val="21"/>
                <w:lang w:val="en-US" w:eastAsia="zh-CN"/>
              </w:rPr>
              <w:t>表4-19  前后污染物排放量对比</w:t>
            </w:r>
          </w:p>
          <w:tbl>
            <w:tblPr>
              <w:tblStyle w:val="25"/>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479"/>
              <w:gridCol w:w="1372"/>
              <w:gridCol w:w="1265"/>
              <w:gridCol w:w="1307"/>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5" w:hRule="atLeast"/>
                <w:jc w:val="center"/>
              </w:trPr>
              <w:tc>
                <w:tcPr>
                  <w:tcW w:w="934" w:type="dxa"/>
                  <w:vAlign w:val="center"/>
                </w:tcPr>
                <w:p>
                  <w:pPr>
                    <w:adjustRightInd w:val="0"/>
                    <w:snapToGrid w:val="0"/>
                    <w:jc w:val="center"/>
                    <w:rPr>
                      <w:rFonts w:ascii="Times New Roman" w:hAnsi="Times New Roman" w:cs="Times New Roman"/>
                      <w:b/>
                      <w:color w:val="auto"/>
                      <w:spacing w:val="-10"/>
                      <w:sz w:val="21"/>
                      <w:szCs w:val="21"/>
                    </w:rPr>
                  </w:pPr>
                  <w:r>
                    <w:rPr>
                      <w:rFonts w:hint="default" w:ascii="Times New Roman" w:hAnsi="Times New Roman" w:cs="Times New Roman"/>
                      <w:b/>
                      <w:color w:val="auto"/>
                      <w:spacing w:val="-10"/>
                      <w:sz w:val="21"/>
                      <w:szCs w:val="21"/>
                    </w:rPr>
                    <w:t>类别</w:t>
                  </w:r>
                </w:p>
              </w:tc>
              <w:tc>
                <w:tcPr>
                  <w:tcW w:w="2479" w:type="dxa"/>
                  <w:vAlign w:val="center"/>
                </w:tcPr>
                <w:p>
                  <w:pPr>
                    <w:adjustRightInd w:val="0"/>
                    <w:snapToGrid w:val="0"/>
                    <w:jc w:val="center"/>
                    <w:rPr>
                      <w:rFonts w:ascii="Times New Roman" w:hAnsi="Times New Roman" w:cs="Times New Roman"/>
                      <w:b/>
                      <w:color w:val="auto"/>
                      <w:spacing w:val="-10"/>
                      <w:sz w:val="21"/>
                      <w:szCs w:val="21"/>
                    </w:rPr>
                  </w:pPr>
                  <w:r>
                    <w:rPr>
                      <w:rFonts w:hint="default" w:ascii="Times New Roman" w:hAnsi="Times New Roman" w:cs="Times New Roman"/>
                      <w:b/>
                      <w:color w:val="auto"/>
                      <w:spacing w:val="-10"/>
                      <w:sz w:val="21"/>
                      <w:szCs w:val="21"/>
                    </w:rPr>
                    <w:t>名称</w:t>
                  </w:r>
                </w:p>
              </w:tc>
              <w:tc>
                <w:tcPr>
                  <w:tcW w:w="1372" w:type="dxa"/>
                  <w:vAlign w:val="center"/>
                </w:tcPr>
                <w:p>
                  <w:pPr>
                    <w:adjustRightInd w:val="0"/>
                    <w:snapToGrid w:val="0"/>
                    <w:jc w:val="center"/>
                    <w:rPr>
                      <w:rFonts w:hint="default" w:ascii="Times New Roman" w:hAnsi="Times New Roman" w:eastAsia="宋体" w:cs="Times New Roman"/>
                      <w:b/>
                      <w:color w:val="auto"/>
                      <w:spacing w:val="-10"/>
                      <w:sz w:val="21"/>
                      <w:szCs w:val="21"/>
                      <w:lang w:val="en-US" w:eastAsia="zh-CN"/>
                    </w:rPr>
                  </w:pPr>
                  <w:r>
                    <w:rPr>
                      <w:rFonts w:hint="default" w:ascii="Times New Roman" w:hAnsi="Times New Roman" w:cs="Times New Roman"/>
                      <w:b/>
                      <w:color w:val="auto"/>
                      <w:spacing w:val="-10"/>
                      <w:sz w:val="21"/>
                      <w:szCs w:val="21"/>
                      <w:lang w:val="en-US" w:eastAsia="zh-CN"/>
                    </w:rPr>
                    <w:t>原</w:t>
                  </w:r>
                  <w:r>
                    <w:rPr>
                      <w:rFonts w:hint="eastAsia" w:ascii="Times New Roman" w:hAnsi="Times New Roman" w:cs="Times New Roman"/>
                      <w:b/>
                      <w:color w:val="auto"/>
                      <w:spacing w:val="-10"/>
                      <w:sz w:val="21"/>
                      <w:szCs w:val="21"/>
                      <w:lang w:val="en-US" w:eastAsia="zh-CN"/>
                    </w:rPr>
                    <w:t>有项目</w:t>
                  </w:r>
                </w:p>
              </w:tc>
              <w:tc>
                <w:tcPr>
                  <w:tcW w:w="1265" w:type="dxa"/>
                  <w:vAlign w:val="center"/>
                </w:tcPr>
                <w:p>
                  <w:pPr>
                    <w:adjustRightInd w:val="0"/>
                    <w:snapToGrid w:val="0"/>
                    <w:jc w:val="center"/>
                    <w:rPr>
                      <w:rFonts w:hint="default" w:ascii="Times New Roman" w:hAnsi="Times New Roman" w:eastAsia="宋体" w:cs="Times New Roman"/>
                      <w:b/>
                      <w:color w:val="auto"/>
                      <w:spacing w:val="-10"/>
                      <w:sz w:val="21"/>
                      <w:szCs w:val="21"/>
                      <w:lang w:eastAsia="zh-CN"/>
                    </w:rPr>
                  </w:pPr>
                  <w:r>
                    <w:rPr>
                      <w:rFonts w:hint="default" w:ascii="Times New Roman" w:hAnsi="Times New Roman" w:cs="Times New Roman"/>
                      <w:b/>
                      <w:color w:val="auto"/>
                      <w:spacing w:val="-10"/>
                      <w:sz w:val="21"/>
                      <w:szCs w:val="21"/>
                      <w:lang w:val="en-US" w:eastAsia="zh-CN"/>
                    </w:rPr>
                    <w:t>本项目</w:t>
                  </w:r>
                </w:p>
              </w:tc>
              <w:tc>
                <w:tcPr>
                  <w:tcW w:w="1307" w:type="dxa"/>
                  <w:vAlign w:val="center"/>
                </w:tcPr>
                <w:p>
                  <w:pPr>
                    <w:adjustRightInd w:val="0"/>
                    <w:snapToGrid w:val="0"/>
                    <w:jc w:val="center"/>
                    <w:rPr>
                      <w:rFonts w:hint="default" w:ascii="Times New Roman" w:hAnsi="Times New Roman" w:eastAsia="宋体" w:cs="Times New Roman"/>
                      <w:b/>
                      <w:color w:val="auto"/>
                      <w:spacing w:val="-10"/>
                      <w:sz w:val="21"/>
                      <w:szCs w:val="21"/>
                      <w:lang w:val="en-US" w:eastAsia="zh-CN"/>
                    </w:rPr>
                  </w:pPr>
                  <w:r>
                    <w:rPr>
                      <w:rFonts w:hint="default" w:ascii="Times New Roman" w:hAnsi="Times New Roman" w:cs="Times New Roman"/>
                      <w:b/>
                      <w:color w:val="auto"/>
                      <w:spacing w:val="-10"/>
                      <w:sz w:val="21"/>
                      <w:szCs w:val="21"/>
                      <w:lang w:val="en-US" w:eastAsia="zh-CN"/>
                    </w:rPr>
                    <w:t>改建后全厂使用量</w:t>
                  </w:r>
                </w:p>
              </w:tc>
              <w:tc>
                <w:tcPr>
                  <w:tcW w:w="1307" w:type="dxa"/>
                  <w:vAlign w:val="center"/>
                </w:tcPr>
                <w:p>
                  <w:pPr>
                    <w:adjustRightInd w:val="0"/>
                    <w:snapToGrid w:val="0"/>
                    <w:jc w:val="center"/>
                    <w:rPr>
                      <w:rFonts w:hint="default" w:ascii="Times New Roman" w:hAnsi="Times New Roman" w:eastAsia="宋体" w:cs="Times New Roman"/>
                      <w:b/>
                      <w:color w:val="auto"/>
                      <w:spacing w:val="-10"/>
                      <w:sz w:val="21"/>
                      <w:szCs w:val="21"/>
                      <w:lang w:val="en-US" w:eastAsia="zh-CN" w:bidi="ar-SA"/>
                    </w:rPr>
                  </w:pPr>
                  <w:r>
                    <w:rPr>
                      <w:rFonts w:hint="default" w:ascii="Times New Roman" w:hAnsi="Times New Roman" w:cs="Times New Roman"/>
                      <w:b/>
                      <w:color w:val="auto"/>
                      <w:spacing w:val="-10"/>
                      <w:sz w:val="21"/>
                      <w:szCs w:val="21"/>
                      <w:lang w:val="en-US" w:eastAsia="zh-CN"/>
                    </w:rPr>
                    <w:t>变化</w:t>
                  </w:r>
                  <w:r>
                    <w:rPr>
                      <w:rFonts w:hint="default" w:ascii="Times New Roman" w:hAnsi="Times New Roman" w:cs="Times New Roman"/>
                      <w:b/>
                      <w:color w:val="auto"/>
                      <w:spacing w:val="-1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restart"/>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废水</w:t>
                  </w:r>
                </w:p>
              </w:tc>
              <w:tc>
                <w:tcPr>
                  <w:tcW w:w="2479" w:type="dxa"/>
                  <w:vAlign w:val="center"/>
                </w:tcPr>
                <w:p>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废水量</w:t>
                  </w:r>
                </w:p>
              </w:tc>
              <w:tc>
                <w:tcPr>
                  <w:tcW w:w="1372" w:type="dxa"/>
                  <w:vAlign w:val="center"/>
                </w:tcPr>
                <w:p>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lang w:val="en-US" w:eastAsia="zh-CN"/>
                    </w:rPr>
                    <w:t>1953.6</w:t>
                  </w:r>
                  <w:r>
                    <w:rPr>
                      <w:rFonts w:hint="default" w:ascii="Times New Roman" w:hAnsi="Times New Roman" w:cs="Times New Roman"/>
                      <w:bCs/>
                      <w:color w:val="auto"/>
                      <w:spacing w:val="-10"/>
                      <w:sz w:val="21"/>
                      <w:szCs w:val="21"/>
                      <w:highlight w:val="none"/>
                    </w:rPr>
                    <w:t>t/a</w:t>
                  </w:r>
                </w:p>
              </w:tc>
              <w:tc>
                <w:tcPr>
                  <w:tcW w:w="1265" w:type="dxa"/>
                  <w:vAlign w:val="center"/>
                </w:tcPr>
                <w:p>
                  <w:pPr>
                    <w:adjustRightInd w:val="0"/>
                    <w:snapToGrid w:val="0"/>
                    <w:jc w:val="center"/>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lang w:val="en-US" w:eastAsia="zh-CN"/>
                    </w:rPr>
                    <w:t>240</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rPr>
                  </w:pPr>
                  <w:r>
                    <w:rPr>
                      <w:rFonts w:hint="default" w:ascii="Times New Roman" w:hAnsi="Times New Roman" w:cs="Times New Roman"/>
                      <w:bCs/>
                      <w:color w:val="auto"/>
                      <w:spacing w:val="-10"/>
                      <w:sz w:val="21"/>
                      <w:szCs w:val="21"/>
                      <w:highlight w:val="none"/>
                      <w:lang w:val="en-US" w:eastAsia="zh-CN"/>
                    </w:rPr>
                    <w:t>240</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-1713.6</w:t>
                  </w:r>
                  <w:r>
                    <w:rPr>
                      <w:rFonts w:hint="default" w:ascii="Times New Roman" w:hAnsi="Times New Roman" w:cs="Times New Roman"/>
                      <w:bCs/>
                      <w:color w:val="auto"/>
                      <w:spacing w:val="-10"/>
                      <w:sz w:val="21"/>
                      <w:szCs w:val="21"/>
                      <w:highlight w:val="none"/>
                    </w:rPr>
                    <w:t xml:space="preserve">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COD</w:t>
                  </w:r>
                </w:p>
              </w:tc>
              <w:tc>
                <w:tcPr>
                  <w:tcW w:w="1372" w:type="dxa"/>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0.</w:t>
                  </w:r>
                  <w:r>
                    <w:rPr>
                      <w:rFonts w:hint="default" w:ascii="Times New Roman" w:hAnsi="Times New Roman" w:cs="Times New Roman"/>
                      <w:bCs/>
                      <w:color w:val="auto"/>
                      <w:spacing w:val="-10"/>
                      <w:sz w:val="21"/>
                      <w:szCs w:val="21"/>
                      <w:lang w:val="en-US" w:eastAsia="zh-CN"/>
                    </w:rPr>
                    <w:t>20</w:t>
                  </w:r>
                  <w:r>
                    <w:rPr>
                      <w:rFonts w:hint="default" w:ascii="Times New Roman" w:hAnsi="Times New Roman" w:cs="Times New Roman"/>
                      <w:bCs/>
                      <w:color w:val="auto"/>
                      <w:spacing w:val="-10"/>
                      <w:sz w:val="21"/>
                      <w:szCs w:val="21"/>
                    </w:rPr>
                    <w:t>t/a</w:t>
                  </w:r>
                </w:p>
              </w:tc>
              <w:tc>
                <w:tcPr>
                  <w:tcW w:w="1265" w:type="dxa"/>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0.012</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0.012</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bidi="ar-SA"/>
                    </w:rPr>
                  </w:pPr>
                  <w:r>
                    <w:rPr>
                      <w:rFonts w:hint="default" w:ascii="Times New Roman" w:hAnsi="Times New Roman" w:cs="Times New Roman"/>
                      <w:bCs/>
                      <w:color w:val="auto"/>
                      <w:spacing w:val="-10"/>
                      <w:sz w:val="21"/>
                      <w:szCs w:val="21"/>
                      <w:lang w:val="en-US" w:eastAsia="zh-CN"/>
                    </w:rPr>
                    <w:t>-0.188</w:t>
                  </w:r>
                  <w:r>
                    <w:rPr>
                      <w:rFonts w:hint="default" w:ascii="Times New Roman" w:hAnsi="Times New Roman" w:cs="Times New Roman"/>
                      <w:bCs/>
                      <w:color w:val="auto"/>
                      <w:spacing w:val="-1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NH</w:t>
                  </w:r>
                  <w:r>
                    <w:rPr>
                      <w:rFonts w:hint="default" w:ascii="Times New Roman" w:hAnsi="Times New Roman" w:cs="Times New Roman"/>
                      <w:bCs/>
                      <w:color w:val="auto"/>
                      <w:spacing w:val="-10"/>
                      <w:sz w:val="21"/>
                      <w:szCs w:val="21"/>
                      <w:vertAlign w:val="subscript"/>
                    </w:rPr>
                    <w:t>3</w:t>
                  </w:r>
                  <w:r>
                    <w:rPr>
                      <w:rFonts w:hint="default" w:ascii="Times New Roman" w:hAnsi="Times New Roman" w:cs="Times New Roman"/>
                      <w:bCs/>
                      <w:color w:val="auto"/>
                      <w:spacing w:val="-10"/>
                      <w:sz w:val="21"/>
                      <w:szCs w:val="21"/>
                    </w:rPr>
                    <w:t>-N</w:t>
                  </w:r>
                </w:p>
              </w:tc>
              <w:tc>
                <w:tcPr>
                  <w:tcW w:w="1372" w:type="dxa"/>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0.0</w:t>
                  </w:r>
                  <w:r>
                    <w:rPr>
                      <w:rFonts w:hint="default" w:ascii="Times New Roman" w:hAnsi="Times New Roman" w:cs="Times New Roman"/>
                      <w:bCs/>
                      <w:color w:val="auto"/>
                      <w:spacing w:val="-10"/>
                      <w:sz w:val="21"/>
                      <w:szCs w:val="21"/>
                      <w:lang w:val="en-US" w:eastAsia="zh-CN"/>
                    </w:rPr>
                    <w:t>3</w:t>
                  </w:r>
                  <w:r>
                    <w:rPr>
                      <w:rFonts w:hint="default" w:ascii="Times New Roman" w:hAnsi="Times New Roman" w:cs="Times New Roman"/>
                      <w:bCs/>
                      <w:color w:val="auto"/>
                      <w:spacing w:val="-10"/>
                      <w:sz w:val="21"/>
                      <w:szCs w:val="21"/>
                    </w:rPr>
                    <w:t xml:space="preserve"> t/a</w:t>
                  </w:r>
                </w:p>
              </w:tc>
              <w:tc>
                <w:tcPr>
                  <w:tcW w:w="1265" w:type="dxa"/>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0.0012</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0.0012</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bidi="ar-SA"/>
                    </w:rPr>
                  </w:pPr>
                  <w:r>
                    <w:rPr>
                      <w:rFonts w:hint="default" w:ascii="Times New Roman" w:hAnsi="Times New Roman" w:cs="Times New Roman"/>
                      <w:bCs/>
                      <w:color w:val="auto"/>
                      <w:spacing w:val="-10"/>
                      <w:sz w:val="21"/>
                      <w:szCs w:val="21"/>
                      <w:lang w:val="en-US" w:eastAsia="zh-CN"/>
                    </w:rPr>
                    <w:t>-0.0288</w:t>
                  </w:r>
                  <w:r>
                    <w:rPr>
                      <w:rFonts w:hint="default" w:ascii="Times New Roman" w:hAnsi="Times New Roman" w:cs="Times New Roman"/>
                      <w:bCs/>
                      <w:color w:val="auto"/>
                      <w:spacing w:val="-1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restart"/>
                  <w:vAlign w:val="center"/>
                </w:tcPr>
                <w:p>
                  <w:pPr>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rPr>
                    <w:t>废气</w:t>
                  </w:r>
                </w:p>
              </w:tc>
              <w:tc>
                <w:tcPr>
                  <w:tcW w:w="2479"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SO</w:t>
                  </w:r>
                  <w:r>
                    <w:rPr>
                      <w:rFonts w:hint="default" w:ascii="Times New Roman" w:hAnsi="Times New Roman" w:cs="Times New Roman"/>
                      <w:bCs/>
                      <w:color w:val="auto"/>
                      <w:spacing w:val="-10"/>
                      <w:sz w:val="21"/>
                      <w:szCs w:val="21"/>
                      <w:highlight w:val="none"/>
                      <w:vertAlign w:val="subscript"/>
                      <w:lang w:val="en-US" w:eastAsia="zh-CN"/>
                    </w:rPr>
                    <w:t>2</w:t>
                  </w:r>
                </w:p>
              </w:tc>
              <w:tc>
                <w:tcPr>
                  <w:tcW w:w="1372"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0.462</w:t>
                  </w:r>
                  <w:r>
                    <w:rPr>
                      <w:rFonts w:hint="default" w:ascii="Times New Roman" w:hAnsi="Times New Roman" w:cs="Times New Roman"/>
                      <w:bCs/>
                      <w:color w:val="auto"/>
                      <w:spacing w:val="-10"/>
                      <w:sz w:val="21"/>
                      <w:szCs w:val="21"/>
                      <w:highlight w:val="none"/>
                    </w:rPr>
                    <w:t>t/a</w:t>
                  </w:r>
                </w:p>
              </w:tc>
              <w:tc>
                <w:tcPr>
                  <w:tcW w:w="1265"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0.0008</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0.0008</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-0.4612</w:t>
                  </w:r>
                  <w:r>
                    <w:rPr>
                      <w:rFonts w:hint="default" w:ascii="Times New Roman" w:hAnsi="Times New Roman" w:cs="Times New Roman"/>
                      <w:bCs/>
                      <w:color w:val="auto"/>
                      <w:spacing w:val="-1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vertAlign w:val="baseline"/>
                      <w:lang w:val="en-US" w:eastAsia="zh-CN"/>
                    </w:rPr>
                    <w:t>烟尘</w:t>
                  </w:r>
                </w:p>
              </w:tc>
              <w:tc>
                <w:tcPr>
                  <w:tcW w:w="1372"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0.07</w:t>
                  </w:r>
                  <w:r>
                    <w:rPr>
                      <w:rFonts w:hint="default" w:ascii="Times New Roman" w:hAnsi="Times New Roman" w:cs="Times New Roman"/>
                      <w:bCs/>
                      <w:color w:val="auto"/>
                      <w:spacing w:val="-10"/>
                      <w:sz w:val="21"/>
                      <w:szCs w:val="21"/>
                      <w:highlight w:val="none"/>
                    </w:rPr>
                    <w:t>t/a</w:t>
                  </w:r>
                </w:p>
              </w:tc>
              <w:tc>
                <w:tcPr>
                  <w:tcW w:w="1265"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0.014</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0.014</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-0.056</w:t>
                  </w:r>
                  <w:r>
                    <w:rPr>
                      <w:rFonts w:hint="default" w:ascii="Times New Roman" w:hAnsi="Times New Roman" w:cs="Times New Roman"/>
                      <w:bCs/>
                      <w:color w:val="auto"/>
                      <w:spacing w:val="-1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颗粒物</w:t>
                  </w:r>
                </w:p>
              </w:tc>
              <w:tc>
                <w:tcPr>
                  <w:tcW w:w="1372"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w:t>
                  </w:r>
                </w:p>
              </w:tc>
              <w:tc>
                <w:tcPr>
                  <w:tcW w:w="1265"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eastAsia" w:ascii="Times New Roman" w:hAnsi="Times New Roman" w:cs="Times New Roman"/>
                      <w:bCs/>
                      <w:color w:val="auto"/>
                      <w:spacing w:val="-10"/>
                      <w:sz w:val="21"/>
                      <w:szCs w:val="21"/>
                      <w:highlight w:val="none"/>
                      <w:lang w:val="en-US" w:eastAsia="zh-CN"/>
                    </w:rPr>
                    <w:t>2.25</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eastAsia" w:ascii="Times New Roman" w:hAnsi="Times New Roman" w:cs="Times New Roman"/>
                      <w:bCs/>
                      <w:color w:val="auto"/>
                      <w:spacing w:val="-10"/>
                      <w:sz w:val="21"/>
                      <w:szCs w:val="21"/>
                      <w:highlight w:val="none"/>
                      <w:lang w:val="en-US" w:eastAsia="zh-CN"/>
                    </w:rPr>
                    <w:t>2.25</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lang w:val="en-US" w:eastAsia="zh-CN"/>
                    </w:rPr>
                    <w:t>+2.</w:t>
                  </w:r>
                  <w:r>
                    <w:rPr>
                      <w:rFonts w:hint="eastAsia" w:ascii="Times New Roman" w:hAnsi="Times New Roman" w:cs="Times New Roman"/>
                      <w:bCs/>
                      <w:color w:val="auto"/>
                      <w:spacing w:val="-10"/>
                      <w:sz w:val="21"/>
                      <w:szCs w:val="21"/>
                      <w:highlight w:val="none"/>
                      <w:lang w:val="en-US" w:eastAsia="zh-CN"/>
                    </w:rPr>
                    <w:t>2</w:t>
                  </w:r>
                  <w:r>
                    <w:rPr>
                      <w:rFonts w:hint="default" w:ascii="Times New Roman" w:hAnsi="Times New Roman" w:cs="Times New Roman"/>
                      <w:bCs/>
                      <w:color w:val="auto"/>
                      <w:spacing w:val="-10"/>
                      <w:sz w:val="21"/>
                      <w:szCs w:val="21"/>
                      <w:highlight w:val="none"/>
                      <w:lang w:val="en-US" w:eastAsia="zh-CN"/>
                    </w:rPr>
                    <w:t>5</w:t>
                  </w:r>
                  <w:r>
                    <w:rPr>
                      <w:rFonts w:hint="default" w:ascii="Times New Roman" w:hAnsi="Times New Roman" w:cs="Times New Roman"/>
                      <w:color w:val="auto"/>
                      <w:sz w:val="21"/>
                      <w:szCs w:val="21"/>
                      <w:highlight w:val="none"/>
                    </w:rPr>
                    <w:t xml:space="preserve"> </w:t>
                  </w:r>
                  <w:r>
                    <w:rPr>
                      <w:rFonts w:hint="default" w:ascii="Times New Roman" w:hAnsi="Times New Roman" w:cs="Times New Roman"/>
                      <w:bCs/>
                      <w:color w:val="auto"/>
                      <w:spacing w:val="-10"/>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34" w:type="dxa"/>
                  <w:vMerge w:val="restart"/>
                  <w:vAlign w:val="center"/>
                </w:tcPr>
                <w:p>
                  <w:pPr>
                    <w:adjustRightInd w:val="0"/>
                    <w:snapToGrid w:val="0"/>
                    <w:jc w:val="center"/>
                    <w:rPr>
                      <w:rFonts w:hint="default" w:ascii="Times New Roman" w:hAnsi="Times New Roman" w:eastAsia="宋体" w:cs="Times New Roman"/>
                      <w:bCs/>
                      <w:color w:val="auto"/>
                      <w:spacing w:val="-10"/>
                      <w:sz w:val="21"/>
                      <w:szCs w:val="21"/>
                      <w:lang w:eastAsia="zh-CN"/>
                    </w:rPr>
                  </w:pPr>
                  <w:r>
                    <w:rPr>
                      <w:rFonts w:hint="default" w:ascii="Times New Roman" w:hAnsi="Times New Roman" w:cs="Times New Roman"/>
                      <w:bCs/>
                      <w:color w:val="auto"/>
                      <w:spacing w:val="-10"/>
                      <w:sz w:val="21"/>
                      <w:szCs w:val="21"/>
                    </w:rPr>
                    <w:t>固废</w:t>
                  </w:r>
                </w:p>
              </w:tc>
              <w:tc>
                <w:tcPr>
                  <w:tcW w:w="2479"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default" w:ascii="Times New Roman" w:hAnsi="Times New Roman" w:cs="Times New Roman"/>
                      <w:bCs/>
                      <w:color w:val="auto"/>
                      <w:spacing w:val="-10"/>
                      <w:sz w:val="21"/>
                      <w:szCs w:val="21"/>
                    </w:rPr>
                    <w:t>生活垃圾</w:t>
                  </w:r>
                </w:p>
              </w:tc>
              <w:tc>
                <w:tcPr>
                  <w:tcW w:w="1372" w:type="dxa"/>
                  <w:vAlign w:val="center"/>
                </w:tcPr>
                <w:p>
                  <w:pPr>
                    <w:autoSpaceDE/>
                    <w:autoSpaceDN/>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 w:val="0"/>
                      <w:bCs w:val="0"/>
                      <w:color w:val="auto"/>
                      <w:sz w:val="21"/>
                      <w:szCs w:val="21"/>
                      <w:lang w:val="en-US" w:eastAsia="zh-CN"/>
                    </w:rPr>
                    <w:t>14.52</w:t>
                  </w:r>
                  <w:r>
                    <w:rPr>
                      <w:rFonts w:hint="default" w:ascii="Times New Roman" w:hAnsi="Times New Roman" w:cs="Times New Roman"/>
                      <w:bCs/>
                      <w:color w:val="auto"/>
                      <w:spacing w:val="-10"/>
                      <w:sz w:val="21"/>
                      <w:szCs w:val="21"/>
                    </w:rPr>
                    <w:t>t/a</w:t>
                  </w:r>
                </w:p>
              </w:tc>
              <w:tc>
                <w:tcPr>
                  <w:tcW w:w="1265" w:type="dxa"/>
                  <w:vAlign w:val="center"/>
                </w:tcPr>
                <w:p>
                  <w:pPr>
                    <w:autoSpaceDE/>
                    <w:autoSpaceDN/>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 w:val="0"/>
                      <w:bCs w:val="0"/>
                      <w:color w:val="auto"/>
                      <w:sz w:val="21"/>
                      <w:szCs w:val="21"/>
                      <w:lang w:val="en-US" w:eastAsia="zh-CN"/>
                    </w:rPr>
                    <w:t>3</w:t>
                  </w:r>
                  <w:r>
                    <w:rPr>
                      <w:rFonts w:hint="default" w:ascii="Times New Roman" w:hAnsi="Times New Roman" w:cs="Times New Roman"/>
                      <w:bCs/>
                      <w:color w:val="auto"/>
                      <w:spacing w:val="-10"/>
                      <w:sz w:val="21"/>
                      <w:szCs w:val="21"/>
                    </w:rPr>
                    <w:t>t/a</w:t>
                  </w:r>
                </w:p>
              </w:tc>
              <w:tc>
                <w:tcPr>
                  <w:tcW w:w="1307" w:type="dxa"/>
                  <w:vAlign w:val="center"/>
                </w:tcPr>
                <w:p>
                  <w:pPr>
                    <w:autoSpaceDE/>
                    <w:autoSpaceDN/>
                    <w:adjustRightInd w:val="0"/>
                    <w:snapToGrid w:val="0"/>
                    <w:jc w:val="center"/>
                    <w:rPr>
                      <w:rFonts w:hint="default" w:ascii="Times New Roman" w:hAnsi="Times New Roman" w:eastAsia="宋体" w:cs="Times New Roman"/>
                      <w:b w:val="0"/>
                      <w:bCs w:val="0"/>
                      <w:color w:val="auto"/>
                      <w:sz w:val="21"/>
                      <w:szCs w:val="21"/>
                      <w:lang w:val="en-US" w:eastAsia="zh-CN" w:bidi="ar-SA"/>
                    </w:rPr>
                  </w:pPr>
                  <w:r>
                    <w:rPr>
                      <w:rFonts w:hint="default" w:ascii="Times New Roman" w:hAnsi="Times New Roman" w:cs="Times New Roman"/>
                      <w:b w:val="0"/>
                      <w:bCs w:val="0"/>
                      <w:color w:val="auto"/>
                      <w:sz w:val="21"/>
                      <w:szCs w:val="21"/>
                      <w:lang w:val="en-US" w:eastAsia="zh-CN"/>
                    </w:rPr>
                    <w:t>3</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lang w:val="en-US" w:eastAsia="zh-CN" w:bidi="ar-SA"/>
                    </w:rPr>
                  </w:pPr>
                  <w:r>
                    <w:rPr>
                      <w:rFonts w:hint="default" w:ascii="Times New Roman" w:hAnsi="Times New Roman" w:cs="Times New Roman"/>
                      <w:bCs/>
                      <w:color w:val="auto"/>
                      <w:spacing w:val="-10"/>
                      <w:sz w:val="21"/>
                      <w:szCs w:val="21"/>
                      <w:lang w:val="en-US" w:eastAsia="zh-CN"/>
                    </w:rPr>
                    <w:t>-11.52</w:t>
                  </w:r>
                  <w:r>
                    <w:rPr>
                      <w:rFonts w:hint="default" w:ascii="Times New Roman" w:hAnsi="Times New Roman" w:cs="Times New Roman"/>
                      <w:bCs/>
                      <w:color w:val="auto"/>
                      <w:spacing w:val="-1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default" w:ascii="Times New Roman" w:hAnsi="Times New Roman" w:cs="Times New Roman"/>
                      <w:bCs/>
                      <w:color w:val="auto"/>
                      <w:spacing w:val="-10"/>
                      <w:sz w:val="21"/>
                      <w:szCs w:val="21"/>
                      <w:lang w:val="en-US" w:eastAsia="zh-CN"/>
                    </w:rPr>
                    <w:t>废钢筋</w:t>
                  </w:r>
                </w:p>
              </w:tc>
              <w:tc>
                <w:tcPr>
                  <w:tcW w:w="1372" w:type="dxa"/>
                  <w:vAlign w:val="center"/>
                </w:tcPr>
                <w:p>
                  <w:pPr>
                    <w:autoSpaceDE/>
                    <w:autoSpaceDN/>
                    <w:adjustRightInd w:val="0"/>
                    <w:snapToGrid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p>
              </w:tc>
              <w:tc>
                <w:tcPr>
                  <w:tcW w:w="1265" w:type="dxa"/>
                  <w:vAlign w:val="center"/>
                </w:tcPr>
                <w:p>
                  <w:pPr>
                    <w:adjustRightInd w:val="0"/>
                    <w:snapToGrid w:val="0"/>
                    <w:jc w:val="center"/>
                    <w:rPr>
                      <w:rFonts w:hint="default" w:ascii="Times New Roman" w:hAnsi="Times New Roman" w:cs="Times New Roman"/>
                      <w:bCs/>
                      <w:color w:val="auto"/>
                      <w:spacing w:val="-10"/>
                      <w:sz w:val="21"/>
                      <w:szCs w:val="21"/>
                      <w:highlight w:val="none"/>
                      <w:lang w:val="en-US" w:eastAsia="zh-CN"/>
                    </w:rPr>
                  </w:pP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cs="Times New Roman"/>
                      <w:bCs/>
                      <w:color w:val="auto"/>
                      <w:spacing w:val="-10"/>
                      <w:sz w:val="21"/>
                      <w:szCs w:val="21"/>
                      <w:highlight w:val="none"/>
                      <w:lang w:val="en-US" w:eastAsia="zh-CN"/>
                    </w:rPr>
                  </w:pP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Cs/>
                      <w:color w:val="auto"/>
                      <w:spacing w:val="-10"/>
                      <w:sz w:val="21"/>
                      <w:szCs w:val="21"/>
                    </w:rPr>
                    <w:t>t/a</w:t>
                  </w:r>
                </w:p>
              </w:tc>
              <w:tc>
                <w:tcPr>
                  <w:tcW w:w="1307" w:type="dxa"/>
                  <w:vAlign w:val="center"/>
                </w:tcPr>
                <w:p>
                  <w:pPr>
                    <w:autoSpaceDE/>
                    <w:autoSpaceDN/>
                    <w:adjustRightInd w:val="0"/>
                    <w:snapToGrid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+5</w:t>
                  </w:r>
                  <w:r>
                    <w:rPr>
                      <w:rFonts w:hint="default" w:ascii="Times New Roman" w:hAnsi="Times New Roman" w:cs="Times New Roman"/>
                      <w:bCs/>
                      <w:color w:val="auto"/>
                      <w:spacing w:val="-1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34" w:type="dxa"/>
                  <w:vMerge w:val="continue"/>
                  <w:vAlign w:val="center"/>
                </w:tcPr>
                <w:p>
                  <w:pPr>
                    <w:adjustRightInd w:val="0"/>
                    <w:snapToGrid w:val="0"/>
                    <w:jc w:val="center"/>
                    <w:rPr>
                      <w:rFonts w:hint="default" w:ascii="Times New Roman" w:hAnsi="Times New Roman" w:cs="Times New Roman"/>
                      <w:bCs/>
                      <w:color w:val="auto"/>
                      <w:spacing w:val="-10"/>
                      <w:sz w:val="21"/>
                      <w:szCs w:val="21"/>
                    </w:rPr>
                  </w:pPr>
                </w:p>
              </w:tc>
              <w:tc>
                <w:tcPr>
                  <w:tcW w:w="2479"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eastAsia" w:ascii="Times New Roman" w:hAnsi="Times New Roman" w:cs="Times New Roman"/>
                      <w:bCs/>
                      <w:color w:val="auto"/>
                      <w:spacing w:val="-10"/>
                      <w:sz w:val="21"/>
                      <w:szCs w:val="21"/>
                      <w:lang w:val="en-US" w:eastAsia="zh-CN"/>
                    </w:rPr>
                    <w:t>不合格产品</w:t>
                  </w:r>
                </w:p>
              </w:tc>
              <w:tc>
                <w:tcPr>
                  <w:tcW w:w="1372" w:type="dxa"/>
                  <w:vAlign w:val="center"/>
                </w:tcPr>
                <w:p>
                  <w:pPr>
                    <w:autoSpaceDE/>
                    <w:autoSpaceDN/>
                    <w:adjustRightInd w:val="0"/>
                    <w:snapToGrid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65" w:type="dxa"/>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r>
                    <w:rPr>
                      <w:rFonts w:hint="default" w:ascii="Times New Roman" w:hAnsi="Times New Roman" w:cs="Times New Roman"/>
                      <w:bCs/>
                      <w:color w:val="auto"/>
                      <w:spacing w:val="-10"/>
                      <w:sz w:val="21"/>
                      <w:szCs w:val="21"/>
                    </w:rPr>
                    <w:t>t/a</w:t>
                  </w:r>
                </w:p>
              </w:tc>
              <w:tc>
                <w:tcPr>
                  <w:tcW w:w="1307" w:type="dxa"/>
                  <w:vAlign w:val="center"/>
                </w:tcPr>
                <w:p>
                  <w:pPr>
                    <w:adjustRightInd w:val="0"/>
                    <w:snapToGrid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10</w:t>
                  </w:r>
                  <w:r>
                    <w:rPr>
                      <w:rFonts w:hint="default" w:ascii="Times New Roman" w:hAnsi="Times New Roman" w:cs="Times New Roman"/>
                      <w:bCs/>
                      <w:color w:val="auto"/>
                      <w:spacing w:val="-10"/>
                      <w:sz w:val="21"/>
                      <w:szCs w:val="21"/>
                    </w:rPr>
                    <w:t>t/a</w:t>
                  </w:r>
                </w:p>
              </w:tc>
              <w:tc>
                <w:tcPr>
                  <w:tcW w:w="1307" w:type="dxa"/>
                  <w:vAlign w:val="center"/>
                </w:tcPr>
                <w:p>
                  <w:pPr>
                    <w:autoSpaceDE/>
                    <w:autoSpaceDN/>
                    <w:adjustRightInd w:val="0"/>
                    <w:snapToGrid w:val="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10</w:t>
                  </w:r>
                  <w:r>
                    <w:rPr>
                      <w:rFonts w:hint="default" w:ascii="Times New Roman" w:hAnsi="Times New Roman" w:cs="Times New Roman"/>
                      <w:bCs/>
                      <w:color w:val="auto"/>
                      <w:spacing w:val="-1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jc w:val="center"/>
              </w:trPr>
              <w:tc>
                <w:tcPr>
                  <w:tcW w:w="934" w:type="dxa"/>
                  <w:vMerge w:val="continue"/>
                  <w:vAlign w:val="center"/>
                </w:tcPr>
                <w:p>
                  <w:pPr>
                    <w:adjustRightInd w:val="0"/>
                    <w:snapToGrid w:val="0"/>
                    <w:jc w:val="center"/>
                    <w:rPr>
                      <w:rFonts w:hint="default" w:ascii="Times New Roman" w:hAnsi="Times New Roman" w:eastAsia="宋体" w:cs="Times New Roman"/>
                      <w:bCs/>
                      <w:color w:val="auto"/>
                      <w:spacing w:val="-10"/>
                      <w:sz w:val="21"/>
                      <w:szCs w:val="21"/>
                      <w:lang w:eastAsia="zh-CN"/>
                    </w:rPr>
                  </w:pPr>
                </w:p>
              </w:tc>
              <w:tc>
                <w:tcPr>
                  <w:tcW w:w="2479" w:type="dxa"/>
                  <w:vAlign w:val="center"/>
                </w:tcPr>
                <w:p>
                  <w:pPr>
                    <w:adjustRightInd w:val="0"/>
                    <w:snapToGrid w:val="0"/>
                    <w:jc w:val="center"/>
                    <w:rPr>
                      <w:rFonts w:hint="default" w:ascii="Times New Roman" w:hAnsi="Times New Roman" w:cs="Times New Roman"/>
                      <w:bCs/>
                      <w:color w:val="auto"/>
                      <w:spacing w:val="-10"/>
                      <w:sz w:val="21"/>
                      <w:szCs w:val="21"/>
                      <w:lang w:val="en-US" w:eastAsia="zh-CN"/>
                    </w:rPr>
                  </w:pPr>
                  <w:r>
                    <w:rPr>
                      <w:rFonts w:hint="default" w:ascii="Times New Roman" w:hAnsi="Times New Roman" w:cs="Times New Roman"/>
                      <w:bCs/>
                      <w:color w:val="auto"/>
                      <w:spacing w:val="-10"/>
                      <w:sz w:val="21"/>
                      <w:szCs w:val="21"/>
                    </w:rPr>
                    <w:t>废</w:t>
                  </w:r>
                  <w:r>
                    <w:rPr>
                      <w:rFonts w:hint="default" w:ascii="Times New Roman" w:hAnsi="Times New Roman" w:cs="Times New Roman"/>
                      <w:bCs/>
                      <w:color w:val="auto"/>
                      <w:spacing w:val="-10"/>
                      <w:sz w:val="21"/>
                      <w:szCs w:val="21"/>
                      <w:lang w:val="en-US" w:eastAsia="zh-CN"/>
                    </w:rPr>
                    <w:t>润滑油及</w:t>
                  </w:r>
                  <w:r>
                    <w:rPr>
                      <w:rFonts w:ascii="Times New Roman" w:hAnsi="Times New Roman" w:cs="Times New Roman"/>
                      <w:color w:val="auto"/>
                      <w:sz w:val="21"/>
                      <w:szCs w:val="21"/>
                    </w:rPr>
                    <w:t>润滑油桶</w:t>
                  </w:r>
                </w:p>
              </w:tc>
              <w:tc>
                <w:tcPr>
                  <w:tcW w:w="1372" w:type="dxa"/>
                  <w:vAlign w:val="center"/>
                </w:tcPr>
                <w:p>
                  <w:pPr>
                    <w:autoSpaceDE/>
                    <w:autoSpaceDN/>
                    <w:adjustRightInd w:val="0"/>
                    <w:snapToGrid w:val="0"/>
                    <w:jc w:val="center"/>
                    <w:rPr>
                      <w:rFonts w:hint="default" w:ascii="Times New Roman" w:hAnsi="Times New Roman" w:cs="Times New Roman"/>
                      <w:bCs/>
                      <w:color w:val="auto"/>
                      <w:spacing w:val="-10"/>
                      <w:sz w:val="21"/>
                      <w:szCs w:val="21"/>
                    </w:rPr>
                  </w:pPr>
                  <w:r>
                    <w:rPr>
                      <w:rFonts w:hint="default" w:ascii="Times New Roman" w:hAnsi="Times New Roman" w:cs="Times New Roman"/>
                      <w:b w:val="0"/>
                      <w:bCs w:val="0"/>
                      <w:color w:val="auto"/>
                      <w:sz w:val="21"/>
                      <w:szCs w:val="21"/>
                      <w:lang w:val="en-US" w:eastAsia="zh-CN"/>
                    </w:rPr>
                    <w:t>/</w:t>
                  </w:r>
                </w:p>
              </w:tc>
              <w:tc>
                <w:tcPr>
                  <w:tcW w:w="1265" w:type="dxa"/>
                  <w:vAlign w:val="center"/>
                </w:tcPr>
                <w:p>
                  <w:pPr>
                    <w:autoSpaceDE/>
                    <w:autoSpaceDN/>
                    <w:adjustRightInd w:val="0"/>
                    <w:snapToGrid w:val="0"/>
                    <w:jc w:val="center"/>
                    <w:rPr>
                      <w:rFonts w:hint="default" w:ascii="Times New Roman" w:hAnsi="Times New Roman" w:cs="Times New Roman"/>
                      <w:bCs/>
                      <w:color w:val="auto"/>
                      <w:spacing w:val="-10"/>
                      <w:sz w:val="21"/>
                      <w:szCs w:val="21"/>
                      <w:highlight w:val="none"/>
                    </w:rPr>
                  </w:pPr>
                  <w:r>
                    <w:rPr>
                      <w:rFonts w:ascii="Times New Roman" w:hAnsi="Times New Roman" w:cs="Times New Roman"/>
                      <w:b w:val="0"/>
                      <w:bCs w:val="0"/>
                      <w:color w:val="auto"/>
                      <w:sz w:val="21"/>
                      <w:szCs w:val="21"/>
                      <w:highlight w:val="none"/>
                    </w:rPr>
                    <w:t>0.0</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cs="Times New Roman"/>
                      <w:bCs/>
                      <w:color w:val="auto"/>
                      <w:spacing w:val="-10"/>
                      <w:sz w:val="21"/>
                      <w:szCs w:val="21"/>
                      <w:highlight w:val="none"/>
                    </w:rPr>
                    <w:t>t/a</w:t>
                  </w:r>
                </w:p>
              </w:tc>
              <w:tc>
                <w:tcPr>
                  <w:tcW w:w="1307" w:type="dxa"/>
                  <w:vAlign w:val="center"/>
                </w:tcPr>
                <w:p>
                  <w:pPr>
                    <w:autoSpaceDE/>
                    <w:autoSpaceDN/>
                    <w:adjustRightInd w:val="0"/>
                    <w:snapToGrid w:val="0"/>
                    <w:jc w:val="center"/>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0.03</w:t>
                  </w:r>
                  <w:r>
                    <w:rPr>
                      <w:rFonts w:hint="default" w:ascii="Times New Roman" w:hAnsi="Times New Roman" w:cs="Times New Roman"/>
                      <w:bCs/>
                      <w:color w:val="auto"/>
                      <w:spacing w:val="-10"/>
                      <w:sz w:val="21"/>
                      <w:szCs w:val="21"/>
                      <w:highlight w:val="none"/>
                    </w:rPr>
                    <w:t>t/a</w:t>
                  </w:r>
                </w:p>
              </w:tc>
              <w:tc>
                <w:tcPr>
                  <w:tcW w:w="1307" w:type="dxa"/>
                  <w:vAlign w:val="center"/>
                </w:tcPr>
                <w:p>
                  <w:pPr>
                    <w:adjustRightInd w:val="0"/>
                    <w:snapToGrid w:val="0"/>
                    <w:jc w:val="center"/>
                    <w:rPr>
                      <w:rFonts w:hint="default" w:ascii="Times New Roman" w:hAnsi="Times New Roman" w:eastAsia="宋体" w:cs="Times New Roman"/>
                      <w:bCs/>
                      <w:color w:val="auto"/>
                      <w:spacing w:val="-10"/>
                      <w:sz w:val="21"/>
                      <w:szCs w:val="21"/>
                      <w:highlight w:val="none"/>
                      <w:lang w:val="en-US" w:eastAsia="zh-CN" w:bidi="ar-SA"/>
                    </w:rPr>
                  </w:pPr>
                  <w:r>
                    <w:rPr>
                      <w:rFonts w:hint="default" w:ascii="Times New Roman" w:hAnsi="Times New Roman" w:cs="Times New Roman"/>
                      <w:bCs/>
                      <w:color w:val="auto"/>
                      <w:spacing w:val="-10"/>
                      <w:sz w:val="21"/>
                      <w:szCs w:val="21"/>
                      <w:highlight w:val="none"/>
                    </w:rPr>
                    <w:t>+</w:t>
                  </w:r>
                  <w:r>
                    <w:rPr>
                      <w:rFonts w:hint="default" w:ascii="Times New Roman" w:hAnsi="Times New Roman" w:cs="Times New Roman"/>
                      <w:bCs/>
                      <w:color w:val="auto"/>
                      <w:spacing w:val="-10"/>
                      <w:sz w:val="21"/>
                      <w:szCs w:val="21"/>
                      <w:highlight w:val="none"/>
                      <w:lang w:val="en-US" w:eastAsia="zh-CN"/>
                    </w:rPr>
                    <w:t>0.03</w:t>
                  </w:r>
                  <w:r>
                    <w:rPr>
                      <w:rFonts w:hint="default" w:ascii="Times New Roman" w:hAnsi="Times New Roman" w:cs="Times New Roman"/>
                      <w:bCs/>
                      <w:color w:val="auto"/>
                      <w:spacing w:val="-10"/>
                      <w:sz w:val="21"/>
                      <w:szCs w:val="21"/>
                      <w:highlight w:val="none"/>
                    </w:rPr>
                    <w:t>t/a</w:t>
                  </w:r>
                </w:p>
              </w:tc>
            </w:tr>
          </w:tbl>
          <w:p>
            <w:pPr>
              <w:pStyle w:val="34"/>
              <w:rPr>
                <w:rFonts w:ascii="Times New Roman" w:hAnsi="Times New Roman" w:cs="Times New Roman"/>
                <w:color w:val="auto"/>
              </w:rPr>
            </w:pPr>
          </w:p>
          <w:p>
            <w:pPr>
              <w:spacing w:line="360" w:lineRule="auto"/>
              <w:rPr>
                <w:rFonts w:ascii="Times New Roman" w:hAnsi="Times New Roman" w:cs="Times New Roman"/>
                <w:color w:val="auto"/>
                <w:sz w:val="24"/>
                <w:szCs w:val="24"/>
                <w:u w:color="FF0000"/>
              </w:rPr>
            </w:pPr>
            <w:r>
              <w:rPr>
                <w:rFonts w:hint="default" w:ascii="Times New Roman" w:hAnsi="Times New Roman" w:cs="Times New Roman"/>
                <w:b/>
                <w:color w:val="auto"/>
                <w:spacing w:val="-10"/>
                <w:sz w:val="24"/>
                <w:szCs w:val="24"/>
                <w:u w:color="FF0000"/>
                <w:lang w:val="en-US" w:eastAsia="zh-CN"/>
              </w:rPr>
              <w:t>七</w:t>
            </w:r>
            <w:r>
              <w:rPr>
                <w:rFonts w:hint="default" w:ascii="Times New Roman" w:hAnsi="Times New Roman" w:cs="Times New Roman"/>
                <w:b/>
                <w:color w:val="auto"/>
                <w:spacing w:val="-10"/>
                <w:sz w:val="24"/>
                <w:szCs w:val="24"/>
                <w:u w:color="FF0000"/>
              </w:rPr>
              <w:t>、环保投资一览表</w:t>
            </w:r>
          </w:p>
          <w:p>
            <w:pPr>
              <w:pStyle w:val="43"/>
              <w:spacing w:line="360" w:lineRule="auto"/>
              <w:ind w:firstLine="480"/>
              <w:jc w:val="left"/>
              <w:rPr>
                <w:rFonts w:ascii="Times New Roman" w:hAnsi="Times New Roman" w:cs="Times New Roman"/>
                <w:color w:val="auto"/>
                <w:sz w:val="24"/>
                <w:szCs w:val="24"/>
              </w:rPr>
            </w:pPr>
            <w:r>
              <w:rPr>
                <w:rFonts w:ascii="Times New Roman" w:hAnsi="Times New Roman" w:cs="Times New Roman"/>
                <w:color w:val="auto"/>
                <w:sz w:val="24"/>
                <w:szCs w:val="24"/>
              </w:rPr>
              <w:t>本项目环保措施总投资为</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ascii="Times New Roman" w:hAnsi="Times New Roman" w:cs="Times New Roman"/>
                <w:color w:val="auto"/>
                <w:sz w:val="24"/>
                <w:szCs w:val="24"/>
              </w:rPr>
              <w:t>万元，占项目总投资（</w:t>
            </w:r>
            <w:r>
              <w:rPr>
                <w:rFonts w:hint="default" w:ascii="Times New Roman" w:hAnsi="Times New Roman" w:cs="Times New Roman"/>
                <w:color w:val="auto"/>
                <w:sz w:val="24"/>
                <w:szCs w:val="24"/>
              </w:rPr>
              <w:t>1</w:t>
            </w:r>
            <w:r>
              <w:rPr>
                <w:rFonts w:ascii="Times New Roman" w:hAnsi="Times New Roman" w:cs="Times New Roman"/>
                <w:color w:val="auto"/>
                <w:sz w:val="24"/>
                <w:szCs w:val="24"/>
              </w:rPr>
              <w:t>000万元）的</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val="en-US" w:eastAsia="zh-CN"/>
              </w:rPr>
              <w:t>7</w:t>
            </w:r>
            <w:r>
              <w:rPr>
                <w:rFonts w:ascii="Times New Roman" w:hAnsi="Times New Roman" w:cs="Times New Roman"/>
                <w:color w:val="auto"/>
                <w:sz w:val="24"/>
                <w:szCs w:val="24"/>
              </w:rPr>
              <w:t>%。环保措施及其投资估算一览表见下表。</w:t>
            </w:r>
          </w:p>
          <w:p>
            <w:pPr>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20</w:t>
            </w:r>
            <w:r>
              <w:rPr>
                <w:rFonts w:ascii="Times New Roman" w:hAnsi="Times New Roman" w:cs="Times New Roman"/>
                <w:b/>
                <w:bCs/>
                <w:color w:val="auto"/>
                <w:sz w:val="21"/>
                <w:szCs w:val="21"/>
              </w:rPr>
              <w:t xml:space="preserve"> 项目环境保护措施及投资一览表</w:t>
            </w:r>
          </w:p>
          <w:tbl>
            <w:tblPr>
              <w:tblStyle w:val="24"/>
              <w:tblW w:w="494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155"/>
              <w:gridCol w:w="4710"/>
              <w:gridCol w:w="1172"/>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4" w:hRule="atLeast"/>
              </w:trPr>
              <w:tc>
                <w:tcPr>
                  <w:tcW w:w="446" w:type="pct"/>
                  <w:shd w:val="clear" w:color="auto" w:fill="D7D7D7" w:themeFill="background1" w:themeFillShade="D8"/>
                  <w:vAlign w:val="center"/>
                </w:tcPr>
                <w:p>
                  <w:pPr>
                    <w:widowControl/>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bidi="ar"/>
                    </w:rPr>
                    <w:t>项目</w:t>
                  </w:r>
                </w:p>
              </w:tc>
              <w:tc>
                <w:tcPr>
                  <w:tcW w:w="660" w:type="pct"/>
                  <w:shd w:val="clear" w:color="auto" w:fill="D7D7D7" w:themeFill="background1" w:themeFillShade="D8"/>
                  <w:vAlign w:val="center"/>
                </w:tcPr>
                <w:p>
                  <w:pPr>
                    <w:widowControl/>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bidi="ar"/>
                    </w:rPr>
                    <w:t>污染物名称</w:t>
                  </w:r>
                </w:p>
              </w:tc>
              <w:tc>
                <w:tcPr>
                  <w:tcW w:w="2692" w:type="pct"/>
                  <w:shd w:val="clear" w:color="auto" w:fill="D7D7D7" w:themeFill="background1" w:themeFillShade="D8"/>
                  <w:vAlign w:val="center"/>
                </w:tcPr>
                <w:p>
                  <w:pPr>
                    <w:widowControl/>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bidi="ar"/>
                    </w:rPr>
                    <w:t>治理措施</w:t>
                  </w:r>
                </w:p>
              </w:tc>
              <w:tc>
                <w:tcPr>
                  <w:tcW w:w="670" w:type="pct"/>
                  <w:shd w:val="clear" w:color="auto" w:fill="D7D7D7" w:themeFill="background1" w:themeFillShade="D8"/>
                  <w:vAlign w:val="center"/>
                </w:tcPr>
                <w:p>
                  <w:pPr>
                    <w:widowControl/>
                    <w:jc w:val="center"/>
                    <w:textAlignment w:val="center"/>
                    <w:rPr>
                      <w:rFonts w:ascii="Times New Roman" w:hAnsi="Times New Roman" w:cs="Times New Roman"/>
                      <w:b/>
                      <w:bCs/>
                      <w:color w:val="auto"/>
                      <w:sz w:val="21"/>
                      <w:szCs w:val="21"/>
                    </w:rPr>
                  </w:pPr>
                  <w:r>
                    <w:rPr>
                      <w:rFonts w:ascii="Times New Roman" w:hAnsi="Times New Roman" w:cs="Times New Roman"/>
                      <w:b/>
                      <w:bCs/>
                      <w:color w:val="auto"/>
                      <w:sz w:val="21"/>
                      <w:szCs w:val="21"/>
                      <w:lang w:bidi="ar"/>
                    </w:rPr>
                    <w:t>环保投资（万元）</w:t>
                  </w:r>
                </w:p>
              </w:tc>
              <w:tc>
                <w:tcPr>
                  <w:tcW w:w="530" w:type="pct"/>
                  <w:shd w:val="clear" w:color="auto" w:fill="D7D7D7" w:themeFill="background1" w:themeFillShade="D8"/>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b/>
                      <w:bCs/>
                      <w:color w:val="auto"/>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46" w:type="pct"/>
                  <w:vMerge w:val="restar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废气治理</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颗粒物</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rPr>
                    <w:t>周边围挡喷雾装置＋</w:t>
                  </w:r>
                  <w:r>
                    <w:rPr>
                      <w:rFonts w:ascii="Times New Roman" w:hAnsi="Times New Roman" w:cs="Times New Roman"/>
                      <w:color w:val="auto"/>
                      <w:sz w:val="21"/>
                      <w:szCs w:val="21"/>
                      <w:lang w:bidi="ar"/>
                    </w:rPr>
                    <w:t>集气罩+布袋除尘+15m排气筒</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4.5</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9" w:hRule="atLeast"/>
              </w:trPr>
              <w:tc>
                <w:tcPr>
                  <w:tcW w:w="446" w:type="pct"/>
                  <w:vMerge w:val="continue"/>
                  <w:shd w:val="clear" w:color="auto" w:fill="auto"/>
                  <w:vAlign w:val="center"/>
                </w:tcPr>
                <w:p>
                  <w:pPr>
                    <w:jc w:val="center"/>
                    <w:rPr>
                      <w:rFonts w:ascii="Times New Roman" w:hAnsi="Times New Roman" w:cs="Times New Roman"/>
                      <w:color w:val="auto"/>
                      <w:sz w:val="21"/>
                      <w:szCs w:val="21"/>
                    </w:rPr>
                  </w:pP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bidi="ar"/>
                    </w:rPr>
                    <w:t>天然气</w:t>
                  </w:r>
                  <w:r>
                    <w:rPr>
                      <w:rFonts w:ascii="Times New Roman" w:hAnsi="Times New Roman" w:cs="Times New Roman"/>
                      <w:color w:val="auto"/>
                      <w:sz w:val="21"/>
                      <w:szCs w:val="21"/>
                      <w:lang w:bidi="ar"/>
                    </w:rPr>
                    <w:t>蒸汽锅炉</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Cs w:val="21"/>
                      <w:highlight w:val="none"/>
                      <w:u w:color="FF0000"/>
                    </w:rPr>
                    <w:t>设备自带低氮燃烧装置</w:t>
                  </w:r>
                  <w:r>
                    <w:rPr>
                      <w:rFonts w:ascii="Times New Roman" w:hAnsi="Times New Roman" w:cs="Times New Roman"/>
                      <w:color w:val="auto"/>
                      <w:sz w:val="21"/>
                      <w:szCs w:val="21"/>
                      <w:lang w:bidi="ar"/>
                    </w:rPr>
                    <w:t>+</w:t>
                  </w:r>
                  <w:r>
                    <w:rPr>
                      <w:rFonts w:hint="default" w:ascii="Times New Roman" w:hAnsi="Times New Roman" w:cs="Times New Roman"/>
                      <w:color w:val="auto"/>
                      <w:sz w:val="21"/>
                      <w:szCs w:val="21"/>
                      <w:lang w:val="en-US" w:eastAsia="zh-CN" w:bidi="ar"/>
                    </w:rPr>
                    <w:t>8</w:t>
                  </w:r>
                  <w:r>
                    <w:rPr>
                      <w:rFonts w:ascii="Times New Roman" w:hAnsi="Times New Roman" w:cs="Times New Roman"/>
                      <w:color w:val="auto"/>
                      <w:sz w:val="21"/>
                      <w:szCs w:val="21"/>
                      <w:lang w:bidi="ar"/>
                    </w:rPr>
                    <w:t>m排气筒</w:t>
                  </w:r>
                </w:p>
              </w:tc>
              <w:tc>
                <w:tcPr>
                  <w:tcW w:w="670" w:type="pct"/>
                  <w:shd w:val="clear" w:color="auto" w:fill="auto"/>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bidi="ar"/>
                    </w:rPr>
                    <w:t>3</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9" w:hRule="atLeast"/>
              </w:trPr>
              <w:tc>
                <w:tcPr>
                  <w:tcW w:w="446" w:type="pct"/>
                  <w:vMerge w:val="continue"/>
                  <w:shd w:val="clear" w:color="auto" w:fill="auto"/>
                  <w:vAlign w:val="center"/>
                </w:tcPr>
                <w:p>
                  <w:pPr>
                    <w:jc w:val="center"/>
                    <w:rPr>
                      <w:rFonts w:ascii="Times New Roman" w:hAnsi="Times New Roman" w:cs="Times New Roman"/>
                      <w:color w:val="auto"/>
                      <w:sz w:val="21"/>
                      <w:szCs w:val="21"/>
                    </w:rPr>
                  </w:pP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食堂烟气</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安装高效油烟净化装置，由专用油烟管道引至食堂楼顶排放</w:t>
                  </w:r>
                </w:p>
              </w:tc>
              <w:tc>
                <w:tcPr>
                  <w:tcW w:w="670" w:type="pct"/>
                  <w:shd w:val="clear" w:color="auto" w:fill="auto"/>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bidi="ar"/>
                    </w:rPr>
                    <w:t>1</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2" w:hRule="atLeast"/>
              </w:trPr>
              <w:tc>
                <w:tcPr>
                  <w:tcW w:w="446"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废水治理</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生活废水</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生活废水通过预处理池后通过管道连接污水处理厂处理</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446"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噪声</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生产设备</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选用低噪设备，基座减振，厂房隔声。风机：进出口采用软性连接，设置减振支座；管道上均加设可曲绕橡胶接头以减振，风管连接处采用软连接。</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2</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7" w:hRule="atLeast"/>
              </w:trPr>
              <w:tc>
                <w:tcPr>
                  <w:tcW w:w="446" w:type="pct"/>
                  <w:vMerge w:val="restar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固废</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一般固废</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统一收集后暂存于一般固废暂存间，生活垃圾交由环卫部门处置；废弃外包装由废品收购站定期收购。</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1</w:t>
                  </w:r>
                </w:p>
              </w:tc>
              <w:tc>
                <w:tcPr>
                  <w:tcW w:w="530" w:type="pct"/>
                  <w:vMerge w:val="restart"/>
                  <w:shd w:val="clear" w:color="auto" w:fill="auto"/>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4" w:hRule="atLeast"/>
              </w:trPr>
              <w:tc>
                <w:tcPr>
                  <w:tcW w:w="446" w:type="pct"/>
                  <w:vMerge w:val="continue"/>
                  <w:shd w:val="clear" w:color="auto" w:fill="auto"/>
                  <w:vAlign w:val="center"/>
                </w:tcPr>
                <w:p>
                  <w:pPr>
                    <w:jc w:val="center"/>
                    <w:rPr>
                      <w:rFonts w:ascii="Times New Roman" w:hAnsi="Times New Roman" w:cs="Times New Roman"/>
                      <w:color w:val="auto"/>
                      <w:sz w:val="21"/>
                      <w:szCs w:val="21"/>
                    </w:rPr>
                  </w:pP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危险废物</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单独分类收集于废料桶，放置于危险废物暂存间，最终交由有资质的单位进行处理</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1.5</w:t>
                  </w:r>
                </w:p>
              </w:tc>
              <w:tc>
                <w:tcPr>
                  <w:tcW w:w="530" w:type="pct"/>
                  <w:vMerge w:val="continue"/>
                  <w:shd w:val="clear" w:color="auto" w:fill="auto"/>
                  <w:vAlign w:val="center"/>
                </w:tcPr>
                <w:p>
                  <w:pPr>
                    <w:jc w:val="center"/>
                    <w:rPr>
                      <w:rFonts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46" w:type="pct"/>
                  <w:vMerge w:val="restar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地下水防治</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重点防渗区</w:t>
                  </w:r>
                </w:p>
              </w:tc>
              <w:tc>
                <w:tcPr>
                  <w:tcW w:w="4710" w:type="dxa"/>
                  <w:shd w:val="clear" w:color="auto" w:fill="auto"/>
                  <w:noWrap/>
                  <w:vAlign w:val="center"/>
                </w:tcPr>
                <w:p>
                  <w:pPr>
                    <w:keepNext w:val="0"/>
                    <w:keepLines w:val="0"/>
                    <w:widowControl/>
                    <w:suppressLineNumbers w:val="0"/>
                    <w:jc w:val="both"/>
                    <w:textAlignment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sz w:val="21"/>
                      <w:szCs w:val="21"/>
                      <w:highlight w:val="none"/>
                      <w:u w:val="none" w:color="auto"/>
                    </w:rPr>
                    <w:t>等效粘土防渗层Mb≥6.0m，K≤1.0×10</w:t>
                  </w:r>
                  <w:r>
                    <w:rPr>
                      <w:rFonts w:hint="default" w:ascii="Times New Roman" w:hAnsi="Times New Roman" w:eastAsia="宋体" w:cs="Times New Roman"/>
                      <w:i w:val="0"/>
                      <w:iCs w:val="0"/>
                      <w:color w:val="auto"/>
                      <w:sz w:val="21"/>
                      <w:szCs w:val="21"/>
                      <w:highlight w:val="none"/>
                      <w:u w:val="none" w:color="auto"/>
                      <w:vertAlign w:val="superscript"/>
                    </w:rPr>
                    <w:t>-7</w:t>
                  </w:r>
                  <w:r>
                    <w:rPr>
                      <w:rFonts w:hint="default" w:ascii="Times New Roman" w:hAnsi="Times New Roman" w:eastAsia="宋体" w:cs="Times New Roman"/>
                      <w:i w:val="0"/>
                      <w:iCs w:val="0"/>
                      <w:color w:val="auto"/>
                      <w:sz w:val="21"/>
                      <w:szCs w:val="21"/>
                      <w:highlight w:val="none"/>
                      <w:u w:val="none" w:color="auto"/>
                    </w:rPr>
                    <w:t>cm/s，或2mm厚高密度聚乙烯</w:t>
                  </w:r>
                  <w:r>
                    <w:rPr>
                      <w:rFonts w:hint="default" w:ascii="Times New Roman" w:hAnsi="Times New Roman" w:cs="Times New Roman"/>
                      <w:i w:val="0"/>
                      <w:iCs w:val="0"/>
                      <w:color w:val="auto"/>
                      <w:sz w:val="21"/>
                      <w:szCs w:val="21"/>
                      <w:highlight w:val="none"/>
                      <w:u w:val="none" w:color="auto"/>
                      <w:lang w:eastAsia="zh-CN"/>
                    </w:rPr>
                    <w:t>，</w:t>
                  </w:r>
                  <w:r>
                    <w:rPr>
                      <w:rFonts w:hint="default" w:ascii="Times New Roman" w:hAnsi="Times New Roman" w:eastAsia="宋体" w:cs="Times New Roman"/>
                      <w:i w:val="0"/>
                      <w:iCs w:val="0"/>
                      <w:color w:val="auto"/>
                      <w:sz w:val="21"/>
                      <w:szCs w:val="21"/>
                      <w:highlight w:val="none"/>
                      <w:u w:val="none" w:color="auto"/>
                    </w:rPr>
                    <w:t>或至少2mm厚的其它人工材料，渗透系数K≤10</w:t>
                  </w:r>
                  <w:r>
                    <w:rPr>
                      <w:rFonts w:hint="default" w:ascii="Times New Roman" w:hAnsi="Times New Roman" w:eastAsia="宋体" w:cs="Times New Roman"/>
                      <w:i w:val="0"/>
                      <w:iCs w:val="0"/>
                      <w:color w:val="auto"/>
                      <w:sz w:val="21"/>
                      <w:szCs w:val="21"/>
                      <w:highlight w:val="none"/>
                      <w:u w:val="none" w:color="auto"/>
                      <w:vertAlign w:val="superscript"/>
                    </w:rPr>
                    <w:t>-10</w:t>
                  </w:r>
                  <w:r>
                    <w:rPr>
                      <w:rFonts w:hint="default" w:ascii="Times New Roman" w:hAnsi="Times New Roman" w:eastAsia="宋体" w:cs="Times New Roman"/>
                      <w:i w:val="0"/>
                      <w:iCs w:val="0"/>
                      <w:color w:val="auto"/>
                      <w:sz w:val="21"/>
                      <w:szCs w:val="21"/>
                      <w:highlight w:val="none"/>
                      <w:u w:val="none" w:color="auto"/>
                    </w:rPr>
                    <w:t>cm/s。</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1</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446" w:type="pct"/>
                  <w:vMerge w:val="continue"/>
                  <w:shd w:val="clear" w:color="auto" w:fill="auto"/>
                  <w:vAlign w:val="center"/>
                </w:tcPr>
                <w:p>
                  <w:pPr>
                    <w:jc w:val="center"/>
                    <w:rPr>
                      <w:rFonts w:ascii="Times New Roman" w:hAnsi="Times New Roman" w:cs="Times New Roman"/>
                      <w:color w:val="auto"/>
                      <w:sz w:val="21"/>
                      <w:szCs w:val="21"/>
                    </w:rPr>
                  </w:pP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一般防渗区</w:t>
                  </w:r>
                </w:p>
              </w:tc>
              <w:tc>
                <w:tcPr>
                  <w:tcW w:w="4710" w:type="dxa"/>
                  <w:shd w:val="clear" w:color="auto" w:fill="auto"/>
                  <w:noWrap/>
                  <w:vAlign w:val="center"/>
                </w:tcPr>
                <w:p>
                  <w:pPr>
                    <w:keepNext w:val="0"/>
                    <w:keepLines w:val="0"/>
                    <w:widowControl/>
                    <w:suppressLineNumbers w:val="0"/>
                    <w:jc w:val="both"/>
                    <w:textAlignment w:val="center"/>
                    <w:rPr>
                      <w:rFonts w:ascii="Times New Roman" w:hAnsi="Times New Roman" w:cs="Times New Roman"/>
                      <w:color w:val="auto"/>
                      <w:sz w:val="21"/>
                      <w:szCs w:val="21"/>
                    </w:rPr>
                  </w:pPr>
                  <w:r>
                    <w:rPr>
                      <w:rFonts w:hint="default" w:ascii="Times New Roman" w:hAnsi="Times New Roman" w:eastAsia="宋体" w:cs="Times New Roman"/>
                      <w:i w:val="0"/>
                      <w:iCs w:val="0"/>
                      <w:color w:val="auto"/>
                      <w:sz w:val="21"/>
                      <w:szCs w:val="21"/>
                      <w:highlight w:val="none"/>
                      <w:u w:val="none" w:color="auto"/>
                    </w:rPr>
                    <w:t>等效粘土防渗层Mb≥</w:t>
                  </w:r>
                  <w:r>
                    <w:rPr>
                      <w:rFonts w:hint="default" w:ascii="Times New Roman" w:hAnsi="Times New Roman" w:cs="Times New Roman"/>
                      <w:i w:val="0"/>
                      <w:iCs w:val="0"/>
                      <w:color w:val="auto"/>
                      <w:sz w:val="21"/>
                      <w:szCs w:val="21"/>
                      <w:highlight w:val="none"/>
                      <w:u w:val="none" w:color="auto"/>
                      <w:lang w:val="en-US" w:eastAsia="zh-CN"/>
                    </w:rPr>
                    <w:t>1.5</w:t>
                  </w:r>
                  <w:r>
                    <w:rPr>
                      <w:rFonts w:hint="default" w:ascii="Times New Roman" w:hAnsi="Times New Roman" w:eastAsia="宋体" w:cs="Times New Roman"/>
                      <w:i w:val="0"/>
                      <w:iCs w:val="0"/>
                      <w:color w:val="auto"/>
                      <w:sz w:val="21"/>
                      <w:szCs w:val="21"/>
                      <w:highlight w:val="none"/>
                      <w:u w:val="none" w:color="auto"/>
                    </w:rPr>
                    <w:t>m，K≤1.0×10</w:t>
                  </w:r>
                  <w:r>
                    <w:rPr>
                      <w:rFonts w:hint="default" w:ascii="Times New Roman" w:hAnsi="Times New Roman" w:eastAsia="宋体" w:cs="Times New Roman"/>
                      <w:i w:val="0"/>
                      <w:iCs w:val="0"/>
                      <w:color w:val="auto"/>
                      <w:sz w:val="21"/>
                      <w:szCs w:val="21"/>
                      <w:highlight w:val="none"/>
                      <w:u w:val="none" w:color="auto"/>
                      <w:vertAlign w:val="superscript"/>
                    </w:rPr>
                    <w:t>-7</w:t>
                  </w:r>
                  <w:r>
                    <w:rPr>
                      <w:rFonts w:hint="default" w:ascii="Times New Roman" w:hAnsi="Times New Roman" w:eastAsia="宋体" w:cs="Times New Roman"/>
                      <w:i w:val="0"/>
                      <w:iCs w:val="0"/>
                      <w:color w:val="auto"/>
                      <w:sz w:val="21"/>
                      <w:szCs w:val="21"/>
                      <w:highlight w:val="none"/>
                      <w:u w:val="none" w:color="auto"/>
                    </w:rPr>
                    <w:t>cm/s</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rPr>
                  </w:pPr>
                  <w:r>
                    <w:rPr>
                      <w:rFonts w:hint="default" w:ascii="Times New Roman" w:hAnsi="Times New Roman" w:cs="Times New Roman"/>
                      <w:color w:val="auto"/>
                      <w:sz w:val="21"/>
                      <w:szCs w:val="21"/>
                      <w:lang w:bidi="ar"/>
                    </w:rPr>
                    <w:t>0.5</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trPr>
              <w:tc>
                <w:tcPr>
                  <w:tcW w:w="446"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风险防范</w:t>
                  </w:r>
                </w:p>
              </w:tc>
              <w:tc>
                <w:tcPr>
                  <w:tcW w:w="660"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消防系统</w:t>
                  </w:r>
                </w:p>
              </w:tc>
              <w:tc>
                <w:tcPr>
                  <w:tcW w:w="2692"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灭火器等消防器材</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1.5</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446"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环境管理</w:t>
                  </w:r>
                </w:p>
              </w:tc>
              <w:tc>
                <w:tcPr>
                  <w:tcW w:w="3352" w:type="pct"/>
                  <w:gridSpan w:val="2"/>
                  <w:shd w:val="clear" w:color="auto" w:fill="auto"/>
                  <w:vAlign w:val="center"/>
                </w:tcPr>
                <w:p>
                  <w:pPr>
                    <w:widowControl/>
                    <w:jc w:val="center"/>
                    <w:textAlignment w:val="center"/>
                    <w:rPr>
                      <w:rFonts w:ascii="Times New Roman" w:hAnsi="Times New Roman" w:cs="Times New Roman"/>
                      <w:color w:val="auto"/>
                      <w:sz w:val="21"/>
                      <w:szCs w:val="21"/>
                      <w:lang w:bidi="ar"/>
                    </w:rPr>
                  </w:pPr>
                  <w:r>
                    <w:rPr>
                      <w:rFonts w:ascii="Times New Roman" w:hAnsi="Times New Roman" w:cs="Times New Roman"/>
                      <w:color w:val="auto"/>
                      <w:sz w:val="21"/>
                      <w:szCs w:val="21"/>
                      <w:lang w:bidi="ar"/>
                    </w:rPr>
                    <w:t>加强管理，加强设备维护以及员工操作规范，预留监测费，规范污染物排口标志和固废暂存标志</w:t>
                  </w:r>
                </w:p>
              </w:tc>
              <w:tc>
                <w:tcPr>
                  <w:tcW w:w="670" w:type="pct"/>
                  <w:shd w:val="clear" w:color="auto" w:fill="auto"/>
                  <w:vAlign w:val="center"/>
                </w:tcPr>
                <w:p>
                  <w:pPr>
                    <w:widowControl/>
                    <w:jc w:val="center"/>
                    <w:textAlignment w:val="center"/>
                    <w:rPr>
                      <w:rFonts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w:t>
                  </w:r>
                </w:p>
              </w:tc>
              <w:tc>
                <w:tcPr>
                  <w:tcW w:w="530" w:type="pct"/>
                  <w:shd w:val="clear" w:color="auto" w:fill="auto"/>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446" w:type="pct"/>
                  <w:shd w:val="clear" w:color="auto" w:fill="auto"/>
                  <w:vAlign w:val="center"/>
                </w:tcPr>
                <w:p>
                  <w:pPr>
                    <w:widowControl/>
                    <w:jc w:val="center"/>
                    <w:textAlignment w:val="center"/>
                    <w:rPr>
                      <w:rFonts w:ascii="Times New Roman" w:hAnsi="Times New Roman" w:cs="Times New Roman"/>
                      <w:color w:val="auto"/>
                      <w:sz w:val="21"/>
                      <w:szCs w:val="21"/>
                    </w:rPr>
                  </w:pPr>
                  <w:r>
                    <w:rPr>
                      <w:rFonts w:ascii="Times New Roman" w:hAnsi="Times New Roman" w:cs="Times New Roman"/>
                      <w:color w:val="auto"/>
                      <w:sz w:val="21"/>
                      <w:szCs w:val="21"/>
                      <w:lang w:bidi="ar"/>
                    </w:rPr>
                    <w:t>合计</w:t>
                  </w:r>
                </w:p>
              </w:tc>
              <w:tc>
                <w:tcPr>
                  <w:tcW w:w="3352" w:type="pct"/>
                  <w:gridSpan w:val="2"/>
                  <w:shd w:val="clear" w:color="auto" w:fill="auto"/>
                  <w:vAlign w:val="center"/>
                </w:tcPr>
                <w:p>
                  <w:pPr>
                    <w:widowControl/>
                    <w:jc w:val="center"/>
                    <w:textAlignment w:val="center"/>
                    <w:rPr>
                      <w:rFonts w:ascii="Times New Roman" w:hAnsi="Times New Roman" w:cs="Times New Roman"/>
                      <w:color w:val="auto"/>
                      <w:sz w:val="21"/>
                      <w:szCs w:val="21"/>
                    </w:rPr>
                  </w:pPr>
                </w:p>
              </w:tc>
              <w:tc>
                <w:tcPr>
                  <w:tcW w:w="670" w:type="pct"/>
                  <w:shd w:val="clear" w:color="auto" w:fill="auto"/>
                  <w:vAlign w:val="center"/>
                </w:tcPr>
                <w:p>
                  <w:pPr>
                    <w:widowControl/>
                    <w:jc w:val="center"/>
                    <w:textAlignment w:val="center"/>
                    <w:rPr>
                      <w:rFonts w:hint="default"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lang w:bidi="ar"/>
                    </w:rPr>
                    <w:t>1</w:t>
                  </w:r>
                  <w:r>
                    <w:rPr>
                      <w:rFonts w:hint="default" w:ascii="Times New Roman" w:hAnsi="Times New Roman" w:cs="Times New Roman"/>
                      <w:color w:val="auto"/>
                      <w:sz w:val="21"/>
                      <w:szCs w:val="21"/>
                      <w:lang w:val="en-US" w:eastAsia="zh-CN" w:bidi="ar"/>
                    </w:rPr>
                    <w:t>7</w:t>
                  </w:r>
                </w:p>
              </w:tc>
              <w:tc>
                <w:tcPr>
                  <w:tcW w:w="530" w:type="pct"/>
                  <w:shd w:val="clear" w:color="auto" w:fill="auto"/>
                  <w:noWrap/>
                  <w:vAlign w:val="center"/>
                </w:tcPr>
                <w:p>
                  <w:pPr>
                    <w:rPr>
                      <w:rFonts w:ascii="Times New Roman" w:hAnsi="Times New Roman" w:cs="Times New Roman"/>
                      <w:color w:val="auto"/>
                      <w:sz w:val="21"/>
                      <w:szCs w:val="21"/>
                    </w:rPr>
                  </w:pPr>
                </w:p>
              </w:tc>
            </w:tr>
          </w:tbl>
          <w:p>
            <w:pPr>
              <w:adjustRightInd w:val="0"/>
              <w:snapToGrid w:val="0"/>
              <w:spacing w:line="360" w:lineRule="auto"/>
              <w:ind w:firstLine="480" w:firstLineChars="200"/>
              <w:rPr>
                <w:rFonts w:ascii="Times New Roman" w:hAnsi="Times New Roman" w:cs="Times New Roman"/>
                <w:color w:val="auto"/>
                <w:sz w:val="24"/>
                <w:szCs w:val="32"/>
              </w:rPr>
            </w:pPr>
          </w:p>
        </w:tc>
      </w:tr>
    </w:tbl>
    <w:p>
      <w:pPr>
        <w:adjustRightInd w:val="0"/>
        <w:snapToGrid w:val="0"/>
        <w:spacing w:line="360" w:lineRule="auto"/>
        <w:rPr>
          <w:rFonts w:ascii="Times New Roman" w:hAnsi="Times New Roman" w:cs="Times New Roman"/>
          <w:b/>
          <w:color w:val="auto"/>
          <w:sz w:val="28"/>
          <w:szCs w:val="28"/>
        </w:rPr>
        <w:sectPr>
          <w:footerReference r:id="rId5" w:type="default"/>
          <w:pgSz w:w="11905" w:h="16838"/>
          <w:pgMar w:top="1701" w:right="1134" w:bottom="1701" w:left="1134" w:header="851" w:footer="1077" w:gutter="0"/>
          <w:pgNumType w:start="1"/>
          <w:cols w:space="0" w:num="1"/>
          <w:docGrid w:linePitch="312" w:charSpace="0"/>
        </w:sectPr>
      </w:pPr>
    </w:p>
    <w:p>
      <w:pPr>
        <w:pStyle w:val="19"/>
        <w:jc w:val="center"/>
        <w:outlineLvl w:val="0"/>
        <w:rPr>
          <w:rFonts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五、</w:t>
      </w:r>
      <w:bookmarkStart w:id="3" w:name="_Hlk54167917"/>
      <w:r>
        <w:rPr>
          <w:rFonts w:hint="default" w:ascii="Times New Roman" w:hAnsi="Times New Roman" w:eastAsia="黑体" w:cs="Times New Roman"/>
          <w:snapToGrid w:val="0"/>
          <w:color w:val="auto"/>
          <w:sz w:val="32"/>
          <w:szCs w:val="32"/>
        </w:rPr>
        <w:t>环境保护措施监督检查清单</w:t>
      </w:r>
      <w:bookmarkEnd w:id="3"/>
    </w:p>
    <w:tbl>
      <w:tblPr>
        <w:tblStyle w:val="24"/>
        <w:tblW w:w="102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747"/>
        <w:gridCol w:w="1455"/>
        <w:gridCol w:w="2366"/>
        <w:gridCol w:w="31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15" w:type="dxa"/>
            <w:tcBorders>
              <w:tl2br w:val="single" w:color="auto" w:sz="4" w:space="0"/>
            </w:tcBorders>
          </w:tcPr>
          <w:p>
            <w:pPr>
              <w:pStyle w:val="32"/>
              <w:jc w:val="right"/>
              <w:rPr>
                <w:rFonts w:ascii="Times New Roman" w:hAnsi="Times New Roman" w:cs="Times New Roman"/>
                <w:b/>
                <w:bCs/>
                <w:color w:val="auto"/>
                <w:szCs w:val="21"/>
              </w:rPr>
            </w:pPr>
            <w:r>
              <w:rPr>
                <w:rFonts w:hint="default" w:ascii="Times New Roman" w:hAnsi="Times New Roman" w:cs="Times New Roman"/>
                <w:b/>
                <w:bCs/>
                <w:color w:val="auto"/>
                <w:szCs w:val="21"/>
              </w:rPr>
              <w:t>内容</w:t>
            </w:r>
          </w:p>
          <w:p>
            <w:pPr>
              <w:pStyle w:val="32"/>
              <w:jc w:val="left"/>
              <w:rPr>
                <w:rFonts w:ascii="Times New Roman" w:hAnsi="Times New Roman" w:cs="Times New Roman"/>
                <w:b/>
                <w:bCs/>
                <w:color w:val="auto"/>
                <w:szCs w:val="21"/>
              </w:rPr>
            </w:pPr>
            <w:r>
              <w:rPr>
                <w:rFonts w:hint="default" w:ascii="Times New Roman" w:hAnsi="Times New Roman" w:cs="Times New Roman"/>
                <w:b/>
                <w:bCs/>
                <w:color w:val="auto"/>
                <w:szCs w:val="21"/>
              </w:rPr>
              <w:t>要素</w:t>
            </w:r>
          </w:p>
        </w:tc>
        <w:tc>
          <w:tcPr>
            <w:tcW w:w="1747" w:type="dxa"/>
            <w:vAlign w:val="center"/>
          </w:tcPr>
          <w:p>
            <w:pPr>
              <w:pStyle w:val="32"/>
              <w:rPr>
                <w:rFonts w:ascii="Times New Roman" w:hAnsi="Times New Roman" w:cs="Times New Roman"/>
                <w:b/>
                <w:bCs/>
                <w:color w:val="auto"/>
                <w:szCs w:val="21"/>
              </w:rPr>
            </w:pPr>
            <w:r>
              <w:rPr>
                <w:rFonts w:hint="default" w:ascii="Times New Roman" w:hAnsi="Times New Roman" w:cs="Times New Roman"/>
                <w:b/>
                <w:bCs/>
                <w:color w:val="auto"/>
                <w:szCs w:val="21"/>
              </w:rPr>
              <w:t>排放口(编号、</w:t>
            </w:r>
          </w:p>
          <w:p>
            <w:pPr>
              <w:pStyle w:val="32"/>
              <w:rPr>
                <w:rFonts w:ascii="Times New Roman" w:hAnsi="Times New Roman" w:cs="Times New Roman"/>
                <w:b/>
                <w:bCs/>
                <w:color w:val="auto"/>
                <w:szCs w:val="21"/>
              </w:rPr>
            </w:pPr>
            <w:r>
              <w:rPr>
                <w:rFonts w:hint="default" w:ascii="Times New Roman" w:hAnsi="Times New Roman" w:cs="Times New Roman"/>
                <w:b/>
                <w:bCs/>
                <w:color w:val="auto"/>
                <w:szCs w:val="21"/>
              </w:rPr>
              <w:t>名称)/污染源</w:t>
            </w:r>
          </w:p>
        </w:tc>
        <w:tc>
          <w:tcPr>
            <w:tcW w:w="1455" w:type="dxa"/>
            <w:vAlign w:val="center"/>
          </w:tcPr>
          <w:p>
            <w:pPr>
              <w:pStyle w:val="32"/>
              <w:rPr>
                <w:rFonts w:ascii="Times New Roman" w:hAnsi="Times New Roman" w:cs="Times New Roman"/>
                <w:b/>
                <w:bCs/>
                <w:color w:val="auto"/>
                <w:szCs w:val="21"/>
              </w:rPr>
            </w:pPr>
            <w:r>
              <w:rPr>
                <w:rFonts w:hint="default" w:ascii="Times New Roman" w:hAnsi="Times New Roman" w:cs="Times New Roman"/>
                <w:b/>
                <w:bCs/>
                <w:color w:val="auto"/>
                <w:szCs w:val="21"/>
              </w:rPr>
              <w:t>污染物项目</w:t>
            </w:r>
          </w:p>
        </w:tc>
        <w:tc>
          <w:tcPr>
            <w:tcW w:w="2366" w:type="dxa"/>
            <w:vAlign w:val="center"/>
          </w:tcPr>
          <w:p>
            <w:pPr>
              <w:pStyle w:val="32"/>
              <w:rPr>
                <w:rFonts w:ascii="Times New Roman" w:hAnsi="Times New Roman" w:cs="Times New Roman"/>
                <w:b/>
                <w:bCs/>
                <w:color w:val="auto"/>
                <w:szCs w:val="21"/>
              </w:rPr>
            </w:pPr>
            <w:r>
              <w:rPr>
                <w:rFonts w:hint="default" w:ascii="Times New Roman" w:hAnsi="Times New Roman" w:cs="Times New Roman"/>
                <w:b/>
                <w:bCs/>
                <w:color w:val="auto"/>
                <w:szCs w:val="21"/>
              </w:rPr>
              <w:t>环境保护措施</w:t>
            </w:r>
          </w:p>
        </w:tc>
        <w:tc>
          <w:tcPr>
            <w:tcW w:w="3122" w:type="dxa"/>
            <w:vAlign w:val="center"/>
          </w:tcPr>
          <w:p>
            <w:pPr>
              <w:pStyle w:val="32"/>
              <w:rPr>
                <w:rFonts w:ascii="Times New Roman" w:hAnsi="Times New Roman" w:cs="Times New Roman"/>
                <w:b/>
                <w:bCs/>
                <w:color w:val="auto"/>
                <w:szCs w:val="21"/>
              </w:rPr>
            </w:pPr>
            <w:r>
              <w:rPr>
                <w:rFonts w:hint="default" w:ascii="Times New Roman" w:hAnsi="Times New Roman" w:cs="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515" w:type="dxa"/>
            <w:vMerge w:val="restart"/>
            <w:vAlign w:val="center"/>
          </w:tcPr>
          <w:p>
            <w:pPr>
              <w:pStyle w:val="32"/>
              <w:rPr>
                <w:rFonts w:ascii="Times New Roman" w:hAnsi="Times New Roman" w:cs="Times New Roman"/>
                <w:color w:val="auto"/>
                <w:szCs w:val="21"/>
              </w:rPr>
            </w:pPr>
          </w:p>
        </w:tc>
        <w:tc>
          <w:tcPr>
            <w:tcW w:w="1747"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废气排放口DA001</w:t>
            </w:r>
          </w:p>
        </w:tc>
        <w:tc>
          <w:tcPr>
            <w:tcW w:w="145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颗粒物</w:t>
            </w:r>
          </w:p>
        </w:tc>
        <w:tc>
          <w:tcPr>
            <w:tcW w:w="2366"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布袋除尘</w:t>
            </w:r>
            <w:r>
              <w:rPr>
                <w:rFonts w:ascii="Times New Roman" w:hAnsi="Times New Roman" w:cs="Times New Roman"/>
                <w:color w:val="auto"/>
                <w:szCs w:val="21"/>
              </w:rPr>
              <w:t>+15m排气筒（DA00</w:t>
            </w:r>
            <w:r>
              <w:rPr>
                <w:rFonts w:hint="default" w:ascii="Times New Roman" w:hAnsi="Times New Roman" w:cs="Times New Roman"/>
                <w:color w:val="auto"/>
                <w:szCs w:val="21"/>
              </w:rPr>
              <w:t>1）</w:t>
            </w:r>
          </w:p>
        </w:tc>
        <w:tc>
          <w:tcPr>
            <w:tcW w:w="3122" w:type="dxa"/>
            <w:vAlign w:val="center"/>
          </w:tcPr>
          <w:p>
            <w:pPr>
              <w:pStyle w:val="32"/>
              <w:rPr>
                <w:rFonts w:ascii="Times New Roman" w:hAnsi="Times New Roman" w:cs="Times New Roman"/>
                <w:color w:val="auto"/>
                <w:szCs w:val="21"/>
              </w:rPr>
            </w:pPr>
            <w:r>
              <w:rPr>
                <w:rFonts w:hint="eastAsia" w:ascii="Times New Roman" w:hAnsi="Times New Roman" w:cs="Times New Roman"/>
                <w:color w:val="auto"/>
                <w:szCs w:val="21"/>
              </w:rPr>
              <w:t>四川省水泥工业大气污染物排放标准（DB51/2864 -2021）表1相关限值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15" w:type="dxa"/>
            <w:vMerge w:val="continue"/>
            <w:vAlign w:val="center"/>
          </w:tcPr>
          <w:p>
            <w:pPr>
              <w:pStyle w:val="32"/>
              <w:rPr>
                <w:rFonts w:ascii="Times New Roman" w:hAnsi="Times New Roman" w:cs="Times New Roman"/>
                <w:color w:val="auto"/>
                <w:szCs w:val="21"/>
              </w:rPr>
            </w:pPr>
          </w:p>
        </w:tc>
        <w:tc>
          <w:tcPr>
            <w:tcW w:w="1747" w:type="dxa"/>
            <w:vMerge w:val="restart"/>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废气排放口DA002</w:t>
            </w:r>
          </w:p>
          <w:p>
            <w:pPr>
              <w:pStyle w:val="32"/>
              <w:jc w:val="left"/>
              <w:rPr>
                <w:rFonts w:ascii="Times New Roman" w:hAnsi="Times New Roman" w:cs="Times New Roman"/>
                <w:color w:val="auto"/>
                <w:szCs w:val="21"/>
              </w:rPr>
            </w:pPr>
          </w:p>
        </w:tc>
        <w:tc>
          <w:tcPr>
            <w:tcW w:w="145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颗粒物</w:t>
            </w:r>
          </w:p>
        </w:tc>
        <w:tc>
          <w:tcPr>
            <w:tcW w:w="2366" w:type="dxa"/>
            <w:vMerge w:val="restart"/>
            <w:vAlign w:val="center"/>
          </w:tcPr>
          <w:p>
            <w:pPr>
              <w:pStyle w:val="32"/>
              <w:rPr>
                <w:rFonts w:ascii="Times New Roman" w:hAnsi="Times New Roman" w:cs="Times New Roman"/>
                <w:color w:val="auto"/>
                <w:szCs w:val="21"/>
              </w:rPr>
            </w:pPr>
            <w:r>
              <w:rPr>
                <w:rFonts w:hint="default" w:ascii="Times New Roman" w:hAnsi="Times New Roman" w:cs="Times New Roman"/>
                <w:color w:val="auto"/>
                <w:sz w:val="21"/>
                <w:szCs w:val="21"/>
                <w:highlight w:val="none"/>
                <w:u w:color="FF0000"/>
              </w:rPr>
              <w:t>设备自带低氮燃烧装置+</w:t>
            </w:r>
            <w:r>
              <w:rPr>
                <w:rFonts w:hint="default" w:ascii="Times New Roman" w:hAnsi="Times New Roman" w:cs="Times New Roman"/>
                <w:color w:val="auto"/>
                <w:sz w:val="21"/>
                <w:szCs w:val="21"/>
                <w:highlight w:val="none"/>
                <w:u w:color="FF0000"/>
                <w:lang w:val="en-US" w:eastAsia="zh-CN"/>
              </w:rPr>
              <w:t>8</w:t>
            </w:r>
            <w:r>
              <w:rPr>
                <w:rFonts w:hint="default" w:ascii="Times New Roman" w:hAnsi="Times New Roman" w:cs="Times New Roman"/>
                <w:color w:val="auto"/>
                <w:sz w:val="21"/>
                <w:szCs w:val="21"/>
                <w:highlight w:val="none"/>
                <w:u w:color="FF0000"/>
              </w:rPr>
              <w:t>m排气筒</w:t>
            </w:r>
            <w:r>
              <w:rPr>
                <w:rFonts w:hint="default" w:ascii="Times New Roman" w:hAnsi="Times New Roman" w:cs="Times New Roman"/>
                <w:color w:val="auto"/>
                <w:sz w:val="21"/>
                <w:szCs w:val="21"/>
              </w:rPr>
              <w:t>（DA00</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p>
        </w:tc>
        <w:tc>
          <w:tcPr>
            <w:tcW w:w="3122" w:type="dxa"/>
            <w:vMerge w:val="restart"/>
            <w:vAlign w:val="center"/>
          </w:tcPr>
          <w:p>
            <w:pPr>
              <w:pStyle w:val="32"/>
              <w:rPr>
                <w:rFonts w:ascii="Times New Roman" w:hAnsi="Times New Roman" w:cs="Times New Roman"/>
                <w:color w:val="auto"/>
                <w:szCs w:val="21"/>
              </w:rPr>
            </w:pPr>
            <w:r>
              <w:rPr>
                <w:rFonts w:hint="default" w:ascii="Times New Roman" w:hAnsi="Times New Roman" w:cs="Times New Roman"/>
                <w:bCs/>
                <w:color w:val="auto"/>
                <w:szCs w:val="21"/>
              </w:rPr>
              <w:t>颗粒物、SO</w:t>
            </w:r>
            <w:r>
              <w:rPr>
                <w:rFonts w:hint="default" w:ascii="Times New Roman" w:hAnsi="Times New Roman" w:cs="Times New Roman"/>
                <w:bCs/>
                <w:color w:val="auto"/>
                <w:szCs w:val="21"/>
                <w:vertAlign w:val="subscript"/>
              </w:rPr>
              <w:t>2</w:t>
            </w:r>
            <w:r>
              <w:rPr>
                <w:rFonts w:hint="default" w:ascii="Times New Roman" w:hAnsi="Times New Roman" w:cs="Times New Roman"/>
                <w:bCs/>
                <w:color w:val="auto"/>
                <w:szCs w:val="21"/>
              </w:rPr>
              <w:t>、NOx排放浓度执行《锅炉大气污染物物排放标准》（GB13271- 2014）表3相应标准限值要求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515" w:type="dxa"/>
            <w:vMerge w:val="continue"/>
            <w:vAlign w:val="center"/>
          </w:tcPr>
          <w:p>
            <w:pPr>
              <w:pStyle w:val="32"/>
              <w:rPr>
                <w:rFonts w:ascii="Times New Roman" w:hAnsi="Times New Roman" w:cs="Times New Roman"/>
                <w:color w:val="auto"/>
                <w:szCs w:val="21"/>
              </w:rPr>
            </w:pPr>
          </w:p>
        </w:tc>
        <w:tc>
          <w:tcPr>
            <w:tcW w:w="1747" w:type="dxa"/>
            <w:vMerge w:val="continue"/>
            <w:vAlign w:val="center"/>
          </w:tcPr>
          <w:p>
            <w:pPr>
              <w:pStyle w:val="32"/>
              <w:jc w:val="left"/>
              <w:rPr>
                <w:rFonts w:ascii="Times New Roman" w:hAnsi="Times New Roman" w:cs="Times New Roman"/>
                <w:color w:val="auto"/>
                <w:szCs w:val="21"/>
              </w:rPr>
            </w:pPr>
          </w:p>
        </w:tc>
        <w:tc>
          <w:tcPr>
            <w:tcW w:w="145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二氧化硫</w:t>
            </w:r>
          </w:p>
        </w:tc>
        <w:tc>
          <w:tcPr>
            <w:tcW w:w="2366" w:type="dxa"/>
            <w:vMerge w:val="continue"/>
            <w:vAlign w:val="center"/>
          </w:tcPr>
          <w:p>
            <w:pPr>
              <w:pStyle w:val="32"/>
              <w:rPr>
                <w:rFonts w:ascii="Times New Roman" w:hAnsi="Times New Roman" w:cs="Times New Roman"/>
                <w:color w:val="auto"/>
                <w:szCs w:val="21"/>
              </w:rPr>
            </w:pPr>
          </w:p>
        </w:tc>
        <w:tc>
          <w:tcPr>
            <w:tcW w:w="3122" w:type="dxa"/>
            <w:vMerge w:val="continue"/>
            <w:vAlign w:val="center"/>
          </w:tcPr>
          <w:p>
            <w:pPr>
              <w:pStyle w:val="32"/>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15" w:type="dxa"/>
            <w:vMerge w:val="continue"/>
            <w:vAlign w:val="center"/>
          </w:tcPr>
          <w:p>
            <w:pPr>
              <w:pStyle w:val="32"/>
              <w:rPr>
                <w:rFonts w:ascii="Times New Roman" w:hAnsi="Times New Roman" w:cs="Times New Roman"/>
                <w:color w:val="auto"/>
                <w:szCs w:val="21"/>
              </w:rPr>
            </w:pPr>
          </w:p>
        </w:tc>
        <w:tc>
          <w:tcPr>
            <w:tcW w:w="1747" w:type="dxa"/>
            <w:vMerge w:val="continue"/>
            <w:vAlign w:val="center"/>
          </w:tcPr>
          <w:p>
            <w:pPr>
              <w:pStyle w:val="32"/>
              <w:jc w:val="left"/>
              <w:rPr>
                <w:rFonts w:ascii="Times New Roman" w:hAnsi="Times New Roman" w:cs="Times New Roman"/>
                <w:color w:val="auto"/>
                <w:szCs w:val="21"/>
              </w:rPr>
            </w:pPr>
          </w:p>
        </w:tc>
        <w:tc>
          <w:tcPr>
            <w:tcW w:w="145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氮氧化物</w:t>
            </w:r>
          </w:p>
        </w:tc>
        <w:tc>
          <w:tcPr>
            <w:tcW w:w="2366" w:type="dxa"/>
            <w:vMerge w:val="continue"/>
            <w:vAlign w:val="center"/>
          </w:tcPr>
          <w:p>
            <w:pPr>
              <w:pStyle w:val="32"/>
              <w:rPr>
                <w:rFonts w:ascii="Times New Roman" w:hAnsi="Times New Roman" w:cs="Times New Roman"/>
                <w:color w:val="auto"/>
                <w:szCs w:val="21"/>
              </w:rPr>
            </w:pPr>
          </w:p>
        </w:tc>
        <w:tc>
          <w:tcPr>
            <w:tcW w:w="3122" w:type="dxa"/>
            <w:vMerge w:val="continue"/>
            <w:vAlign w:val="center"/>
          </w:tcPr>
          <w:p>
            <w:pPr>
              <w:pStyle w:val="32"/>
              <w:rPr>
                <w:rFonts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1515" w:type="dxa"/>
            <w:vMerge w:val="continue"/>
            <w:vAlign w:val="center"/>
          </w:tcPr>
          <w:p>
            <w:pPr>
              <w:pStyle w:val="32"/>
              <w:rPr>
                <w:rFonts w:ascii="Times New Roman" w:hAnsi="Times New Roman" w:cs="Times New Roman"/>
                <w:color w:val="auto"/>
                <w:szCs w:val="21"/>
              </w:rPr>
            </w:pPr>
          </w:p>
        </w:tc>
        <w:tc>
          <w:tcPr>
            <w:tcW w:w="1747"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无组织</w:t>
            </w:r>
          </w:p>
        </w:tc>
        <w:tc>
          <w:tcPr>
            <w:tcW w:w="145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颗粒物</w:t>
            </w:r>
          </w:p>
        </w:tc>
        <w:tc>
          <w:tcPr>
            <w:tcW w:w="2366" w:type="dxa"/>
            <w:vAlign w:val="center"/>
          </w:tcPr>
          <w:p>
            <w:pPr>
              <w:pStyle w:val="32"/>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洒水降尘</w:t>
            </w:r>
          </w:p>
        </w:tc>
        <w:tc>
          <w:tcPr>
            <w:tcW w:w="3122" w:type="dxa"/>
            <w:vAlign w:val="center"/>
          </w:tcPr>
          <w:p>
            <w:pPr>
              <w:pStyle w:val="32"/>
              <w:rPr>
                <w:rFonts w:ascii="Times New Roman" w:hAnsi="Times New Roman" w:cs="Times New Roman"/>
                <w:color w:val="auto"/>
                <w:szCs w:val="21"/>
              </w:rPr>
            </w:pPr>
            <w:r>
              <w:rPr>
                <w:rFonts w:hint="eastAsia" w:ascii="Times New Roman" w:hAnsi="Times New Roman" w:cs="Times New Roman"/>
                <w:color w:val="auto"/>
                <w:szCs w:val="21"/>
              </w:rPr>
              <w:t>四川省水泥工业大气污染物排放标准（DB51/2864 -2021）表</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相关限值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Merge w:val="restart"/>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地表水环境</w:t>
            </w:r>
          </w:p>
        </w:tc>
        <w:tc>
          <w:tcPr>
            <w:tcW w:w="1747"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生活污水</w:t>
            </w:r>
          </w:p>
        </w:tc>
        <w:tc>
          <w:tcPr>
            <w:tcW w:w="1455" w:type="dxa"/>
            <w:vAlign w:val="center"/>
          </w:tcPr>
          <w:p>
            <w:pPr>
              <w:pStyle w:val="32"/>
              <w:rPr>
                <w:rFonts w:ascii="Times New Roman" w:hAnsi="Times New Roman" w:cs="Times New Roman"/>
                <w:color w:val="auto"/>
                <w:szCs w:val="21"/>
              </w:rPr>
            </w:pPr>
            <w:r>
              <w:rPr>
                <w:rFonts w:ascii="Times New Roman" w:hAnsi="Times New Roman" w:cs="Times New Roman"/>
                <w:bCs/>
                <w:color w:val="auto"/>
                <w:szCs w:val="21"/>
              </w:rPr>
              <w:t>pH、COD</w:t>
            </w:r>
            <w:r>
              <w:rPr>
                <w:rFonts w:ascii="Times New Roman" w:hAnsi="Times New Roman" w:cs="Times New Roman"/>
                <w:bCs/>
                <w:color w:val="auto"/>
                <w:szCs w:val="21"/>
                <w:vertAlign w:val="subscript"/>
              </w:rPr>
              <w:t>Cr</w:t>
            </w:r>
            <w:r>
              <w:rPr>
                <w:rFonts w:ascii="Times New Roman" w:hAnsi="Times New Roman" w:cs="Times New Roman"/>
                <w:bCs/>
                <w:color w:val="auto"/>
                <w:szCs w:val="21"/>
              </w:rPr>
              <w:t>、BOD</w:t>
            </w:r>
            <w:r>
              <w:rPr>
                <w:rFonts w:ascii="Times New Roman" w:hAnsi="Times New Roman" w:cs="Times New Roman"/>
                <w:bCs/>
                <w:color w:val="auto"/>
                <w:szCs w:val="21"/>
                <w:vertAlign w:val="subscript"/>
              </w:rPr>
              <w:t>5</w:t>
            </w:r>
            <w:r>
              <w:rPr>
                <w:rFonts w:ascii="Times New Roman" w:hAnsi="Times New Roman" w:cs="Times New Roman"/>
                <w:bCs/>
                <w:color w:val="auto"/>
                <w:szCs w:val="21"/>
              </w:rPr>
              <w:t>、SS、NH</w:t>
            </w:r>
            <w:r>
              <w:rPr>
                <w:rFonts w:ascii="Times New Roman" w:hAnsi="Times New Roman" w:cs="Times New Roman"/>
                <w:bCs/>
                <w:color w:val="auto"/>
                <w:szCs w:val="21"/>
                <w:vertAlign w:val="subscript"/>
              </w:rPr>
              <w:t>3</w:t>
            </w:r>
            <w:r>
              <w:rPr>
                <w:rFonts w:ascii="Times New Roman" w:hAnsi="Times New Roman" w:cs="Times New Roman"/>
                <w:bCs/>
                <w:color w:val="auto"/>
                <w:szCs w:val="21"/>
              </w:rPr>
              <w:t>-N、TN、TP、动植物油</w:t>
            </w:r>
          </w:p>
        </w:tc>
        <w:tc>
          <w:tcPr>
            <w:tcW w:w="2366" w:type="dxa"/>
            <w:vAlign w:val="center"/>
          </w:tcPr>
          <w:p>
            <w:pPr>
              <w:pStyle w:val="32"/>
              <w:rPr>
                <w:rFonts w:ascii="Times New Roman" w:hAnsi="Times New Roman" w:cs="Times New Roman"/>
                <w:color w:val="auto"/>
                <w:szCs w:val="21"/>
              </w:rPr>
            </w:pPr>
            <w:r>
              <w:rPr>
                <w:rFonts w:hint="default" w:ascii="Times New Roman" w:hAnsi="Times New Roman" w:cs="Times New Roman"/>
                <w:bCs/>
                <w:color w:val="auto"/>
                <w:szCs w:val="21"/>
              </w:rPr>
              <w:t>生活污水排入预处理处理后经厂区总排口排入园区污水管网，进入园区污水处理厂处理达标后外排。</w:t>
            </w:r>
          </w:p>
        </w:tc>
        <w:tc>
          <w:tcPr>
            <w:tcW w:w="3122" w:type="dxa"/>
            <w:vAlign w:val="center"/>
          </w:tcPr>
          <w:p>
            <w:pPr>
              <w:pStyle w:val="32"/>
              <w:rPr>
                <w:rFonts w:ascii="Times New Roman" w:hAnsi="Times New Roman" w:cs="Times New Roman"/>
                <w:color w:val="auto"/>
                <w:szCs w:val="21"/>
              </w:rPr>
            </w:pPr>
            <w:r>
              <w:rPr>
                <w:rFonts w:ascii="Times New Roman" w:hAnsi="Times New Roman" w:eastAsia="Times New Roman" w:cs="Times New Roman"/>
                <w:bCs/>
                <w:color w:val="auto"/>
                <w:szCs w:val="21"/>
              </w:rPr>
              <w:t>《污水综合排放标准》（GB8978-1996）三级标准，其中，氨氮参照《污水排入城镇下水道水质标准》（GB/T31962-2015）中B级标准执行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Merge w:val="continue"/>
            <w:vAlign w:val="center"/>
          </w:tcPr>
          <w:p>
            <w:pPr>
              <w:pStyle w:val="32"/>
              <w:rPr>
                <w:rFonts w:hint="default" w:ascii="Times New Roman" w:hAnsi="Times New Roman" w:cs="Times New Roman"/>
                <w:color w:val="auto"/>
                <w:szCs w:val="21"/>
              </w:rPr>
            </w:pPr>
          </w:p>
        </w:tc>
        <w:tc>
          <w:tcPr>
            <w:tcW w:w="1747" w:type="dxa"/>
            <w:vAlign w:val="center"/>
          </w:tcPr>
          <w:p>
            <w:pPr>
              <w:pStyle w:val="32"/>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生产废水</w:t>
            </w:r>
          </w:p>
        </w:tc>
        <w:tc>
          <w:tcPr>
            <w:tcW w:w="1455" w:type="dxa"/>
            <w:vAlign w:val="center"/>
          </w:tcPr>
          <w:p>
            <w:pPr>
              <w:pStyle w:val="32"/>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w:t>
            </w:r>
          </w:p>
        </w:tc>
        <w:tc>
          <w:tcPr>
            <w:tcW w:w="2366" w:type="dxa"/>
            <w:vAlign w:val="center"/>
          </w:tcPr>
          <w:p>
            <w:pPr>
              <w:pStyle w:val="32"/>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生产水用于原材料兑水混料搅拌，</w:t>
            </w:r>
            <w:r>
              <w:rPr>
                <w:rFonts w:hint="eastAsia" w:ascii="Times New Roman" w:hAnsi="Times New Roman" w:cs="Times New Roman"/>
                <w:color w:val="auto"/>
                <w:szCs w:val="21"/>
                <w:lang w:val="en-US" w:eastAsia="zh-CN"/>
              </w:rPr>
              <w:t>冲洗废水回用于生产，</w:t>
            </w:r>
            <w:r>
              <w:rPr>
                <w:rFonts w:hint="default" w:ascii="Times New Roman" w:hAnsi="Times New Roman" w:cs="Times New Roman"/>
                <w:color w:val="auto"/>
                <w:szCs w:val="21"/>
              </w:rPr>
              <w:t>无生产废水</w:t>
            </w:r>
            <w:r>
              <w:rPr>
                <w:rFonts w:hint="default" w:ascii="Times New Roman" w:hAnsi="Times New Roman" w:cs="Times New Roman"/>
                <w:color w:val="auto"/>
                <w:szCs w:val="21"/>
                <w:lang w:eastAsia="zh-CN"/>
              </w:rPr>
              <w:t>。</w:t>
            </w:r>
          </w:p>
        </w:tc>
        <w:tc>
          <w:tcPr>
            <w:tcW w:w="3122" w:type="dxa"/>
            <w:vAlign w:val="center"/>
          </w:tcPr>
          <w:p>
            <w:pPr>
              <w:pStyle w:val="32"/>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声环境</w:t>
            </w:r>
          </w:p>
        </w:tc>
        <w:tc>
          <w:tcPr>
            <w:tcW w:w="1747"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厂界</w:t>
            </w:r>
          </w:p>
        </w:tc>
        <w:tc>
          <w:tcPr>
            <w:tcW w:w="1455"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等效连续A声级</w:t>
            </w:r>
          </w:p>
        </w:tc>
        <w:tc>
          <w:tcPr>
            <w:tcW w:w="2366"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1）选用低噪声设备，设备安装采用减振措施；（2）合理布局，高噪声设备集中布置，在车间内设置单独的封闭隔离间；（3）封闭隔间墙体及天花板涂抹吸声材料，设置隔音门和隔声窗；（4）联合厂房外侧设置附房，附房门窗采用隔音门和隔声窗。</w:t>
            </w:r>
          </w:p>
        </w:tc>
        <w:tc>
          <w:tcPr>
            <w:tcW w:w="3122" w:type="dxa"/>
            <w:vAlign w:val="center"/>
          </w:tcPr>
          <w:p>
            <w:pPr>
              <w:pStyle w:val="32"/>
              <w:jc w:val="both"/>
              <w:rPr>
                <w:rFonts w:ascii="Times New Roman" w:hAnsi="Times New Roman" w:cs="Times New Roman"/>
                <w:color w:val="auto"/>
                <w:szCs w:val="21"/>
              </w:rPr>
            </w:pPr>
            <w:r>
              <w:rPr>
                <w:rFonts w:hint="default" w:ascii="Times New Roman" w:hAnsi="Times New Roman" w:cs="Times New Roman"/>
                <w:color w:val="auto"/>
                <w:szCs w:val="21"/>
              </w:rPr>
              <w:t>《工业企业厂界环境噪声排放标准》</w:t>
            </w:r>
            <w:r>
              <w:rPr>
                <w:rFonts w:ascii="Times New Roman" w:hAnsi="Times New Roman" w:cs="Times New Roman"/>
                <w:color w:val="auto"/>
                <w:szCs w:val="21"/>
              </w:rPr>
              <w:t>（GB12348-2008）中3类标准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电磁辐射</w:t>
            </w:r>
          </w:p>
        </w:tc>
        <w:tc>
          <w:tcPr>
            <w:tcW w:w="1747"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w:t>
            </w:r>
          </w:p>
        </w:tc>
        <w:tc>
          <w:tcPr>
            <w:tcW w:w="1455"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w:t>
            </w:r>
          </w:p>
        </w:tc>
        <w:tc>
          <w:tcPr>
            <w:tcW w:w="2366"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w:t>
            </w:r>
          </w:p>
        </w:tc>
        <w:tc>
          <w:tcPr>
            <w:tcW w:w="3122" w:type="dxa"/>
            <w:vAlign w:val="center"/>
          </w:tcPr>
          <w:p>
            <w:pPr>
              <w:pStyle w:val="32"/>
              <w:rPr>
                <w:rFonts w:ascii="Times New Roman" w:hAnsi="Times New Roman" w:cs="Times New Roman"/>
                <w:color w:val="auto"/>
                <w:szCs w:val="21"/>
              </w:rPr>
            </w:pPr>
            <w:r>
              <w:rPr>
                <w:rFonts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固体废物</w:t>
            </w:r>
          </w:p>
        </w:tc>
        <w:tc>
          <w:tcPr>
            <w:tcW w:w="8690" w:type="dxa"/>
            <w:gridSpan w:val="4"/>
            <w:vAlign w:val="center"/>
          </w:tcPr>
          <w:p>
            <w:pPr>
              <w:pStyle w:val="32"/>
              <w:jc w:val="both"/>
              <w:rPr>
                <w:rFonts w:ascii="Times New Roman" w:hAnsi="Times New Roman" w:cs="Times New Roman"/>
                <w:color w:val="auto"/>
                <w:szCs w:val="21"/>
              </w:rPr>
            </w:pPr>
            <w:r>
              <w:rPr>
                <w:rFonts w:ascii="Times New Roman" w:hAnsi="Times New Roman" w:cs="Times New Roman"/>
                <w:color w:val="auto"/>
                <w:szCs w:val="21"/>
              </w:rPr>
              <w:fldChar w:fldCharType="begin"/>
            </w:r>
            <w:r>
              <w:rPr>
                <w:rFonts w:ascii="Times New Roman" w:hAnsi="Times New Roman" w:cs="Times New Roman"/>
                <w:color w:val="auto"/>
                <w:szCs w:val="21"/>
              </w:rPr>
              <w:instrText xml:space="preserve"> = 1 \* GB3 \* MERGEFORMAT </w:instrText>
            </w:r>
            <w:r>
              <w:rPr>
                <w:rFonts w:ascii="Times New Roman" w:hAnsi="Times New Roman" w:cs="Times New Roman"/>
                <w:color w:val="auto"/>
                <w:szCs w:val="21"/>
              </w:rPr>
              <w:fldChar w:fldCharType="separate"/>
            </w:r>
            <w:r>
              <w:rPr>
                <w:rFonts w:ascii="Times New Roman" w:hAnsi="Times New Roman" w:cs="Times New Roman"/>
                <w:color w:val="auto"/>
                <w:szCs w:val="21"/>
              </w:rPr>
              <w:t>①</w:t>
            </w:r>
            <w:r>
              <w:rPr>
                <w:rFonts w:ascii="Times New Roman" w:hAnsi="Times New Roman" w:cs="Times New Roman"/>
                <w:color w:val="auto"/>
                <w:szCs w:val="21"/>
              </w:rPr>
              <w:fldChar w:fldCharType="end"/>
            </w:r>
            <w:r>
              <w:rPr>
                <w:rFonts w:ascii="Times New Roman" w:hAnsi="Times New Roman" w:cs="Times New Roman"/>
                <w:color w:val="auto"/>
                <w:szCs w:val="21"/>
              </w:rPr>
              <w:t>生活垃圾经分散垃圾桶收集后，每日转运至厂区门口的生活垃圾集中暂存点，由当地环卫部门清运处置。</w:t>
            </w:r>
          </w:p>
          <w:p>
            <w:pPr>
              <w:pStyle w:val="32"/>
              <w:jc w:val="both"/>
              <w:rPr>
                <w:rFonts w:ascii="Times New Roman" w:hAnsi="Times New Roman" w:cs="Times New Roman"/>
                <w:color w:val="auto"/>
                <w:szCs w:val="21"/>
              </w:rPr>
            </w:pPr>
            <w:r>
              <w:rPr>
                <w:rFonts w:ascii="Times New Roman" w:hAnsi="Times New Roman" w:cs="Times New Roman"/>
                <w:color w:val="auto"/>
                <w:szCs w:val="21"/>
              </w:rPr>
              <w:fldChar w:fldCharType="begin"/>
            </w:r>
            <w:r>
              <w:rPr>
                <w:rFonts w:ascii="Times New Roman" w:hAnsi="Times New Roman" w:cs="Times New Roman"/>
                <w:color w:val="auto"/>
                <w:szCs w:val="21"/>
              </w:rPr>
              <w:instrText xml:space="preserve"> = 2 \* GB3 \* MERGEFORMAT </w:instrText>
            </w:r>
            <w:r>
              <w:rPr>
                <w:rFonts w:ascii="Times New Roman" w:hAnsi="Times New Roman" w:cs="Times New Roman"/>
                <w:color w:val="auto"/>
                <w:szCs w:val="21"/>
              </w:rPr>
              <w:fldChar w:fldCharType="separate"/>
            </w:r>
            <w:r>
              <w:rPr>
                <w:rFonts w:ascii="Times New Roman" w:hAnsi="Times New Roman" w:cs="Times New Roman"/>
                <w:color w:val="auto"/>
                <w:szCs w:val="21"/>
              </w:rPr>
              <w:t>②</w:t>
            </w:r>
            <w:r>
              <w:rPr>
                <w:rFonts w:ascii="Times New Roman" w:hAnsi="Times New Roman" w:cs="Times New Roman"/>
                <w:color w:val="auto"/>
                <w:szCs w:val="21"/>
              </w:rPr>
              <w:fldChar w:fldCharType="end"/>
            </w:r>
            <w:r>
              <w:rPr>
                <w:rFonts w:ascii="Times New Roman" w:hAnsi="Times New Roman" w:cs="Times New Roman"/>
                <w:color w:val="auto"/>
                <w:szCs w:val="21"/>
              </w:rPr>
              <w:t>本项目拟在</w:t>
            </w:r>
            <w:r>
              <w:rPr>
                <w:rFonts w:hint="default" w:ascii="Times New Roman" w:hAnsi="Times New Roman" w:cs="Times New Roman"/>
                <w:color w:val="auto"/>
                <w:szCs w:val="21"/>
              </w:rPr>
              <w:t>车间外</w:t>
            </w:r>
            <w:r>
              <w:rPr>
                <w:rFonts w:ascii="Times New Roman" w:hAnsi="Times New Roman" w:cs="Times New Roman"/>
                <w:color w:val="auto"/>
                <w:szCs w:val="21"/>
              </w:rPr>
              <w:t>设置1处一般固废暂存区，用于废包装材料</w:t>
            </w:r>
            <w:r>
              <w:rPr>
                <w:rFonts w:hint="default" w:ascii="Times New Roman" w:hAnsi="Times New Roman" w:cs="Times New Roman"/>
                <w:color w:val="auto"/>
                <w:szCs w:val="21"/>
              </w:rPr>
              <w:t>和废料（布袋装置收集的粉尘）</w:t>
            </w:r>
            <w:r>
              <w:rPr>
                <w:rFonts w:ascii="Times New Roman" w:hAnsi="Times New Roman" w:cs="Times New Roman"/>
                <w:color w:val="auto"/>
                <w:szCs w:val="21"/>
              </w:rPr>
              <w:t>的收集与暂存，废弃包装材料外售废品回收站</w:t>
            </w:r>
            <w:r>
              <w:rPr>
                <w:rFonts w:hint="default" w:ascii="Times New Roman" w:hAnsi="Times New Roman" w:cs="Times New Roman"/>
                <w:color w:val="auto"/>
                <w:szCs w:val="21"/>
              </w:rPr>
              <w:t>，废料回用于生产</w:t>
            </w:r>
            <w:r>
              <w:rPr>
                <w:rFonts w:ascii="Times New Roman" w:hAnsi="Times New Roman" w:cs="Times New Roman"/>
                <w:color w:val="auto"/>
                <w:szCs w:val="21"/>
              </w:rPr>
              <w:t>。</w:t>
            </w:r>
          </w:p>
          <w:p>
            <w:pPr>
              <w:pStyle w:val="32"/>
              <w:jc w:val="both"/>
              <w:rPr>
                <w:rFonts w:ascii="Times New Roman" w:hAnsi="Times New Roman" w:cs="Times New Roman"/>
                <w:color w:val="auto"/>
                <w:szCs w:val="21"/>
              </w:rPr>
            </w:pPr>
            <w:r>
              <w:rPr>
                <w:rFonts w:ascii="Times New Roman" w:hAnsi="Times New Roman" w:cs="Times New Roman"/>
                <w:color w:val="auto"/>
                <w:szCs w:val="21"/>
              </w:rPr>
              <w:fldChar w:fldCharType="begin"/>
            </w:r>
            <w:r>
              <w:rPr>
                <w:rFonts w:ascii="Times New Roman" w:hAnsi="Times New Roman" w:cs="Times New Roman"/>
                <w:color w:val="auto"/>
                <w:szCs w:val="21"/>
              </w:rPr>
              <w:instrText xml:space="preserve"> = 3 \* GB3 \* MERGEFORMAT </w:instrText>
            </w:r>
            <w:r>
              <w:rPr>
                <w:rFonts w:ascii="Times New Roman" w:hAnsi="Times New Roman" w:cs="Times New Roman"/>
                <w:color w:val="auto"/>
                <w:szCs w:val="21"/>
              </w:rPr>
              <w:fldChar w:fldCharType="separate"/>
            </w:r>
            <w:r>
              <w:rPr>
                <w:rFonts w:ascii="Times New Roman" w:hAnsi="Times New Roman" w:cs="Times New Roman"/>
                <w:color w:val="auto"/>
                <w:szCs w:val="21"/>
              </w:rPr>
              <w:t>③</w:t>
            </w:r>
            <w:r>
              <w:rPr>
                <w:rFonts w:ascii="Times New Roman" w:hAnsi="Times New Roman" w:cs="Times New Roman"/>
                <w:color w:val="auto"/>
                <w:szCs w:val="21"/>
              </w:rPr>
              <w:fldChar w:fldCharType="end"/>
            </w:r>
            <w:r>
              <w:rPr>
                <w:rFonts w:ascii="Times New Roman" w:hAnsi="Times New Roman" w:cs="Times New Roman"/>
                <w:color w:val="auto"/>
                <w:szCs w:val="21"/>
              </w:rPr>
              <w:t>本项目在</w:t>
            </w:r>
            <w:r>
              <w:rPr>
                <w:rFonts w:hint="default" w:ascii="Times New Roman" w:hAnsi="Times New Roman" w:cs="Times New Roman"/>
                <w:color w:val="auto"/>
                <w:szCs w:val="21"/>
              </w:rPr>
              <w:t>车间外</w:t>
            </w:r>
            <w:r>
              <w:rPr>
                <w:rFonts w:ascii="Times New Roman" w:hAnsi="Times New Roman" w:cs="Times New Roman"/>
                <w:color w:val="auto"/>
                <w:szCs w:val="21"/>
              </w:rPr>
              <w:t>设置1间危废暂存间</w:t>
            </w:r>
            <w:r>
              <w:rPr>
                <w:rFonts w:hint="default" w:ascii="Times New Roman" w:hAnsi="Times New Roman" w:cs="Times New Roman"/>
                <w:color w:val="auto"/>
                <w:szCs w:val="21"/>
              </w:rPr>
              <w:t>用于</w:t>
            </w:r>
            <w:r>
              <w:rPr>
                <w:rFonts w:ascii="Times New Roman" w:hAnsi="Times New Roman" w:cs="Times New Roman"/>
                <w:color w:val="auto"/>
                <w:szCs w:val="21"/>
              </w:rPr>
              <w:t>废油的安全暂存，</w:t>
            </w:r>
            <w:r>
              <w:rPr>
                <w:rFonts w:hint="default" w:ascii="Times New Roman" w:hAnsi="Times New Roman" w:cs="Times New Roman"/>
                <w:color w:val="auto"/>
                <w:szCs w:val="21"/>
              </w:rPr>
              <w:t>地面重点防渗，</w:t>
            </w:r>
            <w:r>
              <w:rPr>
                <w:rFonts w:ascii="Times New Roman" w:hAnsi="Times New Roman" w:cs="Times New Roman"/>
                <w:color w:val="auto"/>
                <w:szCs w:val="21"/>
              </w:rPr>
              <w:t>废油定期委托有资质单位处置。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8690" w:type="dxa"/>
            <w:gridSpan w:val="4"/>
            <w:vAlign w:val="center"/>
          </w:tcPr>
          <w:p>
            <w:pPr>
              <w:pStyle w:val="32"/>
              <w:jc w:val="both"/>
              <w:rPr>
                <w:rFonts w:ascii="Times New Roman" w:hAnsi="Times New Roman" w:cs="Times New Roman"/>
                <w:color w:val="auto"/>
                <w:szCs w:val="21"/>
              </w:rPr>
            </w:pPr>
            <w:r>
              <w:rPr>
                <w:rFonts w:ascii="Times New Roman" w:hAnsi="Times New Roman" w:cs="Times New Roman"/>
                <w:color w:val="auto"/>
                <w:szCs w:val="21"/>
              </w:rPr>
              <w:t>分区防渗措施，</w:t>
            </w:r>
            <w:r>
              <w:rPr>
                <w:rFonts w:ascii="Times New Roman" w:hAnsi="Times New Roman" w:cs="Times New Roman"/>
                <w:bCs/>
                <w:color w:val="auto"/>
                <w:szCs w:val="21"/>
              </w:rPr>
              <w:t>危险废物暂存间进行重点防渗处理，防渗层等效粘土防渗层 Mb≥6.0m，K≤1.0×10</w:t>
            </w:r>
            <w:r>
              <w:rPr>
                <w:rFonts w:ascii="Times New Roman" w:hAnsi="Times New Roman" w:cs="Times New Roman"/>
                <w:bCs/>
                <w:color w:val="auto"/>
                <w:szCs w:val="21"/>
                <w:vertAlign w:val="superscript"/>
              </w:rPr>
              <w:t>-7</w:t>
            </w:r>
            <w:r>
              <w:rPr>
                <w:rFonts w:ascii="Times New Roman" w:hAnsi="Times New Roman" w:cs="Times New Roman"/>
                <w:bCs/>
                <w:color w:val="auto"/>
                <w:szCs w:val="21"/>
              </w:rPr>
              <w:t>cm/s或参照GB16889执行。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生态保护措施</w:t>
            </w:r>
          </w:p>
        </w:tc>
        <w:tc>
          <w:tcPr>
            <w:tcW w:w="8690" w:type="dxa"/>
            <w:gridSpan w:val="4"/>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环境风险</w:t>
            </w:r>
          </w:p>
          <w:p>
            <w:pPr>
              <w:pStyle w:val="32"/>
              <w:rPr>
                <w:rFonts w:ascii="Times New Roman" w:hAnsi="Times New Roman" w:cs="Times New Roman"/>
                <w:color w:val="auto"/>
                <w:szCs w:val="21"/>
              </w:rPr>
            </w:pPr>
            <w:r>
              <w:rPr>
                <w:rFonts w:hint="default" w:ascii="Times New Roman" w:hAnsi="Times New Roman" w:cs="Times New Roman"/>
                <w:color w:val="auto"/>
                <w:szCs w:val="21"/>
              </w:rPr>
              <w:t>防范措施</w:t>
            </w:r>
          </w:p>
        </w:tc>
        <w:tc>
          <w:tcPr>
            <w:tcW w:w="8690" w:type="dxa"/>
            <w:gridSpan w:val="4"/>
            <w:vAlign w:val="center"/>
          </w:tcPr>
          <w:p>
            <w:pPr>
              <w:topLinePunct/>
              <w:autoSpaceDE/>
              <w:autoSpaceDN/>
              <w:rPr>
                <w:rFonts w:ascii="Times New Roman" w:hAnsi="Times New Roman" w:cs="Times New Roman"/>
                <w:color w:val="auto"/>
                <w:sz w:val="21"/>
                <w:szCs w:val="21"/>
              </w:rPr>
            </w:pPr>
            <w:r>
              <w:rPr>
                <w:rFonts w:hint="default" w:ascii="Times New Roman" w:hAnsi="Times New Roman" w:cs="Times New Roman"/>
                <w:color w:val="auto"/>
                <w:sz w:val="21"/>
                <w:szCs w:val="21"/>
              </w:rPr>
              <w:t>①严格按照相关设计规范和要求落实防护措施，制定安全操作规章制度，加强安全意识教育，加强监督管理，消除事故隐患；</w:t>
            </w:r>
          </w:p>
          <w:p>
            <w:pPr>
              <w:topLinePunct/>
              <w:autoSpaceDE/>
              <w:autoSpaceDN/>
              <w:rPr>
                <w:rFonts w:ascii="Times New Roman" w:hAnsi="Times New Roman" w:cs="Times New Roman"/>
                <w:color w:val="auto"/>
                <w:sz w:val="21"/>
                <w:szCs w:val="21"/>
              </w:rPr>
            </w:pPr>
            <w:r>
              <w:rPr>
                <w:rFonts w:hint="default" w:ascii="Times New Roman" w:hAnsi="Times New Roman" w:cs="Times New Roman"/>
                <w:color w:val="auto"/>
                <w:sz w:val="21"/>
                <w:szCs w:val="21"/>
              </w:rPr>
              <w:t>②针对运营中可能发生的异常现象和存在的安全隐患，设置合理可行的技术措施，制定严格的操作规程；</w:t>
            </w:r>
          </w:p>
          <w:p>
            <w:pPr>
              <w:topLinePunct/>
              <w:autoSpaceDE/>
              <w:autoSpaceDN/>
              <w:rPr>
                <w:rFonts w:ascii="Times New Roman" w:hAnsi="Times New Roman" w:cs="Times New Roman"/>
                <w:color w:val="auto"/>
                <w:sz w:val="21"/>
                <w:szCs w:val="21"/>
              </w:rPr>
            </w:pPr>
            <w:r>
              <w:rPr>
                <w:rFonts w:hint="default" w:ascii="Times New Roman" w:hAnsi="Times New Roman" w:cs="Times New Roman"/>
                <w:color w:val="auto"/>
                <w:sz w:val="21"/>
                <w:szCs w:val="21"/>
              </w:rPr>
              <w:t>③实行定期的巡检制度，及时发现问题，尽快解决；</w:t>
            </w:r>
          </w:p>
          <w:p>
            <w:pPr>
              <w:pStyle w:val="32"/>
              <w:jc w:val="left"/>
              <w:rPr>
                <w:rFonts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4 \* GB3 \* MERGEFORMAT </w:instrText>
            </w:r>
            <w:r>
              <w:rPr>
                <w:rFonts w:hint="default" w:ascii="Times New Roman" w:hAnsi="Times New Roman" w:cs="Times New Roman"/>
                <w:color w:val="auto"/>
                <w:szCs w:val="21"/>
              </w:rPr>
              <w:fldChar w:fldCharType="separate"/>
            </w:r>
            <w:r>
              <w:rPr>
                <w:rFonts w:ascii="Times New Roman" w:hAnsi="Times New Roman" w:cs="Times New Roman"/>
                <w:color w:val="auto"/>
                <w:szCs w:val="21"/>
              </w:rPr>
              <w:t>④</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建立健全安全、环境管理体系及高效的安全生产机构，一旦发生事故，要做到快速、高效、安全处置。</w:t>
            </w:r>
          </w:p>
          <w:p>
            <w:pPr>
              <w:pStyle w:val="32"/>
              <w:jc w:val="left"/>
              <w:rPr>
                <w:rFonts w:ascii="Times New Roman" w:hAnsi="Times New Roman" w:cs="Times New Roman"/>
                <w:color w:val="auto"/>
                <w:szCs w:val="21"/>
              </w:rPr>
            </w:pPr>
            <w:r>
              <w:rPr>
                <w:rFonts w:hint="default" w:ascii="Times New Roman" w:hAnsi="Times New Roman" w:cs="Times New Roman"/>
                <w:color w:val="auto"/>
                <w:szCs w:val="21"/>
              </w:rPr>
              <w:t>⑤</w:t>
            </w:r>
            <w:r>
              <w:rPr>
                <w:rFonts w:ascii="Times New Roman" w:hAnsi="Times New Roman" w:cs="Times New Roman"/>
                <w:color w:val="auto"/>
                <w:szCs w:val="21"/>
              </w:rPr>
              <w:t>厂区内按环评要求配制相应的灭火器材；</w:t>
            </w:r>
          </w:p>
          <w:p>
            <w:pPr>
              <w:pStyle w:val="32"/>
              <w:jc w:val="left"/>
              <w:rPr>
                <w:rFonts w:ascii="Times New Roman" w:hAnsi="Times New Roman" w:cs="Times New Roman"/>
                <w:color w:val="auto"/>
                <w:szCs w:val="21"/>
              </w:rPr>
            </w:pPr>
            <w:r>
              <w:rPr>
                <w:rFonts w:hint="default" w:ascii="Times New Roman" w:hAnsi="Times New Roman" w:cs="Times New Roman"/>
                <w:color w:val="auto"/>
                <w:szCs w:val="21"/>
              </w:rPr>
              <w:t>⑥</w:t>
            </w:r>
            <w:r>
              <w:rPr>
                <w:rFonts w:ascii="Times New Roman" w:hAnsi="Times New Roman" w:cs="Times New Roman"/>
                <w:color w:val="auto"/>
                <w:szCs w:val="21"/>
              </w:rPr>
              <w:t>危险废物暂存间进行重点防渗措施，危险废物贮存设施周围应设置围墙或其它防护栅栏。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5" w:type="dxa"/>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其他环境</w:t>
            </w:r>
          </w:p>
          <w:p>
            <w:pPr>
              <w:pStyle w:val="32"/>
              <w:rPr>
                <w:rFonts w:ascii="Times New Roman" w:hAnsi="Times New Roman" w:cs="Times New Roman"/>
                <w:color w:val="auto"/>
                <w:szCs w:val="21"/>
              </w:rPr>
            </w:pPr>
            <w:r>
              <w:rPr>
                <w:rFonts w:hint="default" w:ascii="Times New Roman" w:hAnsi="Times New Roman" w:cs="Times New Roman"/>
                <w:color w:val="auto"/>
                <w:szCs w:val="21"/>
              </w:rPr>
              <w:t>管理要求</w:t>
            </w:r>
          </w:p>
        </w:tc>
        <w:tc>
          <w:tcPr>
            <w:tcW w:w="8690" w:type="dxa"/>
            <w:gridSpan w:val="4"/>
            <w:vAlign w:val="center"/>
          </w:tcPr>
          <w:p>
            <w:pPr>
              <w:pStyle w:val="32"/>
              <w:rPr>
                <w:rFonts w:ascii="Times New Roman" w:hAnsi="Times New Roman" w:cs="Times New Roman"/>
                <w:color w:val="auto"/>
                <w:szCs w:val="21"/>
              </w:rPr>
            </w:pPr>
            <w:r>
              <w:rPr>
                <w:rFonts w:hint="default" w:ascii="Times New Roman" w:hAnsi="Times New Roman" w:cs="Times New Roman"/>
                <w:color w:val="auto"/>
                <w:szCs w:val="21"/>
              </w:rPr>
              <w:t>无</w:t>
            </w:r>
          </w:p>
        </w:tc>
      </w:tr>
    </w:tbl>
    <w:p>
      <w:pPr>
        <w:pStyle w:val="19"/>
        <w:jc w:val="center"/>
        <w:outlineLvl w:val="0"/>
        <w:rPr>
          <w:rFonts w:ascii="Times New Roman" w:hAnsi="Times New Roman" w:eastAsia="黑体" w:cs="Times New Roman"/>
          <w:snapToGrid w:val="0"/>
          <w:color w:val="auto"/>
          <w:sz w:val="30"/>
          <w:szCs w:val="30"/>
        </w:rPr>
      </w:pPr>
      <w:r>
        <w:rPr>
          <w:rFonts w:ascii="Times New Roman" w:hAnsi="Times New Roman" w:cs="Times New Roman"/>
          <w:snapToGrid w:val="0"/>
          <w:color w:val="auto"/>
        </w:rPr>
        <w:br w:type="page"/>
      </w:r>
      <w:r>
        <w:rPr>
          <w:rFonts w:hint="default" w:ascii="Times New Roman" w:hAnsi="Times New Roman" w:eastAsia="黑体" w:cs="Times New Roman"/>
          <w:snapToGrid w:val="0"/>
          <w:color w:val="auto"/>
          <w:sz w:val="32"/>
          <w:szCs w:val="32"/>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638" w:type="dxa"/>
          </w:tcPr>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根据向前分析结果可知，本次评价结论如下：</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32"/>
              </w:rPr>
              <w:t>（1）项目类型及其选址、布局、规模等符合环境保护法律法规和相关法定规划。</w:t>
            </w:r>
          </w:p>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32"/>
              </w:rPr>
              <w:t>（2）</w:t>
            </w:r>
            <w:r>
              <w:rPr>
                <w:rFonts w:hint="default" w:ascii="Times New Roman" w:hAnsi="Times New Roman" w:cs="Times New Roman"/>
                <w:color w:val="auto"/>
                <w:sz w:val="24"/>
                <w:szCs w:val="24"/>
              </w:rPr>
              <w:t>项目虽然位于环境空气和地表水环境达标区，本环保措施具有可行性，建设单位采取治理措施后，能够实现各污染物排放达到国家和地方标准要求，项目的建设和营运不会对区域环境质量造成明显影响。</w:t>
            </w:r>
          </w:p>
          <w:p>
            <w:pPr>
              <w:spacing w:line="360" w:lineRule="auto"/>
              <w:ind w:firstLine="480" w:firstLineChars="200"/>
              <w:jc w:val="both"/>
              <w:rPr>
                <w:rFonts w:ascii="Times New Roman" w:hAnsi="Times New Roman" w:cs="Times New Roman"/>
                <w:color w:val="auto"/>
                <w:sz w:val="24"/>
                <w:szCs w:val="24"/>
              </w:rPr>
            </w:pPr>
            <w:r>
              <w:rPr>
                <w:rFonts w:hint="default" w:ascii="Times New Roman" w:hAnsi="Times New Roman" w:cs="Times New Roman"/>
                <w:color w:val="auto"/>
                <w:sz w:val="24"/>
                <w:szCs w:val="24"/>
              </w:rPr>
              <w:t>（3）项目为改建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项目废水、废气、固废及噪声采取的污染防治措施可确保污染物排放达到国家规定的排放标准。</w:t>
            </w:r>
          </w:p>
          <w:p>
            <w:pPr>
              <w:spacing w:line="360" w:lineRule="auto"/>
              <w:ind w:firstLine="480" w:firstLineChars="200"/>
              <w:jc w:val="both"/>
              <w:rPr>
                <w:rFonts w:ascii="Times New Roman" w:hAnsi="Times New Roman" w:cs="Times New Roman"/>
                <w:color w:val="auto"/>
                <w:sz w:val="24"/>
                <w:szCs w:val="32"/>
              </w:rPr>
            </w:pPr>
            <w:r>
              <w:rPr>
                <w:rFonts w:hint="default" w:ascii="Times New Roman" w:hAnsi="Times New Roman" w:cs="Times New Roman"/>
                <w:color w:val="auto"/>
                <w:sz w:val="24"/>
                <w:szCs w:val="24"/>
              </w:rPr>
              <w:t>综上所述，项目符合国家产业政策，选址符合当地总体规划，总图布局合理，贯彻了“清洁生产、总量控制和达标排放”的原则，采取污染物治理措施技术经济可行，措施有效，可确保污染物排达标排放。工程实施后，只要认真落实本报告表所提出的各项污染防治措施、环境风险防范措施，加强内部环境管理和安全生产运行管理，实现环境保护措施的有效运行，严格执行“三同时”制度，从环境保护角度看，项目在四川省遂宁市蓬溪县赤城镇上游工业园区建设环境影响运行。</w:t>
            </w:r>
          </w:p>
        </w:tc>
      </w:tr>
    </w:tbl>
    <w:p>
      <w:pPr>
        <w:rPr>
          <w:rFonts w:ascii="Times New Roman" w:hAnsi="Times New Roman" w:cs="Times New Roman"/>
          <w:color w:val="auto"/>
        </w:rPr>
        <w:sectPr>
          <w:pgSz w:w="11905" w:h="16838"/>
          <w:pgMar w:top="1701" w:right="1134" w:bottom="1701" w:left="1134" w:header="851" w:footer="1077" w:gutter="0"/>
          <w:cols w:space="0" w:num="1"/>
          <w:docGrid w:linePitch="312" w:charSpace="0"/>
        </w:sectPr>
      </w:pPr>
    </w:p>
    <w:p>
      <w:pPr>
        <w:rPr>
          <w:rFonts w:ascii="Times New Roman" w:hAnsi="Times New Roman" w:cs="Times New Roman"/>
          <w:color w:val="auto"/>
        </w:rPr>
        <w:sectPr>
          <w:type w:val="continuous"/>
          <w:pgSz w:w="11905" w:h="16838"/>
          <w:pgMar w:top="1701" w:right="1134" w:bottom="1701" w:left="1134" w:header="851" w:footer="1077" w:gutter="0"/>
          <w:cols w:space="0" w:num="1"/>
          <w:docGrid w:linePitch="312" w:charSpace="0"/>
        </w:sectPr>
      </w:pPr>
    </w:p>
    <w:p>
      <w:pPr>
        <w:pStyle w:val="19"/>
        <w:adjustRightInd w:val="0"/>
        <w:snapToGrid w:val="0"/>
        <w:spacing w:beforeAutospacing="0" w:afterAutospacing="0" w:line="360" w:lineRule="auto"/>
        <w:rPr>
          <w:rFonts w:ascii="Times New Roman" w:hAnsi="Times New Roman" w:eastAsia="黑体" w:cs="Times New Roman"/>
          <w:snapToGrid w:val="0"/>
          <w:color w:val="auto"/>
          <w:sz w:val="36"/>
          <w:szCs w:val="36"/>
        </w:rPr>
      </w:pPr>
      <w:r>
        <w:rPr>
          <w:rFonts w:hint="default" w:ascii="Times New Roman" w:hAnsi="Times New Roman" w:eastAsia="黑体" w:cs="Times New Roman"/>
          <w:snapToGrid w:val="0"/>
          <w:color w:val="auto"/>
          <w:sz w:val="36"/>
          <w:szCs w:val="36"/>
        </w:rPr>
        <w:t>附表</w:t>
      </w:r>
    </w:p>
    <w:p>
      <w:pPr>
        <w:pStyle w:val="19"/>
        <w:adjustRightInd w:val="0"/>
        <w:snapToGrid w:val="0"/>
        <w:spacing w:beforeAutospacing="0" w:afterAutospacing="0" w:line="360" w:lineRule="auto"/>
        <w:jc w:val="center"/>
        <w:rPr>
          <w:rFonts w:ascii="Times New Roman" w:hAnsi="Times New Roman" w:eastAsia="方正小标宋_GBK" w:cs="Times New Roman"/>
          <w:snapToGrid w:val="0"/>
          <w:color w:val="auto"/>
          <w:sz w:val="40"/>
          <w:szCs w:val="40"/>
        </w:rPr>
      </w:pPr>
      <w:r>
        <w:rPr>
          <w:rFonts w:hint="default" w:ascii="Times New Roman" w:hAnsi="Times New Roman" w:eastAsia="方正小标宋_GBK" w:cs="Times New Roman"/>
          <w:snapToGrid w:val="0"/>
          <w:color w:val="auto"/>
          <w:sz w:val="40"/>
          <w:szCs w:val="40"/>
        </w:rPr>
        <w:t xml:space="preserve">建设项目污染物排放量汇总表   </w:t>
      </w:r>
    </w:p>
    <w:tbl>
      <w:tblPr>
        <w:tblStyle w:val="2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96"/>
        <w:gridCol w:w="1522"/>
        <w:gridCol w:w="1276"/>
        <w:gridCol w:w="1701"/>
        <w:gridCol w:w="1559"/>
        <w:gridCol w:w="1468"/>
        <w:gridCol w:w="1772"/>
        <w:gridCol w:w="13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 xml:space="preserve">     项目</w:t>
            </w:r>
          </w:p>
          <w:p>
            <w:pPr>
              <w:pStyle w:val="32"/>
              <w:jc w:val="left"/>
              <w:rPr>
                <w:rFonts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1596"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522"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现有工程</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w:t>
            </w:r>
            <w:r>
              <w:rPr>
                <w:rFonts w:hint="default" w:ascii="Times New Roman" w:hAnsi="Times New Roman" w:eastAsia="黑体" w:cs="Times New Roman"/>
                <w:snapToGrid w:val="0"/>
                <w:color w:val="auto"/>
                <w:spacing w:val="-6"/>
                <w:kern w:val="21"/>
                <w:sz w:val="24"/>
                <w:szCs w:val="24"/>
              </w:rPr>
              <w:t>体</w:t>
            </w:r>
            <w:r>
              <w:rPr>
                <w:rFonts w:ascii="Times New Roman" w:hAnsi="Times New Roman" w:eastAsia="黑体" w:cs="Times New Roman"/>
                <w:snapToGrid w:val="0"/>
                <w:color w:val="auto"/>
                <w:spacing w:val="-6"/>
                <w:kern w:val="21"/>
                <w:sz w:val="24"/>
                <w:szCs w:val="24"/>
              </w:rPr>
              <w:t>废</w:t>
            </w:r>
            <w:r>
              <w:rPr>
                <w:rFonts w:hint="default" w:ascii="Times New Roman" w:hAnsi="Times New Roman" w:eastAsia="黑体" w:cs="Times New Roman"/>
                <w:snapToGrid w:val="0"/>
                <w:color w:val="auto"/>
                <w:spacing w:val="-6"/>
                <w:kern w:val="21"/>
                <w:sz w:val="24"/>
                <w:szCs w:val="24"/>
              </w:rPr>
              <w:t>物</w:t>
            </w:r>
            <w:r>
              <w:rPr>
                <w:rFonts w:ascii="Times New Roman" w:hAnsi="Times New Roman" w:eastAsia="黑体" w:cs="Times New Roman"/>
                <w:snapToGrid w:val="0"/>
                <w:color w:val="auto"/>
                <w:spacing w:val="-6"/>
                <w:kern w:val="21"/>
                <w:sz w:val="24"/>
                <w:szCs w:val="24"/>
              </w:rPr>
              <w:t>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1 \* GB3 \* MERGEFORMAT </w:instrText>
            </w:r>
            <w:r>
              <w:rPr>
                <w:rFonts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ascii="Times New Roman" w:hAnsi="Times New Roman" w:eastAsia="黑体" w:cs="Times New Roman"/>
                <w:snapToGrid w:val="0"/>
                <w:color w:val="auto"/>
                <w:spacing w:val="-6"/>
                <w:kern w:val="21"/>
                <w:sz w:val="24"/>
                <w:szCs w:val="24"/>
              </w:rPr>
              <w:fldChar w:fldCharType="end"/>
            </w:r>
          </w:p>
        </w:tc>
        <w:tc>
          <w:tcPr>
            <w:tcW w:w="1276"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现有工程</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许可排放量</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2 \* GB3 \* MERGEFORMAT </w:instrText>
            </w:r>
            <w:r>
              <w:rPr>
                <w:rFonts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ascii="Times New Roman" w:hAnsi="Times New Roman" w:eastAsia="黑体" w:cs="Times New Roman"/>
                <w:snapToGrid w:val="0"/>
                <w:color w:val="auto"/>
                <w:spacing w:val="-6"/>
                <w:kern w:val="21"/>
                <w:sz w:val="24"/>
                <w:szCs w:val="24"/>
              </w:rPr>
              <w:fldChar w:fldCharType="end"/>
            </w:r>
          </w:p>
        </w:tc>
        <w:tc>
          <w:tcPr>
            <w:tcW w:w="1701"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在建工程</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w:t>
            </w:r>
            <w:r>
              <w:rPr>
                <w:rFonts w:hint="default" w:ascii="Times New Roman" w:hAnsi="Times New Roman" w:eastAsia="黑体" w:cs="Times New Roman"/>
                <w:snapToGrid w:val="0"/>
                <w:color w:val="auto"/>
                <w:spacing w:val="-6"/>
                <w:kern w:val="21"/>
                <w:sz w:val="24"/>
                <w:szCs w:val="24"/>
              </w:rPr>
              <w:t>体</w:t>
            </w:r>
            <w:r>
              <w:rPr>
                <w:rFonts w:ascii="Times New Roman" w:hAnsi="Times New Roman" w:eastAsia="黑体" w:cs="Times New Roman"/>
                <w:snapToGrid w:val="0"/>
                <w:color w:val="auto"/>
                <w:spacing w:val="-6"/>
                <w:kern w:val="21"/>
                <w:sz w:val="24"/>
                <w:szCs w:val="24"/>
              </w:rPr>
              <w:t>废</w:t>
            </w:r>
            <w:r>
              <w:rPr>
                <w:rFonts w:hint="default" w:ascii="Times New Roman" w:hAnsi="Times New Roman" w:eastAsia="黑体" w:cs="Times New Roman"/>
                <w:snapToGrid w:val="0"/>
                <w:color w:val="auto"/>
                <w:spacing w:val="-6"/>
                <w:kern w:val="21"/>
                <w:sz w:val="24"/>
                <w:szCs w:val="24"/>
              </w:rPr>
              <w:t>物</w:t>
            </w:r>
            <w:r>
              <w:rPr>
                <w:rFonts w:ascii="Times New Roman" w:hAnsi="Times New Roman" w:eastAsia="黑体" w:cs="Times New Roman"/>
                <w:snapToGrid w:val="0"/>
                <w:color w:val="auto"/>
                <w:spacing w:val="-6"/>
                <w:kern w:val="21"/>
                <w:sz w:val="24"/>
                <w:szCs w:val="24"/>
              </w:rPr>
              <w:t>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3 \* GB3 \* MERGEFORMAT </w:instrText>
            </w:r>
            <w:r>
              <w:rPr>
                <w:rFonts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ascii="Times New Roman" w:hAnsi="Times New Roman" w:eastAsia="黑体" w:cs="Times New Roman"/>
                <w:snapToGrid w:val="0"/>
                <w:color w:val="auto"/>
                <w:spacing w:val="-6"/>
                <w:kern w:val="21"/>
                <w:sz w:val="24"/>
                <w:szCs w:val="24"/>
              </w:rPr>
              <w:fldChar w:fldCharType="end"/>
            </w:r>
          </w:p>
        </w:tc>
        <w:tc>
          <w:tcPr>
            <w:tcW w:w="1559"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本项目</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排放量（固</w:t>
            </w:r>
            <w:r>
              <w:rPr>
                <w:rFonts w:hint="default" w:ascii="Times New Roman" w:hAnsi="Times New Roman" w:eastAsia="黑体" w:cs="Times New Roman"/>
                <w:snapToGrid w:val="0"/>
                <w:color w:val="auto"/>
                <w:spacing w:val="-6"/>
                <w:kern w:val="21"/>
                <w:sz w:val="24"/>
                <w:szCs w:val="24"/>
              </w:rPr>
              <w:t>体</w:t>
            </w:r>
            <w:r>
              <w:rPr>
                <w:rFonts w:ascii="Times New Roman" w:hAnsi="Times New Roman" w:eastAsia="黑体" w:cs="Times New Roman"/>
                <w:snapToGrid w:val="0"/>
                <w:color w:val="auto"/>
                <w:spacing w:val="-6"/>
                <w:kern w:val="21"/>
                <w:sz w:val="24"/>
                <w:szCs w:val="24"/>
              </w:rPr>
              <w:t>废</w:t>
            </w:r>
            <w:r>
              <w:rPr>
                <w:rFonts w:hint="default" w:ascii="Times New Roman" w:hAnsi="Times New Roman" w:eastAsia="黑体" w:cs="Times New Roman"/>
                <w:snapToGrid w:val="0"/>
                <w:color w:val="auto"/>
                <w:spacing w:val="-6"/>
                <w:kern w:val="21"/>
                <w:sz w:val="24"/>
                <w:szCs w:val="24"/>
              </w:rPr>
              <w:t>物</w:t>
            </w:r>
            <w:r>
              <w:rPr>
                <w:rFonts w:ascii="Times New Roman" w:hAnsi="Times New Roman" w:eastAsia="黑体" w:cs="Times New Roman"/>
                <w:snapToGrid w:val="0"/>
                <w:color w:val="auto"/>
                <w:spacing w:val="-6"/>
                <w:kern w:val="21"/>
                <w:sz w:val="24"/>
                <w:szCs w:val="24"/>
              </w:rPr>
              <w:t>产生量）</w:t>
            </w: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4 \* GB3 \* MERGEFORMAT </w:instrText>
            </w:r>
            <w:r>
              <w:rPr>
                <w:rFonts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ascii="Times New Roman" w:hAnsi="Times New Roman" w:eastAsia="黑体" w:cs="Times New Roman"/>
                <w:snapToGrid w:val="0"/>
                <w:color w:val="auto"/>
                <w:spacing w:val="-6"/>
                <w:kern w:val="21"/>
                <w:sz w:val="24"/>
                <w:szCs w:val="24"/>
              </w:rPr>
              <w:fldChar w:fldCharType="end"/>
            </w:r>
          </w:p>
        </w:tc>
        <w:tc>
          <w:tcPr>
            <w:tcW w:w="1468" w:type="dxa"/>
            <w:tcMar>
              <w:left w:w="28" w:type="dxa"/>
              <w:right w:w="28" w:type="dxa"/>
            </w:tcMar>
            <w:vAlign w:val="center"/>
          </w:tcPr>
          <w:p>
            <w:pPr>
              <w:pStyle w:val="32"/>
              <w:jc w:val="center"/>
              <w:rPr>
                <w:rFonts w:ascii="Times New Roman" w:hAnsi="Times New Roman" w:eastAsia="黑体" w:cs="Times New Roman"/>
                <w:snapToGrid w:val="0"/>
                <w:color w:val="auto"/>
                <w:spacing w:val="-16"/>
                <w:kern w:val="21"/>
                <w:sz w:val="24"/>
                <w:szCs w:val="24"/>
              </w:rPr>
            </w:pPr>
            <w:r>
              <w:rPr>
                <w:rFonts w:ascii="Times New Roman" w:hAnsi="Times New Roman" w:eastAsia="黑体" w:cs="Times New Roman"/>
                <w:snapToGrid w:val="0"/>
                <w:color w:val="auto"/>
                <w:spacing w:val="-16"/>
                <w:kern w:val="21"/>
                <w:sz w:val="24"/>
                <w:szCs w:val="24"/>
              </w:rPr>
              <w:t>以新带老削减量（新建项目不填）</w:t>
            </w:r>
            <w:r>
              <w:rPr>
                <w:rFonts w:ascii="Times New Roman" w:hAnsi="Times New Roman" w:eastAsia="黑体" w:cs="Times New Roman"/>
                <w:snapToGrid w:val="0"/>
                <w:color w:val="auto"/>
                <w:spacing w:val="-16"/>
                <w:kern w:val="21"/>
                <w:sz w:val="24"/>
                <w:szCs w:val="24"/>
              </w:rPr>
              <w:fldChar w:fldCharType="begin"/>
            </w:r>
            <w:r>
              <w:rPr>
                <w:rFonts w:ascii="Times New Roman" w:hAnsi="Times New Roman" w:eastAsia="黑体" w:cs="Times New Roman"/>
                <w:snapToGrid w:val="0"/>
                <w:color w:val="auto"/>
                <w:spacing w:val="-16"/>
                <w:kern w:val="21"/>
                <w:sz w:val="24"/>
                <w:szCs w:val="24"/>
              </w:rPr>
              <w:instrText xml:space="preserve"> = 5 \* GB3 \* MERGEFORMAT </w:instrText>
            </w:r>
            <w:r>
              <w:rPr>
                <w:rFonts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ascii="Times New Roman" w:hAnsi="Times New Roman" w:eastAsia="黑体" w:cs="Times New Roman"/>
                <w:snapToGrid w:val="0"/>
                <w:color w:val="auto"/>
                <w:spacing w:val="-16"/>
                <w:kern w:val="21"/>
                <w:sz w:val="24"/>
                <w:szCs w:val="24"/>
              </w:rPr>
              <w:fldChar w:fldCharType="end"/>
            </w:r>
          </w:p>
        </w:tc>
        <w:tc>
          <w:tcPr>
            <w:tcW w:w="1772" w:type="dxa"/>
            <w:tcMar>
              <w:left w:w="28" w:type="dxa"/>
              <w:right w:w="28" w:type="dxa"/>
            </w:tcMar>
            <w:vAlign w:val="center"/>
          </w:tcPr>
          <w:p>
            <w:pPr>
              <w:pStyle w:val="32"/>
              <w:rPr>
                <w:rFonts w:ascii="Times New Roman" w:hAnsi="Times New Roman" w:eastAsia="黑体" w:cs="Times New Roman"/>
                <w:snapToGrid w:val="0"/>
                <w:color w:val="auto"/>
                <w:spacing w:val="-16"/>
                <w:kern w:val="21"/>
                <w:sz w:val="24"/>
                <w:szCs w:val="24"/>
              </w:rPr>
            </w:pPr>
            <w:r>
              <w:rPr>
                <w:rFonts w:ascii="Times New Roman" w:hAnsi="Times New Roman" w:eastAsia="黑体" w:cs="Times New Roman"/>
                <w:snapToGrid w:val="0"/>
                <w:color w:val="auto"/>
                <w:spacing w:val="-16"/>
                <w:kern w:val="21"/>
                <w:sz w:val="24"/>
                <w:szCs w:val="24"/>
              </w:rPr>
              <w:t>本项目建成后</w:t>
            </w:r>
          </w:p>
          <w:p>
            <w:pPr>
              <w:pStyle w:val="32"/>
              <w:rPr>
                <w:rFonts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w:t>
            </w:r>
            <w:r>
              <w:rPr>
                <w:rFonts w:ascii="Times New Roman" w:hAnsi="Times New Roman" w:eastAsia="黑体" w:cs="Times New Roman"/>
                <w:snapToGrid w:val="0"/>
                <w:color w:val="auto"/>
                <w:spacing w:val="-16"/>
                <w:kern w:val="21"/>
                <w:sz w:val="24"/>
                <w:szCs w:val="24"/>
              </w:rPr>
              <w:t>排放量（固</w:t>
            </w:r>
            <w:r>
              <w:rPr>
                <w:rFonts w:hint="default" w:ascii="Times New Roman" w:hAnsi="Times New Roman" w:eastAsia="黑体" w:cs="Times New Roman"/>
                <w:snapToGrid w:val="0"/>
                <w:color w:val="auto"/>
                <w:spacing w:val="-16"/>
                <w:kern w:val="21"/>
                <w:sz w:val="24"/>
                <w:szCs w:val="24"/>
              </w:rPr>
              <w:t>体</w:t>
            </w:r>
            <w:r>
              <w:rPr>
                <w:rFonts w:ascii="Times New Roman" w:hAnsi="Times New Roman" w:eastAsia="黑体" w:cs="Times New Roman"/>
                <w:snapToGrid w:val="0"/>
                <w:color w:val="auto"/>
                <w:spacing w:val="-16"/>
                <w:kern w:val="21"/>
                <w:sz w:val="24"/>
                <w:szCs w:val="24"/>
              </w:rPr>
              <w:t>废</w:t>
            </w:r>
            <w:r>
              <w:rPr>
                <w:rFonts w:hint="default" w:ascii="Times New Roman" w:hAnsi="Times New Roman" w:eastAsia="黑体" w:cs="Times New Roman"/>
                <w:snapToGrid w:val="0"/>
                <w:color w:val="auto"/>
                <w:spacing w:val="-16"/>
                <w:kern w:val="21"/>
                <w:sz w:val="24"/>
                <w:szCs w:val="24"/>
              </w:rPr>
              <w:t>物</w:t>
            </w:r>
            <w:r>
              <w:rPr>
                <w:rFonts w:ascii="Times New Roman" w:hAnsi="Times New Roman" w:eastAsia="黑体" w:cs="Times New Roman"/>
                <w:snapToGrid w:val="0"/>
                <w:color w:val="auto"/>
                <w:spacing w:val="-16"/>
                <w:kern w:val="21"/>
                <w:sz w:val="24"/>
                <w:szCs w:val="24"/>
              </w:rPr>
              <w:t>产生量）</w:t>
            </w:r>
            <w:r>
              <w:rPr>
                <w:rFonts w:ascii="Times New Roman" w:hAnsi="Times New Roman" w:eastAsia="黑体" w:cs="Times New Roman"/>
                <w:snapToGrid w:val="0"/>
                <w:color w:val="auto"/>
                <w:spacing w:val="-16"/>
                <w:kern w:val="21"/>
                <w:sz w:val="24"/>
                <w:szCs w:val="24"/>
              </w:rPr>
              <w:fldChar w:fldCharType="begin"/>
            </w:r>
            <w:r>
              <w:rPr>
                <w:rFonts w:ascii="Times New Roman" w:hAnsi="Times New Roman" w:eastAsia="黑体" w:cs="Times New Roman"/>
                <w:snapToGrid w:val="0"/>
                <w:color w:val="auto"/>
                <w:spacing w:val="-16"/>
                <w:kern w:val="21"/>
                <w:sz w:val="24"/>
                <w:szCs w:val="24"/>
              </w:rPr>
              <w:instrText xml:space="preserve"> = 6 \* GB3 \* MERGEFORMAT </w:instrText>
            </w:r>
            <w:r>
              <w:rPr>
                <w:rFonts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ascii="Times New Roman" w:hAnsi="Times New Roman" w:eastAsia="黑体" w:cs="Times New Roman"/>
                <w:snapToGrid w:val="0"/>
                <w:color w:val="auto"/>
                <w:spacing w:val="-16"/>
                <w:kern w:val="21"/>
                <w:sz w:val="24"/>
                <w:szCs w:val="24"/>
              </w:rPr>
              <w:fldChar w:fldCharType="end"/>
            </w:r>
          </w:p>
        </w:tc>
        <w:tc>
          <w:tcPr>
            <w:tcW w:w="1306" w:type="dxa"/>
            <w:tcMar>
              <w:left w:w="28" w:type="dxa"/>
              <w:right w:w="28" w:type="dxa"/>
            </w:tcMar>
            <w:vAlign w:val="center"/>
          </w:tcPr>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t>变化量</w:t>
            </w:r>
          </w:p>
          <w:p>
            <w:pPr>
              <w:pStyle w:val="32"/>
              <w:rPr>
                <w:rFonts w:ascii="Times New Roman" w:hAnsi="Times New Roman" w:eastAsia="黑体" w:cs="Times New Roman"/>
                <w:snapToGrid w:val="0"/>
                <w:color w:val="auto"/>
                <w:spacing w:val="-6"/>
                <w:kern w:val="21"/>
                <w:sz w:val="24"/>
                <w:szCs w:val="24"/>
              </w:rPr>
            </w:pPr>
            <w:r>
              <w:rPr>
                <w:rFonts w:ascii="Times New Roman" w:hAnsi="Times New Roman" w:eastAsia="黑体" w:cs="Times New Roman"/>
                <w:snapToGrid w:val="0"/>
                <w:color w:val="auto"/>
                <w:spacing w:val="-6"/>
                <w:kern w:val="21"/>
                <w:sz w:val="24"/>
                <w:szCs w:val="24"/>
              </w:rPr>
              <w:fldChar w:fldCharType="begin"/>
            </w:r>
            <w:r>
              <w:rPr>
                <w:rFonts w:ascii="Times New Roman" w:hAnsi="Times New Roman" w:eastAsia="黑体" w:cs="Times New Roman"/>
                <w:snapToGrid w:val="0"/>
                <w:color w:val="auto"/>
                <w:spacing w:val="-6"/>
                <w:kern w:val="21"/>
                <w:sz w:val="24"/>
                <w:szCs w:val="24"/>
              </w:rPr>
              <w:instrText xml:space="preserve"> = 7 \* GB3 \* MERGEFORMAT </w:instrText>
            </w:r>
            <w:r>
              <w:rPr>
                <w:rFonts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废气</w:t>
            </w:r>
          </w:p>
        </w:tc>
        <w:tc>
          <w:tcPr>
            <w:tcW w:w="1596" w:type="dxa"/>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颗粒物</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+2.</w:t>
            </w:r>
            <w:r>
              <w:rPr>
                <w:rFonts w:hint="eastAsia" w:ascii="Times New Roman" w:hAnsi="Times New Roman" w:cs="Times New Roman"/>
                <w:snapToGrid w:val="0"/>
                <w:color w:val="auto"/>
                <w:kern w:val="21"/>
                <w:sz w:val="24"/>
                <w:szCs w:val="24"/>
                <w:lang w:val="en-US" w:eastAsia="zh-CN"/>
              </w:rPr>
              <w:t>2</w:t>
            </w:r>
            <w:r>
              <w:rPr>
                <w:rFonts w:hint="default" w:ascii="Times New Roman" w:hAnsi="Times New Roman" w:cs="Times New Roman"/>
                <w:snapToGrid w:val="0"/>
                <w:color w:val="auto"/>
                <w:kern w:val="21"/>
                <w:sz w:val="24"/>
                <w:szCs w:val="24"/>
                <w:lang w:val="en-US" w:eastAsia="zh-CN"/>
              </w:rPr>
              <w:t>5</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2"/>
              <w:rPr>
                <w:rFonts w:ascii="Times New Roman" w:hAnsi="Times New Roman" w:cs="Times New Roman"/>
                <w:snapToGrid w:val="0"/>
                <w:color w:val="auto"/>
                <w:kern w:val="21"/>
                <w:sz w:val="24"/>
                <w:szCs w:val="24"/>
              </w:rPr>
            </w:pPr>
          </w:p>
        </w:tc>
        <w:tc>
          <w:tcPr>
            <w:tcW w:w="1596" w:type="dxa"/>
            <w:vAlign w:val="center"/>
          </w:tcPr>
          <w:p>
            <w:pPr>
              <w:widowControl/>
              <w:jc w:val="center"/>
              <w:textAlignment w:val="center"/>
              <w:rPr>
                <w:rFonts w:ascii="Times New Roman" w:hAnsi="Times New Roman" w:cs="Times New Roman"/>
                <w:snapToGrid w:val="0"/>
                <w:color w:val="auto"/>
                <w:kern w:val="21"/>
                <w:sz w:val="24"/>
                <w:szCs w:val="24"/>
                <w:u w:color="FF0000"/>
              </w:rPr>
            </w:pPr>
            <w:r>
              <w:rPr>
                <w:rFonts w:ascii="Times New Roman" w:hAnsi="Times New Roman" w:cs="Times New Roman"/>
                <w:color w:val="auto"/>
                <w:sz w:val="24"/>
                <w:szCs w:val="24"/>
                <w:u w:color="FF0000"/>
                <w:lang w:bidi="ar"/>
              </w:rPr>
              <w:t>SO</w:t>
            </w:r>
            <w:r>
              <w:rPr>
                <w:rFonts w:ascii="Times New Roman" w:hAnsi="Times New Roman" w:cs="Times New Roman"/>
                <w:color w:val="auto"/>
                <w:sz w:val="24"/>
                <w:szCs w:val="24"/>
                <w:u w:color="FF0000"/>
                <w:vertAlign w:val="subscript"/>
                <w:lang w:bidi="ar"/>
              </w:rPr>
              <w:t>2</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.462</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0008</w:t>
            </w:r>
            <w:r>
              <w:rPr>
                <w:rFonts w:ascii="Times New Roman" w:hAnsi="Times New Roman" w:cs="Times New Roman"/>
                <w:color w:val="auto"/>
                <w:sz w:val="24"/>
                <w:szCs w:val="24"/>
              </w:rPr>
              <w:t>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.462</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0008/</w:t>
            </w:r>
            <w:r>
              <w:rPr>
                <w:rFonts w:ascii="Times New Roman" w:hAnsi="Times New Roman" w:cs="Times New Roman"/>
                <w:color w:val="auto"/>
                <w:sz w:val="24"/>
                <w:szCs w:val="24"/>
              </w:rPr>
              <w:t>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-0.4612</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2"/>
              <w:rPr>
                <w:rFonts w:ascii="Times New Roman" w:hAnsi="Times New Roman" w:cs="Times New Roman"/>
                <w:snapToGrid w:val="0"/>
                <w:color w:val="auto"/>
                <w:kern w:val="21"/>
                <w:sz w:val="24"/>
                <w:szCs w:val="24"/>
              </w:rPr>
            </w:pPr>
          </w:p>
        </w:tc>
        <w:tc>
          <w:tcPr>
            <w:tcW w:w="1596" w:type="dxa"/>
            <w:vAlign w:val="center"/>
          </w:tcPr>
          <w:p>
            <w:pPr>
              <w:widowControl/>
              <w:jc w:val="center"/>
              <w:textAlignment w:val="center"/>
              <w:rPr>
                <w:rFonts w:ascii="Times New Roman" w:hAnsi="Times New Roman" w:cs="Times New Roman"/>
                <w:snapToGrid w:val="0"/>
                <w:color w:val="auto"/>
                <w:kern w:val="21"/>
                <w:sz w:val="24"/>
                <w:szCs w:val="24"/>
                <w:u w:color="FF0000"/>
              </w:rPr>
            </w:pPr>
            <w:r>
              <w:rPr>
                <w:rFonts w:ascii="Times New Roman" w:hAnsi="Times New Roman" w:cs="Times New Roman"/>
                <w:color w:val="auto"/>
                <w:sz w:val="24"/>
                <w:szCs w:val="24"/>
                <w:u w:color="FF0000"/>
                <w:lang w:bidi="ar"/>
              </w:rPr>
              <w:t>NOx</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14</w:t>
            </w:r>
            <w:r>
              <w:rPr>
                <w:rFonts w:ascii="Times New Roman" w:hAnsi="Times New Roman" w:cs="Times New Roman"/>
                <w:color w:val="auto"/>
                <w:sz w:val="24"/>
                <w:szCs w:val="24"/>
              </w:rPr>
              <w:t>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.07</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14</w:t>
            </w:r>
            <w:r>
              <w:rPr>
                <w:rFonts w:ascii="Times New Roman" w:hAnsi="Times New Roman" w:cs="Times New Roman"/>
                <w:color w:val="auto"/>
                <w:sz w:val="24"/>
                <w:szCs w:val="24"/>
              </w:rPr>
              <w:t>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-0.056</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废水</w:t>
            </w:r>
          </w:p>
        </w:tc>
        <w:tc>
          <w:tcPr>
            <w:tcW w:w="1596" w:type="dxa"/>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COD</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rPr>
              <w:t>12t/a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rPr>
              <w:t>12t/a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-0.188</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2"/>
              <w:rPr>
                <w:rFonts w:ascii="Times New Roman" w:hAnsi="Times New Roman" w:cs="Times New Roman"/>
                <w:snapToGrid w:val="0"/>
                <w:color w:val="auto"/>
                <w:kern w:val="21"/>
                <w:sz w:val="24"/>
                <w:szCs w:val="24"/>
              </w:rPr>
            </w:pPr>
          </w:p>
        </w:tc>
        <w:tc>
          <w:tcPr>
            <w:tcW w:w="1596" w:type="dxa"/>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氨氮</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0.00</w:t>
            </w:r>
            <w:r>
              <w:rPr>
                <w:rFonts w:hint="default" w:ascii="Times New Roman" w:hAnsi="Times New Roman" w:cs="Times New Roman"/>
                <w:color w:val="auto"/>
                <w:sz w:val="24"/>
                <w:szCs w:val="24"/>
              </w:rPr>
              <w:t>12t/a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.03</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0.00</w:t>
            </w:r>
            <w:r>
              <w:rPr>
                <w:rFonts w:hint="default" w:ascii="Times New Roman" w:hAnsi="Times New Roman" w:cs="Times New Roman"/>
                <w:color w:val="auto"/>
                <w:sz w:val="24"/>
                <w:szCs w:val="24"/>
              </w:rPr>
              <w:t>12t/a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-0.0288</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一般工业</w:t>
            </w:r>
          </w:p>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固体废物</w:t>
            </w:r>
          </w:p>
        </w:tc>
        <w:tc>
          <w:tcPr>
            <w:tcW w:w="1596" w:type="dxa"/>
            <w:vAlign w:val="center"/>
          </w:tcPr>
          <w:p>
            <w:pPr>
              <w:widowControl/>
              <w:autoSpaceDE/>
              <w:autoSpaceDN/>
              <w:jc w:val="center"/>
              <w:textAlignment w:val="center"/>
              <w:rPr>
                <w:rFonts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生活垃圾</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14.52</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hint="default" w:ascii="Times New Roman" w:hAnsi="Times New Roman" w:cs="Times New Roman"/>
                <w:color w:val="auto"/>
                <w:sz w:val="24"/>
                <w:szCs w:val="24"/>
              </w:rPr>
              <w:t>3t/a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rPr>
              <w:t>14.52</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hint="default" w:ascii="Times New Roman" w:hAnsi="Times New Roman" w:cs="Times New Roman"/>
                <w:color w:val="auto"/>
                <w:sz w:val="24"/>
                <w:szCs w:val="24"/>
              </w:rPr>
              <w:t>3t/a</w:t>
            </w:r>
          </w:p>
        </w:tc>
        <w:tc>
          <w:tcPr>
            <w:tcW w:w="1306" w:type="dxa"/>
            <w:vAlign w:val="center"/>
          </w:tcPr>
          <w:p>
            <w:pPr>
              <w:autoSpaceDE/>
              <w:autoSpaceDN/>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-11.52</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2"/>
              <w:rPr>
                <w:rFonts w:ascii="Times New Roman" w:hAnsi="Times New Roman" w:cs="Times New Roman"/>
                <w:snapToGrid w:val="0"/>
                <w:color w:val="auto"/>
                <w:kern w:val="21"/>
                <w:sz w:val="24"/>
                <w:szCs w:val="24"/>
              </w:rPr>
            </w:pPr>
          </w:p>
        </w:tc>
        <w:tc>
          <w:tcPr>
            <w:tcW w:w="1596" w:type="dxa"/>
            <w:vAlign w:val="center"/>
          </w:tcPr>
          <w:p>
            <w:pPr>
              <w:widowControl/>
              <w:autoSpaceDE/>
              <w:autoSpaceDN/>
              <w:adjustRightInd/>
              <w:snapToGrid/>
              <w:jc w:val="center"/>
              <w:textAlignment w:val="center"/>
              <w:rPr>
                <w:rFonts w:hint="default" w:ascii="Times New Roman" w:hAnsi="Times New Roman" w:cs="Times New Roman"/>
                <w:bCs w:val="0"/>
                <w:color w:val="auto"/>
                <w:spacing w:val="0"/>
                <w:sz w:val="24"/>
                <w:szCs w:val="24"/>
                <w:lang w:val="en-US" w:eastAsia="zh-CN"/>
              </w:rPr>
            </w:pPr>
            <w:r>
              <w:rPr>
                <w:rFonts w:hint="default" w:ascii="Times New Roman" w:hAnsi="Times New Roman" w:cs="Times New Roman"/>
                <w:bCs w:val="0"/>
                <w:color w:val="auto"/>
                <w:spacing w:val="0"/>
                <w:sz w:val="24"/>
                <w:szCs w:val="24"/>
                <w:lang w:val="en-US" w:eastAsia="zh-CN"/>
              </w:rPr>
              <w:t>废钢筋</w:t>
            </w:r>
          </w:p>
        </w:tc>
        <w:tc>
          <w:tcPr>
            <w:tcW w:w="1522" w:type="dxa"/>
            <w:vAlign w:val="center"/>
          </w:tcPr>
          <w:p>
            <w:pPr>
              <w:widowControl/>
              <w:autoSpaceDE/>
              <w:autoSpaceDN/>
              <w:adjustRightInd/>
              <w:snapToGrid/>
              <w:jc w:val="center"/>
              <w:textAlignment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szCs w:val="24"/>
              </w:rPr>
              <w:t>0t/a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p>
        </w:tc>
        <w:tc>
          <w:tcPr>
            <w:tcW w:w="1468" w:type="dxa"/>
            <w:vAlign w:val="center"/>
          </w:tcPr>
          <w:p>
            <w:pPr>
              <w:widowControl/>
              <w:autoSpaceDE/>
              <w:autoSpaceDN/>
              <w:adjustRightInd/>
              <w:snapToGrid/>
              <w:jc w:val="center"/>
              <w:textAlignment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szCs w:val="24"/>
              </w:rPr>
              <w:t>0t/a</w:t>
            </w:r>
          </w:p>
        </w:tc>
        <w:tc>
          <w:tcPr>
            <w:tcW w:w="1772" w:type="dxa"/>
            <w:vAlign w:val="center"/>
          </w:tcPr>
          <w:p>
            <w:pPr>
              <w:widowControl/>
              <w:autoSpaceDE/>
              <w:autoSpaceDN/>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p>
        </w:tc>
        <w:tc>
          <w:tcPr>
            <w:tcW w:w="1306" w:type="dxa"/>
            <w:vAlign w:val="center"/>
          </w:tcPr>
          <w:p>
            <w:pPr>
              <w:widowControl/>
              <w:autoSpaceDE/>
              <w:autoSpaceDN/>
              <w:adjustRightInd/>
              <w:snapToGrid/>
              <w:jc w:val="center"/>
              <w:textAlignment w:val="center"/>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pPr>
              <w:pStyle w:val="32"/>
              <w:rPr>
                <w:rFonts w:ascii="Times New Roman" w:hAnsi="Times New Roman" w:cs="Times New Roman"/>
                <w:snapToGrid w:val="0"/>
                <w:color w:val="auto"/>
                <w:kern w:val="21"/>
                <w:sz w:val="24"/>
                <w:szCs w:val="24"/>
              </w:rPr>
            </w:pPr>
          </w:p>
        </w:tc>
        <w:tc>
          <w:tcPr>
            <w:tcW w:w="1596" w:type="dxa"/>
            <w:vAlign w:val="center"/>
          </w:tcPr>
          <w:p>
            <w:pPr>
              <w:widowControl/>
              <w:autoSpaceDE/>
              <w:autoSpaceDN/>
              <w:jc w:val="center"/>
              <w:textAlignment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不合格产品</w:t>
            </w:r>
          </w:p>
        </w:tc>
        <w:tc>
          <w:tcPr>
            <w:tcW w:w="1522" w:type="dxa"/>
            <w:vAlign w:val="center"/>
          </w:tcPr>
          <w:p>
            <w:pPr>
              <w:widowControl/>
              <w:autoSpaceDE/>
              <w:autoSpaceDN/>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0t/a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0t/a</w:t>
            </w:r>
          </w:p>
        </w:tc>
        <w:tc>
          <w:tcPr>
            <w:tcW w:w="1468" w:type="dxa"/>
            <w:vAlign w:val="center"/>
          </w:tcPr>
          <w:p>
            <w:pPr>
              <w:widowControl/>
              <w:autoSpaceDE/>
              <w:autoSpaceDN/>
              <w:jc w:val="center"/>
              <w:textAlignment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rPr>
              <w:t>0t/a</w:t>
            </w:r>
          </w:p>
        </w:tc>
        <w:tc>
          <w:tcPr>
            <w:tcW w:w="1772" w:type="dxa"/>
            <w:vAlign w:val="center"/>
          </w:tcPr>
          <w:p>
            <w:pPr>
              <w:widowControl/>
              <w:autoSpaceDE/>
              <w:autoSpaceDN/>
              <w:jc w:val="center"/>
              <w:textAlignment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0t/a</w:t>
            </w:r>
          </w:p>
        </w:tc>
        <w:tc>
          <w:tcPr>
            <w:tcW w:w="1306" w:type="dxa"/>
            <w:vAlign w:val="center"/>
          </w:tcPr>
          <w:p>
            <w:pPr>
              <w:widowControl/>
              <w:autoSpaceDE/>
              <w:autoSpaceDN/>
              <w:jc w:val="center"/>
              <w:textAlignment w:val="center"/>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pPr>
              <w:pStyle w:val="32"/>
              <w:rPr>
                <w:rFonts w:ascii="Times New Roman" w:hAnsi="Times New Roman" w:cs="Times New Roman"/>
                <w:snapToGrid w:val="0"/>
                <w:color w:val="auto"/>
                <w:kern w:val="21"/>
                <w:sz w:val="24"/>
                <w:szCs w:val="24"/>
              </w:rPr>
            </w:pPr>
            <w:r>
              <w:rPr>
                <w:rFonts w:hint="default" w:ascii="Times New Roman" w:hAnsi="Times New Roman" w:cs="Times New Roman"/>
                <w:snapToGrid w:val="0"/>
                <w:color w:val="auto"/>
                <w:kern w:val="21"/>
                <w:sz w:val="24"/>
                <w:szCs w:val="24"/>
              </w:rPr>
              <w:t>危险废物</w:t>
            </w:r>
          </w:p>
        </w:tc>
        <w:tc>
          <w:tcPr>
            <w:tcW w:w="1596" w:type="dxa"/>
            <w:vAlign w:val="center"/>
          </w:tcPr>
          <w:p>
            <w:pPr>
              <w:widowControl/>
              <w:autoSpaceDE/>
              <w:autoSpaceDN/>
              <w:jc w:val="center"/>
              <w:textAlignment w:val="center"/>
              <w:rPr>
                <w:rFonts w:ascii="Times New Roman" w:hAnsi="Times New Roman" w:cs="Times New Roman"/>
                <w:snapToGrid w:val="0"/>
                <w:color w:val="auto"/>
                <w:kern w:val="21"/>
                <w:sz w:val="24"/>
                <w:szCs w:val="24"/>
              </w:rPr>
            </w:pPr>
            <w:r>
              <w:rPr>
                <w:rFonts w:hint="default" w:ascii="Times New Roman" w:hAnsi="Times New Roman" w:cs="Times New Roman"/>
                <w:color w:val="auto"/>
                <w:sz w:val="24"/>
                <w:szCs w:val="24"/>
              </w:rPr>
              <w:t>废润滑油</w:t>
            </w:r>
          </w:p>
        </w:tc>
        <w:tc>
          <w:tcPr>
            <w:tcW w:w="152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w:t>
            </w:r>
            <w:r>
              <w:rPr>
                <w:rFonts w:hint="default" w:ascii="Times New Roman" w:hAnsi="Times New Roman" w:cs="Times New Roman"/>
                <w:color w:val="auto"/>
                <w:sz w:val="24"/>
                <w:szCs w:val="24"/>
              </w:rPr>
              <w:t>t/a</w:t>
            </w:r>
          </w:p>
        </w:tc>
        <w:tc>
          <w:tcPr>
            <w:tcW w:w="1276" w:type="dxa"/>
            <w:vAlign w:val="center"/>
          </w:tcPr>
          <w:p>
            <w:pPr>
              <w:widowControl/>
              <w:autoSpaceDE/>
              <w:autoSpaceDN/>
              <w:jc w:val="center"/>
              <w:textAlignment w:val="center"/>
              <w:rPr>
                <w:rFonts w:ascii="Times New Roman" w:hAnsi="Times New Roman" w:cs="Times New Roman"/>
                <w:color w:val="auto"/>
                <w:sz w:val="24"/>
                <w:szCs w:val="24"/>
              </w:rPr>
            </w:pPr>
          </w:p>
        </w:tc>
        <w:tc>
          <w:tcPr>
            <w:tcW w:w="1701" w:type="dxa"/>
            <w:vAlign w:val="center"/>
          </w:tcPr>
          <w:p>
            <w:pPr>
              <w:widowControl/>
              <w:autoSpaceDE/>
              <w:autoSpaceDN/>
              <w:jc w:val="center"/>
              <w:textAlignment w:val="center"/>
              <w:rPr>
                <w:rFonts w:ascii="Times New Roman" w:hAnsi="Times New Roman" w:cs="Times New Roman"/>
                <w:color w:val="auto"/>
                <w:sz w:val="24"/>
                <w:szCs w:val="24"/>
              </w:rPr>
            </w:pPr>
          </w:p>
        </w:tc>
        <w:tc>
          <w:tcPr>
            <w:tcW w:w="1559"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t/a</w:t>
            </w:r>
          </w:p>
        </w:tc>
        <w:tc>
          <w:tcPr>
            <w:tcW w:w="1468"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ascii="Times New Roman" w:hAnsi="Times New Roman" w:cs="Times New Roman"/>
                <w:color w:val="auto"/>
                <w:sz w:val="24"/>
                <w:szCs w:val="24"/>
              </w:rPr>
              <w:t>0</w:t>
            </w:r>
            <w:r>
              <w:rPr>
                <w:rFonts w:hint="default" w:ascii="Times New Roman" w:hAnsi="Times New Roman" w:cs="Times New Roman"/>
                <w:color w:val="auto"/>
                <w:sz w:val="24"/>
                <w:szCs w:val="24"/>
              </w:rPr>
              <w:t>t/a</w:t>
            </w:r>
          </w:p>
        </w:tc>
        <w:tc>
          <w:tcPr>
            <w:tcW w:w="1772" w:type="dxa"/>
            <w:vAlign w:val="center"/>
          </w:tcPr>
          <w:p>
            <w:pPr>
              <w:widowControl/>
              <w:autoSpaceDE/>
              <w:autoSpaceDN/>
              <w:jc w:val="center"/>
              <w:textAlignment w:val="center"/>
              <w:rPr>
                <w:rFonts w:ascii="Times New Roman" w:hAnsi="Times New Roman" w:cs="Times New Roman"/>
                <w:color w:val="auto"/>
                <w:sz w:val="24"/>
                <w:szCs w:val="24"/>
              </w:rPr>
            </w:pPr>
            <w:r>
              <w:rPr>
                <w:rFonts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t/a</w:t>
            </w:r>
          </w:p>
        </w:tc>
        <w:tc>
          <w:tcPr>
            <w:tcW w:w="1306" w:type="dxa"/>
            <w:vAlign w:val="center"/>
          </w:tcPr>
          <w:p>
            <w:pPr>
              <w:widowControl/>
              <w:autoSpaceDE/>
              <w:autoSpaceDN/>
              <w:jc w:val="center"/>
              <w:textAlignment w:val="center"/>
              <w:rPr>
                <w:rFonts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szCs w:val="24"/>
                <w:lang w:val="en-US" w:eastAsia="zh-CN"/>
              </w:rPr>
              <w:t>+</w:t>
            </w:r>
            <w:r>
              <w:rPr>
                <w:rFonts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t/a</w:t>
            </w:r>
          </w:p>
        </w:tc>
      </w:tr>
    </w:tbl>
    <w:p>
      <w:pPr>
        <w:pStyle w:val="32"/>
        <w:spacing w:before="255" w:beforeLines="80" w:after="24"/>
        <w:jc w:val="left"/>
        <w:rPr>
          <w:rFonts w:ascii="Times New Roman" w:hAnsi="Times New Roman" w:cs="Times New Roman"/>
          <w:snapToGrid w:val="0"/>
          <w:color w:val="auto"/>
          <w:spacing w:val="-6"/>
          <w:kern w:val="21"/>
          <w:szCs w:val="21"/>
        </w:rPr>
      </w:pPr>
      <w:r>
        <w:rPr>
          <w:rFonts w:ascii="Times New Roman" w:hAnsi="Times New Roman" w:cs="Times New Roman"/>
          <w:snapToGrid w:val="0"/>
          <w:color w:val="auto"/>
          <w:kern w:val="21"/>
          <w:szCs w:val="21"/>
        </w:rPr>
        <w:t>注：</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3 \* GB3 \* MERGEFORMAT </w:instrText>
      </w:r>
      <w:r>
        <w:rPr>
          <w:rFonts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4 \* GB3 \* MERGEFORMAT </w:instrText>
      </w:r>
      <w:r>
        <w:rPr>
          <w:rFonts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5 \* GB3 \* MERGEFORMAT </w:instrText>
      </w:r>
      <w:r>
        <w:rPr>
          <w:rFonts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7 \* GB3 \* MERGEFORMAT </w:instrText>
      </w:r>
      <w:r>
        <w:rPr>
          <w:rFonts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ascii="Times New Roman" w:hAnsi="Times New Roman" w:cs="Times New Roman"/>
          <w:snapToGrid w:val="0"/>
          <w:color w:val="auto"/>
          <w:spacing w:val="-6"/>
          <w:kern w:val="21"/>
          <w:szCs w:val="21"/>
        </w:rPr>
        <w:fldChar w:fldCharType="end"/>
      </w:r>
      <w:r>
        <w:rPr>
          <w:rFonts w:ascii="Times New Roman" w:hAnsi="Times New Roman" w:cs="Times New Roman"/>
          <w:snapToGrid w:val="0"/>
          <w:color w:val="auto"/>
          <w:spacing w:val="-6"/>
          <w:kern w:val="21"/>
          <w:szCs w:val="21"/>
        </w:rPr>
        <w:t>=</w:t>
      </w:r>
      <w:r>
        <w:rPr>
          <w:rFonts w:ascii="Times New Roman" w:hAnsi="Times New Roman" w:cs="Times New Roman"/>
          <w:snapToGrid w:val="0"/>
          <w:color w:val="auto"/>
          <w:spacing w:val="-16"/>
          <w:kern w:val="21"/>
          <w:szCs w:val="21"/>
        </w:rPr>
        <w:fldChar w:fldCharType="begin"/>
      </w:r>
      <w:r>
        <w:rPr>
          <w:rFonts w:ascii="Times New Roman" w:hAnsi="Times New Roman" w:cs="Times New Roman"/>
          <w:snapToGrid w:val="0"/>
          <w:color w:val="auto"/>
          <w:spacing w:val="-16"/>
          <w:kern w:val="21"/>
          <w:szCs w:val="21"/>
        </w:rPr>
        <w:instrText xml:space="preserve"> = 6 \* GB3 \* MERGEFORMAT </w:instrText>
      </w:r>
      <w:r>
        <w:rPr>
          <w:rFonts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ascii="Times New Roman" w:hAnsi="Times New Roman" w:cs="Times New Roman"/>
          <w:snapToGrid w:val="0"/>
          <w:color w:val="auto"/>
          <w:spacing w:val="-16"/>
          <w:kern w:val="21"/>
          <w:szCs w:val="21"/>
        </w:rPr>
        <w:fldChar w:fldCharType="end"/>
      </w:r>
      <w:r>
        <w:rPr>
          <w:rFonts w:ascii="Times New Roman" w:hAnsi="Times New Roman" w:cs="Times New Roman"/>
          <w:snapToGrid w:val="0"/>
          <w:color w:val="auto"/>
          <w:spacing w:val="-16"/>
          <w:kern w:val="21"/>
          <w:szCs w:val="21"/>
        </w:rPr>
        <w:t>-</w:t>
      </w:r>
      <w:r>
        <w:rPr>
          <w:rFonts w:ascii="Times New Roman" w:hAnsi="Times New Roman" w:cs="Times New Roman"/>
          <w:snapToGrid w:val="0"/>
          <w:color w:val="auto"/>
          <w:spacing w:val="-6"/>
          <w:kern w:val="21"/>
          <w:szCs w:val="21"/>
        </w:rPr>
        <w:fldChar w:fldCharType="begin"/>
      </w:r>
      <w:r>
        <w:rPr>
          <w:rFonts w:ascii="Times New Roman" w:hAnsi="Times New Roman" w:cs="Times New Roman"/>
          <w:snapToGrid w:val="0"/>
          <w:color w:val="auto"/>
          <w:spacing w:val="-6"/>
          <w:kern w:val="21"/>
          <w:szCs w:val="21"/>
        </w:rPr>
        <w:instrText xml:space="preserve"> = 1 \* GB3 \* MERGEFORMAT </w:instrText>
      </w:r>
      <w:r>
        <w:rPr>
          <w:rFonts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ascii="Times New Roman" w:hAnsi="Times New Roman" w:cs="Times New Roman"/>
          <w:snapToGrid w:val="0"/>
          <w:color w:val="auto"/>
          <w:spacing w:val="-6"/>
          <w:kern w:val="21"/>
          <w:szCs w:val="21"/>
        </w:rPr>
        <w:fldChar w:fldCharType="end"/>
      </w:r>
    </w:p>
    <w:p>
      <w:pPr>
        <w:rPr>
          <w:rFonts w:ascii="Times New Roman" w:hAnsi="Times New Roman" w:eastAsia="黑体" w:cs="Times New Roman"/>
          <w:color w:val="auto"/>
        </w:rPr>
      </w:pPr>
    </w:p>
    <w:p>
      <w:pPr>
        <w:rPr>
          <w:rFonts w:ascii="Times New Roman" w:hAnsi="Times New Roman" w:cs="Times New Roman"/>
          <w:color w:val="auto"/>
        </w:rPr>
      </w:pPr>
    </w:p>
    <w:p>
      <w:pPr>
        <w:rPr>
          <w:rFonts w:ascii="Times New Roman" w:hAnsi="Times New Roman" w:cs="Times New Roman"/>
          <w:color w:val="auto"/>
        </w:rPr>
      </w:pPr>
    </w:p>
    <w:p>
      <w:pPr>
        <w:rPr>
          <w:rFonts w:ascii="Times New Roman" w:hAnsi="Times New Roman" w:cs="Times New Roman"/>
          <w:color w:val="auto"/>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方正小标宋_GBK">
    <w:altName w:val="微软雅黑"/>
    <w:panose1 w:val="02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8"/>
      </w:rPr>
    </w:pPr>
    <w:r>
      <w:fldChar w:fldCharType="begin"/>
    </w:r>
    <w:r>
      <w:rPr>
        <w:rStyle w:val="28"/>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7BE61"/>
    <w:multiLevelType w:val="singleLevel"/>
    <w:tmpl w:val="9527BE61"/>
    <w:lvl w:ilvl="0" w:tentative="0">
      <w:start w:val="1"/>
      <w:numFmt w:val="decimal"/>
      <w:suff w:val="nothing"/>
      <w:lvlText w:val="%1、"/>
      <w:lvlJc w:val="left"/>
    </w:lvl>
  </w:abstractNum>
  <w:abstractNum w:abstractNumId="1">
    <w:nsid w:val="B4DE7858"/>
    <w:multiLevelType w:val="singleLevel"/>
    <w:tmpl w:val="B4DE7858"/>
    <w:lvl w:ilvl="0" w:tentative="0">
      <w:start w:val="4"/>
      <w:numFmt w:val="decimal"/>
      <w:suff w:val="nothing"/>
      <w:lvlText w:val="（%1）"/>
      <w:lvlJc w:val="left"/>
    </w:lvl>
  </w:abstractNum>
  <w:abstractNum w:abstractNumId="2">
    <w:nsid w:val="00000002"/>
    <w:multiLevelType w:val="singleLevel"/>
    <w:tmpl w:val="00000002"/>
    <w:lvl w:ilvl="0" w:tentative="0">
      <w:start w:val="1"/>
      <w:numFmt w:val="chineseCounting"/>
      <w:suff w:val="nothing"/>
      <w:lvlText w:val="%1、"/>
      <w:lvlJc w:val="left"/>
      <w:rPr>
        <w:rFonts w:hint="eastAsia"/>
        <w:b w:val="0"/>
        <w:bCs w:val="0"/>
        <w:sz w:val="32"/>
        <w:szCs w:val="32"/>
      </w:rPr>
    </w:lvl>
  </w:abstractNum>
  <w:abstractNum w:abstractNumId="3">
    <w:nsid w:val="00000004"/>
    <w:multiLevelType w:val="singleLevel"/>
    <w:tmpl w:val="00000004"/>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4">
    <w:nsid w:val="00000005"/>
    <w:multiLevelType w:val="multilevel"/>
    <w:tmpl w:val="00000005"/>
    <w:lvl w:ilvl="0" w:tentative="0">
      <w:start w:val="1"/>
      <w:numFmt w:val="decimalEnclosedCircle"/>
      <w:pStyle w:val="15"/>
      <w:lvlText w:val="%1"/>
      <w:lvlJc w:val="left"/>
      <w:pPr>
        <w:ind w:left="360" w:hanging="360"/>
      </w:pPr>
      <w:rPr>
        <w:rFonts w:hint="default" w:asci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singleLevel"/>
    <w:tmpl w:val="00000006"/>
    <w:lvl w:ilvl="0" w:tentative="0">
      <w:start w:val="3"/>
      <w:numFmt w:val="decimal"/>
      <w:suff w:val="nothing"/>
      <w:lvlText w:val="%1、"/>
      <w:lvlJc w:val="left"/>
      <w:rPr>
        <w:rFonts w:hint="default"/>
        <w:b/>
        <w:bCs/>
      </w:rPr>
    </w:lvl>
  </w:abstractNum>
  <w:abstractNum w:abstractNumId="6">
    <w:nsid w:val="00000007"/>
    <w:multiLevelType w:val="singleLevel"/>
    <w:tmpl w:val="00000007"/>
    <w:lvl w:ilvl="0" w:tentative="0">
      <w:start w:val="1"/>
      <w:numFmt w:val="upperLetter"/>
      <w:suff w:val="nothing"/>
      <w:lvlText w:val="%1，"/>
      <w:lvlJc w:val="left"/>
      <w:pPr>
        <w:ind w:left="120" w:firstLine="0"/>
      </w:pPr>
    </w:lvl>
  </w:abstractNum>
  <w:abstractNum w:abstractNumId="7">
    <w:nsid w:val="7EBB94FE"/>
    <w:multiLevelType w:val="singleLevel"/>
    <w:tmpl w:val="7EBB94FE"/>
    <w:lvl w:ilvl="0" w:tentative="0">
      <w:start w:val="1"/>
      <w:numFmt w:val="decimal"/>
      <w:suff w:val="nothing"/>
      <w:lvlText w:val="%1、"/>
      <w:lvlJc w:val="left"/>
    </w:lvl>
  </w:abstractNum>
  <w:num w:numId="1">
    <w:abstractNumId w:val="3"/>
  </w:num>
  <w:num w:numId="2">
    <w:abstractNumId w:val="4"/>
  </w:num>
  <w:num w:numId="3">
    <w:abstractNumId w:val="2"/>
  </w:num>
  <w:num w:numId="4">
    <w:abstractNumId w:val="0"/>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wZmU0OWM3YzFjNjFlZmVhNmE4MTNkMjc3M2Q4NWQifQ=="/>
  </w:docVars>
  <w:rsids>
    <w:rsidRoot w:val="00FD6EF1"/>
    <w:rsid w:val="000118A6"/>
    <w:rsid w:val="00055863"/>
    <w:rsid w:val="00066EBC"/>
    <w:rsid w:val="001205AF"/>
    <w:rsid w:val="00303F39"/>
    <w:rsid w:val="0034632C"/>
    <w:rsid w:val="00351550"/>
    <w:rsid w:val="00384B9C"/>
    <w:rsid w:val="003F0CC8"/>
    <w:rsid w:val="004479E5"/>
    <w:rsid w:val="00540850"/>
    <w:rsid w:val="005714C6"/>
    <w:rsid w:val="005B3885"/>
    <w:rsid w:val="00615EA1"/>
    <w:rsid w:val="00744B35"/>
    <w:rsid w:val="00755DF0"/>
    <w:rsid w:val="00760844"/>
    <w:rsid w:val="007A6D58"/>
    <w:rsid w:val="0083050D"/>
    <w:rsid w:val="0087167F"/>
    <w:rsid w:val="009444C8"/>
    <w:rsid w:val="00964709"/>
    <w:rsid w:val="00997D30"/>
    <w:rsid w:val="009B7E83"/>
    <w:rsid w:val="00A16BE5"/>
    <w:rsid w:val="00A173B1"/>
    <w:rsid w:val="00A41D88"/>
    <w:rsid w:val="00AA1229"/>
    <w:rsid w:val="00AE7283"/>
    <w:rsid w:val="00B00A25"/>
    <w:rsid w:val="00B234C9"/>
    <w:rsid w:val="00B561ED"/>
    <w:rsid w:val="00B701B7"/>
    <w:rsid w:val="00B96D8C"/>
    <w:rsid w:val="00C528D4"/>
    <w:rsid w:val="00D0244F"/>
    <w:rsid w:val="00D50354"/>
    <w:rsid w:val="00D65C81"/>
    <w:rsid w:val="00D9637F"/>
    <w:rsid w:val="00E344DC"/>
    <w:rsid w:val="00F27223"/>
    <w:rsid w:val="00F431B9"/>
    <w:rsid w:val="00F72CA9"/>
    <w:rsid w:val="00FD6EF1"/>
    <w:rsid w:val="01057174"/>
    <w:rsid w:val="010613AE"/>
    <w:rsid w:val="012313A8"/>
    <w:rsid w:val="01233A9E"/>
    <w:rsid w:val="01253372"/>
    <w:rsid w:val="01323CE1"/>
    <w:rsid w:val="0136557F"/>
    <w:rsid w:val="01390BCC"/>
    <w:rsid w:val="0159126E"/>
    <w:rsid w:val="015B6D94"/>
    <w:rsid w:val="01606F0F"/>
    <w:rsid w:val="01687703"/>
    <w:rsid w:val="01704B2B"/>
    <w:rsid w:val="01710365"/>
    <w:rsid w:val="01730582"/>
    <w:rsid w:val="018E7B86"/>
    <w:rsid w:val="01A52705"/>
    <w:rsid w:val="01A56261"/>
    <w:rsid w:val="01B14C06"/>
    <w:rsid w:val="01B666C0"/>
    <w:rsid w:val="01BA077C"/>
    <w:rsid w:val="01BB3CD7"/>
    <w:rsid w:val="01C0309B"/>
    <w:rsid w:val="01C0753F"/>
    <w:rsid w:val="01D60B10"/>
    <w:rsid w:val="01EA636A"/>
    <w:rsid w:val="01EB45BC"/>
    <w:rsid w:val="01F2799D"/>
    <w:rsid w:val="01F3521E"/>
    <w:rsid w:val="01F82835"/>
    <w:rsid w:val="01F8423D"/>
    <w:rsid w:val="01FF0067"/>
    <w:rsid w:val="020016E9"/>
    <w:rsid w:val="0204567E"/>
    <w:rsid w:val="02225B04"/>
    <w:rsid w:val="02296E92"/>
    <w:rsid w:val="022B2C0A"/>
    <w:rsid w:val="022C24DE"/>
    <w:rsid w:val="02306473"/>
    <w:rsid w:val="023A2E4D"/>
    <w:rsid w:val="023B5157"/>
    <w:rsid w:val="0242753B"/>
    <w:rsid w:val="02443CCC"/>
    <w:rsid w:val="02521EB3"/>
    <w:rsid w:val="02525169"/>
    <w:rsid w:val="02581525"/>
    <w:rsid w:val="027C5214"/>
    <w:rsid w:val="0284056C"/>
    <w:rsid w:val="028A75D2"/>
    <w:rsid w:val="028B18FB"/>
    <w:rsid w:val="029772D3"/>
    <w:rsid w:val="029C58B6"/>
    <w:rsid w:val="02A1111E"/>
    <w:rsid w:val="02AD7AC3"/>
    <w:rsid w:val="02B0310F"/>
    <w:rsid w:val="02BC3862"/>
    <w:rsid w:val="02C10E79"/>
    <w:rsid w:val="02C80459"/>
    <w:rsid w:val="02DC31CE"/>
    <w:rsid w:val="02EF1E8A"/>
    <w:rsid w:val="02FC45A7"/>
    <w:rsid w:val="03062D2F"/>
    <w:rsid w:val="030B4C68"/>
    <w:rsid w:val="03103BAE"/>
    <w:rsid w:val="0314369E"/>
    <w:rsid w:val="0317318F"/>
    <w:rsid w:val="032A2EC2"/>
    <w:rsid w:val="032E01E7"/>
    <w:rsid w:val="0334789D"/>
    <w:rsid w:val="03394EB3"/>
    <w:rsid w:val="0341020B"/>
    <w:rsid w:val="03445C80"/>
    <w:rsid w:val="034B2E38"/>
    <w:rsid w:val="034D095E"/>
    <w:rsid w:val="035C6DF3"/>
    <w:rsid w:val="03675EC4"/>
    <w:rsid w:val="036839EA"/>
    <w:rsid w:val="03685798"/>
    <w:rsid w:val="036D7252"/>
    <w:rsid w:val="03907B31"/>
    <w:rsid w:val="039C3694"/>
    <w:rsid w:val="03A25296"/>
    <w:rsid w:val="03AD5DE3"/>
    <w:rsid w:val="03B95FF4"/>
    <w:rsid w:val="03BD3D36"/>
    <w:rsid w:val="03C33AD6"/>
    <w:rsid w:val="03D551A5"/>
    <w:rsid w:val="03D90444"/>
    <w:rsid w:val="03EA2651"/>
    <w:rsid w:val="03EB7B76"/>
    <w:rsid w:val="03F434D0"/>
    <w:rsid w:val="03F86B1C"/>
    <w:rsid w:val="040C7938"/>
    <w:rsid w:val="0410030A"/>
    <w:rsid w:val="04247911"/>
    <w:rsid w:val="04293179"/>
    <w:rsid w:val="042A32B9"/>
    <w:rsid w:val="042E0790"/>
    <w:rsid w:val="0442423B"/>
    <w:rsid w:val="045301F6"/>
    <w:rsid w:val="0462668B"/>
    <w:rsid w:val="047D1717"/>
    <w:rsid w:val="047F2D99"/>
    <w:rsid w:val="048D195A"/>
    <w:rsid w:val="04947F67"/>
    <w:rsid w:val="049B394B"/>
    <w:rsid w:val="04A33182"/>
    <w:rsid w:val="04A647CA"/>
    <w:rsid w:val="04A9250C"/>
    <w:rsid w:val="04C17856"/>
    <w:rsid w:val="04C82992"/>
    <w:rsid w:val="04D330E5"/>
    <w:rsid w:val="04D94B9F"/>
    <w:rsid w:val="04EC50C7"/>
    <w:rsid w:val="04EE7F1F"/>
    <w:rsid w:val="04F419B8"/>
    <w:rsid w:val="050B6D23"/>
    <w:rsid w:val="05111500"/>
    <w:rsid w:val="05151950"/>
    <w:rsid w:val="051F4905"/>
    <w:rsid w:val="0523406D"/>
    <w:rsid w:val="05340028"/>
    <w:rsid w:val="053578FC"/>
    <w:rsid w:val="0543614C"/>
    <w:rsid w:val="05524952"/>
    <w:rsid w:val="056B77C2"/>
    <w:rsid w:val="056D178C"/>
    <w:rsid w:val="0573787A"/>
    <w:rsid w:val="05791EDF"/>
    <w:rsid w:val="057B5C57"/>
    <w:rsid w:val="05972365"/>
    <w:rsid w:val="059C797B"/>
    <w:rsid w:val="05B72A07"/>
    <w:rsid w:val="05C72C4A"/>
    <w:rsid w:val="05CB200E"/>
    <w:rsid w:val="05D3625B"/>
    <w:rsid w:val="05DC421B"/>
    <w:rsid w:val="05EE467B"/>
    <w:rsid w:val="05F80DDE"/>
    <w:rsid w:val="05FD0795"/>
    <w:rsid w:val="06043E9E"/>
    <w:rsid w:val="0608444E"/>
    <w:rsid w:val="060A6FDB"/>
    <w:rsid w:val="06112117"/>
    <w:rsid w:val="0616597F"/>
    <w:rsid w:val="061F2A86"/>
    <w:rsid w:val="062D26E1"/>
    <w:rsid w:val="06320D00"/>
    <w:rsid w:val="063A78C0"/>
    <w:rsid w:val="063B53E6"/>
    <w:rsid w:val="063C05DE"/>
    <w:rsid w:val="06485254"/>
    <w:rsid w:val="06497B03"/>
    <w:rsid w:val="06581AF4"/>
    <w:rsid w:val="065B3392"/>
    <w:rsid w:val="06640499"/>
    <w:rsid w:val="066466EB"/>
    <w:rsid w:val="06651CED"/>
    <w:rsid w:val="06654211"/>
    <w:rsid w:val="066B5CCB"/>
    <w:rsid w:val="067061A5"/>
    <w:rsid w:val="068E3768"/>
    <w:rsid w:val="06935222"/>
    <w:rsid w:val="06976AC0"/>
    <w:rsid w:val="06A43047"/>
    <w:rsid w:val="06B01930"/>
    <w:rsid w:val="06BF575A"/>
    <w:rsid w:val="06C13B3D"/>
    <w:rsid w:val="06CD24E2"/>
    <w:rsid w:val="06CF76A5"/>
    <w:rsid w:val="06EE1B44"/>
    <w:rsid w:val="06F061D0"/>
    <w:rsid w:val="06F757B1"/>
    <w:rsid w:val="070677A2"/>
    <w:rsid w:val="0708351A"/>
    <w:rsid w:val="07267E44"/>
    <w:rsid w:val="073836D3"/>
    <w:rsid w:val="073A25BE"/>
    <w:rsid w:val="07591FC8"/>
    <w:rsid w:val="075F5104"/>
    <w:rsid w:val="076646E5"/>
    <w:rsid w:val="07702E6D"/>
    <w:rsid w:val="07750484"/>
    <w:rsid w:val="077741FC"/>
    <w:rsid w:val="07797F74"/>
    <w:rsid w:val="077F1302"/>
    <w:rsid w:val="0781507A"/>
    <w:rsid w:val="07832BA1"/>
    <w:rsid w:val="07921036"/>
    <w:rsid w:val="07927587"/>
    <w:rsid w:val="0797491D"/>
    <w:rsid w:val="079B438E"/>
    <w:rsid w:val="07A31495"/>
    <w:rsid w:val="07A34FF1"/>
    <w:rsid w:val="07B436A2"/>
    <w:rsid w:val="07B9599A"/>
    <w:rsid w:val="07C05BA3"/>
    <w:rsid w:val="07D21D7A"/>
    <w:rsid w:val="07D433FC"/>
    <w:rsid w:val="07D96C64"/>
    <w:rsid w:val="07DC27BC"/>
    <w:rsid w:val="07E07FF3"/>
    <w:rsid w:val="07E33EDA"/>
    <w:rsid w:val="07E850FA"/>
    <w:rsid w:val="07EA75D8"/>
    <w:rsid w:val="07EC6998"/>
    <w:rsid w:val="07FB4E2D"/>
    <w:rsid w:val="07FE491D"/>
    <w:rsid w:val="07FF7612"/>
    <w:rsid w:val="080261BB"/>
    <w:rsid w:val="08056997"/>
    <w:rsid w:val="080C703A"/>
    <w:rsid w:val="08167EB9"/>
    <w:rsid w:val="081C4DA3"/>
    <w:rsid w:val="082500FC"/>
    <w:rsid w:val="0825634E"/>
    <w:rsid w:val="08326375"/>
    <w:rsid w:val="08594735"/>
    <w:rsid w:val="08624EAC"/>
    <w:rsid w:val="086329D2"/>
    <w:rsid w:val="086A1FB2"/>
    <w:rsid w:val="086E55FF"/>
    <w:rsid w:val="088968DD"/>
    <w:rsid w:val="088E3EF3"/>
    <w:rsid w:val="089963F4"/>
    <w:rsid w:val="089D343C"/>
    <w:rsid w:val="089D5EE4"/>
    <w:rsid w:val="08A2799E"/>
    <w:rsid w:val="08AC25CB"/>
    <w:rsid w:val="08AC4379"/>
    <w:rsid w:val="08C67561"/>
    <w:rsid w:val="08C77405"/>
    <w:rsid w:val="08CB0CA3"/>
    <w:rsid w:val="08D5567E"/>
    <w:rsid w:val="08DA08BA"/>
    <w:rsid w:val="08DB07BA"/>
    <w:rsid w:val="08EC7793"/>
    <w:rsid w:val="08F024B8"/>
    <w:rsid w:val="08F85810"/>
    <w:rsid w:val="08FA1588"/>
    <w:rsid w:val="09025EC2"/>
    <w:rsid w:val="0913264A"/>
    <w:rsid w:val="091C32AD"/>
    <w:rsid w:val="092E1FC3"/>
    <w:rsid w:val="09336E25"/>
    <w:rsid w:val="09376339"/>
    <w:rsid w:val="093B0DFF"/>
    <w:rsid w:val="09412D13"/>
    <w:rsid w:val="09497E1A"/>
    <w:rsid w:val="09540C99"/>
    <w:rsid w:val="095A2027"/>
    <w:rsid w:val="095C18FB"/>
    <w:rsid w:val="096106FE"/>
    <w:rsid w:val="09646A02"/>
    <w:rsid w:val="096B3218"/>
    <w:rsid w:val="097035F9"/>
    <w:rsid w:val="097970D1"/>
    <w:rsid w:val="098F1CD1"/>
    <w:rsid w:val="0992356F"/>
    <w:rsid w:val="099512B1"/>
    <w:rsid w:val="0998469B"/>
    <w:rsid w:val="099A0675"/>
    <w:rsid w:val="099E3CC2"/>
    <w:rsid w:val="09A432A2"/>
    <w:rsid w:val="09AA4D5C"/>
    <w:rsid w:val="09AE70B4"/>
    <w:rsid w:val="09B23C11"/>
    <w:rsid w:val="09DC2A3C"/>
    <w:rsid w:val="09E04FC4"/>
    <w:rsid w:val="09E33DCA"/>
    <w:rsid w:val="09E5517D"/>
    <w:rsid w:val="09E55D95"/>
    <w:rsid w:val="09F67FE5"/>
    <w:rsid w:val="0A0617F7"/>
    <w:rsid w:val="0A0A57FB"/>
    <w:rsid w:val="0A122902"/>
    <w:rsid w:val="0A1D552E"/>
    <w:rsid w:val="0A261F09"/>
    <w:rsid w:val="0A281C1A"/>
    <w:rsid w:val="0A2F7010"/>
    <w:rsid w:val="0A391C3C"/>
    <w:rsid w:val="0A3B3C06"/>
    <w:rsid w:val="0A426D43"/>
    <w:rsid w:val="0A456833"/>
    <w:rsid w:val="0A530F50"/>
    <w:rsid w:val="0A59408D"/>
    <w:rsid w:val="0A6A44EC"/>
    <w:rsid w:val="0A740EC6"/>
    <w:rsid w:val="0A786C09"/>
    <w:rsid w:val="0A7D7D7B"/>
    <w:rsid w:val="0A7E1D45"/>
    <w:rsid w:val="0A8D3D36"/>
    <w:rsid w:val="0A8F7AAE"/>
    <w:rsid w:val="0AA255B6"/>
    <w:rsid w:val="0AA25A34"/>
    <w:rsid w:val="0AA7129C"/>
    <w:rsid w:val="0AA74DF8"/>
    <w:rsid w:val="0AA96F4D"/>
    <w:rsid w:val="0AB17A25"/>
    <w:rsid w:val="0AB539B9"/>
    <w:rsid w:val="0ABB4D47"/>
    <w:rsid w:val="0AC0235E"/>
    <w:rsid w:val="0AC46F27"/>
    <w:rsid w:val="0AD876A7"/>
    <w:rsid w:val="0AEC3153"/>
    <w:rsid w:val="0AF41C5C"/>
    <w:rsid w:val="0AF85654"/>
    <w:rsid w:val="0AFF2E86"/>
    <w:rsid w:val="0B1145F4"/>
    <w:rsid w:val="0B231637"/>
    <w:rsid w:val="0B27418B"/>
    <w:rsid w:val="0B2B3C7B"/>
    <w:rsid w:val="0B2C17A1"/>
    <w:rsid w:val="0B3568A8"/>
    <w:rsid w:val="0B39074C"/>
    <w:rsid w:val="0B431CA6"/>
    <w:rsid w:val="0B444D3D"/>
    <w:rsid w:val="0B492353"/>
    <w:rsid w:val="0B5331D2"/>
    <w:rsid w:val="0B5D195B"/>
    <w:rsid w:val="0B5F1B77"/>
    <w:rsid w:val="0B680308"/>
    <w:rsid w:val="0B680A2B"/>
    <w:rsid w:val="0B6A6843"/>
    <w:rsid w:val="0B6C7DF0"/>
    <w:rsid w:val="0B835865"/>
    <w:rsid w:val="0BAD4690"/>
    <w:rsid w:val="0BB21CA6"/>
    <w:rsid w:val="0BBA1C50"/>
    <w:rsid w:val="0BC11EE9"/>
    <w:rsid w:val="0BC30CC7"/>
    <w:rsid w:val="0BCD6AE0"/>
    <w:rsid w:val="0BED2CDE"/>
    <w:rsid w:val="0BF73B5D"/>
    <w:rsid w:val="0C1556D4"/>
    <w:rsid w:val="0C1741FF"/>
    <w:rsid w:val="0C207FF5"/>
    <w:rsid w:val="0C272694"/>
    <w:rsid w:val="0C2A5CE1"/>
    <w:rsid w:val="0C3C3C66"/>
    <w:rsid w:val="0C4072B2"/>
    <w:rsid w:val="0C4274CE"/>
    <w:rsid w:val="0C430B50"/>
    <w:rsid w:val="0C555736"/>
    <w:rsid w:val="0C662A91"/>
    <w:rsid w:val="0C7156BE"/>
    <w:rsid w:val="0C762CD4"/>
    <w:rsid w:val="0C7D3F7B"/>
    <w:rsid w:val="0C801DA5"/>
    <w:rsid w:val="0C811679"/>
    <w:rsid w:val="0C874EE1"/>
    <w:rsid w:val="0C8F3D96"/>
    <w:rsid w:val="0C945850"/>
    <w:rsid w:val="0C9475FE"/>
    <w:rsid w:val="0C9870EE"/>
    <w:rsid w:val="0CC04897"/>
    <w:rsid w:val="0CD67C16"/>
    <w:rsid w:val="0CF34325"/>
    <w:rsid w:val="0CF62067"/>
    <w:rsid w:val="0CF63E15"/>
    <w:rsid w:val="0D10137A"/>
    <w:rsid w:val="0D18022F"/>
    <w:rsid w:val="0D191929"/>
    <w:rsid w:val="0D197B03"/>
    <w:rsid w:val="0D244E26"/>
    <w:rsid w:val="0D26204D"/>
    <w:rsid w:val="0D2904C6"/>
    <w:rsid w:val="0D2916CC"/>
    <w:rsid w:val="0D2A28CA"/>
    <w:rsid w:val="0D3037CB"/>
    <w:rsid w:val="0D3D37F2"/>
    <w:rsid w:val="0D4728C2"/>
    <w:rsid w:val="0D5154EF"/>
    <w:rsid w:val="0D5B011C"/>
    <w:rsid w:val="0D5F5E5E"/>
    <w:rsid w:val="0D731909"/>
    <w:rsid w:val="0D74350A"/>
    <w:rsid w:val="0D780CCE"/>
    <w:rsid w:val="0D817B82"/>
    <w:rsid w:val="0D904269"/>
    <w:rsid w:val="0D95362E"/>
    <w:rsid w:val="0DA9532B"/>
    <w:rsid w:val="0DAD0977"/>
    <w:rsid w:val="0DAE5D73"/>
    <w:rsid w:val="0DB31D06"/>
    <w:rsid w:val="0DB5782C"/>
    <w:rsid w:val="0DB8096A"/>
    <w:rsid w:val="0DB83892"/>
    <w:rsid w:val="0DBE447C"/>
    <w:rsid w:val="0DC108C7"/>
    <w:rsid w:val="0DCB52A1"/>
    <w:rsid w:val="0DE10621"/>
    <w:rsid w:val="0DF465A6"/>
    <w:rsid w:val="0DF50570"/>
    <w:rsid w:val="0E0013EF"/>
    <w:rsid w:val="0E032C8D"/>
    <w:rsid w:val="0E146C48"/>
    <w:rsid w:val="0E320E7D"/>
    <w:rsid w:val="0E3506CF"/>
    <w:rsid w:val="0E48238E"/>
    <w:rsid w:val="0E545297"/>
    <w:rsid w:val="0E5D39A2"/>
    <w:rsid w:val="0E5F55B1"/>
    <w:rsid w:val="0E6059EA"/>
    <w:rsid w:val="0E6179B4"/>
    <w:rsid w:val="0E6C0832"/>
    <w:rsid w:val="0E6F3E7F"/>
    <w:rsid w:val="0E7019A5"/>
    <w:rsid w:val="0E792F4F"/>
    <w:rsid w:val="0E925DBF"/>
    <w:rsid w:val="0EA87391"/>
    <w:rsid w:val="0EB24A61"/>
    <w:rsid w:val="0EB45D35"/>
    <w:rsid w:val="0EBD108E"/>
    <w:rsid w:val="0EBD2E3C"/>
    <w:rsid w:val="0EC428DE"/>
    <w:rsid w:val="0ECB733C"/>
    <w:rsid w:val="0ECF491D"/>
    <w:rsid w:val="0ED65CAC"/>
    <w:rsid w:val="0EE02FCE"/>
    <w:rsid w:val="0EEE7499"/>
    <w:rsid w:val="0F0767AD"/>
    <w:rsid w:val="0F0F7AC6"/>
    <w:rsid w:val="0F114F36"/>
    <w:rsid w:val="0F1D38DB"/>
    <w:rsid w:val="0F24110D"/>
    <w:rsid w:val="0F3A0A4B"/>
    <w:rsid w:val="0F3B0205"/>
    <w:rsid w:val="0F3F1AA3"/>
    <w:rsid w:val="0F5D63CD"/>
    <w:rsid w:val="0F670FFA"/>
    <w:rsid w:val="0F6A61D2"/>
    <w:rsid w:val="0F73799F"/>
    <w:rsid w:val="0F781459"/>
    <w:rsid w:val="0F7B3EED"/>
    <w:rsid w:val="0F87169C"/>
    <w:rsid w:val="0F8A0ED0"/>
    <w:rsid w:val="0F8E6586"/>
    <w:rsid w:val="0F916642"/>
    <w:rsid w:val="0F930041"/>
    <w:rsid w:val="0F96368D"/>
    <w:rsid w:val="0FB81855"/>
    <w:rsid w:val="0FB861EA"/>
    <w:rsid w:val="0FB87AA7"/>
    <w:rsid w:val="0FBB5A5C"/>
    <w:rsid w:val="0FBF4992"/>
    <w:rsid w:val="0FC226D4"/>
    <w:rsid w:val="0FC65D20"/>
    <w:rsid w:val="0FCE1079"/>
    <w:rsid w:val="0FD03043"/>
    <w:rsid w:val="0FDC5544"/>
    <w:rsid w:val="0FDE750E"/>
    <w:rsid w:val="0FDF1761"/>
    <w:rsid w:val="0FDF3BF3"/>
    <w:rsid w:val="0FEB1C2B"/>
    <w:rsid w:val="0FEB5787"/>
    <w:rsid w:val="0FEE743C"/>
    <w:rsid w:val="0FEF766B"/>
    <w:rsid w:val="0FFC7994"/>
    <w:rsid w:val="101822F4"/>
    <w:rsid w:val="102313C5"/>
    <w:rsid w:val="102C2700"/>
    <w:rsid w:val="103C0EC9"/>
    <w:rsid w:val="104F05EE"/>
    <w:rsid w:val="105300C1"/>
    <w:rsid w:val="105772C0"/>
    <w:rsid w:val="10670C0F"/>
    <w:rsid w:val="106A362C"/>
    <w:rsid w:val="106D225F"/>
    <w:rsid w:val="10741C20"/>
    <w:rsid w:val="107439CE"/>
    <w:rsid w:val="10795489"/>
    <w:rsid w:val="108A4FA0"/>
    <w:rsid w:val="109B71AD"/>
    <w:rsid w:val="10A6525C"/>
    <w:rsid w:val="10C2298C"/>
    <w:rsid w:val="10C304B2"/>
    <w:rsid w:val="10C61D50"/>
    <w:rsid w:val="10CC55B8"/>
    <w:rsid w:val="10CF50A9"/>
    <w:rsid w:val="10E1536E"/>
    <w:rsid w:val="10E548CC"/>
    <w:rsid w:val="10EE19D3"/>
    <w:rsid w:val="10EF13AB"/>
    <w:rsid w:val="1109680C"/>
    <w:rsid w:val="111927C8"/>
    <w:rsid w:val="112453F4"/>
    <w:rsid w:val="112A6783"/>
    <w:rsid w:val="113849FC"/>
    <w:rsid w:val="113A2488"/>
    <w:rsid w:val="11401905"/>
    <w:rsid w:val="11405FA6"/>
    <w:rsid w:val="11535CDA"/>
    <w:rsid w:val="115630D4"/>
    <w:rsid w:val="115E22D4"/>
    <w:rsid w:val="115F4E67"/>
    <w:rsid w:val="11621A79"/>
    <w:rsid w:val="1182036D"/>
    <w:rsid w:val="118E0AC0"/>
    <w:rsid w:val="1191235E"/>
    <w:rsid w:val="11A55E09"/>
    <w:rsid w:val="11A71F63"/>
    <w:rsid w:val="11B524F0"/>
    <w:rsid w:val="11B95AA1"/>
    <w:rsid w:val="11BB73DB"/>
    <w:rsid w:val="11C42558"/>
    <w:rsid w:val="11C73FD2"/>
    <w:rsid w:val="11CA61AF"/>
    <w:rsid w:val="11E06E41"/>
    <w:rsid w:val="11E07614"/>
    <w:rsid w:val="11ED1C8A"/>
    <w:rsid w:val="11F528ED"/>
    <w:rsid w:val="11F56D91"/>
    <w:rsid w:val="11F845EC"/>
    <w:rsid w:val="1202325C"/>
    <w:rsid w:val="122A4C8C"/>
    <w:rsid w:val="122E4051"/>
    <w:rsid w:val="123E4294"/>
    <w:rsid w:val="1254758B"/>
    <w:rsid w:val="125735A8"/>
    <w:rsid w:val="12623C33"/>
    <w:rsid w:val="12696E37"/>
    <w:rsid w:val="12706417"/>
    <w:rsid w:val="127203E1"/>
    <w:rsid w:val="127B69B1"/>
    <w:rsid w:val="127E28E2"/>
    <w:rsid w:val="127F665A"/>
    <w:rsid w:val="128123D2"/>
    <w:rsid w:val="129E11D6"/>
    <w:rsid w:val="12A53505"/>
    <w:rsid w:val="12A85BB1"/>
    <w:rsid w:val="12A8795F"/>
    <w:rsid w:val="12AD766B"/>
    <w:rsid w:val="12BB1088"/>
    <w:rsid w:val="12BB3B36"/>
    <w:rsid w:val="12D270D2"/>
    <w:rsid w:val="12DD6530"/>
    <w:rsid w:val="12E27315"/>
    <w:rsid w:val="12E52864"/>
    <w:rsid w:val="12E7492B"/>
    <w:rsid w:val="12E806A4"/>
    <w:rsid w:val="12F2507E"/>
    <w:rsid w:val="12FA6693"/>
    <w:rsid w:val="131174AD"/>
    <w:rsid w:val="13135720"/>
    <w:rsid w:val="131423F0"/>
    <w:rsid w:val="13223BB5"/>
    <w:rsid w:val="132F0080"/>
    <w:rsid w:val="13315BA7"/>
    <w:rsid w:val="133438E9"/>
    <w:rsid w:val="13541895"/>
    <w:rsid w:val="135950FD"/>
    <w:rsid w:val="135B0E75"/>
    <w:rsid w:val="135B7955"/>
    <w:rsid w:val="13623FB2"/>
    <w:rsid w:val="136441CE"/>
    <w:rsid w:val="13655850"/>
    <w:rsid w:val="138E6D85"/>
    <w:rsid w:val="13A679A2"/>
    <w:rsid w:val="13A75E69"/>
    <w:rsid w:val="13B011C1"/>
    <w:rsid w:val="13CC1D73"/>
    <w:rsid w:val="13D053C0"/>
    <w:rsid w:val="13D24BA9"/>
    <w:rsid w:val="13DD4F25"/>
    <w:rsid w:val="13E250F3"/>
    <w:rsid w:val="13E470BD"/>
    <w:rsid w:val="13E67435"/>
    <w:rsid w:val="13E9022F"/>
    <w:rsid w:val="13FD3CDB"/>
    <w:rsid w:val="141A2ADF"/>
    <w:rsid w:val="14237BE5"/>
    <w:rsid w:val="14375506"/>
    <w:rsid w:val="14445DAD"/>
    <w:rsid w:val="1448764C"/>
    <w:rsid w:val="14691987"/>
    <w:rsid w:val="14757D15"/>
    <w:rsid w:val="147A532B"/>
    <w:rsid w:val="148F7029"/>
    <w:rsid w:val="1497412F"/>
    <w:rsid w:val="14977C8B"/>
    <w:rsid w:val="14A2126E"/>
    <w:rsid w:val="14A405FA"/>
    <w:rsid w:val="14AD74AF"/>
    <w:rsid w:val="14B20F69"/>
    <w:rsid w:val="14B83A50"/>
    <w:rsid w:val="14C12F5A"/>
    <w:rsid w:val="14C33176"/>
    <w:rsid w:val="14D62EA9"/>
    <w:rsid w:val="14DE58BA"/>
    <w:rsid w:val="14DE5E9E"/>
    <w:rsid w:val="14E60C13"/>
    <w:rsid w:val="14E804E7"/>
    <w:rsid w:val="14ED01F3"/>
    <w:rsid w:val="14F34A56"/>
    <w:rsid w:val="15015A4D"/>
    <w:rsid w:val="15101DCA"/>
    <w:rsid w:val="152051AC"/>
    <w:rsid w:val="152A4FA3"/>
    <w:rsid w:val="152F6116"/>
    <w:rsid w:val="153100E0"/>
    <w:rsid w:val="15323E58"/>
    <w:rsid w:val="153409C0"/>
    <w:rsid w:val="153876C0"/>
    <w:rsid w:val="15396F94"/>
    <w:rsid w:val="153F5547"/>
    <w:rsid w:val="154C316C"/>
    <w:rsid w:val="154D794B"/>
    <w:rsid w:val="15520056"/>
    <w:rsid w:val="15544E71"/>
    <w:rsid w:val="15597637"/>
    <w:rsid w:val="155D7127"/>
    <w:rsid w:val="15673B02"/>
    <w:rsid w:val="156B6B5D"/>
    <w:rsid w:val="156C1118"/>
    <w:rsid w:val="156C736A"/>
    <w:rsid w:val="157E709D"/>
    <w:rsid w:val="15877D00"/>
    <w:rsid w:val="15910B7E"/>
    <w:rsid w:val="159354B4"/>
    <w:rsid w:val="15986BE4"/>
    <w:rsid w:val="159B4585"/>
    <w:rsid w:val="159F14ED"/>
    <w:rsid w:val="15A15CE1"/>
    <w:rsid w:val="15AC2876"/>
    <w:rsid w:val="15C40F54"/>
    <w:rsid w:val="15C70A44"/>
    <w:rsid w:val="15CE1DD3"/>
    <w:rsid w:val="15DA2525"/>
    <w:rsid w:val="15E11B06"/>
    <w:rsid w:val="15E769F0"/>
    <w:rsid w:val="15F07F9B"/>
    <w:rsid w:val="16021A7C"/>
    <w:rsid w:val="16070E41"/>
    <w:rsid w:val="16105F47"/>
    <w:rsid w:val="16135A37"/>
    <w:rsid w:val="161B31AF"/>
    <w:rsid w:val="162D4D4B"/>
    <w:rsid w:val="16414353"/>
    <w:rsid w:val="164E4CC1"/>
    <w:rsid w:val="16612C47"/>
    <w:rsid w:val="166F1D62"/>
    <w:rsid w:val="16730284"/>
    <w:rsid w:val="167F131F"/>
    <w:rsid w:val="167F4E7B"/>
    <w:rsid w:val="16895CFA"/>
    <w:rsid w:val="168D7598"/>
    <w:rsid w:val="169C3C7F"/>
    <w:rsid w:val="169E17A5"/>
    <w:rsid w:val="16A36DBB"/>
    <w:rsid w:val="16B014D8"/>
    <w:rsid w:val="16B25250"/>
    <w:rsid w:val="16B50CA2"/>
    <w:rsid w:val="16B81969"/>
    <w:rsid w:val="16BA5EB3"/>
    <w:rsid w:val="16C15493"/>
    <w:rsid w:val="16D36F75"/>
    <w:rsid w:val="16D76A65"/>
    <w:rsid w:val="16ED6288"/>
    <w:rsid w:val="16EF0253"/>
    <w:rsid w:val="17061B57"/>
    <w:rsid w:val="170E052B"/>
    <w:rsid w:val="170F26A3"/>
    <w:rsid w:val="17147CB9"/>
    <w:rsid w:val="171706DC"/>
    <w:rsid w:val="172123D6"/>
    <w:rsid w:val="17375756"/>
    <w:rsid w:val="173B3498"/>
    <w:rsid w:val="17451C21"/>
    <w:rsid w:val="17463BEB"/>
    <w:rsid w:val="174C1201"/>
    <w:rsid w:val="174D6D27"/>
    <w:rsid w:val="1759391E"/>
    <w:rsid w:val="17667DE9"/>
    <w:rsid w:val="176A5B2B"/>
    <w:rsid w:val="17771FF6"/>
    <w:rsid w:val="178C0F21"/>
    <w:rsid w:val="17996410"/>
    <w:rsid w:val="179E3149"/>
    <w:rsid w:val="17A27073"/>
    <w:rsid w:val="17A70B2D"/>
    <w:rsid w:val="17C94E4D"/>
    <w:rsid w:val="17D11706"/>
    <w:rsid w:val="17D336D0"/>
    <w:rsid w:val="17E07B9B"/>
    <w:rsid w:val="17E31439"/>
    <w:rsid w:val="17F90C5D"/>
    <w:rsid w:val="17FF2717"/>
    <w:rsid w:val="180E64B6"/>
    <w:rsid w:val="18297794"/>
    <w:rsid w:val="182C4B8E"/>
    <w:rsid w:val="182D5FAD"/>
    <w:rsid w:val="18335F1D"/>
    <w:rsid w:val="183D3DB6"/>
    <w:rsid w:val="18455C50"/>
    <w:rsid w:val="1856573C"/>
    <w:rsid w:val="18624A54"/>
    <w:rsid w:val="1864027E"/>
    <w:rsid w:val="1867206B"/>
    <w:rsid w:val="187C6758"/>
    <w:rsid w:val="1881137E"/>
    <w:rsid w:val="18814EDA"/>
    <w:rsid w:val="18876269"/>
    <w:rsid w:val="188D7D23"/>
    <w:rsid w:val="18A84B5D"/>
    <w:rsid w:val="18AC2836"/>
    <w:rsid w:val="18AC5CCF"/>
    <w:rsid w:val="18B2778A"/>
    <w:rsid w:val="18B90B18"/>
    <w:rsid w:val="18BA03EC"/>
    <w:rsid w:val="18BA4890"/>
    <w:rsid w:val="18C13529"/>
    <w:rsid w:val="18CA4935"/>
    <w:rsid w:val="18CE20EA"/>
    <w:rsid w:val="18D56FD4"/>
    <w:rsid w:val="18D86AC4"/>
    <w:rsid w:val="18E84F59"/>
    <w:rsid w:val="18ED2570"/>
    <w:rsid w:val="18F24370"/>
    <w:rsid w:val="19067AD5"/>
    <w:rsid w:val="190873AA"/>
    <w:rsid w:val="191006E5"/>
    <w:rsid w:val="19185113"/>
    <w:rsid w:val="194D74B2"/>
    <w:rsid w:val="19516FA3"/>
    <w:rsid w:val="195919B3"/>
    <w:rsid w:val="19597C05"/>
    <w:rsid w:val="19616ABA"/>
    <w:rsid w:val="196C5B8A"/>
    <w:rsid w:val="196D36B1"/>
    <w:rsid w:val="196F7429"/>
    <w:rsid w:val="197467ED"/>
    <w:rsid w:val="19793E03"/>
    <w:rsid w:val="198729C4"/>
    <w:rsid w:val="198F1879"/>
    <w:rsid w:val="19921369"/>
    <w:rsid w:val="199773A0"/>
    <w:rsid w:val="199B1A4D"/>
    <w:rsid w:val="19A76BC3"/>
    <w:rsid w:val="19AD2C3C"/>
    <w:rsid w:val="19AF5A77"/>
    <w:rsid w:val="19C332D1"/>
    <w:rsid w:val="19DE010A"/>
    <w:rsid w:val="19E51499"/>
    <w:rsid w:val="19F416DC"/>
    <w:rsid w:val="1A0E6C42"/>
    <w:rsid w:val="1A143B2C"/>
    <w:rsid w:val="1A163D48"/>
    <w:rsid w:val="1A1D6E85"/>
    <w:rsid w:val="1A1F0E4F"/>
    <w:rsid w:val="1A2A15A2"/>
    <w:rsid w:val="1A2B77F4"/>
    <w:rsid w:val="1A2F0966"/>
    <w:rsid w:val="1A332204"/>
    <w:rsid w:val="1A361A27"/>
    <w:rsid w:val="1A400DC5"/>
    <w:rsid w:val="1A4516FD"/>
    <w:rsid w:val="1A512FD2"/>
    <w:rsid w:val="1A55661F"/>
    <w:rsid w:val="1A5A3C35"/>
    <w:rsid w:val="1A8213DE"/>
    <w:rsid w:val="1A862C7C"/>
    <w:rsid w:val="1AA430CA"/>
    <w:rsid w:val="1AA80DF3"/>
    <w:rsid w:val="1AAD645B"/>
    <w:rsid w:val="1AB05F4B"/>
    <w:rsid w:val="1AB97A94"/>
    <w:rsid w:val="1ACE4623"/>
    <w:rsid w:val="1AD11A1D"/>
    <w:rsid w:val="1AD70146"/>
    <w:rsid w:val="1ADC0AEE"/>
    <w:rsid w:val="1ADF676A"/>
    <w:rsid w:val="1AE2493E"/>
    <w:rsid w:val="1AE6196C"/>
    <w:rsid w:val="1AF220BF"/>
    <w:rsid w:val="1AF57E02"/>
    <w:rsid w:val="1B193AF0"/>
    <w:rsid w:val="1B2129A5"/>
    <w:rsid w:val="1B214CDC"/>
    <w:rsid w:val="1B2B35FC"/>
    <w:rsid w:val="1B304996"/>
    <w:rsid w:val="1B397CEE"/>
    <w:rsid w:val="1B3C158C"/>
    <w:rsid w:val="1B410951"/>
    <w:rsid w:val="1B522B5E"/>
    <w:rsid w:val="1B527002"/>
    <w:rsid w:val="1B5543FC"/>
    <w:rsid w:val="1B610FF3"/>
    <w:rsid w:val="1B6F54BE"/>
    <w:rsid w:val="1B746F78"/>
    <w:rsid w:val="1B804775"/>
    <w:rsid w:val="1B8371BB"/>
    <w:rsid w:val="1B851185"/>
    <w:rsid w:val="1B854CE1"/>
    <w:rsid w:val="1B903686"/>
    <w:rsid w:val="1B925650"/>
    <w:rsid w:val="1BA3160C"/>
    <w:rsid w:val="1BA8768A"/>
    <w:rsid w:val="1BAA0BEC"/>
    <w:rsid w:val="1BB83309"/>
    <w:rsid w:val="1BBF7FE1"/>
    <w:rsid w:val="1BC51582"/>
    <w:rsid w:val="1BC670A8"/>
    <w:rsid w:val="1BCC1384"/>
    <w:rsid w:val="1BD9327F"/>
    <w:rsid w:val="1BDB2904"/>
    <w:rsid w:val="1BE7599C"/>
    <w:rsid w:val="1C00080C"/>
    <w:rsid w:val="1C077DEC"/>
    <w:rsid w:val="1C13053F"/>
    <w:rsid w:val="1C177904"/>
    <w:rsid w:val="1C200EAE"/>
    <w:rsid w:val="1C2564C4"/>
    <w:rsid w:val="1C2C7853"/>
    <w:rsid w:val="1C365FDC"/>
    <w:rsid w:val="1C387FA6"/>
    <w:rsid w:val="1C4032FE"/>
    <w:rsid w:val="1C4A7CD9"/>
    <w:rsid w:val="1C556922"/>
    <w:rsid w:val="1C5F5D64"/>
    <w:rsid w:val="1C784846"/>
    <w:rsid w:val="1C8925AF"/>
    <w:rsid w:val="1C8E2F1F"/>
    <w:rsid w:val="1CA078F9"/>
    <w:rsid w:val="1CA473E9"/>
    <w:rsid w:val="1CAE67CA"/>
    <w:rsid w:val="1CB3762C"/>
    <w:rsid w:val="1CBA69DF"/>
    <w:rsid w:val="1CBA6C0D"/>
    <w:rsid w:val="1CD31A7D"/>
    <w:rsid w:val="1CD87093"/>
    <w:rsid w:val="1CE62F38"/>
    <w:rsid w:val="1CE912A0"/>
    <w:rsid w:val="1CF814E3"/>
    <w:rsid w:val="1CFD4D4B"/>
    <w:rsid w:val="1D04257E"/>
    <w:rsid w:val="1D061E52"/>
    <w:rsid w:val="1D063783"/>
    <w:rsid w:val="1D0E51AB"/>
    <w:rsid w:val="1D210A3A"/>
    <w:rsid w:val="1D2624F4"/>
    <w:rsid w:val="1D28001A"/>
    <w:rsid w:val="1D2E13A9"/>
    <w:rsid w:val="1D4B5AB7"/>
    <w:rsid w:val="1D4D7A81"/>
    <w:rsid w:val="1D5E1965"/>
    <w:rsid w:val="1D646B79"/>
    <w:rsid w:val="1D65301C"/>
    <w:rsid w:val="1D811183"/>
    <w:rsid w:val="1D9535F5"/>
    <w:rsid w:val="1DA11B7B"/>
    <w:rsid w:val="1DAF24EA"/>
    <w:rsid w:val="1DBD1493"/>
    <w:rsid w:val="1DBF548B"/>
    <w:rsid w:val="1DD75AD9"/>
    <w:rsid w:val="1DDA6E3B"/>
    <w:rsid w:val="1DE016C8"/>
    <w:rsid w:val="1DE744B0"/>
    <w:rsid w:val="1DF223D6"/>
    <w:rsid w:val="1DFB128B"/>
    <w:rsid w:val="1E01086B"/>
    <w:rsid w:val="1E05210A"/>
    <w:rsid w:val="1E065D08"/>
    <w:rsid w:val="1E0D29AA"/>
    <w:rsid w:val="1E0F0C19"/>
    <w:rsid w:val="1E0F4D36"/>
    <w:rsid w:val="1E1E766F"/>
    <w:rsid w:val="1E401394"/>
    <w:rsid w:val="1E420774"/>
    <w:rsid w:val="1E4F15D7"/>
    <w:rsid w:val="1E5170FD"/>
    <w:rsid w:val="1E5310C7"/>
    <w:rsid w:val="1E5E181A"/>
    <w:rsid w:val="1E672DC4"/>
    <w:rsid w:val="1E8158D5"/>
    <w:rsid w:val="1E827BFE"/>
    <w:rsid w:val="1E8E20FF"/>
    <w:rsid w:val="1E9E60BA"/>
    <w:rsid w:val="1EA00084"/>
    <w:rsid w:val="1EA336D1"/>
    <w:rsid w:val="1EAB0F03"/>
    <w:rsid w:val="1ECF44C6"/>
    <w:rsid w:val="1ECF537A"/>
    <w:rsid w:val="1ED146E2"/>
    <w:rsid w:val="1ED63AA6"/>
    <w:rsid w:val="1ED65854"/>
    <w:rsid w:val="1EDC730E"/>
    <w:rsid w:val="1EE20F86"/>
    <w:rsid w:val="1EFA1543"/>
    <w:rsid w:val="1F0423C1"/>
    <w:rsid w:val="1F0979D8"/>
    <w:rsid w:val="1F0F6469"/>
    <w:rsid w:val="1F1A1BE5"/>
    <w:rsid w:val="1F264A2D"/>
    <w:rsid w:val="1F2C36C6"/>
    <w:rsid w:val="1F304178"/>
    <w:rsid w:val="1F30765A"/>
    <w:rsid w:val="1F316F2E"/>
    <w:rsid w:val="1F394761"/>
    <w:rsid w:val="1F397CA7"/>
    <w:rsid w:val="1F3E2B41"/>
    <w:rsid w:val="1F417171"/>
    <w:rsid w:val="1F422EEA"/>
    <w:rsid w:val="1F43738D"/>
    <w:rsid w:val="1F486752"/>
    <w:rsid w:val="1F4B7FF0"/>
    <w:rsid w:val="1F51312D"/>
    <w:rsid w:val="1F5F1CED"/>
    <w:rsid w:val="1F6557F9"/>
    <w:rsid w:val="1F7E7EB0"/>
    <w:rsid w:val="1F8034EE"/>
    <w:rsid w:val="1F817EB6"/>
    <w:rsid w:val="1F9279CD"/>
    <w:rsid w:val="1F95570F"/>
    <w:rsid w:val="1F976FD0"/>
    <w:rsid w:val="1F9A2D26"/>
    <w:rsid w:val="1FA15E62"/>
    <w:rsid w:val="1FA85442"/>
    <w:rsid w:val="1FB43DE7"/>
    <w:rsid w:val="1FBC7140"/>
    <w:rsid w:val="1FBF4A6F"/>
    <w:rsid w:val="1FD55B0C"/>
    <w:rsid w:val="1FD60202"/>
    <w:rsid w:val="1FE87E80"/>
    <w:rsid w:val="1FE909D0"/>
    <w:rsid w:val="1FEA15B7"/>
    <w:rsid w:val="1FEA36CB"/>
    <w:rsid w:val="1FF02946"/>
    <w:rsid w:val="1FF561AE"/>
    <w:rsid w:val="1FFB1A16"/>
    <w:rsid w:val="1FFC578E"/>
    <w:rsid w:val="20036B1D"/>
    <w:rsid w:val="200A3D75"/>
    <w:rsid w:val="200A7EAB"/>
    <w:rsid w:val="200E0C66"/>
    <w:rsid w:val="2011123A"/>
    <w:rsid w:val="20142111"/>
    <w:rsid w:val="201962BB"/>
    <w:rsid w:val="201C198C"/>
    <w:rsid w:val="201C373B"/>
    <w:rsid w:val="202A5E57"/>
    <w:rsid w:val="20340A84"/>
    <w:rsid w:val="20370574"/>
    <w:rsid w:val="2039253E"/>
    <w:rsid w:val="20476A09"/>
    <w:rsid w:val="2049139E"/>
    <w:rsid w:val="204D51BB"/>
    <w:rsid w:val="20564E9E"/>
    <w:rsid w:val="2059498F"/>
    <w:rsid w:val="205E1FA5"/>
    <w:rsid w:val="206C6470"/>
    <w:rsid w:val="20745325"/>
    <w:rsid w:val="207506CD"/>
    <w:rsid w:val="20801F1B"/>
    <w:rsid w:val="20823EE5"/>
    <w:rsid w:val="20847C5E"/>
    <w:rsid w:val="20897931"/>
    <w:rsid w:val="2096173F"/>
    <w:rsid w:val="20B41BC5"/>
    <w:rsid w:val="20D65FDF"/>
    <w:rsid w:val="20D9162C"/>
    <w:rsid w:val="20E00C0C"/>
    <w:rsid w:val="20F14BC7"/>
    <w:rsid w:val="20F621DE"/>
    <w:rsid w:val="20FA1CCE"/>
    <w:rsid w:val="21110DC5"/>
    <w:rsid w:val="21121AF5"/>
    <w:rsid w:val="21156B08"/>
    <w:rsid w:val="211B39F2"/>
    <w:rsid w:val="212F0527"/>
    <w:rsid w:val="213571AA"/>
    <w:rsid w:val="21454822"/>
    <w:rsid w:val="21494A03"/>
    <w:rsid w:val="214E201A"/>
    <w:rsid w:val="21563AD3"/>
    <w:rsid w:val="21696E53"/>
    <w:rsid w:val="216C24A0"/>
    <w:rsid w:val="217C6B87"/>
    <w:rsid w:val="217F6677"/>
    <w:rsid w:val="21BE10AC"/>
    <w:rsid w:val="21DE1590"/>
    <w:rsid w:val="21DF2C72"/>
    <w:rsid w:val="21F77FBB"/>
    <w:rsid w:val="21FC72B8"/>
    <w:rsid w:val="21FE134A"/>
    <w:rsid w:val="21FF3314"/>
    <w:rsid w:val="220529E0"/>
    <w:rsid w:val="2208041A"/>
    <w:rsid w:val="221548E5"/>
    <w:rsid w:val="22280ABD"/>
    <w:rsid w:val="222B5EB7"/>
    <w:rsid w:val="22460F43"/>
    <w:rsid w:val="224B0307"/>
    <w:rsid w:val="22525B39"/>
    <w:rsid w:val="22552F34"/>
    <w:rsid w:val="225C7817"/>
    <w:rsid w:val="227B0BEC"/>
    <w:rsid w:val="228F28EA"/>
    <w:rsid w:val="228F6446"/>
    <w:rsid w:val="22A46395"/>
    <w:rsid w:val="22B01D71"/>
    <w:rsid w:val="22B61C24"/>
    <w:rsid w:val="22C42F77"/>
    <w:rsid w:val="22D469CF"/>
    <w:rsid w:val="22DA1DB7"/>
    <w:rsid w:val="22DF7143"/>
    <w:rsid w:val="22E76282"/>
    <w:rsid w:val="22EA5D72"/>
    <w:rsid w:val="22F015DA"/>
    <w:rsid w:val="2302130E"/>
    <w:rsid w:val="23052BAC"/>
    <w:rsid w:val="231A6657"/>
    <w:rsid w:val="23272836"/>
    <w:rsid w:val="23447230"/>
    <w:rsid w:val="235710A1"/>
    <w:rsid w:val="23616034"/>
    <w:rsid w:val="23641AD7"/>
    <w:rsid w:val="23876361"/>
    <w:rsid w:val="23897339"/>
    <w:rsid w:val="238D3D77"/>
    <w:rsid w:val="238E494F"/>
    <w:rsid w:val="23A203FB"/>
    <w:rsid w:val="23A3664D"/>
    <w:rsid w:val="23A91789"/>
    <w:rsid w:val="23A93537"/>
    <w:rsid w:val="23BA5744"/>
    <w:rsid w:val="23BC14BC"/>
    <w:rsid w:val="23C30A9D"/>
    <w:rsid w:val="23CB5BA3"/>
    <w:rsid w:val="23D305B4"/>
    <w:rsid w:val="23ED3D6C"/>
    <w:rsid w:val="24013373"/>
    <w:rsid w:val="2402646E"/>
    <w:rsid w:val="241E1F62"/>
    <w:rsid w:val="242B03F0"/>
    <w:rsid w:val="242C54D4"/>
    <w:rsid w:val="242D23BA"/>
    <w:rsid w:val="24343749"/>
    <w:rsid w:val="2435126F"/>
    <w:rsid w:val="243B4AD7"/>
    <w:rsid w:val="243C25FD"/>
    <w:rsid w:val="24422C25"/>
    <w:rsid w:val="245A0507"/>
    <w:rsid w:val="246062EC"/>
    <w:rsid w:val="24773635"/>
    <w:rsid w:val="24863878"/>
    <w:rsid w:val="248D10AB"/>
    <w:rsid w:val="24A0493A"/>
    <w:rsid w:val="24D80578"/>
    <w:rsid w:val="24D82326"/>
    <w:rsid w:val="24D92627"/>
    <w:rsid w:val="24E0567E"/>
    <w:rsid w:val="24E12BB6"/>
    <w:rsid w:val="24E4638B"/>
    <w:rsid w:val="24EC5DD1"/>
    <w:rsid w:val="24F20F0E"/>
    <w:rsid w:val="2513335E"/>
    <w:rsid w:val="25140E84"/>
    <w:rsid w:val="25311D48"/>
    <w:rsid w:val="2531650E"/>
    <w:rsid w:val="254479BB"/>
    <w:rsid w:val="255B2F57"/>
    <w:rsid w:val="25643BBA"/>
    <w:rsid w:val="256C2A6E"/>
    <w:rsid w:val="25753B62"/>
    <w:rsid w:val="257A33DD"/>
    <w:rsid w:val="257D01AB"/>
    <w:rsid w:val="257D4C7B"/>
    <w:rsid w:val="258A53E5"/>
    <w:rsid w:val="25951FC5"/>
    <w:rsid w:val="259A75DB"/>
    <w:rsid w:val="25A25CB8"/>
    <w:rsid w:val="25A71CF8"/>
    <w:rsid w:val="25BA7C7E"/>
    <w:rsid w:val="25BD776E"/>
    <w:rsid w:val="25BF5294"/>
    <w:rsid w:val="25C64874"/>
    <w:rsid w:val="25C66622"/>
    <w:rsid w:val="25CB3C39"/>
    <w:rsid w:val="25DA20CE"/>
    <w:rsid w:val="25DC0A27"/>
    <w:rsid w:val="25DF76E4"/>
    <w:rsid w:val="25F3449D"/>
    <w:rsid w:val="25FC3DF2"/>
    <w:rsid w:val="25FF7D86"/>
    <w:rsid w:val="26061115"/>
    <w:rsid w:val="260B2287"/>
    <w:rsid w:val="26235823"/>
    <w:rsid w:val="26284BE7"/>
    <w:rsid w:val="262B0B7B"/>
    <w:rsid w:val="26507991"/>
    <w:rsid w:val="265C2AE3"/>
    <w:rsid w:val="265D5285"/>
    <w:rsid w:val="265D6A7F"/>
    <w:rsid w:val="26643314"/>
    <w:rsid w:val="26695200"/>
    <w:rsid w:val="266F6CBA"/>
    <w:rsid w:val="26832765"/>
    <w:rsid w:val="268362C1"/>
    <w:rsid w:val="269B7AAF"/>
    <w:rsid w:val="26A23BE2"/>
    <w:rsid w:val="26AB5818"/>
    <w:rsid w:val="26AC3A6A"/>
    <w:rsid w:val="26B24DF9"/>
    <w:rsid w:val="26D60AE7"/>
    <w:rsid w:val="26E31456"/>
    <w:rsid w:val="26E56F7C"/>
    <w:rsid w:val="26EB3E67"/>
    <w:rsid w:val="26ED7BDF"/>
    <w:rsid w:val="26F15921"/>
    <w:rsid w:val="26F27A23"/>
    <w:rsid w:val="270069D6"/>
    <w:rsid w:val="2705317A"/>
    <w:rsid w:val="2714160F"/>
    <w:rsid w:val="271635D9"/>
    <w:rsid w:val="271C2272"/>
    <w:rsid w:val="271E248E"/>
    <w:rsid w:val="2720184F"/>
    <w:rsid w:val="27225ADA"/>
    <w:rsid w:val="274C6FFB"/>
    <w:rsid w:val="27606C99"/>
    <w:rsid w:val="276C31F9"/>
    <w:rsid w:val="27750300"/>
    <w:rsid w:val="27960276"/>
    <w:rsid w:val="27962024"/>
    <w:rsid w:val="27AC35F6"/>
    <w:rsid w:val="27AD3E25"/>
    <w:rsid w:val="27B8643F"/>
    <w:rsid w:val="27BF5A1F"/>
    <w:rsid w:val="27D15FDB"/>
    <w:rsid w:val="27EB53BC"/>
    <w:rsid w:val="27F51441"/>
    <w:rsid w:val="27F76F67"/>
    <w:rsid w:val="27FA6737"/>
    <w:rsid w:val="27FC27CF"/>
    <w:rsid w:val="27FE6547"/>
    <w:rsid w:val="28083E50"/>
    <w:rsid w:val="28153891"/>
    <w:rsid w:val="28180C8B"/>
    <w:rsid w:val="282E04AF"/>
    <w:rsid w:val="28321D4D"/>
    <w:rsid w:val="283C0E1E"/>
    <w:rsid w:val="28425D08"/>
    <w:rsid w:val="285443B9"/>
    <w:rsid w:val="285C326E"/>
    <w:rsid w:val="28771C10"/>
    <w:rsid w:val="28795BCE"/>
    <w:rsid w:val="287A4124"/>
    <w:rsid w:val="288D1679"/>
    <w:rsid w:val="288D78CB"/>
    <w:rsid w:val="28902F18"/>
    <w:rsid w:val="289C7B0E"/>
    <w:rsid w:val="28A644E9"/>
    <w:rsid w:val="28B409B4"/>
    <w:rsid w:val="28BA53AB"/>
    <w:rsid w:val="28BC3D0D"/>
    <w:rsid w:val="28C64B8B"/>
    <w:rsid w:val="28C7089C"/>
    <w:rsid w:val="28C8445F"/>
    <w:rsid w:val="28D07583"/>
    <w:rsid w:val="28D21782"/>
    <w:rsid w:val="28D21F87"/>
    <w:rsid w:val="28F96D0F"/>
    <w:rsid w:val="291D29FD"/>
    <w:rsid w:val="291E137E"/>
    <w:rsid w:val="29233D8C"/>
    <w:rsid w:val="292C49EE"/>
    <w:rsid w:val="29387837"/>
    <w:rsid w:val="293935AF"/>
    <w:rsid w:val="29424212"/>
    <w:rsid w:val="294A756A"/>
    <w:rsid w:val="294F4B81"/>
    <w:rsid w:val="29564161"/>
    <w:rsid w:val="296E14AB"/>
    <w:rsid w:val="29820AB2"/>
    <w:rsid w:val="2989603C"/>
    <w:rsid w:val="29AB625B"/>
    <w:rsid w:val="29AF561F"/>
    <w:rsid w:val="29C015DB"/>
    <w:rsid w:val="29C70BBB"/>
    <w:rsid w:val="29D9297F"/>
    <w:rsid w:val="29E21551"/>
    <w:rsid w:val="29F11404"/>
    <w:rsid w:val="2A04596B"/>
    <w:rsid w:val="2A070FB7"/>
    <w:rsid w:val="2A0E2346"/>
    <w:rsid w:val="2A111E36"/>
    <w:rsid w:val="2A132E2E"/>
    <w:rsid w:val="2A135BAE"/>
    <w:rsid w:val="2A202079"/>
    <w:rsid w:val="2A420242"/>
    <w:rsid w:val="2A461C23"/>
    <w:rsid w:val="2A4E61AD"/>
    <w:rsid w:val="2A53244F"/>
    <w:rsid w:val="2A557F75"/>
    <w:rsid w:val="2A6D02E7"/>
    <w:rsid w:val="2A704EB5"/>
    <w:rsid w:val="2A750617"/>
    <w:rsid w:val="2A7C3754"/>
    <w:rsid w:val="2A7E1E12"/>
    <w:rsid w:val="2A7F350E"/>
    <w:rsid w:val="2A81520E"/>
    <w:rsid w:val="2A830F86"/>
    <w:rsid w:val="2AA607D0"/>
    <w:rsid w:val="2AA84549"/>
    <w:rsid w:val="2AAA2228"/>
    <w:rsid w:val="2AB63109"/>
    <w:rsid w:val="2ABC0923"/>
    <w:rsid w:val="2ABE5B1A"/>
    <w:rsid w:val="2AC82E3D"/>
    <w:rsid w:val="2AD757E4"/>
    <w:rsid w:val="2ADC41F2"/>
    <w:rsid w:val="2AE35581"/>
    <w:rsid w:val="2AE8528D"/>
    <w:rsid w:val="2AF61F6D"/>
    <w:rsid w:val="2AFB6D6E"/>
    <w:rsid w:val="2B0B2D29"/>
    <w:rsid w:val="2B243DBF"/>
    <w:rsid w:val="2B3B716B"/>
    <w:rsid w:val="2B3D73A6"/>
    <w:rsid w:val="2B4A570C"/>
    <w:rsid w:val="2B5E554F"/>
    <w:rsid w:val="2B603075"/>
    <w:rsid w:val="2B664063"/>
    <w:rsid w:val="2B681F2A"/>
    <w:rsid w:val="2B6D12EE"/>
    <w:rsid w:val="2B710DDE"/>
    <w:rsid w:val="2B747632"/>
    <w:rsid w:val="2B7D7783"/>
    <w:rsid w:val="2B822FEC"/>
    <w:rsid w:val="2B97636B"/>
    <w:rsid w:val="2B9B40AD"/>
    <w:rsid w:val="2BBD2276"/>
    <w:rsid w:val="2BBD4024"/>
    <w:rsid w:val="2BC03067"/>
    <w:rsid w:val="2BCE4483"/>
    <w:rsid w:val="2BD82C0B"/>
    <w:rsid w:val="2BDD0222"/>
    <w:rsid w:val="2BE315B0"/>
    <w:rsid w:val="2BE617CC"/>
    <w:rsid w:val="2BE94E19"/>
    <w:rsid w:val="2BFD6B16"/>
    <w:rsid w:val="2C016606"/>
    <w:rsid w:val="2C041C52"/>
    <w:rsid w:val="2C043A01"/>
    <w:rsid w:val="2C0C6D59"/>
    <w:rsid w:val="2C1125C1"/>
    <w:rsid w:val="2C163734"/>
    <w:rsid w:val="2C1A3224"/>
    <w:rsid w:val="2C1F3A83"/>
    <w:rsid w:val="2C257E06"/>
    <w:rsid w:val="2C477D91"/>
    <w:rsid w:val="2C5A1872"/>
    <w:rsid w:val="2C5D5807"/>
    <w:rsid w:val="2C66290D"/>
    <w:rsid w:val="2C714E0E"/>
    <w:rsid w:val="2C8763E0"/>
    <w:rsid w:val="2C954FA0"/>
    <w:rsid w:val="2CA13945"/>
    <w:rsid w:val="2CB216AE"/>
    <w:rsid w:val="2CB2345D"/>
    <w:rsid w:val="2CB25B52"/>
    <w:rsid w:val="2CBC6D61"/>
    <w:rsid w:val="2CBF3DCB"/>
    <w:rsid w:val="2CC55886"/>
    <w:rsid w:val="2CE739C3"/>
    <w:rsid w:val="2CE8602F"/>
    <w:rsid w:val="2CEB696E"/>
    <w:rsid w:val="2D1A7254"/>
    <w:rsid w:val="2D1C121E"/>
    <w:rsid w:val="2D3447B9"/>
    <w:rsid w:val="2D371BB4"/>
    <w:rsid w:val="2D3E1F7A"/>
    <w:rsid w:val="2D3E73E6"/>
    <w:rsid w:val="2D50566A"/>
    <w:rsid w:val="2D55028C"/>
    <w:rsid w:val="2D60735C"/>
    <w:rsid w:val="2D88240F"/>
    <w:rsid w:val="2D8D3ECA"/>
    <w:rsid w:val="2D98399B"/>
    <w:rsid w:val="2DA01E4F"/>
    <w:rsid w:val="2DA74F8B"/>
    <w:rsid w:val="2DB41456"/>
    <w:rsid w:val="2DB651CE"/>
    <w:rsid w:val="2DB80F46"/>
    <w:rsid w:val="2DBD47AF"/>
    <w:rsid w:val="2DBE000D"/>
    <w:rsid w:val="2DBE5F6B"/>
    <w:rsid w:val="2DBF0527"/>
    <w:rsid w:val="2DC06892"/>
    <w:rsid w:val="2DC773DC"/>
    <w:rsid w:val="2DDF2977"/>
    <w:rsid w:val="2DE27D71"/>
    <w:rsid w:val="2DEA30CA"/>
    <w:rsid w:val="2DEF06E0"/>
    <w:rsid w:val="2DF06932"/>
    <w:rsid w:val="2DF30421"/>
    <w:rsid w:val="2DF31F7F"/>
    <w:rsid w:val="2DF444FF"/>
    <w:rsid w:val="2DF91651"/>
    <w:rsid w:val="2E0C3040"/>
    <w:rsid w:val="2E3A5DFF"/>
    <w:rsid w:val="2E4A5917"/>
    <w:rsid w:val="2E4B3B69"/>
    <w:rsid w:val="2E5402DD"/>
    <w:rsid w:val="2E5C5D76"/>
    <w:rsid w:val="2E634285"/>
    <w:rsid w:val="2E6A7D67"/>
    <w:rsid w:val="2E7035CF"/>
    <w:rsid w:val="2E7F1A64"/>
    <w:rsid w:val="2E9372BE"/>
    <w:rsid w:val="2EBA6F40"/>
    <w:rsid w:val="2EC90F31"/>
    <w:rsid w:val="2ECB4CA9"/>
    <w:rsid w:val="2ED022C0"/>
    <w:rsid w:val="2ED3590C"/>
    <w:rsid w:val="2EDA6C9B"/>
    <w:rsid w:val="2EE45D6B"/>
    <w:rsid w:val="2EE70873"/>
    <w:rsid w:val="2EED69CE"/>
    <w:rsid w:val="2F1228D8"/>
    <w:rsid w:val="2F177EEF"/>
    <w:rsid w:val="2F210D6D"/>
    <w:rsid w:val="2F295043"/>
    <w:rsid w:val="2F2F352D"/>
    <w:rsid w:val="2F370591"/>
    <w:rsid w:val="2F511653"/>
    <w:rsid w:val="2F563CFC"/>
    <w:rsid w:val="2F755500"/>
    <w:rsid w:val="2F7964B4"/>
    <w:rsid w:val="2F805A94"/>
    <w:rsid w:val="2F822C60"/>
    <w:rsid w:val="2F8512FC"/>
    <w:rsid w:val="2F854E58"/>
    <w:rsid w:val="2F884949"/>
    <w:rsid w:val="2F8C4439"/>
    <w:rsid w:val="2F9E2A92"/>
    <w:rsid w:val="2FA14099"/>
    <w:rsid w:val="2FA171C4"/>
    <w:rsid w:val="2FA21EAE"/>
    <w:rsid w:val="2FB34321"/>
    <w:rsid w:val="2FBE480E"/>
    <w:rsid w:val="2FC00586"/>
    <w:rsid w:val="2FC82F97"/>
    <w:rsid w:val="2FDA0CFB"/>
    <w:rsid w:val="2FDE0A0C"/>
    <w:rsid w:val="2FF351AE"/>
    <w:rsid w:val="2FF52094"/>
    <w:rsid w:val="2FFB336C"/>
    <w:rsid w:val="3029612C"/>
    <w:rsid w:val="302A3C52"/>
    <w:rsid w:val="302F1268"/>
    <w:rsid w:val="303B7C0D"/>
    <w:rsid w:val="30405223"/>
    <w:rsid w:val="304451BE"/>
    <w:rsid w:val="305667F5"/>
    <w:rsid w:val="306058C5"/>
    <w:rsid w:val="30640F12"/>
    <w:rsid w:val="30760C45"/>
    <w:rsid w:val="307750E9"/>
    <w:rsid w:val="307C26FF"/>
    <w:rsid w:val="307F5D4C"/>
    <w:rsid w:val="309535F5"/>
    <w:rsid w:val="30987AA4"/>
    <w:rsid w:val="309E2833"/>
    <w:rsid w:val="30A27C8C"/>
    <w:rsid w:val="30AA08EF"/>
    <w:rsid w:val="30C419B0"/>
    <w:rsid w:val="30C92781"/>
    <w:rsid w:val="30D32176"/>
    <w:rsid w:val="30D81900"/>
    <w:rsid w:val="30DA5678"/>
    <w:rsid w:val="30DC13F0"/>
    <w:rsid w:val="30DC319E"/>
    <w:rsid w:val="30DF2C8E"/>
    <w:rsid w:val="30E3452C"/>
    <w:rsid w:val="30E43E01"/>
    <w:rsid w:val="30EE4C7F"/>
    <w:rsid w:val="30F2476F"/>
    <w:rsid w:val="30FF50DE"/>
    <w:rsid w:val="310426F5"/>
    <w:rsid w:val="310874EC"/>
    <w:rsid w:val="310E70CF"/>
    <w:rsid w:val="3115220C"/>
    <w:rsid w:val="31154B1A"/>
    <w:rsid w:val="311A1F18"/>
    <w:rsid w:val="311F12DD"/>
    <w:rsid w:val="312D57A8"/>
    <w:rsid w:val="31376626"/>
    <w:rsid w:val="313C59EB"/>
    <w:rsid w:val="314A7320"/>
    <w:rsid w:val="31552F50"/>
    <w:rsid w:val="315947EF"/>
    <w:rsid w:val="315C42DF"/>
    <w:rsid w:val="31603DCF"/>
    <w:rsid w:val="316A5E86"/>
    <w:rsid w:val="317332C5"/>
    <w:rsid w:val="317C228B"/>
    <w:rsid w:val="317C672F"/>
    <w:rsid w:val="318F1549"/>
    <w:rsid w:val="318F6462"/>
    <w:rsid w:val="319B6BB5"/>
    <w:rsid w:val="319C009E"/>
    <w:rsid w:val="31A87524"/>
    <w:rsid w:val="31B163D9"/>
    <w:rsid w:val="31B4731A"/>
    <w:rsid w:val="31BB1005"/>
    <w:rsid w:val="31BB7257"/>
    <w:rsid w:val="31C205E6"/>
    <w:rsid w:val="31DD5A82"/>
    <w:rsid w:val="31E0281A"/>
    <w:rsid w:val="31E16592"/>
    <w:rsid w:val="31E22A36"/>
    <w:rsid w:val="31E63BA8"/>
    <w:rsid w:val="31E83DC4"/>
    <w:rsid w:val="31EC5663"/>
    <w:rsid w:val="32093F89"/>
    <w:rsid w:val="32163D42"/>
    <w:rsid w:val="32221084"/>
    <w:rsid w:val="322748ED"/>
    <w:rsid w:val="322A618B"/>
    <w:rsid w:val="323D5EBE"/>
    <w:rsid w:val="3240150B"/>
    <w:rsid w:val="324F79A0"/>
    <w:rsid w:val="3251196A"/>
    <w:rsid w:val="32544FB6"/>
    <w:rsid w:val="32566F80"/>
    <w:rsid w:val="325D3E6B"/>
    <w:rsid w:val="326276D3"/>
    <w:rsid w:val="326C0551"/>
    <w:rsid w:val="326C67A7"/>
    <w:rsid w:val="326E7E26"/>
    <w:rsid w:val="32720E7A"/>
    <w:rsid w:val="32755658"/>
    <w:rsid w:val="327B0795"/>
    <w:rsid w:val="327D275F"/>
    <w:rsid w:val="327D450D"/>
    <w:rsid w:val="32843AED"/>
    <w:rsid w:val="32987598"/>
    <w:rsid w:val="32A41A99"/>
    <w:rsid w:val="32AE46C6"/>
    <w:rsid w:val="32B141B6"/>
    <w:rsid w:val="32B65F9A"/>
    <w:rsid w:val="32D14858"/>
    <w:rsid w:val="32DC4AB6"/>
    <w:rsid w:val="32E14A9C"/>
    <w:rsid w:val="32E379EB"/>
    <w:rsid w:val="32E620B2"/>
    <w:rsid w:val="32E9569E"/>
    <w:rsid w:val="32EB1476"/>
    <w:rsid w:val="32EE0F67"/>
    <w:rsid w:val="32F6606D"/>
    <w:rsid w:val="32F81DE5"/>
    <w:rsid w:val="32FB129D"/>
    <w:rsid w:val="3301513E"/>
    <w:rsid w:val="330E7950"/>
    <w:rsid w:val="3316226B"/>
    <w:rsid w:val="331D35FA"/>
    <w:rsid w:val="332655CD"/>
    <w:rsid w:val="333948D8"/>
    <w:rsid w:val="333D3C9C"/>
    <w:rsid w:val="333D5A4A"/>
    <w:rsid w:val="33504903"/>
    <w:rsid w:val="33527E6B"/>
    <w:rsid w:val="33596D28"/>
    <w:rsid w:val="335F1E64"/>
    <w:rsid w:val="336254B1"/>
    <w:rsid w:val="336B0809"/>
    <w:rsid w:val="336E411A"/>
    <w:rsid w:val="33705E1F"/>
    <w:rsid w:val="337E678E"/>
    <w:rsid w:val="337F42B4"/>
    <w:rsid w:val="33942B82"/>
    <w:rsid w:val="339F04B3"/>
    <w:rsid w:val="33A65CE5"/>
    <w:rsid w:val="33AA7583"/>
    <w:rsid w:val="33AB1E11"/>
    <w:rsid w:val="33BA5444"/>
    <w:rsid w:val="33BF2903"/>
    <w:rsid w:val="33C61EE3"/>
    <w:rsid w:val="33C85C5B"/>
    <w:rsid w:val="33D04B10"/>
    <w:rsid w:val="33EC535E"/>
    <w:rsid w:val="33ED56C2"/>
    <w:rsid w:val="33F80182"/>
    <w:rsid w:val="33FF4E30"/>
    <w:rsid w:val="340D18C0"/>
    <w:rsid w:val="3411267F"/>
    <w:rsid w:val="341449FD"/>
    <w:rsid w:val="3417273F"/>
    <w:rsid w:val="3437693D"/>
    <w:rsid w:val="34384B8F"/>
    <w:rsid w:val="343B467F"/>
    <w:rsid w:val="3445105A"/>
    <w:rsid w:val="345E3ECA"/>
    <w:rsid w:val="346E05B1"/>
    <w:rsid w:val="34727975"/>
    <w:rsid w:val="348558FB"/>
    <w:rsid w:val="348610D4"/>
    <w:rsid w:val="34A32F42"/>
    <w:rsid w:val="34BA37F6"/>
    <w:rsid w:val="34BB30CA"/>
    <w:rsid w:val="34C46423"/>
    <w:rsid w:val="34C93A39"/>
    <w:rsid w:val="34D4418C"/>
    <w:rsid w:val="34DB19BE"/>
    <w:rsid w:val="34DB376C"/>
    <w:rsid w:val="34DD0BFC"/>
    <w:rsid w:val="34EC7728"/>
    <w:rsid w:val="34EE025C"/>
    <w:rsid w:val="34F211E2"/>
    <w:rsid w:val="3502673B"/>
    <w:rsid w:val="35076310"/>
    <w:rsid w:val="350C2108"/>
    <w:rsid w:val="351A24E7"/>
    <w:rsid w:val="351C625F"/>
    <w:rsid w:val="353A6359"/>
    <w:rsid w:val="353D61D5"/>
    <w:rsid w:val="3542559A"/>
    <w:rsid w:val="355359F9"/>
    <w:rsid w:val="35556D8C"/>
    <w:rsid w:val="35700359"/>
    <w:rsid w:val="3578720D"/>
    <w:rsid w:val="358160C2"/>
    <w:rsid w:val="358919B2"/>
    <w:rsid w:val="35A45105"/>
    <w:rsid w:val="35A91BEF"/>
    <w:rsid w:val="35AD537B"/>
    <w:rsid w:val="35BB5A78"/>
    <w:rsid w:val="35BF6BEA"/>
    <w:rsid w:val="35C3492C"/>
    <w:rsid w:val="35D5640E"/>
    <w:rsid w:val="35E30B2B"/>
    <w:rsid w:val="35EB79DF"/>
    <w:rsid w:val="35EF127D"/>
    <w:rsid w:val="36065E3C"/>
    <w:rsid w:val="360762D6"/>
    <w:rsid w:val="360D012F"/>
    <w:rsid w:val="36105698"/>
    <w:rsid w:val="36162CAE"/>
    <w:rsid w:val="361C55FE"/>
    <w:rsid w:val="362735B6"/>
    <w:rsid w:val="362C24D2"/>
    <w:rsid w:val="36363350"/>
    <w:rsid w:val="363B2F5A"/>
    <w:rsid w:val="36402746"/>
    <w:rsid w:val="36437999"/>
    <w:rsid w:val="3647730B"/>
    <w:rsid w:val="364E0B69"/>
    <w:rsid w:val="365D6B2F"/>
    <w:rsid w:val="36657792"/>
    <w:rsid w:val="3668525A"/>
    <w:rsid w:val="366C0B20"/>
    <w:rsid w:val="367D2D2D"/>
    <w:rsid w:val="3684230E"/>
    <w:rsid w:val="36857E34"/>
    <w:rsid w:val="369B31B3"/>
    <w:rsid w:val="369E4A52"/>
    <w:rsid w:val="36A97036"/>
    <w:rsid w:val="36B67FED"/>
    <w:rsid w:val="36BB3856"/>
    <w:rsid w:val="36BB5604"/>
    <w:rsid w:val="36BD5820"/>
    <w:rsid w:val="36E0150E"/>
    <w:rsid w:val="36E032BC"/>
    <w:rsid w:val="36E763F9"/>
    <w:rsid w:val="36E94D26"/>
    <w:rsid w:val="36EA5EE9"/>
    <w:rsid w:val="36EE057B"/>
    <w:rsid w:val="36F17277"/>
    <w:rsid w:val="36FD79CA"/>
    <w:rsid w:val="37074CED"/>
    <w:rsid w:val="37180CA8"/>
    <w:rsid w:val="371B42F4"/>
    <w:rsid w:val="371B473D"/>
    <w:rsid w:val="371F2036"/>
    <w:rsid w:val="373F4487"/>
    <w:rsid w:val="373F7FE3"/>
    <w:rsid w:val="37411FAD"/>
    <w:rsid w:val="37657548"/>
    <w:rsid w:val="37667C65"/>
    <w:rsid w:val="376E08C8"/>
    <w:rsid w:val="377C4D93"/>
    <w:rsid w:val="378A2490"/>
    <w:rsid w:val="378C2AA9"/>
    <w:rsid w:val="37991DE9"/>
    <w:rsid w:val="37A662B4"/>
    <w:rsid w:val="37A97B52"/>
    <w:rsid w:val="37AB5678"/>
    <w:rsid w:val="37B15FB3"/>
    <w:rsid w:val="37B207B5"/>
    <w:rsid w:val="37B564F7"/>
    <w:rsid w:val="37C17290"/>
    <w:rsid w:val="37D526F5"/>
    <w:rsid w:val="38036CF1"/>
    <w:rsid w:val="3814321D"/>
    <w:rsid w:val="3825367C"/>
    <w:rsid w:val="38374627"/>
    <w:rsid w:val="3839364C"/>
    <w:rsid w:val="38397128"/>
    <w:rsid w:val="38404012"/>
    <w:rsid w:val="384358B1"/>
    <w:rsid w:val="38455ACD"/>
    <w:rsid w:val="38743CBC"/>
    <w:rsid w:val="38787C50"/>
    <w:rsid w:val="387E0FDF"/>
    <w:rsid w:val="388163D9"/>
    <w:rsid w:val="388B3307"/>
    <w:rsid w:val="388C7258"/>
    <w:rsid w:val="38983E4E"/>
    <w:rsid w:val="38995931"/>
    <w:rsid w:val="38A10829"/>
    <w:rsid w:val="38A24CCD"/>
    <w:rsid w:val="38B44A00"/>
    <w:rsid w:val="38BF587F"/>
    <w:rsid w:val="38C06F01"/>
    <w:rsid w:val="38C42E95"/>
    <w:rsid w:val="38C56C0D"/>
    <w:rsid w:val="38CD6C0F"/>
    <w:rsid w:val="38CE5AC2"/>
    <w:rsid w:val="38E2156D"/>
    <w:rsid w:val="38E928FC"/>
    <w:rsid w:val="38F35529"/>
    <w:rsid w:val="39047736"/>
    <w:rsid w:val="390C2146"/>
    <w:rsid w:val="390F1C37"/>
    <w:rsid w:val="391A2097"/>
    <w:rsid w:val="3925145A"/>
    <w:rsid w:val="39317DFF"/>
    <w:rsid w:val="394E275F"/>
    <w:rsid w:val="395104A1"/>
    <w:rsid w:val="39576612"/>
    <w:rsid w:val="395D0BF4"/>
    <w:rsid w:val="39691347"/>
    <w:rsid w:val="396957EB"/>
    <w:rsid w:val="3971644D"/>
    <w:rsid w:val="39792C3A"/>
    <w:rsid w:val="397A3554"/>
    <w:rsid w:val="397D4DF2"/>
    <w:rsid w:val="39810D86"/>
    <w:rsid w:val="39893797"/>
    <w:rsid w:val="39934616"/>
    <w:rsid w:val="39974106"/>
    <w:rsid w:val="39A93E39"/>
    <w:rsid w:val="39BC591B"/>
    <w:rsid w:val="39C72511"/>
    <w:rsid w:val="39C944DB"/>
    <w:rsid w:val="39C96289"/>
    <w:rsid w:val="39CA51D3"/>
    <w:rsid w:val="39DD3AE3"/>
    <w:rsid w:val="39F07CBA"/>
    <w:rsid w:val="39F5707E"/>
    <w:rsid w:val="3A0F6392"/>
    <w:rsid w:val="3A127C30"/>
    <w:rsid w:val="3A211C22"/>
    <w:rsid w:val="3A2766C0"/>
    <w:rsid w:val="3A2A4F7A"/>
    <w:rsid w:val="3A3A5FF3"/>
    <w:rsid w:val="3A463BC8"/>
    <w:rsid w:val="3A4D6EBA"/>
    <w:rsid w:val="3A5C534F"/>
    <w:rsid w:val="3A6B10EF"/>
    <w:rsid w:val="3A810912"/>
    <w:rsid w:val="3A944AE9"/>
    <w:rsid w:val="3A971EE4"/>
    <w:rsid w:val="3A97650B"/>
    <w:rsid w:val="3AA50AA5"/>
    <w:rsid w:val="3AAA7E59"/>
    <w:rsid w:val="3AB40CE8"/>
    <w:rsid w:val="3AC3717D"/>
    <w:rsid w:val="3AD41FAB"/>
    <w:rsid w:val="3ADB2718"/>
    <w:rsid w:val="3AE35129"/>
    <w:rsid w:val="3AEA6EE1"/>
    <w:rsid w:val="3B082DE1"/>
    <w:rsid w:val="3B1B48C3"/>
    <w:rsid w:val="3B22546F"/>
    <w:rsid w:val="3B2969CB"/>
    <w:rsid w:val="3B2C2F74"/>
    <w:rsid w:val="3B304812"/>
    <w:rsid w:val="3B31058A"/>
    <w:rsid w:val="3B331C0C"/>
    <w:rsid w:val="3B334302"/>
    <w:rsid w:val="3B365224"/>
    <w:rsid w:val="3B3836C7"/>
    <w:rsid w:val="3B404329"/>
    <w:rsid w:val="3B4C5671"/>
    <w:rsid w:val="3B4F27BE"/>
    <w:rsid w:val="3B516536"/>
    <w:rsid w:val="3B581673"/>
    <w:rsid w:val="3B673FAC"/>
    <w:rsid w:val="3B697D2B"/>
    <w:rsid w:val="3B7A5A8D"/>
    <w:rsid w:val="3B94447D"/>
    <w:rsid w:val="3B9D177C"/>
    <w:rsid w:val="3BBD1E1E"/>
    <w:rsid w:val="3BBD597A"/>
    <w:rsid w:val="3BC2491E"/>
    <w:rsid w:val="3BC431AC"/>
    <w:rsid w:val="3BC767F9"/>
    <w:rsid w:val="3BD664F9"/>
    <w:rsid w:val="3BD66A3C"/>
    <w:rsid w:val="3BFA6BCE"/>
    <w:rsid w:val="3BFB7BD3"/>
    <w:rsid w:val="3C061840"/>
    <w:rsid w:val="3C067321"/>
    <w:rsid w:val="3C08753D"/>
    <w:rsid w:val="3C0D6901"/>
    <w:rsid w:val="3C0E3279"/>
    <w:rsid w:val="3C17152E"/>
    <w:rsid w:val="3C1A7270"/>
    <w:rsid w:val="3C1C6B44"/>
    <w:rsid w:val="3C1E31D9"/>
    <w:rsid w:val="3C232E7F"/>
    <w:rsid w:val="3C487939"/>
    <w:rsid w:val="3C4B11D8"/>
    <w:rsid w:val="3C4D31A2"/>
    <w:rsid w:val="3C53008C"/>
    <w:rsid w:val="3C5462DE"/>
    <w:rsid w:val="3C636521"/>
    <w:rsid w:val="3C667DC0"/>
    <w:rsid w:val="3C6B187A"/>
    <w:rsid w:val="3C756255"/>
    <w:rsid w:val="3C7F0E81"/>
    <w:rsid w:val="3C8841DA"/>
    <w:rsid w:val="3C8D4CA7"/>
    <w:rsid w:val="3C8D7A42"/>
    <w:rsid w:val="3C8F7316"/>
    <w:rsid w:val="3C8F7A4F"/>
    <w:rsid w:val="3C95260C"/>
    <w:rsid w:val="3C986AFB"/>
    <w:rsid w:val="3C991F43"/>
    <w:rsid w:val="3CAA4150"/>
    <w:rsid w:val="3CB13731"/>
    <w:rsid w:val="3CB66F99"/>
    <w:rsid w:val="3CB90837"/>
    <w:rsid w:val="3CBA010B"/>
    <w:rsid w:val="3CC03974"/>
    <w:rsid w:val="3CCD6091"/>
    <w:rsid w:val="3CD13DD3"/>
    <w:rsid w:val="3CD218F9"/>
    <w:rsid w:val="3CD25455"/>
    <w:rsid w:val="3D031AB2"/>
    <w:rsid w:val="3D167A38"/>
    <w:rsid w:val="3D1E4B3E"/>
    <w:rsid w:val="3D202664"/>
    <w:rsid w:val="3D314871"/>
    <w:rsid w:val="3D324146"/>
    <w:rsid w:val="3D3B1F44"/>
    <w:rsid w:val="3D411129"/>
    <w:rsid w:val="3D4A76E1"/>
    <w:rsid w:val="3D5B369C"/>
    <w:rsid w:val="3D695DB9"/>
    <w:rsid w:val="3D6E02CF"/>
    <w:rsid w:val="3D7D4325"/>
    <w:rsid w:val="3D8726E3"/>
    <w:rsid w:val="3D8A3F82"/>
    <w:rsid w:val="3D8E75CE"/>
    <w:rsid w:val="3D98669F"/>
    <w:rsid w:val="3DA60DBB"/>
    <w:rsid w:val="3DA7240E"/>
    <w:rsid w:val="3DC10A9E"/>
    <w:rsid w:val="3DC15BF5"/>
    <w:rsid w:val="3DCE0312"/>
    <w:rsid w:val="3DD516A1"/>
    <w:rsid w:val="3DDA0A65"/>
    <w:rsid w:val="3DE146D9"/>
    <w:rsid w:val="3DE2791A"/>
    <w:rsid w:val="3DE73182"/>
    <w:rsid w:val="3DEB30F5"/>
    <w:rsid w:val="3DF02037"/>
    <w:rsid w:val="3DF229B9"/>
    <w:rsid w:val="3DFD2913"/>
    <w:rsid w:val="3E266F75"/>
    <w:rsid w:val="3E300685"/>
    <w:rsid w:val="3E412892"/>
    <w:rsid w:val="3E435684"/>
    <w:rsid w:val="3E467EA9"/>
    <w:rsid w:val="3E4F363C"/>
    <w:rsid w:val="3E5527E2"/>
    <w:rsid w:val="3E5720B6"/>
    <w:rsid w:val="3E5A1BA6"/>
    <w:rsid w:val="3E5D51F2"/>
    <w:rsid w:val="3E691DE9"/>
    <w:rsid w:val="3E6D7B2B"/>
    <w:rsid w:val="3E725142"/>
    <w:rsid w:val="3E7A2248"/>
    <w:rsid w:val="3E8B6203"/>
    <w:rsid w:val="3EA54D17"/>
    <w:rsid w:val="3EB77FC5"/>
    <w:rsid w:val="3EC3599D"/>
    <w:rsid w:val="3EC52C97"/>
    <w:rsid w:val="3EC70F45"/>
    <w:rsid w:val="3EC86B10"/>
    <w:rsid w:val="3ED911AE"/>
    <w:rsid w:val="3EE576C2"/>
    <w:rsid w:val="3EF20030"/>
    <w:rsid w:val="3EF23B8C"/>
    <w:rsid w:val="3F051B12"/>
    <w:rsid w:val="3F06588A"/>
    <w:rsid w:val="3F1E0E25"/>
    <w:rsid w:val="3F32667F"/>
    <w:rsid w:val="3F397A0D"/>
    <w:rsid w:val="3F3B5533"/>
    <w:rsid w:val="3F4425A2"/>
    <w:rsid w:val="3F473ED8"/>
    <w:rsid w:val="3F5465F5"/>
    <w:rsid w:val="3F5605BF"/>
    <w:rsid w:val="3F566811"/>
    <w:rsid w:val="3F5900B0"/>
    <w:rsid w:val="3F636838"/>
    <w:rsid w:val="3F6A306F"/>
    <w:rsid w:val="3F6C2EC4"/>
    <w:rsid w:val="3F744DE8"/>
    <w:rsid w:val="3F7D5B4C"/>
    <w:rsid w:val="3F7D78FA"/>
    <w:rsid w:val="3F80388E"/>
    <w:rsid w:val="3F850EA5"/>
    <w:rsid w:val="3F9966FE"/>
    <w:rsid w:val="3FA054C2"/>
    <w:rsid w:val="3FA64287"/>
    <w:rsid w:val="3FA7706D"/>
    <w:rsid w:val="3FB47094"/>
    <w:rsid w:val="3FB6105E"/>
    <w:rsid w:val="3FBD23EC"/>
    <w:rsid w:val="3FCC6AD3"/>
    <w:rsid w:val="3FD6525C"/>
    <w:rsid w:val="3FD85478"/>
    <w:rsid w:val="3FDC2362"/>
    <w:rsid w:val="3FE77469"/>
    <w:rsid w:val="3FEB51AC"/>
    <w:rsid w:val="3FEC2CD2"/>
    <w:rsid w:val="40155D85"/>
    <w:rsid w:val="40412E4E"/>
    <w:rsid w:val="40414DCB"/>
    <w:rsid w:val="404448BC"/>
    <w:rsid w:val="40556AC9"/>
    <w:rsid w:val="40640ABA"/>
    <w:rsid w:val="40694E89"/>
    <w:rsid w:val="406B1E48"/>
    <w:rsid w:val="407A652F"/>
    <w:rsid w:val="407D1B7C"/>
    <w:rsid w:val="4091612F"/>
    <w:rsid w:val="409C0254"/>
    <w:rsid w:val="409F1AF2"/>
    <w:rsid w:val="40A3680C"/>
    <w:rsid w:val="40A435AC"/>
    <w:rsid w:val="40B23B84"/>
    <w:rsid w:val="40B557B9"/>
    <w:rsid w:val="40BB2268"/>
    <w:rsid w:val="40C003E6"/>
    <w:rsid w:val="40E35E83"/>
    <w:rsid w:val="40E67721"/>
    <w:rsid w:val="40EE0F04"/>
    <w:rsid w:val="40F260C6"/>
    <w:rsid w:val="40FF6807"/>
    <w:rsid w:val="41015EC1"/>
    <w:rsid w:val="41032081"/>
    <w:rsid w:val="41175B2C"/>
    <w:rsid w:val="411B386E"/>
    <w:rsid w:val="411C75E7"/>
    <w:rsid w:val="41200E85"/>
    <w:rsid w:val="41202C33"/>
    <w:rsid w:val="412A1038"/>
    <w:rsid w:val="41432DC5"/>
    <w:rsid w:val="41483F38"/>
    <w:rsid w:val="41555735"/>
    <w:rsid w:val="415723CD"/>
    <w:rsid w:val="416F7716"/>
    <w:rsid w:val="417411D1"/>
    <w:rsid w:val="417920A2"/>
    <w:rsid w:val="417B60BB"/>
    <w:rsid w:val="41AA69A0"/>
    <w:rsid w:val="41AE4EAF"/>
    <w:rsid w:val="41B25855"/>
    <w:rsid w:val="41B82E6B"/>
    <w:rsid w:val="41D57EC1"/>
    <w:rsid w:val="41DB2FFE"/>
    <w:rsid w:val="41E2438C"/>
    <w:rsid w:val="41E719A3"/>
    <w:rsid w:val="420460B1"/>
    <w:rsid w:val="42114C71"/>
    <w:rsid w:val="421D53C4"/>
    <w:rsid w:val="42254279"/>
    <w:rsid w:val="422D5547"/>
    <w:rsid w:val="423170C2"/>
    <w:rsid w:val="42510207"/>
    <w:rsid w:val="425F778B"/>
    <w:rsid w:val="426052B1"/>
    <w:rsid w:val="42672AE3"/>
    <w:rsid w:val="42817701"/>
    <w:rsid w:val="42823479"/>
    <w:rsid w:val="42843695"/>
    <w:rsid w:val="429D6505"/>
    <w:rsid w:val="42B05221"/>
    <w:rsid w:val="42B51AA1"/>
    <w:rsid w:val="42B530EB"/>
    <w:rsid w:val="42BA70B7"/>
    <w:rsid w:val="42BD2703"/>
    <w:rsid w:val="42C41CE4"/>
    <w:rsid w:val="42D229D0"/>
    <w:rsid w:val="42DE2708"/>
    <w:rsid w:val="42E44134"/>
    <w:rsid w:val="42EB7271"/>
    <w:rsid w:val="42EB7F5C"/>
    <w:rsid w:val="42ED123B"/>
    <w:rsid w:val="42ED2FE9"/>
    <w:rsid w:val="42FD40FB"/>
    <w:rsid w:val="43065E58"/>
    <w:rsid w:val="43081BD1"/>
    <w:rsid w:val="430F53FE"/>
    <w:rsid w:val="43193DDE"/>
    <w:rsid w:val="431A1904"/>
    <w:rsid w:val="432A7D99"/>
    <w:rsid w:val="432E7287"/>
    <w:rsid w:val="432F3601"/>
    <w:rsid w:val="43397FDC"/>
    <w:rsid w:val="43452E25"/>
    <w:rsid w:val="434626F9"/>
    <w:rsid w:val="435A45D8"/>
    <w:rsid w:val="435B43F6"/>
    <w:rsid w:val="436314FD"/>
    <w:rsid w:val="43670FED"/>
    <w:rsid w:val="4368266F"/>
    <w:rsid w:val="43686B13"/>
    <w:rsid w:val="436D4129"/>
    <w:rsid w:val="437E6337"/>
    <w:rsid w:val="439E0787"/>
    <w:rsid w:val="43A37B4B"/>
    <w:rsid w:val="43A7763B"/>
    <w:rsid w:val="43CC52F4"/>
    <w:rsid w:val="43DB72E5"/>
    <w:rsid w:val="43E443EC"/>
    <w:rsid w:val="43E73EDC"/>
    <w:rsid w:val="43F65ECD"/>
    <w:rsid w:val="43FE4D82"/>
    <w:rsid w:val="44056110"/>
    <w:rsid w:val="440B5E1C"/>
    <w:rsid w:val="44103433"/>
    <w:rsid w:val="441822E7"/>
    <w:rsid w:val="44240C8C"/>
    <w:rsid w:val="44280A19"/>
    <w:rsid w:val="442F2D80"/>
    <w:rsid w:val="4436451B"/>
    <w:rsid w:val="443F7874"/>
    <w:rsid w:val="4443045C"/>
    <w:rsid w:val="444A7FC7"/>
    <w:rsid w:val="445157F9"/>
    <w:rsid w:val="445826E4"/>
    <w:rsid w:val="445A2900"/>
    <w:rsid w:val="44625310"/>
    <w:rsid w:val="446948F1"/>
    <w:rsid w:val="446C2633"/>
    <w:rsid w:val="44823C05"/>
    <w:rsid w:val="448361A6"/>
    <w:rsid w:val="448425FA"/>
    <w:rsid w:val="4488746D"/>
    <w:rsid w:val="44896D41"/>
    <w:rsid w:val="44935E12"/>
    <w:rsid w:val="449F6565"/>
    <w:rsid w:val="44AB315B"/>
    <w:rsid w:val="44B05122"/>
    <w:rsid w:val="44B26298"/>
    <w:rsid w:val="44C1472D"/>
    <w:rsid w:val="44D97CC8"/>
    <w:rsid w:val="44DF1057"/>
    <w:rsid w:val="44E623E5"/>
    <w:rsid w:val="44EB1EF1"/>
    <w:rsid w:val="44F06DC0"/>
    <w:rsid w:val="44FA7C3F"/>
    <w:rsid w:val="44FE14DD"/>
    <w:rsid w:val="451A633C"/>
    <w:rsid w:val="452E1696"/>
    <w:rsid w:val="452F73CB"/>
    <w:rsid w:val="45361337"/>
    <w:rsid w:val="453E3FCF"/>
    <w:rsid w:val="45596713"/>
    <w:rsid w:val="455E3D2A"/>
    <w:rsid w:val="45603F46"/>
    <w:rsid w:val="4561381A"/>
    <w:rsid w:val="456450B8"/>
    <w:rsid w:val="45717F01"/>
    <w:rsid w:val="45837C34"/>
    <w:rsid w:val="458A2D71"/>
    <w:rsid w:val="45927E77"/>
    <w:rsid w:val="45967968"/>
    <w:rsid w:val="459E05CA"/>
    <w:rsid w:val="45A100BA"/>
    <w:rsid w:val="45A51597"/>
    <w:rsid w:val="45AA03F8"/>
    <w:rsid w:val="45AA28B2"/>
    <w:rsid w:val="45B47DEE"/>
    <w:rsid w:val="45C30775"/>
    <w:rsid w:val="45CE5353"/>
    <w:rsid w:val="45D43FEC"/>
    <w:rsid w:val="45D466E2"/>
    <w:rsid w:val="45E2650C"/>
    <w:rsid w:val="45ED0F61"/>
    <w:rsid w:val="45EF3A9A"/>
    <w:rsid w:val="460F70C6"/>
    <w:rsid w:val="46116FEE"/>
    <w:rsid w:val="461C5C32"/>
    <w:rsid w:val="46254C11"/>
    <w:rsid w:val="46366A55"/>
    <w:rsid w:val="4646138E"/>
    <w:rsid w:val="4647322C"/>
    <w:rsid w:val="46537607"/>
    <w:rsid w:val="465B196D"/>
    <w:rsid w:val="4669507C"/>
    <w:rsid w:val="4676287C"/>
    <w:rsid w:val="46833448"/>
    <w:rsid w:val="468B35FF"/>
    <w:rsid w:val="469017EB"/>
    <w:rsid w:val="469C34E3"/>
    <w:rsid w:val="46A165C4"/>
    <w:rsid w:val="46A460B4"/>
    <w:rsid w:val="46C72EF7"/>
    <w:rsid w:val="46C978C9"/>
    <w:rsid w:val="46CB27DD"/>
    <w:rsid w:val="46D5626E"/>
    <w:rsid w:val="46E6047B"/>
    <w:rsid w:val="46E701BD"/>
    <w:rsid w:val="47010F32"/>
    <w:rsid w:val="4707219F"/>
    <w:rsid w:val="47081233"/>
    <w:rsid w:val="470A56A4"/>
    <w:rsid w:val="4710374A"/>
    <w:rsid w:val="471C20EE"/>
    <w:rsid w:val="472C5B98"/>
    <w:rsid w:val="472E3BD0"/>
    <w:rsid w:val="47332F94"/>
    <w:rsid w:val="47356D0C"/>
    <w:rsid w:val="47484C91"/>
    <w:rsid w:val="474B29D4"/>
    <w:rsid w:val="474B4782"/>
    <w:rsid w:val="474D04FA"/>
    <w:rsid w:val="475353E4"/>
    <w:rsid w:val="475A49C5"/>
    <w:rsid w:val="47631C54"/>
    <w:rsid w:val="47665118"/>
    <w:rsid w:val="476745C6"/>
    <w:rsid w:val="477261B2"/>
    <w:rsid w:val="478C7274"/>
    <w:rsid w:val="47975C19"/>
    <w:rsid w:val="47A125F4"/>
    <w:rsid w:val="47AC3472"/>
    <w:rsid w:val="47EB1D31"/>
    <w:rsid w:val="47F518E2"/>
    <w:rsid w:val="4800731A"/>
    <w:rsid w:val="48013092"/>
    <w:rsid w:val="48064139"/>
    <w:rsid w:val="481854B4"/>
    <w:rsid w:val="481B05F8"/>
    <w:rsid w:val="481E7F1D"/>
    <w:rsid w:val="48233009"/>
    <w:rsid w:val="4830234F"/>
    <w:rsid w:val="483E41F4"/>
    <w:rsid w:val="484437C6"/>
    <w:rsid w:val="48537D92"/>
    <w:rsid w:val="485458B8"/>
    <w:rsid w:val="48592672"/>
    <w:rsid w:val="48596D69"/>
    <w:rsid w:val="485A323C"/>
    <w:rsid w:val="485C0F4E"/>
    <w:rsid w:val="486A6E89"/>
    <w:rsid w:val="486C0E54"/>
    <w:rsid w:val="486C6836"/>
    <w:rsid w:val="486F26F2"/>
    <w:rsid w:val="48733F90"/>
    <w:rsid w:val="48763A80"/>
    <w:rsid w:val="487808B1"/>
    <w:rsid w:val="4884619D"/>
    <w:rsid w:val="489F2FD7"/>
    <w:rsid w:val="489F6B33"/>
    <w:rsid w:val="48B277A8"/>
    <w:rsid w:val="48B30830"/>
    <w:rsid w:val="48BB76E5"/>
    <w:rsid w:val="48BD345D"/>
    <w:rsid w:val="48BF0F83"/>
    <w:rsid w:val="48C52312"/>
    <w:rsid w:val="48CA7928"/>
    <w:rsid w:val="48E7672C"/>
    <w:rsid w:val="48EB7FCA"/>
    <w:rsid w:val="48EE3617"/>
    <w:rsid w:val="490E3CB9"/>
    <w:rsid w:val="49107A31"/>
    <w:rsid w:val="49180694"/>
    <w:rsid w:val="491868E5"/>
    <w:rsid w:val="49357497"/>
    <w:rsid w:val="493D634C"/>
    <w:rsid w:val="49415E3C"/>
    <w:rsid w:val="4961203A"/>
    <w:rsid w:val="496658A3"/>
    <w:rsid w:val="49755AE6"/>
    <w:rsid w:val="4985123B"/>
    <w:rsid w:val="498D2E30"/>
    <w:rsid w:val="49A07007"/>
    <w:rsid w:val="49A308A5"/>
    <w:rsid w:val="49BC3715"/>
    <w:rsid w:val="49C03205"/>
    <w:rsid w:val="49C12AD9"/>
    <w:rsid w:val="49CA7046"/>
    <w:rsid w:val="49D15412"/>
    <w:rsid w:val="49DB003F"/>
    <w:rsid w:val="49DE18DD"/>
    <w:rsid w:val="49E42402"/>
    <w:rsid w:val="49E669E4"/>
    <w:rsid w:val="49E862B8"/>
    <w:rsid w:val="49FB31E0"/>
    <w:rsid w:val="4A001853"/>
    <w:rsid w:val="4A003601"/>
    <w:rsid w:val="4A0550BC"/>
    <w:rsid w:val="4A064990"/>
    <w:rsid w:val="4A161077"/>
    <w:rsid w:val="4A183041"/>
    <w:rsid w:val="4A1B668D"/>
    <w:rsid w:val="4A2C2648"/>
    <w:rsid w:val="4A4554B8"/>
    <w:rsid w:val="4A4831FA"/>
    <w:rsid w:val="4A4D25BF"/>
    <w:rsid w:val="4A4E6A63"/>
    <w:rsid w:val="4A673681"/>
    <w:rsid w:val="4A675EAB"/>
    <w:rsid w:val="4A8A736F"/>
    <w:rsid w:val="4AB31E79"/>
    <w:rsid w:val="4AB368C6"/>
    <w:rsid w:val="4AC26B09"/>
    <w:rsid w:val="4ACB11D0"/>
    <w:rsid w:val="4AE364D8"/>
    <w:rsid w:val="4AEA3517"/>
    <w:rsid w:val="4AFA2747"/>
    <w:rsid w:val="4AFD3FE5"/>
    <w:rsid w:val="4AFD7946"/>
    <w:rsid w:val="4B0709C0"/>
    <w:rsid w:val="4B0B04B0"/>
    <w:rsid w:val="4B0C247A"/>
    <w:rsid w:val="4B1A06F3"/>
    <w:rsid w:val="4B321EE0"/>
    <w:rsid w:val="4B3313E7"/>
    <w:rsid w:val="4B3A6FE7"/>
    <w:rsid w:val="4B3C2D5F"/>
    <w:rsid w:val="4B4013D3"/>
    <w:rsid w:val="4B490059"/>
    <w:rsid w:val="4B5241A5"/>
    <w:rsid w:val="4B5736F5"/>
    <w:rsid w:val="4B616322"/>
    <w:rsid w:val="4B652425"/>
    <w:rsid w:val="4B6B0F4E"/>
    <w:rsid w:val="4BA821A3"/>
    <w:rsid w:val="4BAD5A0B"/>
    <w:rsid w:val="4BB52B12"/>
    <w:rsid w:val="4BBB159C"/>
    <w:rsid w:val="4BC13264"/>
    <w:rsid w:val="4BC66ACD"/>
    <w:rsid w:val="4BCB2D04"/>
    <w:rsid w:val="4BDD4118"/>
    <w:rsid w:val="4BDE3E16"/>
    <w:rsid w:val="4C0C5FB5"/>
    <w:rsid w:val="4C237A7B"/>
    <w:rsid w:val="4C2D6BEC"/>
    <w:rsid w:val="4C3A6B73"/>
    <w:rsid w:val="4C3B3017"/>
    <w:rsid w:val="4C4F6AC2"/>
    <w:rsid w:val="4C561BFF"/>
    <w:rsid w:val="4C583BC9"/>
    <w:rsid w:val="4C59349D"/>
    <w:rsid w:val="4C5E4F57"/>
    <w:rsid w:val="4C647B3D"/>
    <w:rsid w:val="4C687B84"/>
    <w:rsid w:val="4C722A64"/>
    <w:rsid w:val="4C7402D7"/>
    <w:rsid w:val="4C8147A2"/>
    <w:rsid w:val="4C8A18A8"/>
    <w:rsid w:val="4C8C3872"/>
    <w:rsid w:val="4C9070B4"/>
    <w:rsid w:val="4CA87F80"/>
    <w:rsid w:val="4CAA019C"/>
    <w:rsid w:val="4CB44B77"/>
    <w:rsid w:val="4CC02C47"/>
    <w:rsid w:val="4CCC0113"/>
    <w:rsid w:val="4CD80866"/>
    <w:rsid w:val="4CDB253B"/>
    <w:rsid w:val="4CE94821"/>
    <w:rsid w:val="4CF21EE0"/>
    <w:rsid w:val="4CF65190"/>
    <w:rsid w:val="4CFA3123"/>
    <w:rsid w:val="4CFA4C80"/>
    <w:rsid w:val="4D03307E"/>
    <w:rsid w:val="4D0E0255"/>
    <w:rsid w:val="4D0E4287"/>
    <w:rsid w:val="4D16313C"/>
    <w:rsid w:val="4D175464"/>
    <w:rsid w:val="4D176CDD"/>
    <w:rsid w:val="4D1D44CA"/>
    <w:rsid w:val="4D2579AD"/>
    <w:rsid w:val="4D261F7D"/>
    <w:rsid w:val="4D3121A2"/>
    <w:rsid w:val="4D3857A8"/>
    <w:rsid w:val="4D6D36A4"/>
    <w:rsid w:val="4D7F0CE1"/>
    <w:rsid w:val="4D875DE8"/>
    <w:rsid w:val="4D8E361A"/>
    <w:rsid w:val="4D981DA3"/>
    <w:rsid w:val="4DA22C22"/>
    <w:rsid w:val="4DA44BEC"/>
    <w:rsid w:val="4DA651AE"/>
    <w:rsid w:val="4DAD1CF2"/>
    <w:rsid w:val="4DC21EE9"/>
    <w:rsid w:val="4DC40DEA"/>
    <w:rsid w:val="4DD03C33"/>
    <w:rsid w:val="4DD52FF7"/>
    <w:rsid w:val="4DDC25D7"/>
    <w:rsid w:val="4DDC4386"/>
    <w:rsid w:val="4DDC6134"/>
    <w:rsid w:val="4DDF3E76"/>
    <w:rsid w:val="4DE84AD8"/>
    <w:rsid w:val="4DED6593"/>
    <w:rsid w:val="4DF94F37"/>
    <w:rsid w:val="4E025974"/>
    <w:rsid w:val="4E037B64"/>
    <w:rsid w:val="4E0F686C"/>
    <w:rsid w:val="4E1E499E"/>
    <w:rsid w:val="4E200716"/>
    <w:rsid w:val="4E235B10"/>
    <w:rsid w:val="4E424078"/>
    <w:rsid w:val="4E564138"/>
    <w:rsid w:val="4E5B174E"/>
    <w:rsid w:val="4E612ADD"/>
    <w:rsid w:val="4E616639"/>
    <w:rsid w:val="4E726A98"/>
    <w:rsid w:val="4E772300"/>
    <w:rsid w:val="4E775E5C"/>
    <w:rsid w:val="4E7E71EB"/>
    <w:rsid w:val="4E872543"/>
    <w:rsid w:val="4E927B13"/>
    <w:rsid w:val="4E956D0F"/>
    <w:rsid w:val="4E984750"/>
    <w:rsid w:val="4EA07161"/>
    <w:rsid w:val="4EA12ED9"/>
    <w:rsid w:val="4EA56E6D"/>
    <w:rsid w:val="4EA74993"/>
    <w:rsid w:val="4EAA5602"/>
    <w:rsid w:val="4EAD7AD0"/>
    <w:rsid w:val="4EC5306C"/>
    <w:rsid w:val="4ED17C62"/>
    <w:rsid w:val="4EDA0BC5"/>
    <w:rsid w:val="4EF120B3"/>
    <w:rsid w:val="4EF676C9"/>
    <w:rsid w:val="4F0612C4"/>
    <w:rsid w:val="4F073684"/>
    <w:rsid w:val="4F0E28FD"/>
    <w:rsid w:val="4F165675"/>
    <w:rsid w:val="4F166E11"/>
    <w:rsid w:val="4F1D07B2"/>
    <w:rsid w:val="4F256A2A"/>
    <w:rsid w:val="4F274CE1"/>
    <w:rsid w:val="4F2A2ECF"/>
    <w:rsid w:val="4F2E29BF"/>
    <w:rsid w:val="4F4A3571"/>
    <w:rsid w:val="4F512B51"/>
    <w:rsid w:val="4F644633"/>
    <w:rsid w:val="4F650B52"/>
    <w:rsid w:val="4F686B17"/>
    <w:rsid w:val="4F701229"/>
    <w:rsid w:val="4F754A92"/>
    <w:rsid w:val="4F876573"/>
    <w:rsid w:val="4F9842DC"/>
    <w:rsid w:val="4F9A62A6"/>
    <w:rsid w:val="4F9C201E"/>
    <w:rsid w:val="4F9F3ABC"/>
    <w:rsid w:val="4FA90297"/>
    <w:rsid w:val="4FA9473B"/>
    <w:rsid w:val="4FAE042E"/>
    <w:rsid w:val="4FB530E0"/>
    <w:rsid w:val="4FC13833"/>
    <w:rsid w:val="4FD277EE"/>
    <w:rsid w:val="4FDE2AD4"/>
    <w:rsid w:val="4FDF015D"/>
    <w:rsid w:val="4FE319FB"/>
    <w:rsid w:val="4FE47521"/>
    <w:rsid w:val="4FEC63D6"/>
    <w:rsid w:val="4FEC7B6B"/>
    <w:rsid w:val="4FED287A"/>
    <w:rsid w:val="4FF260E2"/>
    <w:rsid w:val="4FF57980"/>
    <w:rsid w:val="501E2A33"/>
    <w:rsid w:val="50285660"/>
    <w:rsid w:val="502A7C25"/>
    <w:rsid w:val="502D711A"/>
    <w:rsid w:val="50357D7D"/>
    <w:rsid w:val="503A5393"/>
    <w:rsid w:val="503E4E84"/>
    <w:rsid w:val="50447AD2"/>
    <w:rsid w:val="505535BB"/>
    <w:rsid w:val="50591CBD"/>
    <w:rsid w:val="50681F00"/>
    <w:rsid w:val="50700DB5"/>
    <w:rsid w:val="507408A5"/>
    <w:rsid w:val="507C1E50"/>
    <w:rsid w:val="508A1E77"/>
    <w:rsid w:val="508F1B83"/>
    <w:rsid w:val="50903205"/>
    <w:rsid w:val="5098349E"/>
    <w:rsid w:val="509B0528"/>
    <w:rsid w:val="509E5922"/>
    <w:rsid w:val="50A05B3E"/>
    <w:rsid w:val="50AD3DB7"/>
    <w:rsid w:val="50AF6900"/>
    <w:rsid w:val="50B138A7"/>
    <w:rsid w:val="50B27620"/>
    <w:rsid w:val="50B52C6C"/>
    <w:rsid w:val="50BE04AA"/>
    <w:rsid w:val="50CD4459"/>
    <w:rsid w:val="50D47596"/>
    <w:rsid w:val="50E104DF"/>
    <w:rsid w:val="50F43794"/>
    <w:rsid w:val="50FC089B"/>
    <w:rsid w:val="51093ACB"/>
    <w:rsid w:val="510D2AA8"/>
    <w:rsid w:val="510E07AC"/>
    <w:rsid w:val="51134562"/>
    <w:rsid w:val="511931FB"/>
    <w:rsid w:val="511D7DAF"/>
    <w:rsid w:val="51200A2D"/>
    <w:rsid w:val="51312C3A"/>
    <w:rsid w:val="514209A3"/>
    <w:rsid w:val="515801C7"/>
    <w:rsid w:val="515B1A65"/>
    <w:rsid w:val="515E50B1"/>
    <w:rsid w:val="516529B9"/>
    <w:rsid w:val="51693DBC"/>
    <w:rsid w:val="516E79EA"/>
    <w:rsid w:val="518A40F8"/>
    <w:rsid w:val="519A7C0E"/>
    <w:rsid w:val="519B6306"/>
    <w:rsid w:val="51AA02F7"/>
    <w:rsid w:val="51BA2C30"/>
    <w:rsid w:val="51C55131"/>
    <w:rsid w:val="51D756D4"/>
    <w:rsid w:val="51E27A91"/>
    <w:rsid w:val="51E47CAD"/>
    <w:rsid w:val="51F223CA"/>
    <w:rsid w:val="51FF6894"/>
    <w:rsid w:val="52171E30"/>
    <w:rsid w:val="5217598C"/>
    <w:rsid w:val="521D405A"/>
    <w:rsid w:val="522105B9"/>
    <w:rsid w:val="522E2410"/>
    <w:rsid w:val="522E2CD6"/>
    <w:rsid w:val="523227C6"/>
    <w:rsid w:val="523C3645"/>
    <w:rsid w:val="52412A09"/>
    <w:rsid w:val="524B1ADA"/>
    <w:rsid w:val="524D0869"/>
    <w:rsid w:val="525A1D1D"/>
    <w:rsid w:val="526A6404"/>
    <w:rsid w:val="52702271"/>
    <w:rsid w:val="527402E3"/>
    <w:rsid w:val="5277467D"/>
    <w:rsid w:val="527F1783"/>
    <w:rsid w:val="52862B12"/>
    <w:rsid w:val="529A65BD"/>
    <w:rsid w:val="529C2335"/>
    <w:rsid w:val="529E42FF"/>
    <w:rsid w:val="52B0193D"/>
    <w:rsid w:val="52B70F1D"/>
    <w:rsid w:val="52F757BE"/>
    <w:rsid w:val="5302663C"/>
    <w:rsid w:val="530D6D8F"/>
    <w:rsid w:val="533B7DA0"/>
    <w:rsid w:val="53446C55"/>
    <w:rsid w:val="534C3FE9"/>
    <w:rsid w:val="53560736"/>
    <w:rsid w:val="535F3025"/>
    <w:rsid w:val="536015B5"/>
    <w:rsid w:val="53653A1F"/>
    <w:rsid w:val="53806D29"/>
    <w:rsid w:val="53990623"/>
    <w:rsid w:val="539D0113"/>
    <w:rsid w:val="53A16198"/>
    <w:rsid w:val="53A643F3"/>
    <w:rsid w:val="53A771E4"/>
    <w:rsid w:val="53A92F5C"/>
    <w:rsid w:val="53B61FBC"/>
    <w:rsid w:val="53B813F1"/>
    <w:rsid w:val="53C5766A"/>
    <w:rsid w:val="53DA3115"/>
    <w:rsid w:val="53E61ABA"/>
    <w:rsid w:val="53E755FE"/>
    <w:rsid w:val="53FD1293"/>
    <w:rsid w:val="53FD2283"/>
    <w:rsid w:val="540C5299"/>
    <w:rsid w:val="54177EC5"/>
    <w:rsid w:val="541C372E"/>
    <w:rsid w:val="54273E81"/>
    <w:rsid w:val="543071D9"/>
    <w:rsid w:val="543126CE"/>
    <w:rsid w:val="544669FD"/>
    <w:rsid w:val="54534C76"/>
    <w:rsid w:val="5463135D"/>
    <w:rsid w:val="54660E4D"/>
    <w:rsid w:val="54673C6D"/>
    <w:rsid w:val="54694499"/>
    <w:rsid w:val="547277F2"/>
    <w:rsid w:val="5483555B"/>
    <w:rsid w:val="54927D67"/>
    <w:rsid w:val="5495528E"/>
    <w:rsid w:val="5495703C"/>
    <w:rsid w:val="54B35714"/>
    <w:rsid w:val="54B576DE"/>
    <w:rsid w:val="54B819B4"/>
    <w:rsid w:val="54BA4CF5"/>
    <w:rsid w:val="54BC6C04"/>
    <w:rsid w:val="54C31DFB"/>
    <w:rsid w:val="54D22D14"/>
    <w:rsid w:val="54E104D3"/>
    <w:rsid w:val="54EF0E42"/>
    <w:rsid w:val="54F16968"/>
    <w:rsid w:val="54F40207"/>
    <w:rsid w:val="54FE2E33"/>
    <w:rsid w:val="55006BAB"/>
    <w:rsid w:val="55020F76"/>
    <w:rsid w:val="55081F04"/>
    <w:rsid w:val="5516017D"/>
    <w:rsid w:val="55191A1B"/>
    <w:rsid w:val="552705DC"/>
    <w:rsid w:val="55313209"/>
    <w:rsid w:val="55322218"/>
    <w:rsid w:val="554F18E1"/>
    <w:rsid w:val="55524F2D"/>
    <w:rsid w:val="555962BC"/>
    <w:rsid w:val="555D2250"/>
    <w:rsid w:val="556829A3"/>
    <w:rsid w:val="557B1AB1"/>
    <w:rsid w:val="55833339"/>
    <w:rsid w:val="55872E29"/>
    <w:rsid w:val="559341D4"/>
    <w:rsid w:val="559612BE"/>
    <w:rsid w:val="55985036"/>
    <w:rsid w:val="559B0682"/>
    <w:rsid w:val="559B68D4"/>
    <w:rsid w:val="55A21A11"/>
    <w:rsid w:val="55BD684B"/>
    <w:rsid w:val="55D63DB0"/>
    <w:rsid w:val="55D852CB"/>
    <w:rsid w:val="55E069DD"/>
    <w:rsid w:val="55E4027B"/>
    <w:rsid w:val="55EC7130"/>
    <w:rsid w:val="55F126E1"/>
    <w:rsid w:val="55F935FB"/>
    <w:rsid w:val="56213181"/>
    <w:rsid w:val="562B7C58"/>
    <w:rsid w:val="563034C0"/>
    <w:rsid w:val="563D5BDD"/>
    <w:rsid w:val="565371AF"/>
    <w:rsid w:val="565C2507"/>
    <w:rsid w:val="5661367A"/>
    <w:rsid w:val="56737851"/>
    <w:rsid w:val="567764EA"/>
    <w:rsid w:val="5697709C"/>
    <w:rsid w:val="569A2FA8"/>
    <w:rsid w:val="569E48CE"/>
    <w:rsid w:val="56A17F1A"/>
    <w:rsid w:val="56A45C5C"/>
    <w:rsid w:val="56C12D9A"/>
    <w:rsid w:val="56CD51B3"/>
    <w:rsid w:val="56D227CA"/>
    <w:rsid w:val="56D26326"/>
    <w:rsid w:val="56DF6C95"/>
    <w:rsid w:val="56F47421"/>
    <w:rsid w:val="56F738DC"/>
    <w:rsid w:val="570D3802"/>
    <w:rsid w:val="570E71FA"/>
    <w:rsid w:val="571B5F1F"/>
    <w:rsid w:val="571F7091"/>
    <w:rsid w:val="57212E09"/>
    <w:rsid w:val="57364B06"/>
    <w:rsid w:val="574134AB"/>
    <w:rsid w:val="574F3E1A"/>
    <w:rsid w:val="5753390A"/>
    <w:rsid w:val="57560D05"/>
    <w:rsid w:val="576C677A"/>
    <w:rsid w:val="576D604E"/>
    <w:rsid w:val="57713D91"/>
    <w:rsid w:val="57783371"/>
    <w:rsid w:val="577D089F"/>
    <w:rsid w:val="57830612"/>
    <w:rsid w:val="57870164"/>
    <w:rsid w:val="57A203EE"/>
    <w:rsid w:val="57A852D8"/>
    <w:rsid w:val="57AD28EF"/>
    <w:rsid w:val="57AE6D93"/>
    <w:rsid w:val="57B40121"/>
    <w:rsid w:val="57CF1AC2"/>
    <w:rsid w:val="57E207EA"/>
    <w:rsid w:val="57E36310"/>
    <w:rsid w:val="57EB62CD"/>
    <w:rsid w:val="57EC1669"/>
    <w:rsid w:val="57F64296"/>
    <w:rsid w:val="57FB47C9"/>
    <w:rsid w:val="5806097D"/>
    <w:rsid w:val="580746F5"/>
    <w:rsid w:val="581035A9"/>
    <w:rsid w:val="58207565"/>
    <w:rsid w:val="582157B7"/>
    <w:rsid w:val="582541A6"/>
    <w:rsid w:val="582A3F3F"/>
    <w:rsid w:val="582F5162"/>
    <w:rsid w:val="58311772"/>
    <w:rsid w:val="583A0626"/>
    <w:rsid w:val="583D1EC5"/>
    <w:rsid w:val="58443253"/>
    <w:rsid w:val="584D2607"/>
    <w:rsid w:val="5855720E"/>
    <w:rsid w:val="58580AAD"/>
    <w:rsid w:val="585A2A77"/>
    <w:rsid w:val="586438F5"/>
    <w:rsid w:val="58670CF0"/>
    <w:rsid w:val="586B07E0"/>
    <w:rsid w:val="586D09FC"/>
    <w:rsid w:val="587578B0"/>
    <w:rsid w:val="58810003"/>
    <w:rsid w:val="58823D7B"/>
    <w:rsid w:val="58831FCD"/>
    <w:rsid w:val="5886386C"/>
    <w:rsid w:val="58AB6E2E"/>
    <w:rsid w:val="58C47EF0"/>
    <w:rsid w:val="58C93758"/>
    <w:rsid w:val="58D96D7B"/>
    <w:rsid w:val="58E04ED5"/>
    <w:rsid w:val="58F72073"/>
    <w:rsid w:val="58F9403E"/>
    <w:rsid w:val="59012EF2"/>
    <w:rsid w:val="590D1897"/>
    <w:rsid w:val="59123351"/>
    <w:rsid w:val="591A7DD0"/>
    <w:rsid w:val="592941F7"/>
    <w:rsid w:val="59396B30"/>
    <w:rsid w:val="593E4146"/>
    <w:rsid w:val="594A4899"/>
    <w:rsid w:val="594F0101"/>
    <w:rsid w:val="596811C3"/>
    <w:rsid w:val="596C2A61"/>
    <w:rsid w:val="59701E26"/>
    <w:rsid w:val="59875AED"/>
    <w:rsid w:val="59883613"/>
    <w:rsid w:val="598B0DDF"/>
    <w:rsid w:val="598D607C"/>
    <w:rsid w:val="59995821"/>
    <w:rsid w:val="599E6821"/>
    <w:rsid w:val="59C236B9"/>
    <w:rsid w:val="59C3464B"/>
    <w:rsid w:val="59CA7788"/>
    <w:rsid w:val="59CD1026"/>
    <w:rsid w:val="59CD7278"/>
    <w:rsid w:val="59CF1242"/>
    <w:rsid w:val="59D800F7"/>
    <w:rsid w:val="59DE1485"/>
    <w:rsid w:val="59EA1BD8"/>
    <w:rsid w:val="59EE16C8"/>
    <w:rsid w:val="59F42A57"/>
    <w:rsid w:val="5A063E3B"/>
    <w:rsid w:val="5A096502"/>
    <w:rsid w:val="5A0F163F"/>
    <w:rsid w:val="5A160C1F"/>
    <w:rsid w:val="5A1E1882"/>
    <w:rsid w:val="5A1F57D6"/>
    <w:rsid w:val="5A2A6479"/>
    <w:rsid w:val="5A376FBB"/>
    <w:rsid w:val="5A405C9C"/>
    <w:rsid w:val="5A427C66"/>
    <w:rsid w:val="5A54702E"/>
    <w:rsid w:val="5A557999"/>
    <w:rsid w:val="5A6606B1"/>
    <w:rsid w:val="5A7B6CD4"/>
    <w:rsid w:val="5A8706FD"/>
    <w:rsid w:val="5A957D96"/>
    <w:rsid w:val="5A985AD8"/>
    <w:rsid w:val="5A9D6C4B"/>
    <w:rsid w:val="5AA75D1B"/>
    <w:rsid w:val="5AAE236F"/>
    <w:rsid w:val="5AB26B9A"/>
    <w:rsid w:val="5AB32912"/>
    <w:rsid w:val="5AC661A1"/>
    <w:rsid w:val="5ACD5782"/>
    <w:rsid w:val="5AD53984"/>
    <w:rsid w:val="5ADA0928"/>
    <w:rsid w:val="5ADE798F"/>
    <w:rsid w:val="5AF565AC"/>
    <w:rsid w:val="5AF80325"/>
    <w:rsid w:val="5AF947C9"/>
    <w:rsid w:val="5AFC6067"/>
    <w:rsid w:val="5B10566E"/>
    <w:rsid w:val="5B1213E7"/>
    <w:rsid w:val="5B1A64ED"/>
    <w:rsid w:val="5B4029C5"/>
    <w:rsid w:val="5B523ED9"/>
    <w:rsid w:val="5B557525"/>
    <w:rsid w:val="5B57388C"/>
    <w:rsid w:val="5B5B0FE0"/>
    <w:rsid w:val="5B615ECA"/>
    <w:rsid w:val="5B6F4A8B"/>
    <w:rsid w:val="5B7B3430"/>
    <w:rsid w:val="5B914A01"/>
    <w:rsid w:val="5B950EE0"/>
    <w:rsid w:val="5B9B13DC"/>
    <w:rsid w:val="5B9B5880"/>
    <w:rsid w:val="5BB531FF"/>
    <w:rsid w:val="5BC600B1"/>
    <w:rsid w:val="5BCA1CC1"/>
    <w:rsid w:val="5BCC766D"/>
    <w:rsid w:val="5BEA2363"/>
    <w:rsid w:val="5BEF797A"/>
    <w:rsid w:val="5BF705DC"/>
    <w:rsid w:val="5C02145B"/>
    <w:rsid w:val="5C052CF9"/>
    <w:rsid w:val="5C074CC3"/>
    <w:rsid w:val="5C08449A"/>
    <w:rsid w:val="5C0C4088"/>
    <w:rsid w:val="5C0D7E00"/>
    <w:rsid w:val="5C2F5FC8"/>
    <w:rsid w:val="5C423F4D"/>
    <w:rsid w:val="5C471564"/>
    <w:rsid w:val="5C4750C0"/>
    <w:rsid w:val="5C4A6F67"/>
    <w:rsid w:val="5C531CB7"/>
    <w:rsid w:val="5C643EC4"/>
    <w:rsid w:val="5C7B120D"/>
    <w:rsid w:val="5C7D4F86"/>
    <w:rsid w:val="5C806824"/>
    <w:rsid w:val="5C856BF4"/>
    <w:rsid w:val="5C861896"/>
    <w:rsid w:val="5C892323"/>
    <w:rsid w:val="5CA02A22"/>
    <w:rsid w:val="5CA95D7B"/>
    <w:rsid w:val="5CAE15E3"/>
    <w:rsid w:val="5CB168A4"/>
    <w:rsid w:val="5CB85FBE"/>
    <w:rsid w:val="5CC26E3C"/>
    <w:rsid w:val="5CC42BB4"/>
    <w:rsid w:val="5CC44962"/>
    <w:rsid w:val="5CDA4186"/>
    <w:rsid w:val="5CDF179C"/>
    <w:rsid w:val="5CE454AA"/>
    <w:rsid w:val="5D0E3E30"/>
    <w:rsid w:val="5D1B3855"/>
    <w:rsid w:val="5D1C654D"/>
    <w:rsid w:val="5D3513BC"/>
    <w:rsid w:val="5D5F0679"/>
    <w:rsid w:val="5D69550A"/>
    <w:rsid w:val="5D740137"/>
    <w:rsid w:val="5D892CD7"/>
    <w:rsid w:val="5DA078B5"/>
    <w:rsid w:val="5DA14CA4"/>
    <w:rsid w:val="5DAD5BE1"/>
    <w:rsid w:val="5DB6074F"/>
    <w:rsid w:val="5DC32E6C"/>
    <w:rsid w:val="5DCB3ACF"/>
    <w:rsid w:val="5DCF7A63"/>
    <w:rsid w:val="5DE80B25"/>
    <w:rsid w:val="5DF179D9"/>
    <w:rsid w:val="5DF50B4C"/>
    <w:rsid w:val="5DFD637E"/>
    <w:rsid w:val="5DFE3EA4"/>
    <w:rsid w:val="5E021BE6"/>
    <w:rsid w:val="5E08087F"/>
    <w:rsid w:val="5E0A0A9B"/>
    <w:rsid w:val="5E0B4267"/>
    <w:rsid w:val="5E280F21"/>
    <w:rsid w:val="5E457D25"/>
    <w:rsid w:val="5E4A533B"/>
    <w:rsid w:val="5E4A70E9"/>
    <w:rsid w:val="5E572CB1"/>
    <w:rsid w:val="5E587A58"/>
    <w:rsid w:val="5E5D0BCB"/>
    <w:rsid w:val="5E5D506F"/>
    <w:rsid w:val="5E5F0DE7"/>
    <w:rsid w:val="5E652175"/>
    <w:rsid w:val="5E653F23"/>
    <w:rsid w:val="5E6E102A"/>
    <w:rsid w:val="5E6E2DD8"/>
    <w:rsid w:val="5E875C48"/>
    <w:rsid w:val="5E9B6682"/>
    <w:rsid w:val="5E9F5207"/>
    <w:rsid w:val="5EA507C4"/>
    <w:rsid w:val="5EB033F0"/>
    <w:rsid w:val="5EB80AF2"/>
    <w:rsid w:val="5EB86749"/>
    <w:rsid w:val="5EBD3D5F"/>
    <w:rsid w:val="5EC155FD"/>
    <w:rsid w:val="5ED115B9"/>
    <w:rsid w:val="5EE743DD"/>
    <w:rsid w:val="5EF02D31"/>
    <w:rsid w:val="5EFC4888"/>
    <w:rsid w:val="5F025C16"/>
    <w:rsid w:val="5F0B0627"/>
    <w:rsid w:val="5F0E45BB"/>
    <w:rsid w:val="5F221E14"/>
    <w:rsid w:val="5F2931A3"/>
    <w:rsid w:val="5F4678B1"/>
    <w:rsid w:val="5F48187B"/>
    <w:rsid w:val="5F4B136B"/>
    <w:rsid w:val="5F5226F9"/>
    <w:rsid w:val="5F5479E7"/>
    <w:rsid w:val="5F622211"/>
    <w:rsid w:val="5F683CCB"/>
    <w:rsid w:val="5F7A57AC"/>
    <w:rsid w:val="5F7D704B"/>
    <w:rsid w:val="5F887544"/>
    <w:rsid w:val="5F8959EF"/>
    <w:rsid w:val="5F942D12"/>
    <w:rsid w:val="5F954394"/>
    <w:rsid w:val="5F985EDF"/>
    <w:rsid w:val="5FC30F01"/>
    <w:rsid w:val="5FCB425A"/>
    <w:rsid w:val="5FCF5AF8"/>
    <w:rsid w:val="5FD2383A"/>
    <w:rsid w:val="5FD56BE4"/>
    <w:rsid w:val="5FE570CA"/>
    <w:rsid w:val="5FF260BD"/>
    <w:rsid w:val="5FF76DFD"/>
    <w:rsid w:val="60031C46"/>
    <w:rsid w:val="600E35B7"/>
    <w:rsid w:val="60107EBF"/>
    <w:rsid w:val="60114363"/>
    <w:rsid w:val="601C6864"/>
    <w:rsid w:val="60242A7E"/>
    <w:rsid w:val="6037369D"/>
    <w:rsid w:val="60395667"/>
    <w:rsid w:val="603E67DA"/>
    <w:rsid w:val="604D4C6F"/>
    <w:rsid w:val="604F6C39"/>
    <w:rsid w:val="605204D7"/>
    <w:rsid w:val="60527757"/>
    <w:rsid w:val="60563B24"/>
    <w:rsid w:val="60583D40"/>
    <w:rsid w:val="607B7A2E"/>
    <w:rsid w:val="608368E3"/>
    <w:rsid w:val="60877AD2"/>
    <w:rsid w:val="60923C00"/>
    <w:rsid w:val="60A30D33"/>
    <w:rsid w:val="60AF76D8"/>
    <w:rsid w:val="60C2740B"/>
    <w:rsid w:val="60C34F31"/>
    <w:rsid w:val="60C767CF"/>
    <w:rsid w:val="60E43825"/>
    <w:rsid w:val="6103589E"/>
    <w:rsid w:val="6118154A"/>
    <w:rsid w:val="611834CF"/>
    <w:rsid w:val="61241E74"/>
    <w:rsid w:val="61291238"/>
    <w:rsid w:val="612E4AA0"/>
    <w:rsid w:val="61354081"/>
    <w:rsid w:val="61411E3B"/>
    <w:rsid w:val="61493688"/>
    <w:rsid w:val="614C4F26"/>
    <w:rsid w:val="614D13CA"/>
    <w:rsid w:val="614E6EF1"/>
    <w:rsid w:val="61572249"/>
    <w:rsid w:val="616404C2"/>
    <w:rsid w:val="61646714"/>
    <w:rsid w:val="61734BA9"/>
    <w:rsid w:val="617F7E34"/>
    <w:rsid w:val="6183303E"/>
    <w:rsid w:val="618E510D"/>
    <w:rsid w:val="61955A5B"/>
    <w:rsid w:val="619667D9"/>
    <w:rsid w:val="6197453C"/>
    <w:rsid w:val="61A15272"/>
    <w:rsid w:val="61AB7E9F"/>
    <w:rsid w:val="61B2747F"/>
    <w:rsid w:val="61B96A60"/>
    <w:rsid w:val="61BC02FE"/>
    <w:rsid w:val="61BF394A"/>
    <w:rsid w:val="61C3343B"/>
    <w:rsid w:val="61C6117D"/>
    <w:rsid w:val="61D4389A"/>
    <w:rsid w:val="61D54F1C"/>
    <w:rsid w:val="61E84C4F"/>
    <w:rsid w:val="61F5736C"/>
    <w:rsid w:val="61FE26C5"/>
    <w:rsid w:val="62007770"/>
    <w:rsid w:val="6211064A"/>
    <w:rsid w:val="622B7232"/>
    <w:rsid w:val="622D2FAA"/>
    <w:rsid w:val="62307FB4"/>
    <w:rsid w:val="62326812"/>
    <w:rsid w:val="62375BD7"/>
    <w:rsid w:val="624A76B8"/>
    <w:rsid w:val="625A6824"/>
    <w:rsid w:val="625B180A"/>
    <w:rsid w:val="625F36E9"/>
    <w:rsid w:val="626562A0"/>
    <w:rsid w:val="62791D4B"/>
    <w:rsid w:val="6283706E"/>
    <w:rsid w:val="628A3F58"/>
    <w:rsid w:val="62A36DC8"/>
    <w:rsid w:val="62B611F1"/>
    <w:rsid w:val="62BD2580"/>
    <w:rsid w:val="62C51434"/>
    <w:rsid w:val="62CC4DBB"/>
    <w:rsid w:val="62D13935"/>
    <w:rsid w:val="62DA4EE0"/>
    <w:rsid w:val="62E502F0"/>
    <w:rsid w:val="62EC4C13"/>
    <w:rsid w:val="62F13FD7"/>
    <w:rsid w:val="62F37D50"/>
    <w:rsid w:val="62F45876"/>
    <w:rsid w:val="631657EC"/>
    <w:rsid w:val="631877B6"/>
    <w:rsid w:val="631F28F3"/>
    <w:rsid w:val="63260125"/>
    <w:rsid w:val="63283837"/>
    <w:rsid w:val="63471E49"/>
    <w:rsid w:val="634B7B8C"/>
    <w:rsid w:val="63556314"/>
    <w:rsid w:val="6356476C"/>
    <w:rsid w:val="635E5CF8"/>
    <w:rsid w:val="635F53E5"/>
    <w:rsid w:val="63612F0B"/>
    <w:rsid w:val="6367429A"/>
    <w:rsid w:val="637F15E3"/>
    <w:rsid w:val="63B15515"/>
    <w:rsid w:val="63BC45E5"/>
    <w:rsid w:val="63BD325E"/>
    <w:rsid w:val="63BD3EBA"/>
    <w:rsid w:val="63C806EE"/>
    <w:rsid w:val="63D25BB7"/>
    <w:rsid w:val="63D47B81"/>
    <w:rsid w:val="63D7141F"/>
    <w:rsid w:val="63DA2CBD"/>
    <w:rsid w:val="63E1132A"/>
    <w:rsid w:val="63E47698"/>
    <w:rsid w:val="63E853DA"/>
    <w:rsid w:val="63FC70D8"/>
    <w:rsid w:val="64011AE5"/>
    <w:rsid w:val="640F0561"/>
    <w:rsid w:val="64137F7D"/>
    <w:rsid w:val="642E6B65"/>
    <w:rsid w:val="643248A8"/>
    <w:rsid w:val="64346872"/>
    <w:rsid w:val="643C74D4"/>
    <w:rsid w:val="64487C27"/>
    <w:rsid w:val="644D32E3"/>
    <w:rsid w:val="64542A70"/>
    <w:rsid w:val="646250A9"/>
    <w:rsid w:val="64664551"/>
    <w:rsid w:val="64682077"/>
    <w:rsid w:val="64722EF6"/>
    <w:rsid w:val="647D446A"/>
    <w:rsid w:val="648457CB"/>
    <w:rsid w:val="648A46E4"/>
    <w:rsid w:val="64965D15"/>
    <w:rsid w:val="64B90B25"/>
    <w:rsid w:val="64C23E7D"/>
    <w:rsid w:val="64C64316"/>
    <w:rsid w:val="64E21E2A"/>
    <w:rsid w:val="64E35BA2"/>
    <w:rsid w:val="64EA4648"/>
    <w:rsid w:val="64F41B5D"/>
    <w:rsid w:val="64FB738F"/>
    <w:rsid w:val="64FD4BAB"/>
    <w:rsid w:val="65102634"/>
    <w:rsid w:val="65130235"/>
    <w:rsid w:val="65366619"/>
    <w:rsid w:val="653A7EB8"/>
    <w:rsid w:val="65474383"/>
    <w:rsid w:val="6549504D"/>
    <w:rsid w:val="654C7BEB"/>
    <w:rsid w:val="6554084E"/>
    <w:rsid w:val="655C6080"/>
    <w:rsid w:val="655D5954"/>
    <w:rsid w:val="656C203B"/>
    <w:rsid w:val="65705687"/>
    <w:rsid w:val="65722DBC"/>
    <w:rsid w:val="65750EF0"/>
    <w:rsid w:val="65813260"/>
    <w:rsid w:val="659D2AED"/>
    <w:rsid w:val="65A73073"/>
    <w:rsid w:val="65BC7F16"/>
    <w:rsid w:val="65C92FEA"/>
    <w:rsid w:val="65D11E9E"/>
    <w:rsid w:val="65D5373C"/>
    <w:rsid w:val="65FE7137"/>
    <w:rsid w:val="66065FEC"/>
    <w:rsid w:val="660758C0"/>
    <w:rsid w:val="660F30F2"/>
    <w:rsid w:val="661324B7"/>
    <w:rsid w:val="66146345"/>
    <w:rsid w:val="661C75BD"/>
    <w:rsid w:val="661F70AE"/>
    <w:rsid w:val="66236B9E"/>
    <w:rsid w:val="662D459A"/>
    <w:rsid w:val="66303069"/>
    <w:rsid w:val="665270BE"/>
    <w:rsid w:val="665F56FC"/>
    <w:rsid w:val="666953FA"/>
    <w:rsid w:val="666B239B"/>
    <w:rsid w:val="66723681"/>
    <w:rsid w:val="667967BE"/>
    <w:rsid w:val="668478F0"/>
    <w:rsid w:val="668E3529"/>
    <w:rsid w:val="66925AD1"/>
    <w:rsid w:val="66952ECC"/>
    <w:rsid w:val="66B27F22"/>
    <w:rsid w:val="66B421E6"/>
    <w:rsid w:val="66B772E6"/>
    <w:rsid w:val="66BB6721"/>
    <w:rsid w:val="66CF4630"/>
    <w:rsid w:val="66E856F1"/>
    <w:rsid w:val="66F83B86"/>
    <w:rsid w:val="66F928BE"/>
    <w:rsid w:val="66FD119D"/>
    <w:rsid w:val="66FE4F15"/>
    <w:rsid w:val="67024A05"/>
    <w:rsid w:val="6703077D"/>
    <w:rsid w:val="67073DC9"/>
    <w:rsid w:val="670C5884"/>
    <w:rsid w:val="670D6F06"/>
    <w:rsid w:val="670F7122"/>
    <w:rsid w:val="671B5AC7"/>
    <w:rsid w:val="67254250"/>
    <w:rsid w:val="67317098"/>
    <w:rsid w:val="6747166D"/>
    <w:rsid w:val="67530DBD"/>
    <w:rsid w:val="67567318"/>
    <w:rsid w:val="675E59B4"/>
    <w:rsid w:val="67696832"/>
    <w:rsid w:val="676A168A"/>
    <w:rsid w:val="676E5BF7"/>
    <w:rsid w:val="67900263"/>
    <w:rsid w:val="67980EC5"/>
    <w:rsid w:val="67A07D7A"/>
    <w:rsid w:val="67BA52E0"/>
    <w:rsid w:val="67BC1058"/>
    <w:rsid w:val="67C27CF0"/>
    <w:rsid w:val="67C73559"/>
    <w:rsid w:val="67DD4B2A"/>
    <w:rsid w:val="67E45EB9"/>
    <w:rsid w:val="67E97973"/>
    <w:rsid w:val="67EF6953"/>
    <w:rsid w:val="67F307F2"/>
    <w:rsid w:val="68077DF9"/>
    <w:rsid w:val="681E264D"/>
    <w:rsid w:val="683F2B36"/>
    <w:rsid w:val="6841155D"/>
    <w:rsid w:val="684626D0"/>
    <w:rsid w:val="68703BF0"/>
    <w:rsid w:val="68757459"/>
    <w:rsid w:val="687A4A6F"/>
    <w:rsid w:val="68815DFE"/>
    <w:rsid w:val="68921DB9"/>
    <w:rsid w:val="68973225"/>
    <w:rsid w:val="68A37B22"/>
    <w:rsid w:val="68AD6BF3"/>
    <w:rsid w:val="68BC0BE4"/>
    <w:rsid w:val="68C53F3C"/>
    <w:rsid w:val="68CE7802"/>
    <w:rsid w:val="68EA39A3"/>
    <w:rsid w:val="68ED100F"/>
    <w:rsid w:val="68F13662"/>
    <w:rsid w:val="68F6059A"/>
    <w:rsid w:val="68FC5484"/>
    <w:rsid w:val="691C1682"/>
    <w:rsid w:val="693469CC"/>
    <w:rsid w:val="693B41FE"/>
    <w:rsid w:val="6942733B"/>
    <w:rsid w:val="694E2184"/>
    <w:rsid w:val="695452C0"/>
    <w:rsid w:val="695D4175"/>
    <w:rsid w:val="69667DD1"/>
    <w:rsid w:val="69686A7C"/>
    <w:rsid w:val="696B14A6"/>
    <w:rsid w:val="696E0130"/>
    <w:rsid w:val="696F1E71"/>
    <w:rsid w:val="69885D71"/>
    <w:rsid w:val="699A50BB"/>
    <w:rsid w:val="69A71894"/>
    <w:rsid w:val="69B55D5F"/>
    <w:rsid w:val="69BE682C"/>
    <w:rsid w:val="69C97A5C"/>
    <w:rsid w:val="69D41F5D"/>
    <w:rsid w:val="6A0128BD"/>
    <w:rsid w:val="6A3D7B02"/>
    <w:rsid w:val="6A413A96"/>
    <w:rsid w:val="6A415BAD"/>
    <w:rsid w:val="6A466A75"/>
    <w:rsid w:val="6A4964A7"/>
    <w:rsid w:val="6A4E61B3"/>
    <w:rsid w:val="6A4E7887"/>
    <w:rsid w:val="6A582B8E"/>
    <w:rsid w:val="6A5C442C"/>
    <w:rsid w:val="6A777FE3"/>
    <w:rsid w:val="6A7B15D1"/>
    <w:rsid w:val="6A7E0847"/>
    <w:rsid w:val="6A8D2838"/>
    <w:rsid w:val="6A8E65B0"/>
    <w:rsid w:val="6A9811DC"/>
    <w:rsid w:val="6A9E333F"/>
    <w:rsid w:val="6AA602F4"/>
    <w:rsid w:val="6AB06526"/>
    <w:rsid w:val="6ABC311D"/>
    <w:rsid w:val="6AC63F9C"/>
    <w:rsid w:val="6AD2649C"/>
    <w:rsid w:val="6AD40467"/>
    <w:rsid w:val="6AEB57B0"/>
    <w:rsid w:val="6AF46DC8"/>
    <w:rsid w:val="6AF521A4"/>
    <w:rsid w:val="6AF64881"/>
    <w:rsid w:val="6B0625EA"/>
    <w:rsid w:val="6B0A20DA"/>
    <w:rsid w:val="6B0F149F"/>
    <w:rsid w:val="6B106FC5"/>
    <w:rsid w:val="6B1B7E43"/>
    <w:rsid w:val="6B2B2732"/>
    <w:rsid w:val="6B2D5DC9"/>
    <w:rsid w:val="6B331BFA"/>
    <w:rsid w:val="6B37425A"/>
    <w:rsid w:val="6B544828"/>
    <w:rsid w:val="6B673089"/>
    <w:rsid w:val="6B7E4876"/>
    <w:rsid w:val="6B8754D9"/>
    <w:rsid w:val="6B8C6F93"/>
    <w:rsid w:val="6B930322"/>
    <w:rsid w:val="6B9876E6"/>
    <w:rsid w:val="6BA75B7B"/>
    <w:rsid w:val="6BAA11C7"/>
    <w:rsid w:val="6BCA186A"/>
    <w:rsid w:val="6BCA6012"/>
    <w:rsid w:val="6BCC3834"/>
    <w:rsid w:val="6BD1233E"/>
    <w:rsid w:val="6BD73FB1"/>
    <w:rsid w:val="6BD83249"/>
    <w:rsid w:val="6BE02E3B"/>
    <w:rsid w:val="6BE4292B"/>
    <w:rsid w:val="6BEE5558"/>
    <w:rsid w:val="6BF863D7"/>
    <w:rsid w:val="6BFF1513"/>
    <w:rsid w:val="6C060AF4"/>
    <w:rsid w:val="6C07486C"/>
    <w:rsid w:val="6C0B435C"/>
    <w:rsid w:val="6C0D0C13"/>
    <w:rsid w:val="6C0E79A8"/>
    <w:rsid w:val="6C117498"/>
    <w:rsid w:val="6C203671"/>
    <w:rsid w:val="6C244496"/>
    <w:rsid w:val="6C2C7E2E"/>
    <w:rsid w:val="6C2E004A"/>
    <w:rsid w:val="6C327B3B"/>
    <w:rsid w:val="6C3867D3"/>
    <w:rsid w:val="6C3E27AC"/>
    <w:rsid w:val="6C450EF0"/>
    <w:rsid w:val="6C47110C"/>
    <w:rsid w:val="6C4B4758"/>
    <w:rsid w:val="6C537AB1"/>
    <w:rsid w:val="6C771F6D"/>
    <w:rsid w:val="6C7A3B4E"/>
    <w:rsid w:val="6C847C6A"/>
    <w:rsid w:val="6C88338D"/>
    <w:rsid w:val="6C8B2DA7"/>
    <w:rsid w:val="6C8B724B"/>
    <w:rsid w:val="6C9500C9"/>
    <w:rsid w:val="6C9C3206"/>
    <w:rsid w:val="6C9C6D62"/>
    <w:rsid w:val="6C9F2CF6"/>
    <w:rsid w:val="6CA420BB"/>
    <w:rsid w:val="6CAF118B"/>
    <w:rsid w:val="6CB14A2E"/>
    <w:rsid w:val="6CB22A29"/>
    <w:rsid w:val="6CB35D1F"/>
    <w:rsid w:val="6CBE13CE"/>
    <w:rsid w:val="6CBF6EF4"/>
    <w:rsid w:val="6CC24B8C"/>
    <w:rsid w:val="6CC4450B"/>
    <w:rsid w:val="6CDB18E5"/>
    <w:rsid w:val="6CE30E35"/>
    <w:rsid w:val="6CEB1A97"/>
    <w:rsid w:val="6CF50B68"/>
    <w:rsid w:val="6CFE7A1D"/>
    <w:rsid w:val="6D107750"/>
    <w:rsid w:val="6D2503D6"/>
    <w:rsid w:val="6D2B6338"/>
    <w:rsid w:val="6D317DF2"/>
    <w:rsid w:val="6D321474"/>
    <w:rsid w:val="6D3E0B47"/>
    <w:rsid w:val="6D463172"/>
    <w:rsid w:val="6D4C4C2C"/>
    <w:rsid w:val="6D5E2269"/>
    <w:rsid w:val="6D5E3ECE"/>
    <w:rsid w:val="6D604233"/>
    <w:rsid w:val="6D60468D"/>
    <w:rsid w:val="6D655CEE"/>
    <w:rsid w:val="6D6D06FE"/>
    <w:rsid w:val="6D765805"/>
    <w:rsid w:val="6D8A5754"/>
    <w:rsid w:val="6D924BDB"/>
    <w:rsid w:val="6DA93E2C"/>
    <w:rsid w:val="6DB66549"/>
    <w:rsid w:val="6DB77BCC"/>
    <w:rsid w:val="6DB97DE8"/>
    <w:rsid w:val="6DBB3B60"/>
    <w:rsid w:val="6DC5053A"/>
    <w:rsid w:val="6DCC3677"/>
    <w:rsid w:val="6DD24A05"/>
    <w:rsid w:val="6DDC2141"/>
    <w:rsid w:val="6DE24C48"/>
    <w:rsid w:val="6DFF1C9E"/>
    <w:rsid w:val="6E02353D"/>
    <w:rsid w:val="6E192634"/>
    <w:rsid w:val="6E2E60E0"/>
    <w:rsid w:val="6E3556C0"/>
    <w:rsid w:val="6E380D0C"/>
    <w:rsid w:val="6E3D27C7"/>
    <w:rsid w:val="6E5B2C4D"/>
    <w:rsid w:val="6E625115"/>
    <w:rsid w:val="6E895A0C"/>
    <w:rsid w:val="6E985C4F"/>
    <w:rsid w:val="6E9E14B7"/>
    <w:rsid w:val="6EB20ABF"/>
    <w:rsid w:val="6EB365E5"/>
    <w:rsid w:val="6ED44ED9"/>
    <w:rsid w:val="6EDE7B06"/>
    <w:rsid w:val="6EFC4430"/>
    <w:rsid w:val="6F047EF4"/>
    <w:rsid w:val="6F101C89"/>
    <w:rsid w:val="6F15104E"/>
    <w:rsid w:val="6F152DFC"/>
    <w:rsid w:val="6F1928EC"/>
    <w:rsid w:val="6F35524C"/>
    <w:rsid w:val="6F383FD3"/>
    <w:rsid w:val="6F385CDC"/>
    <w:rsid w:val="6F4D07E7"/>
    <w:rsid w:val="6F541B76"/>
    <w:rsid w:val="6F5A182B"/>
    <w:rsid w:val="6F5E0C47"/>
    <w:rsid w:val="6F60051B"/>
    <w:rsid w:val="6F653D83"/>
    <w:rsid w:val="6F71097A"/>
    <w:rsid w:val="6F806832"/>
    <w:rsid w:val="6F8D6E36"/>
    <w:rsid w:val="6F944668"/>
    <w:rsid w:val="6F946416"/>
    <w:rsid w:val="6F976DB5"/>
    <w:rsid w:val="6F9C351D"/>
    <w:rsid w:val="6FA10B33"/>
    <w:rsid w:val="6FB70357"/>
    <w:rsid w:val="6FBC455A"/>
    <w:rsid w:val="6FC07DDC"/>
    <w:rsid w:val="6FC54822"/>
    <w:rsid w:val="6FCD135A"/>
    <w:rsid w:val="6FD827A7"/>
    <w:rsid w:val="6FFD220E"/>
    <w:rsid w:val="6FFD2658"/>
    <w:rsid w:val="6FFE7D34"/>
    <w:rsid w:val="70066454"/>
    <w:rsid w:val="70223A22"/>
    <w:rsid w:val="70227EC6"/>
    <w:rsid w:val="702A64CF"/>
    <w:rsid w:val="702E4C8D"/>
    <w:rsid w:val="703419A7"/>
    <w:rsid w:val="703B2D36"/>
    <w:rsid w:val="703D085C"/>
    <w:rsid w:val="703F2826"/>
    <w:rsid w:val="70455963"/>
    <w:rsid w:val="70457711"/>
    <w:rsid w:val="704E0CBB"/>
    <w:rsid w:val="705F4C76"/>
    <w:rsid w:val="706202C3"/>
    <w:rsid w:val="70645DE9"/>
    <w:rsid w:val="706F657C"/>
    <w:rsid w:val="70710506"/>
    <w:rsid w:val="708244C1"/>
    <w:rsid w:val="709A5CAE"/>
    <w:rsid w:val="709B670E"/>
    <w:rsid w:val="70A26911"/>
    <w:rsid w:val="70A94143"/>
    <w:rsid w:val="70B4281E"/>
    <w:rsid w:val="70B52AE8"/>
    <w:rsid w:val="70C745CA"/>
    <w:rsid w:val="70C81C1A"/>
    <w:rsid w:val="70CC2581"/>
    <w:rsid w:val="70DF5DB7"/>
    <w:rsid w:val="70F96E79"/>
    <w:rsid w:val="70FA499F"/>
    <w:rsid w:val="71025602"/>
    <w:rsid w:val="710B095A"/>
    <w:rsid w:val="710B44B6"/>
    <w:rsid w:val="710E21F8"/>
    <w:rsid w:val="71110E07"/>
    <w:rsid w:val="71125845"/>
    <w:rsid w:val="71153587"/>
    <w:rsid w:val="711E068D"/>
    <w:rsid w:val="71213CDA"/>
    <w:rsid w:val="713779A1"/>
    <w:rsid w:val="714D016C"/>
    <w:rsid w:val="71520337"/>
    <w:rsid w:val="715A543E"/>
    <w:rsid w:val="715B3690"/>
    <w:rsid w:val="7169742F"/>
    <w:rsid w:val="716975AE"/>
    <w:rsid w:val="71775FF0"/>
    <w:rsid w:val="71864485"/>
    <w:rsid w:val="718D136F"/>
    <w:rsid w:val="71993C89"/>
    <w:rsid w:val="71A733D7"/>
    <w:rsid w:val="71AF12E6"/>
    <w:rsid w:val="71C07997"/>
    <w:rsid w:val="71C64881"/>
    <w:rsid w:val="71CA25C3"/>
    <w:rsid w:val="71CE4717"/>
    <w:rsid w:val="71D074AE"/>
    <w:rsid w:val="71D90A58"/>
    <w:rsid w:val="71D945B4"/>
    <w:rsid w:val="71DB032D"/>
    <w:rsid w:val="71DD22F7"/>
    <w:rsid w:val="71EC42E8"/>
    <w:rsid w:val="720456D5"/>
    <w:rsid w:val="722241AD"/>
    <w:rsid w:val="72281098"/>
    <w:rsid w:val="722A3062"/>
    <w:rsid w:val="723914F7"/>
    <w:rsid w:val="724C79C6"/>
    <w:rsid w:val="725325B9"/>
    <w:rsid w:val="72677E12"/>
    <w:rsid w:val="7270316B"/>
    <w:rsid w:val="727442DD"/>
    <w:rsid w:val="7275252F"/>
    <w:rsid w:val="727D13E4"/>
    <w:rsid w:val="72800ED4"/>
    <w:rsid w:val="7282284F"/>
    <w:rsid w:val="729A3D44"/>
    <w:rsid w:val="72A050D2"/>
    <w:rsid w:val="72AC1CC9"/>
    <w:rsid w:val="72B11DF8"/>
    <w:rsid w:val="72B172DF"/>
    <w:rsid w:val="72C214EC"/>
    <w:rsid w:val="72C2773E"/>
    <w:rsid w:val="72C45265"/>
    <w:rsid w:val="72C708B1"/>
    <w:rsid w:val="72C76B03"/>
    <w:rsid w:val="72FA0C86"/>
    <w:rsid w:val="73012015"/>
    <w:rsid w:val="7302054C"/>
    <w:rsid w:val="73267CCD"/>
    <w:rsid w:val="732E0930"/>
    <w:rsid w:val="73330D44"/>
    <w:rsid w:val="73373C88"/>
    <w:rsid w:val="733A5527"/>
    <w:rsid w:val="734463A5"/>
    <w:rsid w:val="734B7734"/>
    <w:rsid w:val="73577E87"/>
    <w:rsid w:val="735A7977"/>
    <w:rsid w:val="735B274F"/>
    <w:rsid w:val="73682094"/>
    <w:rsid w:val="73707E4B"/>
    <w:rsid w:val="739D4D63"/>
    <w:rsid w:val="73AC7AA8"/>
    <w:rsid w:val="73B52C61"/>
    <w:rsid w:val="73BA2A26"/>
    <w:rsid w:val="73BF77DA"/>
    <w:rsid w:val="73C03C7E"/>
    <w:rsid w:val="73C117A4"/>
    <w:rsid w:val="73C3551C"/>
    <w:rsid w:val="73DE5EB2"/>
    <w:rsid w:val="73E3796C"/>
    <w:rsid w:val="73E6120B"/>
    <w:rsid w:val="73EA2AA9"/>
    <w:rsid w:val="73EF3D7E"/>
    <w:rsid w:val="73EF4563"/>
    <w:rsid w:val="73F90F3E"/>
    <w:rsid w:val="74012766"/>
    <w:rsid w:val="742D0BE7"/>
    <w:rsid w:val="742D1BD6"/>
    <w:rsid w:val="74431EA5"/>
    <w:rsid w:val="7445046D"/>
    <w:rsid w:val="7447614D"/>
    <w:rsid w:val="744A79EB"/>
    <w:rsid w:val="746D0A93"/>
    <w:rsid w:val="74746816"/>
    <w:rsid w:val="7476258E"/>
    <w:rsid w:val="747A4DFF"/>
    <w:rsid w:val="74827185"/>
    <w:rsid w:val="74942A15"/>
    <w:rsid w:val="7495063A"/>
    <w:rsid w:val="74980757"/>
    <w:rsid w:val="749809E1"/>
    <w:rsid w:val="7499002B"/>
    <w:rsid w:val="749A44CF"/>
    <w:rsid w:val="74A25132"/>
    <w:rsid w:val="74A72A38"/>
    <w:rsid w:val="74AC4202"/>
    <w:rsid w:val="74AD75FB"/>
    <w:rsid w:val="74B3733F"/>
    <w:rsid w:val="74B51309"/>
    <w:rsid w:val="74C257D4"/>
    <w:rsid w:val="74C4183A"/>
    <w:rsid w:val="74C90910"/>
    <w:rsid w:val="74D6302D"/>
    <w:rsid w:val="74D84FF7"/>
    <w:rsid w:val="74D93769"/>
    <w:rsid w:val="74DA0D6F"/>
    <w:rsid w:val="74DD0860"/>
    <w:rsid w:val="74E4574A"/>
    <w:rsid w:val="74E474F8"/>
    <w:rsid w:val="74EC45FF"/>
    <w:rsid w:val="74EE65C9"/>
    <w:rsid w:val="74F02341"/>
    <w:rsid w:val="74F636CF"/>
    <w:rsid w:val="74FA31C0"/>
    <w:rsid w:val="74FD05BA"/>
    <w:rsid w:val="74FD4A5E"/>
    <w:rsid w:val="75040F0B"/>
    <w:rsid w:val="7507768A"/>
    <w:rsid w:val="750C5998"/>
    <w:rsid w:val="751678CE"/>
    <w:rsid w:val="751D6EAE"/>
    <w:rsid w:val="751F6782"/>
    <w:rsid w:val="75263FB5"/>
    <w:rsid w:val="75295853"/>
    <w:rsid w:val="752E2E69"/>
    <w:rsid w:val="753B10E2"/>
    <w:rsid w:val="754B57C9"/>
    <w:rsid w:val="755328D0"/>
    <w:rsid w:val="756845CD"/>
    <w:rsid w:val="75826D11"/>
    <w:rsid w:val="75B74C0D"/>
    <w:rsid w:val="75BF3AC1"/>
    <w:rsid w:val="75D03F20"/>
    <w:rsid w:val="75D21089"/>
    <w:rsid w:val="75D4756D"/>
    <w:rsid w:val="75F53987"/>
    <w:rsid w:val="75F55735"/>
    <w:rsid w:val="75FB71EF"/>
    <w:rsid w:val="7618628D"/>
    <w:rsid w:val="761A519B"/>
    <w:rsid w:val="76236746"/>
    <w:rsid w:val="762A53DF"/>
    <w:rsid w:val="76353AFB"/>
    <w:rsid w:val="76472434"/>
    <w:rsid w:val="764A5A81"/>
    <w:rsid w:val="764D5571"/>
    <w:rsid w:val="76500BBD"/>
    <w:rsid w:val="76530DD9"/>
    <w:rsid w:val="76571F4C"/>
    <w:rsid w:val="76595CC4"/>
    <w:rsid w:val="765D3A06"/>
    <w:rsid w:val="76676633"/>
    <w:rsid w:val="766823AB"/>
    <w:rsid w:val="767D7C04"/>
    <w:rsid w:val="76856AB9"/>
    <w:rsid w:val="76933762"/>
    <w:rsid w:val="769A6A08"/>
    <w:rsid w:val="76AF17F9"/>
    <w:rsid w:val="76B456F9"/>
    <w:rsid w:val="76BF021D"/>
    <w:rsid w:val="76C23869"/>
    <w:rsid w:val="76D57A40"/>
    <w:rsid w:val="76E92134"/>
    <w:rsid w:val="76FA1255"/>
    <w:rsid w:val="76FA74A7"/>
    <w:rsid w:val="771542E1"/>
    <w:rsid w:val="771B5557"/>
    <w:rsid w:val="77291B3A"/>
    <w:rsid w:val="77420E4E"/>
    <w:rsid w:val="774B7D02"/>
    <w:rsid w:val="77506F73"/>
    <w:rsid w:val="77543075"/>
    <w:rsid w:val="775C1F10"/>
    <w:rsid w:val="7763329E"/>
    <w:rsid w:val="77644920"/>
    <w:rsid w:val="77672662"/>
    <w:rsid w:val="776B3F01"/>
    <w:rsid w:val="777032C5"/>
    <w:rsid w:val="77717FC5"/>
    <w:rsid w:val="777D0F1F"/>
    <w:rsid w:val="77846D70"/>
    <w:rsid w:val="77A34268"/>
    <w:rsid w:val="77AE3DED"/>
    <w:rsid w:val="77BF424C"/>
    <w:rsid w:val="77C11D73"/>
    <w:rsid w:val="77D575CC"/>
    <w:rsid w:val="77E048EF"/>
    <w:rsid w:val="77E37F3B"/>
    <w:rsid w:val="77F24622"/>
    <w:rsid w:val="77F263D0"/>
    <w:rsid w:val="77F57A75"/>
    <w:rsid w:val="78015F7C"/>
    <w:rsid w:val="78016613"/>
    <w:rsid w:val="78191BAF"/>
    <w:rsid w:val="7819395D"/>
    <w:rsid w:val="78252301"/>
    <w:rsid w:val="78320EC2"/>
    <w:rsid w:val="783D2CA1"/>
    <w:rsid w:val="784529A4"/>
    <w:rsid w:val="78484242"/>
    <w:rsid w:val="78570929"/>
    <w:rsid w:val="785A0D02"/>
    <w:rsid w:val="787B4617"/>
    <w:rsid w:val="78830DB5"/>
    <w:rsid w:val="78850FF2"/>
    <w:rsid w:val="788B412F"/>
    <w:rsid w:val="78986F77"/>
    <w:rsid w:val="78A21BA4"/>
    <w:rsid w:val="78A7540C"/>
    <w:rsid w:val="78AC2A23"/>
    <w:rsid w:val="78AF42C1"/>
    <w:rsid w:val="78B611AB"/>
    <w:rsid w:val="78B6564F"/>
    <w:rsid w:val="78BD69DE"/>
    <w:rsid w:val="78C064CE"/>
    <w:rsid w:val="78CE78FD"/>
    <w:rsid w:val="78D41F79"/>
    <w:rsid w:val="790247A2"/>
    <w:rsid w:val="790A7749"/>
    <w:rsid w:val="790B6163"/>
    <w:rsid w:val="7919798C"/>
    <w:rsid w:val="792151BF"/>
    <w:rsid w:val="792722E7"/>
    <w:rsid w:val="79400B95"/>
    <w:rsid w:val="79580A98"/>
    <w:rsid w:val="795A4D82"/>
    <w:rsid w:val="796C2591"/>
    <w:rsid w:val="797352EE"/>
    <w:rsid w:val="798B432D"/>
    <w:rsid w:val="79994B43"/>
    <w:rsid w:val="799F60E4"/>
    <w:rsid w:val="79AC66B9"/>
    <w:rsid w:val="79BD47BC"/>
    <w:rsid w:val="79DD6C0C"/>
    <w:rsid w:val="79DF2984"/>
    <w:rsid w:val="79E0272F"/>
    <w:rsid w:val="79E2258C"/>
    <w:rsid w:val="79E955B1"/>
    <w:rsid w:val="79EF706B"/>
    <w:rsid w:val="79F05044"/>
    <w:rsid w:val="7A085123"/>
    <w:rsid w:val="7A0B2A09"/>
    <w:rsid w:val="7A106FE1"/>
    <w:rsid w:val="7A187C44"/>
    <w:rsid w:val="7A291E51"/>
    <w:rsid w:val="7A2F2B84"/>
    <w:rsid w:val="7A3538E9"/>
    <w:rsid w:val="7A3E58FC"/>
    <w:rsid w:val="7A5213A8"/>
    <w:rsid w:val="7A5A025C"/>
    <w:rsid w:val="7A5B64AE"/>
    <w:rsid w:val="7A6335B5"/>
    <w:rsid w:val="7A684727"/>
    <w:rsid w:val="7A7E3F4B"/>
    <w:rsid w:val="7A90360C"/>
    <w:rsid w:val="7AA15E8B"/>
    <w:rsid w:val="7AA634A2"/>
    <w:rsid w:val="7AAF2356"/>
    <w:rsid w:val="7AB14320"/>
    <w:rsid w:val="7AB43E11"/>
    <w:rsid w:val="7AB666E0"/>
    <w:rsid w:val="7ABC7923"/>
    <w:rsid w:val="7AD0169E"/>
    <w:rsid w:val="7AD102FF"/>
    <w:rsid w:val="7AD41DBD"/>
    <w:rsid w:val="7AD61FD9"/>
    <w:rsid w:val="7AD85D51"/>
    <w:rsid w:val="7AE55D78"/>
    <w:rsid w:val="7AE75F94"/>
    <w:rsid w:val="7AFA57CB"/>
    <w:rsid w:val="7B045D1E"/>
    <w:rsid w:val="7B0C1557"/>
    <w:rsid w:val="7B252618"/>
    <w:rsid w:val="7B2A7C2F"/>
    <w:rsid w:val="7B2F3497"/>
    <w:rsid w:val="7B332F87"/>
    <w:rsid w:val="7B396744"/>
    <w:rsid w:val="7B3E36DA"/>
    <w:rsid w:val="7B537186"/>
    <w:rsid w:val="7B5B603A"/>
    <w:rsid w:val="7B7472D4"/>
    <w:rsid w:val="7B7B66DC"/>
    <w:rsid w:val="7B826934"/>
    <w:rsid w:val="7B95779E"/>
    <w:rsid w:val="7B9854E0"/>
    <w:rsid w:val="7BA07EF1"/>
    <w:rsid w:val="7BA479E1"/>
    <w:rsid w:val="7BD52290"/>
    <w:rsid w:val="7BE44282"/>
    <w:rsid w:val="7C0814C8"/>
    <w:rsid w:val="7C122B9D"/>
    <w:rsid w:val="7C1F350C"/>
    <w:rsid w:val="7C2A2F43"/>
    <w:rsid w:val="7C336FB7"/>
    <w:rsid w:val="7C370855"/>
    <w:rsid w:val="7C3E7E68"/>
    <w:rsid w:val="7C4762E2"/>
    <w:rsid w:val="7C4A67DB"/>
    <w:rsid w:val="7C66113B"/>
    <w:rsid w:val="7C715FF5"/>
    <w:rsid w:val="7C7B2E38"/>
    <w:rsid w:val="7C817D22"/>
    <w:rsid w:val="7C8D2B6B"/>
    <w:rsid w:val="7C9932BE"/>
    <w:rsid w:val="7CA67789"/>
    <w:rsid w:val="7CAB2FF1"/>
    <w:rsid w:val="7CAB4D9F"/>
    <w:rsid w:val="7CBD6738"/>
    <w:rsid w:val="7CBE0F77"/>
    <w:rsid w:val="7CC16371"/>
    <w:rsid w:val="7CD51E1C"/>
    <w:rsid w:val="7CE51182"/>
    <w:rsid w:val="7CF91FAF"/>
    <w:rsid w:val="7D006E99"/>
    <w:rsid w:val="7D0C1CE2"/>
    <w:rsid w:val="7D1C7A4B"/>
    <w:rsid w:val="7D342FE7"/>
    <w:rsid w:val="7D384885"/>
    <w:rsid w:val="7D440F3C"/>
    <w:rsid w:val="7D4F4564"/>
    <w:rsid w:val="7D7004C3"/>
    <w:rsid w:val="7D760BA2"/>
    <w:rsid w:val="7D7B29C4"/>
    <w:rsid w:val="7D822167"/>
    <w:rsid w:val="7D87580C"/>
    <w:rsid w:val="7D8E0949"/>
    <w:rsid w:val="7D8F021D"/>
    <w:rsid w:val="7DA0242A"/>
    <w:rsid w:val="7DA6769D"/>
    <w:rsid w:val="7DB52379"/>
    <w:rsid w:val="7DC205F3"/>
    <w:rsid w:val="7DC73E5B"/>
    <w:rsid w:val="7DD16A88"/>
    <w:rsid w:val="7DE40569"/>
    <w:rsid w:val="7DE44A0D"/>
    <w:rsid w:val="7DEF5EDF"/>
    <w:rsid w:val="7DF12C86"/>
    <w:rsid w:val="7DFA7D8C"/>
    <w:rsid w:val="7E0230E5"/>
    <w:rsid w:val="7E106C5D"/>
    <w:rsid w:val="7E265025"/>
    <w:rsid w:val="7E2968C4"/>
    <w:rsid w:val="7E431733"/>
    <w:rsid w:val="7E4F632A"/>
    <w:rsid w:val="7E573431"/>
    <w:rsid w:val="7E63541B"/>
    <w:rsid w:val="7E647543"/>
    <w:rsid w:val="7E7A2C7B"/>
    <w:rsid w:val="7EAA17B2"/>
    <w:rsid w:val="7EAF6C27"/>
    <w:rsid w:val="7EB443DF"/>
    <w:rsid w:val="7EB937A4"/>
    <w:rsid w:val="7EBE525E"/>
    <w:rsid w:val="7EC363D0"/>
    <w:rsid w:val="7EC52983"/>
    <w:rsid w:val="7EC565EC"/>
    <w:rsid w:val="7EC65EC0"/>
    <w:rsid w:val="7ECA4A65"/>
    <w:rsid w:val="7ED2768B"/>
    <w:rsid w:val="7EE56E4B"/>
    <w:rsid w:val="7EE822DB"/>
    <w:rsid w:val="7EE97D42"/>
    <w:rsid w:val="7EEA4E1D"/>
    <w:rsid w:val="7EEF18BB"/>
    <w:rsid w:val="7EF944E8"/>
    <w:rsid w:val="7F0A04A3"/>
    <w:rsid w:val="7F144E7E"/>
    <w:rsid w:val="7F15557D"/>
    <w:rsid w:val="7F1A78DF"/>
    <w:rsid w:val="7F1E3F4E"/>
    <w:rsid w:val="7F202690"/>
    <w:rsid w:val="7F2032E7"/>
    <w:rsid w:val="7F231565"/>
    <w:rsid w:val="7F252948"/>
    <w:rsid w:val="7F3177DE"/>
    <w:rsid w:val="7F41310A"/>
    <w:rsid w:val="7F58120E"/>
    <w:rsid w:val="7F5931D8"/>
    <w:rsid w:val="7F6776A3"/>
    <w:rsid w:val="7F6851CA"/>
    <w:rsid w:val="7F741DC0"/>
    <w:rsid w:val="7F78365F"/>
    <w:rsid w:val="7F7B4EFD"/>
    <w:rsid w:val="7F8D69DE"/>
    <w:rsid w:val="7F932247"/>
    <w:rsid w:val="7F947D6D"/>
    <w:rsid w:val="7F9E2999"/>
    <w:rsid w:val="7FA067DF"/>
    <w:rsid w:val="7FA2248A"/>
    <w:rsid w:val="7FA27C7E"/>
    <w:rsid w:val="7FAF4BA7"/>
    <w:rsid w:val="7FB81CAD"/>
    <w:rsid w:val="7FC5261C"/>
    <w:rsid w:val="7FCA19E0"/>
    <w:rsid w:val="7FCF7B89"/>
    <w:rsid w:val="7FF0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zh-CN" w:bidi="ar-SA"/>
    </w:rPr>
  </w:style>
  <w:style w:type="paragraph" w:styleId="3">
    <w:name w:val="heading 1"/>
    <w:basedOn w:val="1"/>
    <w:next w:val="1"/>
    <w:qFormat/>
    <w:uiPriority w:val="1"/>
    <w:pPr>
      <w:spacing w:before="55"/>
      <w:ind w:right="423"/>
      <w:jc w:val="center"/>
      <w:outlineLvl w:val="0"/>
    </w:pPr>
    <w:rPr>
      <w:sz w:val="32"/>
      <w:szCs w:val="32"/>
    </w:rPr>
  </w:style>
  <w:style w:type="paragraph" w:styleId="4">
    <w:name w:val="heading 3"/>
    <w:basedOn w:val="1"/>
    <w:next w:val="1"/>
    <w:qFormat/>
    <w:uiPriority w:val="1"/>
    <w:pPr>
      <w:outlineLvl w:val="2"/>
    </w:pPr>
    <w:rPr>
      <w:sz w:val="28"/>
      <w:szCs w:val="28"/>
    </w:rPr>
  </w:style>
  <w:style w:type="paragraph" w:styleId="5">
    <w:name w:val="heading 4"/>
    <w:basedOn w:val="1"/>
    <w:next w:val="1"/>
    <w:qFormat/>
    <w:uiPriority w:val="0"/>
    <w:pPr>
      <w:keepNext/>
      <w:keepLines/>
      <w:jc w:val="center"/>
      <w:outlineLvl w:val="3"/>
    </w:pPr>
    <w:rPr>
      <w:rFonts w:ascii="Arial" w:hAnsi="Arial" w:eastAsia="楷体" w:cs="Times New Roman"/>
      <w:sz w:val="36"/>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unhideWhenUsed/>
    <w:qFormat/>
    <w:uiPriority w:val="0"/>
    <w:pPr>
      <w:spacing w:line="420" w:lineRule="auto"/>
    </w:pPr>
  </w:style>
  <w:style w:type="paragraph" w:styleId="6">
    <w:name w:val="Normal Indent"/>
    <w:basedOn w:val="1"/>
    <w:qFormat/>
    <w:uiPriority w:val="0"/>
    <w:pPr>
      <w:adjustRightInd w:val="0"/>
      <w:spacing w:line="500" w:lineRule="exact"/>
      <w:ind w:firstLine="560" w:firstLineChars="200"/>
      <w:textAlignment w:val="baseline"/>
    </w:pPr>
    <w:rPr>
      <w:rFonts w:cs="Times New Roman"/>
      <w:sz w:val="28"/>
      <w:szCs w:val="20"/>
    </w:rPr>
  </w:style>
  <w:style w:type="paragraph" w:styleId="7">
    <w:name w:val="annotation text"/>
    <w:basedOn w:val="1"/>
    <w:link w:val="49"/>
    <w:qFormat/>
    <w:uiPriority w:val="0"/>
  </w:style>
  <w:style w:type="paragraph" w:styleId="8">
    <w:name w:val="Body Text"/>
    <w:basedOn w:val="1"/>
    <w:next w:val="9"/>
    <w:qFormat/>
    <w:uiPriority w:val="0"/>
    <w:pPr>
      <w:widowControl/>
      <w:snapToGrid w:val="0"/>
      <w:spacing w:line="360" w:lineRule="auto"/>
      <w:ind w:firstLine="420" w:firstLineChars="200"/>
      <w:jc w:val="both"/>
    </w:pPr>
    <w:rPr>
      <w:rFonts w:ascii="Arial" w:hAnsi="Arial"/>
      <w:sz w:val="24"/>
      <w:szCs w:val="20"/>
    </w:rPr>
  </w:style>
  <w:style w:type="paragraph" w:styleId="9">
    <w:name w:val="List Bullet 5"/>
    <w:basedOn w:val="1"/>
    <w:qFormat/>
    <w:uiPriority w:val="0"/>
    <w:pPr>
      <w:numPr>
        <w:ilvl w:val="0"/>
        <w:numId w:val="1"/>
      </w:numPr>
      <w:spacing w:line="360" w:lineRule="auto"/>
      <w:ind w:left="0" w:firstLine="420" w:firstLineChars="200"/>
      <w:jc w:val="both"/>
    </w:pPr>
    <w:rPr>
      <w:rFonts w:ascii="Arial" w:hAnsi="Arial"/>
    </w:rPr>
  </w:style>
  <w:style w:type="paragraph" w:styleId="10">
    <w:name w:val="Body Text Indent"/>
    <w:basedOn w:val="1"/>
    <w:next w:val="8"/>
    <w:qFormat/>
    <w:uiPriority w:val="0"/>
    <w:pPr>
      <w:spacing w:after="120"/>
      <w:ind w:left="420" w:leftChars="200"/>
    </w:pPr>
    <w:rPr>
      <w:sz w:val="24"/>
      <w:szCs w:val="20"/>
    </w:rPr>
  </w:style>
  <w:style w:type="paragraph" w:styleId="11">
    <w:name w:val="toc 3"/>
    <w:basedOn w:val="1"/>
    <w:next w:val="1"/>
    <w:unhideWhenUsed/>
    <w:qFormat/>
    <w:uiPriority w:val="39"/>
    <w:pPr>
      <w:ind w:left="420"/>
      <w:jc w:val="left"/>
    </w:pPr>
    <w:rPr>
      <w:rFonts w:ascii="Calibri" w:hAnsi="Calibri"/>
      <w:i/>
      <w:iCs/>
      <w:sz w:val="20"/>
      <w:szCs w:val="20"/>
    </w:rPr>
  </w:style>
  <w:style w:type="paragraph" w:styleId="12">
    <w:name w:val="Plain Text"/>
    <w:basedOn w:val="1"/>
    <w:qFormat/>
    <w:uiPriority w:val="0"/>
    <w:rPr>
      <w:rFonts w:hAnsi="Courier New" w:eastAsia="仿宋_GB2312"/>
      <w:sz w:val="28"/>
      <w:szCs w:val="20"/>
    </w:rPr>
  </w:style>
  <w:style w:type="paragraph" w:styleId="13">
    <w:name w:val="footer"/>
    <w:basedOn w:val="1"/>
    <w:qFormat/>
    <w:uiPriority w:val="99"/>
    <w:pPr>
      <w:tabs>
        <w:tab w:val="center" w:pos="4153"/>
        <w:tab w:val="right" w:pos="8306"/>
      </w:tabs>
      <w:snapToGrid w:val="0"/>
    </w:pPr>
    <w:rPr>
      <w:sz w:val="18"/>
      <w:szCs w:val="20"/>
    </w:rPr>
  </w:style>
  <w:style w:type="paragraph" w:styleId="14">
    <w:name w:val="header"/>
    <w:basedOn w:val="1"/>
    <w:next w:val="15"/>
    <w:qFormat/>
    <w:uiPriority w:val="99"/>
    <w:pPr>
      <w:pBdr>
        <w:bottom w:val="single" w:color="auto" w:sz="6" w:space="1"/>
      </w:pBdr>
      <w:tabs>
        <w:tab w:val="center" w:pos="4153"/>
        <w:tab w:val="right" w:pos="8306"/>
      </w:tabs>
      <w:snapToGrid w:val="0"/>
      <w:jc w:val="center"/>
    </w:pPr>
    <w:rPr>
      <w:sz w:val="18"/>
      <w:szCs w:val="18"/>
    </w:rPr>
  </w:style>
  <w:style w:type="paragraph" w:customStyle="1" w:styleId="15">
    <w:name w:val="样式5"/>
    <w:basedOn w:val="16"/>
    <w:qFormat/>
    <w:uiPriority w:val="0"/>
    <w:pPr>
      <w:numPr>
        <w:ilvl w:val="0"/>
        <w:numId w:val="2"/>
      </w:numPr>
      <w:tabs>
        <w:tab w:val="left" w:pos="945"/>
      </w:tabs>
      <w:spacing w:line="360" w:lineRule="auto"/>
      <w:jc w:val="both"/>
    </w:pPr>
    <w:rPr>
      <w:sz w:val="21"/>
    </w:rPr>
  </w:style>
  <w:style w:type="paragraph" w:customStyle="1" w:styleId="16">
    <w:name w:val="正文1"/>
    <w:basedOn w:val="1"/>
    <w:next w:val="1"/>
    <w:qFormat/>
    <w:uiPriority w:val="0"/>
    <w:pPr>
      <w:autoSpaceDE/>
      <w:autoSpaceDN/>
      <w:jc w:val="center"/>
    </w:pPr>
    <w:rPr>
      <w:szCs w:val="21"/>
    </w:rPr>
  </w:style>
  <w:style w:type="paragraph" w:styleId="17">
    <w:name w:val="table of figures"/>
    <w:basedOn w:val="1"/>
    <w:next w:val="1"/>
    <w:qFormat/>
    <w:uiPriority w:val="99"/>
    <w:pPr>
      <w:spacing w:line="360" w:lineRule="auto"/>
      <w:ind w:left="840" w:leftChars="200" w:hanging="420" w:hangingChars="200"/>
    </w:pPr>
    <w:rPr>
      <w:sz w:val="24"/>
    </w:rPr>
  </w:style>
  <w:style w:type="paragraph" w:styleId="18">
    <w:name w:val="toc 2"/>
    <w:basedOn w:val="1"/>
    <w:next w:val="1"/>
    <w:qFormat/>
    <w:uiPriority w:val="39"/>
    <w:pPr>
      <w:tabs>
        <w:tab w:val="left" w:pos="765"/>
        <w:tab w:val="right" w:leader="dot" w:pos="8681"/>
      </w:tabs>
      <w:spacing w:line="400" w:lineRule="exact"/>
      <w:ind w:left="200" w:leftChars="200"/>
    </w:pPr>
    <w:rPr>
      <w:smallCaps/>
      <w:sz w:val="21"/>
      <w:szCs w:val="20"/>
    </w:rPr>
  </w:style>
  <w:style w:type="paragraph" w:styleId="19">
    <w:name w:val="Normal (Web)"/>
    <w:basedOn w:val="1"/>
    <w:qFormat/>
    <w:uiPriority w:val="0"/>
    <w:pPr>
      <w:widowControl/>
      <w:spacing w:beforeAutospacing="1" w:afterAutospacing="1"/>
    </w:pPr>
    <w:rPr>
      <w:rFonts w:cs="Times New Roman"/>
      <w:sz w:val="24"/>
      <w:szCs w:val="20"/>
    </w:rPr>
  </w:style>
  <w:style w:type="paragraph" w:styleId="20">
    <w:name w:val="Title"/>
    <w:basedOn w:val="1"/>
    <w:qFormat/>
    <w:uiPriority w:val="1"/>
    <w:pPr>
      <w:spacing w:line="922" w:lineRule="exact"/>
      <w:ind w:left="414" w:right="423"/>
      <w:jc w:val="center"/>
    </w:pPr>
    <w:rPr>
      <w:b/>
      <w:bCs/>
      <w:sz w:val="72"/>
      <w:szCs w:val="72"/>
    </w:rPr>
  </w:style>
  <w:style w:type="paragraph" w:styleId="21">
    <w:name w:val="annotation subject"/>
    <w:basedOn w:val="7"/>
    <w:next w:val="7"/>
    <w:link w:val="50"/>
    <w:qFormat/>
    <w:uiPriority w:val="0"/>
    <w:rPr>
      <w:b/>
      <w:bCs/>
    </w:rPr>
  </w:style>
  <w:style w:type="paragraph" w:styleId="22">
    <w:name w:val="Body Text First Indent"/>
    <w:basedOn w:val="8"/>
    <w:qFormat/>
    <w:uiPriority w:val="0"/>
    <w:pPr>
      <w:spacing w:after="120"/>
      <w:ind w:firstLine="100" w:firstLineChars="100"/>
    </w:pPr>
    <w:rPr>
      <w:sz w:val="22"/>
      <w:szCs w:val="22"/>
    </w:rPr>
  </w:style>
  <w:style w:type="paragraph" w:styleId="23">
    <w:name w:val="Body Text First Indent 2"/>
    <w:basedOn w:val="10"/>
    <w:next w:val="1"/>
    <w:qFormat/>
    <w:uiPriority w:val="99"/>
    <w:pPr>
      <w:ind w:firstLine="200"/>
    </w:pPr>
    <w:rPr>
      <w:sz w:val="21"/>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Emphasis"/>
    <w:basedOn w:val="26"/>
    <w:qFormat/>
    <w:uiPriority w:val="0"/>
    <w:rPr>
      <w:i/>
    </w:rPr>
  </w:style>
  <w:style w:type="character" w:styleId="30">
    <w:name w:val="Hyperlink"/>
    <w:basedOn w:val="26"/>
    <w:qFormat/>
    <w:uiPriority w:val="0"/>
    <w:rPr>
      <w:color w:val="0000FF"/>
      <w:u w:val="single"/>
    </w:rPr>
  </w:style>
  <w:style w:type="character" w:styleId="31">
    <w:name w:val="annotation reference"/>
    <w:qFormat/>
    <w:uiPriority w:val="0"/>
    <w:rPr>
      <w:sz w:val="21"/>
    </w:rPr>
  </w:style>
  <w:style w:type="paragraph" w:customStyle="1" w:styleId="32">
    <w:name w:val="表格"/>
    <w:next w:val="1"/>
    <w:qFormat/>
    <w:uiPriority w:val="0"/>
    <w:pPr>
      <w:adjustRightInd w:val="0"/>
      <w:snapToGrid w:val="0"/>
      <w:jc w:val="center"/>
    </w:pPr>
    <w:rPr>
      <w:rFonts w:ascii="宋体" w:hAnsi="宋体" w:eastAsia="宋体" w:cs="Times New Roman"/>
      <w:sz w:val="21"/>
      <w:lang w:val="en-US" w:eastAsia="zh-CN" w:bidi="ar-SA"/>
    </w:rPr>
  </w:style>
  <w:style w:type="paragraph" w:customStyle="1" w:styleId="33">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34">
    <w:name w:val="+正文"/>
    <w:basedOn w:val="1"/>
    <w:next w:val="1"/>
    <w:qFormat/>
    <w:uiPriority w:val="0"/>
    <w:pPr>
      <w:spacing w:line="360" w:lineRule="auto"/>
      <w:ind w:firstLine="200" w:firstLineChars="200"/>
    </w:pPr>
    <w:rPr>
      <w:sz w:val="24"/>
      <w:szCs w:val="28"/>
    </w:rPr>
  </w:style>
  <w:style w:type="paragraph" w:customStyle="1" w:styleId="35">
    <w:name w:val="正文2"/>
    <w:basedOn w:val="10"/>
    <w:next w:val="1"/>
    <w:qFormat/>
    <w:uiPriority w:val="0"/>
    <w:pPr>
      <w:ind w:firstLine="560"/>
    </w:pPr>
    <w:rPr>
      <w:rFonts w:eastAsia="仿宋_GB2312"/>
      <w:szCs w:val="28"/>
      <w:lang w:val="zh-CN"/>
    </w:rPr>
  </w:style>
  <w:style w:type="paragraph" w:customStyle="1" w:styleId="36">
    <w:name w:val="Default"/>
    <w:qFormat/>
    <w:uiPriority w:val="0"/>
    <w:pPr>
      <w:widowControl w:val="0"/>
      <w:autoSpaceDE w:val="0"/>
      <w:autoSpaceDN w:val="0"/>
      <w:adjustRightInd w:val="0"/>
    </w:pPr>
    <w:rPr>
      <w:rFonts w:ascii="仿宋_GB2312" w:hAnsi="Times New Roman" w:eastAsia="仿宋_GB2312" w:cs="Times New Roman"/>
      <w:color w:val="000000"/>
      <w:sz w:val="24"/>
      <w:szCs w:val="24"/>
      <w:lang w:val="en-US" w:eastAsia="zh-CN" w:bidi="ar-SA"/>
    </w:rPr>
  </w:style>
  <w:style w:type="paragraph" w:customStyle="1" w:styleId="37">
    <w:name w:val="Table Paragraph"/>
    <w:basedOn w:val="1"/>
    <w:qFormat/>
    <w:uiPriority w:val="1"/>
  </w:style>
  <w:style w:type="paragraph" w:customStyle="1" w:styleId="38">
    <w:name w:val="表格内容"/>
    <w:next w:val="1"/>
    <w:qFormat/>
    <w:uiPriority w:val="0"/>
    <w:pPr>
      <w:widowControl w:val="0"/>
      <w:jc w:val="center"/>
    </w:pPr>
    <w:rPr>
      <w:rFonts w:ascii="Times New Roman" w:hAnsi="Times New Roman" w:eastAsia="宋体" w:cs="Times New Roman"/>
      <w:b/>
      <w:kern w:val="2"/>
      <w:sz w:val="18"/>
      <w:szCs w:val="22"/>
      <w:lang w:val="en-US" w:eastAsia="zh-CN" w:bidi="ar-SA"/>
    </w:rPr>
  </w:style>
  <w:style w:type="character" w:customStyle="1" w:styleId="39">
    <w:name w:val="NormalCharacter"/>
    <w:qFormat/>
    <w:uiPriority w:val="0"/>
    <w:rPr>
      <w:kern w:val="2"/>
      <w:sz w:val="21"/>
      <w:szCs w:val="24"/>
      <w:lang w:val="en-US" w:eastAsia="zh-CN" w:bidi="ar-SA"/>
    </w:rPr>
  </w:style>
  <w:style w:type="paragraph" w:customStyle="1" w:styleId="40">
    <w:name w:val="UserStyle_2"/>
    <w:basedOn w:val="1"/>
    <w:qFormat/>
    <w:uiPriority w:val="0"/>
    <w:pPr>
      <w:spacing w:line="240" w:lineRule="exact"/>
      <w:jc w:val="center"/>
      <w:textAlignment w:val="baseline"/>
    </w:pPr>
    <w:rPr>
      <w:rFonts w:ascii="仿宋_GB2312" w:hAnsi="Calibri" w:eastAsia="仿宋_GB2312"/>
      <w:kern w:val="2"/>
      <w:sz w:val="21"/>
      <w:szCs w:val="24"/>
    </w:rPr>
  </w:style>
  <w:style w:type="paragraph" w:customStyle="1" w:styleId="41">
    <w:name w:val="标准正文"/>
    <w:qFormat/>
    <w:uiPriority w:val="0"/>
    <w:pPr>
      <w:keepNext/>
      <w:keepLines/>
      <w:snapToGrid w:val="0"/>
      <w:spacing w:beforeLines="50" w:afterLines="50" w:line="360" w:lineRule="auto"/>
      <w:ind w:firstLine="200" w:firstLineChars="200"/>
      <w:jc w:val="both"/>
    </w:pPr>
    <w:rPr>
      <w:rFonts w:ascii="Times New Roman" w:hAnsi="Times New Roman" w:eastAsia="宋体" w:cs="Times New Roman"/>
      <w:sz w:val="24"/>
      <w:szCs w:val="24"/>
      <w:lang w:val="en-US" w:eastAsia="zh-CN" w:bidi="ar-SA"/>
    </w:rPr>
  </w:style>
  <w:style w:type="paragraph" w:customStyle="1" w:styleId="42">
    <w:name w:val="正文-欣欣"/>
    <w:basedOn w:val="1"/>
    <w:next w:val="1"/>
    <w:qFormat/>
    <w:uiPriority w:val="0"/>
    <w:pPr>
      <w:spacing w:line="360" w:lineRule="auto"/>
      <w:ind w:firstLine="480" w:firstLineChars="200"/>
    </w:pPr>
    <w:rPr>
      <w:bCs/>
      <w:sz w:val="24"/>
    </w:rPr>
  </w:style>
  <w:style w:type="paragraph" w:customStyle="1" w:styleId="43">
    <w:name w:val="表格文字"/>
    <w:basedOn w:val="8"/>
    <w:next w:val="1"/>
    <w:qFormat/>
    <w:uiPriority w:val="0"/>
    <w:pPr>
      <w:adjustRightInd w:val="0"/>
      <w:spacing w:line="360" w:lineRule="atLeast"/>
      <w:jc w:val="center"/>
      <w:textAlignment w:val="baseline"/>
    </w:pPr>
    <w:rPr>
      <w:rFonts w:ascii="Times New Roman" w:hAnsi="Times New Roman" w:cs="Times New Roman"/>
      <w:sz w:val="21"/>
      <w:szCs w:val="21"/>
    </w:rPr>
  </w:style>
  <w:style w:type="paragraph" w:customStyle="1" w:styleId="44">
    <w:name w:val="Body Text2"/>
    <w:basedOn w:val="1"/>
    <w:qFormat/>
    <w:uiPriority w:val="0"/>
    <w:pPr>
      <w:snapToGrid w:val="0"/>
      <w:spacing w:line="360" w:lineRule="auto"/>
    </w:pPr>
    <w:rPr>
      <w:b/>
      <w:bCs/>
      <w:color w:val="000000"/>
      <w:sz w:val="24"/>
      <w:szCs w:val="21"/>
    </w:rPr>
  </w:style>
  <w:style w:type="character" w:customStyle="1" w:styleId="45">
    <w:name w:val="font31"/>
    <w:basedOn w:val="26"/>
    <w:qFormat/>
    <w:uiPriority w:val="0"/>
    <w:rPr>
      <w:rFonts w:hint="default" w:ascii="Times New Roman" w:hAnsi="Times New Roman" w:cs="Times New Roman"/>
      <w:b/>
      <w:color w:val="000000"/>
      <w:sz w:val="18"/>
      <w:szCs w:val="18"/>
      <w:u w:val="none"/>
    </w:rPr>
  </w:style>
  <w:style w:type="character" w:customStyle="1" w:styleId="46">
    <w:name w:val="font11"/>
    <w:basedOn w:val="26"/>
    <w:qFormat/>
    <w:uiPriority w:val="0"/>
    <w:rPr>
      <w:rFonts w:hint="default" w:ascii="Times New Roman" w:hAnsi="Times New Roman" w:cs="Times New Roman"/>
      <w:b/>
      <w:color w:val="000000"/>
      <w:sz w:val="18"/>
      <w:szCs w:val="18"/>
      <w:u w:val="none"/>
      <w:vertAlign w:val="subscript"/>
    </w:rPr>
  </w:style>
  <w:style w:type="character" w:customStyle="1" w:styleId="47">
    <w:name w:val="font21"/>
    <w:basedOn w:val="26"/>
    <w:qFormat/>
    <w:uiPriority w:val="0"/>
    <w:rPr>
      <w:rFonts w:hint="default" w:ascii="Times New Roman" w:hAnsi="Times New Roman" w:cs="Times New Roman"/>
      <w:color w:val="000000"/>
      <w:sz w:val="18"/>
      <w:szCs w:val="18"/>
      <w:u w:val="none"/>
    </w:rPr>
  </w:style>
  <w:style w:type="character" w:customStyle="1" w:styleId="48">
    <w:name w:val="font01"/>
    <w:basedOn w:val="26"/>
    <w:qFormat/>
    <w:uiPriority w:val="0"/>
    <w:rPr>
      <w:rFonts w:hint="eastAsia" w:ascii="宋体" w:hAnsi="宋体" w:eastAsia="宋体" w:cs="宋体"/>
      <w:color w:val="000000"/>
      <w:sz w:val="18"/>
      <w:szCs w:val="18"/>
      <w:u w:val="none"/>
    </w:rPr>
  </w:style>
  <w:style w:type="character" w:customStyle="1" w:styleId="49">
    <w:name w:val="批注文字 字符"/>
    <w:basedOn w:val="26"/>
    <w:link w:val="7"/>
    <w:qFormat/>
    <w:uiPriority w:val="0"/>
    <w:rPr>
      <w:rFonts w:ascii="宋体" w:hAnsi="宋体" w:cs="宋体"/>
      <w:sz w:val="22"/>
      <w:szCs w:val="22"/>
    </w:rPr>
  </w:style>
  <w:style w:type="character" w:customStyle="1" w:styleId="50">
    <w:name w:val="批注主题 字符"/>
    <w:basedOn w:val="49"/>
    <w:link w:val="21"/>
    <w:qFormat/>
    <w:uiPriority w:val="0"/>
    <w:rPr>
      <w:rFonts w:ascii="宋体" w:hAnsi="宋体" w:cs="宋体"/>
      <w:b/>
      <w:bCs/>
      <w:sz w:val="22"/>
      <w:szCs w:val="22"/>
    </w:rPr>
  </w:style>
  <w:style w:type="paragraph" w:customStyle="1" w:styleId="51">
    <w:name w:val="环评正文"/>
    <w:basedOn w:val="1"/>
    <w:qFormat/>
    <w:uiPriority w:val="0"/>
    <w:pPr>
      <w:adjustRightInd w:val="0"/>
      <w:snapToGrid w:val="0"/>
      <w:spacing w:line="420" w:lineRule="auto"/>
      <w:ind w:firstLine="720" w:firstLineChars="200"/>
    </w:pPr>
    <w:rPr>
      <w:rFonts w:hint="eastAsia"/>
      <w:sz w:val="24"/>
      <w:szCs w:val="21"/>
    </w:rPr>
  </w:style>
  <w:style w:type="paragraph" w:customStyle="1" w:styleId="52">
    <w:name w:val="环评表头"/>
    <w:basedOn w:val="1"/>
    <w:unhideWhenUsed/>
    <w:qFormat/>
    <w:uiPriority w:val="0"/>
    <w:pPr>
      <w:spacing w:line="360" w:lineRule="auto"/>
      <w:jc w:val="center"/>
    </w:pPr>
    <w:rPr>
      <w:rFonts w:hint="eastAsia"/>
      <w:b/>
      <w:sz w:val="24"/>
    </w:rPr>
  </w:style>
  <w:style w:type="paragraph" w:customStyle="1" w:styleId="53">
    <w:name w:val="报告表正文"/>
    <w:basedOn w:val="1"/>
    <w:qFormat/>
    <w:uiPriority w:val="0"/>
    <w:pPr>
      <w:adjustRightInd w:val="0"/>
      <w:spacing w:line="312" w:lineRule="auto"/>
      <w:ind w:left="113" w:right="113" w:firstLine="482"/>
      <w:textAlignment w:val="baseline"/>
    </w:pPr>
    <w:rPr>
      <w:sz w:val="24"/>
      <w:szCs w:val="20"/>
    </w:rPr>
  </w:style>
  <w:style w:type="paragraph" w:customStyle="1" w:styleId="5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5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56">
    <w:name w:val="Table Grid_0"/>
    <w:basedOn w:val="24"/>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
    <w:name w:val="p0"/>
    <w:basedOn w:val="1"/>
    <w:qFormat/>
    <w:uiPriority w:val="0"/>
    <w:pPr>
      <w:widowControl/>
    </w:pPr>
    <w:rPr>
      <w:szCs w:val="21"/>
    </w:rPr>
  </w:style>
  <w:style w:type="paragraph" w:customStyle="1" w:styleId="58">
    <w:name w:val="Revision"/>
    <w:hidden/>
    <w:semiHidden/>
    <w:qFormat/>
    <w:uiPriority w:val="99"/>
    <w:rPr>
      <w:rFonts w:ascii="宋体" w:hAnsi="宋体" w:eastAsia="宋体" w:cs="宋体"/>
      <w:sz w:val="22"/>
      <w:szCs w:val="22"/>
      <w:lang w:val="en-US" w:eastAsia="zh-CN" w:bidi="ar-SA"/>
    </w:rPr>
  </w:style>
  <w:style w:type="paragraph" w:customStyle="1" w:styleId="59">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character" w:customStyle="1" w:styleId="60">
    <w:name w:val="【正文】 Char"/>
    <w:link w:val="61"/>
    <w:qFormat/>
    <w:locked/>
    <w:uiPriority w:val="0"/>
    <w:rPr>
      <w:rFonts w:ascii="Calibri" w:hAnsi="Calibri" w:eastAsia="等线" w:cs="Times New Roman"/>
      <w:kern w:val="0"/>
      <w:sz w:val="24"/>
      <w:szCs w:val="20"/>
      <w:lang w:val="en-US" w:eastAsia="zh-CN" w:bidi="ar-SA"/>
    </w:rPr>
  </w:style>
  <w:style w:type="paragraph" w:customStyle="1" w:styleId="61">
    <w:name w:val="【正文】"/>
    <w:link w:val="60"/>
    <w:qFormat/>
    <w:uiPriority w:val="0"/>
    <w:pPr>
      <w:widowControl/>
      <w:snapToGrid w:val="0"/>
      <w:spacing w:before="60" w:after="160" w:line="360" w:lineRule="auto"/>
      <w:ind w:right="113" w:firstLine="200" w:firstLineChars="200"/>
      <w:jc w:val="both"/>
    </w:pPr>
    <w:rPr>
      <w:rFonts w:ascii="Calibri" w:hAnsi="Calibri" w:eastAsia="等线" w:cs="Times New Roman"/>
      <w:kern w:val="0"/>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3MzIxMjQ2MzYxIiwKCSJHcm91cElkIiA6ICI0MjA1NDg0NzIiLAoJIkltYWdlIiA6ICJpVkJPUncwS0dnb0FBQUFOU1VoRVVnQUFBOThBQUFHN0NBWUFBQURhQ1NiVkFBQUFDWEJJV1hNQUFBc1RBQUFMRXdFQW1wd1lBQUFnQUVsRVFWUjRuT3pkZDNoVVZmN0g4YytkU1NHRkVDREJFR29BQWNNQ3lTQXFXRkJFZC9FSFlsbmJVaFJGWEF1dUJVVllVY1FWUVFWRlVRRVJFY1VDV0VBcGxsVVFrRldFRUdLUUppQ0VFRUpKYjVPWnViOC9Rc2FFQkFna2s1bkErL1U4UHN5Y2MrNjk1OFp6Nzh4M1Rya1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"/>
    </extobj>
    <extobj name="ECB019B1-382A-4266-B25C-5B523AA43C14-2">
      <extobjdata type="ECB019B1-382A-4266-B25C-5B523AA43C14" data="ewoJIkZpbGVJZCIgOiAiMjA3MzI0Mzc4MjcxIiwKCSJHcm91cElkIiA6ICI0MjA1NDg0NzIiLAoJIkltYWdlIiA6ICJpVkJPUncwS0dnb0FBQUFOU1VoRVVnQUFBdWdBQUFPU0NBWUFBQUFtbENXREFBQUFDWEJJV1hNQUFBc1RBQUFMRXdFQW1wd1lBQUFnQUVsRVFWUjRuT3pkZVh4VTliMy84ZmVabVN5VGhhd2tJV0VOUVNLYnpxRFhVbXR0dFZhdGROUCtySzM3WGx2eHRtcTF0dGVOV20ydld1OVZiN1V1clF2dWRGR3BxRldMUzIzRmtra1lBZ2dCa3BCZ0VzaStURExiK2YxQkpwMkVrQVFJbVVubTlYdzhlR1RPbWU4NTV6UHdCZDd6bmUvNWpn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36383</Words>
  <Characters>42047</Characters>
  <Lines>283</Lines>
  <Paragraphs>79</Paragraphs>
  <TotalTime>12</TotalTime>
  <ScaleCrop>false</ScaleCrop>
  <LinksUpToDate>false</LinksUpToDate>
  <CharactersWithSpaces>42459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2021-09-06T07:22:00Z</dcterms:created>
  <dc:creator>dyxz1</dc:creator>
  <cp:lastModifiedBy>Administrator</cp:lastModifiedBy>
  <dcterms:modified xsi:type="dcterms:W3CDTF">2022-12-13T06:59:43Z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2425AB6CC098445D84EF104613F1E3A3</vt:lpwstr>
  </property>
</Properties>
</file>