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仿宋" w:hAnsi="仿宋" w:eastAsia="仿宋"/>
          <w:w w:val="95"/>
          <w:sz w:val="32"/>
          <w:szCs w:val="32"/>
        </w:rPr>
      </w:pPr>
      <w:bookmarkStart w:id="0" w:name="_GoBack"/>
      <w:r>
        <w:rPr>
          <w:rFonts w:hint="eastAsia" w:ascii="方正小标宋简体" w:hAnsi="方正小标宋简体" w:eastAsia="方正小标宋简体" w:cs="方正小标宋简体"/>
          <w:w w:val="95"/>
          <w:sz w:val="44"/>
          <w:szCs w:val="44"/>
          <w:lang w:val="en-US" w:eastAsia="zh-CN"/>
        </w:rPr>
        <w:t>蓬溪县</w:t>
      </w:r>
      <w:r>
        <w:rPr>
          <w:rFonts w:hint="eastAsia" w:ascii="方正小标宋简体" w:hAnsi="方正小标宋简体" w:eastAsia="方正小标宋简体" w:cs="方正小标宋简体"/>
          <w:w w:val="95"/>
          <w:sz w:val="44"/>
          <w:szCs w:val="44"/>
        </w:rPr>
        <w:t>安全生产</w:t>
      </w:r>
      <w:r>
        <w:rPr>
          <w:rFonts w:hint="eastAsia" w:ascii="方正小标宋简体" w:hAnsi="方正小标宋简体" w:eastAsia="方正小标宋简体" w:cs="方正小标宋简体"/>
          <w:w w:val="95"/>
          <w:sz w:val="44"/>
          <w:szCs w:val="44"/>
          <w:lang w:eastAsia="zh-CN"/>
        </w:rPr>
        <w:t>大排查大整治攻坚行动</w:t>
      </w:r>
      <w:r>
        <w:rPr>
          <w:rFonts w:hint="eastAsia" w:ascii="方正小标宋简体" w:hAnsi="方正小标宋简体" w:eastAsia="方正小标宋简体" w:cs="方正小标宋简体"/>
          <w:w w:val="95"/>
          <w:sz w:val="44"/>
          <w:szCs w:val="44"/>
          <w:lang w:val="en-US" w:eastAsia="zh-CN"/>
        </w:rPr>
        <w:t>实施</w:t>
      </w:r>
      <w:r>
        <w:rPr>
          <w:rFonts w:hint="eastAsia" w:ascii="方正小标宋简体" w:hAnsi="方正小标宋简体" w:eastAsia="方正小标宋简体" w:cs="方正小标宋简体"/>
          <w:w w:val="95"/>
          <w:sz w:val="44"/>
          <w:szCs w:val="44"/>
          <w:lang w:eastAsia="zh-CN"/>
        </w:rPr>
        <w:t>方案</w:t>
      </w:r>
    </w:p>
    <w:bookmarkEnd w:id="0"/>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认真贯彻落实省安委会第三次全体成员会议、市安委会第四次全体成员会议、县安委会第三次全体会议精神，县安委会领导研究决定，深入开展隐患排查治理，坚决防风险、遏事故，确保我县安全生产大排查大整治攻坚行动扎实开展取得成效，</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总体要求</w:t>
      </w:r>
    </w:p>
    <w:p>
      <w:pPr>
        <w:pStyle w:val="2"/>
        <w:keepNext w:val="0"/>
        <w:keepLines w:val="0"/>
        <w:pageBreakBefore w:val="0"/>
        <w:widowControl w:val="0"/>
        <w:numPr>
          <w:ilvl w:val="0"/>
          <w:numId w:val="0"/>
        </w:numPr>
        <w:kinsoku/>
        <w:wordWrap/>
        <w:overflowPunct/>
        <w:topLinePunct w:val="0"/>
        <w:bidi w:val="0"/>
        <w:snapToGrid/>
        <w:spacing w:line="576"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习近平总书记</w:t>
      </w:r>
      <w:r>
        <w:rPr>
          <w:rFonts w:hint="eastAsia" w:ascii="仿宋_GB2312" w:hAnsi="仿宋_GB2312" w:eastAsia="仿宋_GB2312" w:cs="仿宋_GB2312"/>
          <w:sz w:val="32"/>
          <w:szCs w:val="32"/>
          <w:lang w:eastAsia="zh-CN"/>
        </w:rPr>
        <w:t>关于安全生产的重要论述为指引，坚决落实好省市</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关于安全生产工作的系列安排部署，认真</w:t>
      </w:r>
      <w:r>
        <w:rPr>
          <w:rFonts w:hint="eastAsia" w:ascii="仿宋_GB2312" w:hAnsi="仿宋_GB2312" w:eastAsia="仿宋_GB2312" w:cs="仿宋_GB2312"/>
          <w:sz w:val="32"/>
          <w:szCs w:val="32"/>
          <w:lang w:val="en-US" w:eastAsia="zh-CN"/>
        </w:rPr>
        <w:t>践行以人民为中心的发展思想，坚持人民至上、生命至上，坚决扛起防范化解重大安全风险的政治责任，结合安全生产专项整治三年行动和“两个行动”隐患排查整改工作，</w:t>
      </w:r>
      <w:r>
        <w:rPr>
          <w:rFonts w:hint="default" w:ascii="Times New Roman" w:hAnsi="Times New Roman" w:eastAsia="仿宋_GB2312" w:cs="Times New Roman"/>
          <w:sz w:val="32"/>
          <w:szCs w:val="32"/>
          <w:lang w:val="en-US" w:eastAsia="zh-CN"/>
        </w:rPr>
        <w:t>集中1个月时间</w:t>
      </w:r>
      <w:r>
        <w:rPr>
          <w:rFonts w:hint="eastAsia" w:ascii="仿宋_GB2312" w:hAnsi="仿宋_GB2312" w:eastAsia="仿宋_GB2312" w:cs="仿宋_GB2312"/>
          <w:sz w:val="32"/>
          <w:szCs w:val="32"/>
          <w:lang w:val="en-US" w:eastAsia="zh-CN"/>
        </w:rPr>
        <w:t>，按照不放过任何一处风险、不放过任何一个隐患的标准，开展安全生产大排查大整治攻坚行动，坚决杜绝较大及以上生产安全事故发生，</w:t>
      </w:r>
      <w:r>
        <w:rPr>
          <w:rFonts w:hint="default"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en-US" w:eastAsia="zh-CN"/>
        </w:rPr>
        <w:t>蓬溪经济建设</w:t>
      </w:r>
      <w:r>
        <w:rPr>
          <w:rFonts w:hint="default" w:ascii="仿宋_GB2312" w:hAnsi="仿宋_GB2312" w:eastAsia="仿宋_GB2312" w:cs="仿宋_GB2312"/>
          <w:sz w:val="32"/>
          <w:szCs w:val="32"/>
          <w:lang w:val="en-US" w:eastAsia="zh-CN"/>
        </w:rPr>
        <w:t>提供安全稳定环境。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二</w:t>
      </w:r>
      <w:r>
        <w:rPr>
          <w:rFonts w:hint="default" w:ascii="Times New Roman" w:hAnsi="Times New Roman" w:eastAsia="黑体" w:cs="Times New Roman"/>
          <w:color w:val="000000" w:themeColor="text1"/>
          <w:sz w:val="32"/>
          <w:szCs w:val="32"/>
          <w:u w:val="none"/>
          <w14:textFill>
            <w14:solidFill>
              <w14:schemeClr w14:val="tx1"/>
            </w14:solidFill>
          </w14:textFill>
        </w:rPr>
        <w:t>、</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组织领导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建立蓬溪县安全生产大排查大整顿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攻坚</w:t>
      </w:r>
      <w:r>
        <w:rPr>
          <w:rFonts w:hint="default" w:ascii="Times New Roman" w:hAnsi="Times New Roman" w:eastAsia="仿宋_GB2312" w:cs="Times New Roman"/>
          <w:color w:val="000000" w:themeColor="text1"/>
          <w:sz w:val="32"/>
          <w:szCs w:val="32"/>
          <w:u w:val="none"/>
          <w14:textFill>
            <w14:solidFill>
              <w14:schemeClr w14:val="tx1"/>
            </w14:solidFill>
          </w14:textFill>
        </w:rPr>
        <w:t>行动领导小组，负责</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蓬溪县安全生产大排查大整顿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攻坚</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行动</w:t>
      </w:r>
      <w:r>
        <w:rPr>
          <w:rFonts w:hint="default" w:ascii="Times New Roman" w:hAnsi="Times New Roman" w:eastAsia="仿宋_GB2312" w:cs="Times New Roman"/>
          <w:color w:val="000000" w:themeColor="text1"/>
          <w:sz w:val="32"/>
          <w:szCs w:val="32"/>
          <w:u w:val="none"/>
          <w14:textFill>
            <w14:solidFill>
              <w14:schemeClr w14:val="tx1"/>
            </w14:solidFill>
          </w14:textFill>
        </w:rPr>
        <w:t>的统一领导、督导检查和具体实施。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组  长：黄亚军  县委副书记、县长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副组</w:t>
      </w:r>
      <w:r>
        <w:rPr>
          <w:rFonts w:hint="default" w:ascii="Times New Roman" w:hAnsi="Times New Roman" w:eastAsia="仿宋_GB2312" w:cs="Times New Roman"/>
          <w:color w:val="000000" w:themeColor="text1"/>
          <w:sz w:val="32"/>
          <w:szCs w:val="32"/>
          <w:u w:val="none"/>
          <w14:textFill>
            <w14:solidFill>
              <w14:schemeClr w14:val="tx1"/>
            </w14:solidFill>
          </w14:textFill>
        </w:rPr>
        <w:t>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淼</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霖</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14:textFill>
            <w14:solidFill>
              <w14:schemeClr w14:val="tx1"/>
            </w14:solidFill>
          </w14:textFill>
        </w:rPr>
        <w:t>县委常委、常务副县长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何亚杰  副县长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刘定华  副县长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张宏亮  副县长、</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公安局局长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  萌  副县长</w:t>
      </w:r>
    </w:p>
    <w:p>
      <w:pPr>
        <w:pStyle w:val="6"/>
        <w:keepNext w:val="0"/>
        <w:keepLines w:val="0"/>
        <w:pageBreakBefore w:val="0"/>
        <w:widowControl w:val="0"/>
        <w:kinsoku/>
        <w:wordWrap/>
        <w:overflowPunct/>
        <w:topLinePunct w:val="0"/>
        <w:bidi w:val="0"/>
        <w:snapToGrid/>
        <w:spacing w:line="576"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敬  平  副县长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成员单位：县委</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办</w:t>
      </w:r>
      <w:r>
        <w:rPr>
          <w:rFonts w:hint="default" w:ascii="Times New Roman" w:hAnsi="Times New Roman" w:eastAsia="仿宋_GB2312" w:cs="Times New Roman"/>
          <w:color w:val="000000" w:themeColor="text1"/>
          <w:sz w:val="32"/>
          <w:szCs w:val="32"/>
          <w:u w:val="none"/>
          <w14:textFill>
            <w14:solidFill>
              <w14:schemeClr w14:val="tx1"/>
            </w14:solidFill>
          </w14:textFill>
        </w:rPr>
        <w:t>、县政府办、县检察院、县委组织部、县委宣传部、县委绩效办、县委编办、县发改局、县经科局、县公安局、县教体局、县民政局、县司法局、县财政局、县人社局、县自规局、蓬溪生态环境局、县住建局、县交运局、县水利局、县农业农村局、县商务经合局、县文广旅游局、县卫健局、县应急局、县市场监管局、县综合执法局、县民宗局、县供销社、县气象局、县总工会、团县委、县妇联、县消防</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救援</w:t>
      </w:r>
      <w:r>
        <w:rPr>
          <w:rFonts w:hint="default" w:ascii="Times New Roman" w:hAnsi="Times New Roman" w:eastAsia="仿宋_GB2312" w:cs="Times New Roman"/>
          <w:color w:val="000000" w:themeColor="text1"/>
          <w:sz w:val="32"/>
          <w:szCs w:val="32"/>
          <w:u w:val="none"/>
          <w14:textFill>
            <w14:solidFill>
              <w14:schemeClr w14:val="tx1"/>
            </w14:solidFill>
          </w14:textFill>
        </w:rPr>
        <w:t>大队、县交警大队、县运管所、县海事处、现代农业示范区、</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蓬溪经开区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各乡镇（街道）</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县安全生产大排查大整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治攻坚</w:t>
      </w:r>
      <w:r>
        <w:rPr>
          <w:rFonts w:hint="default" w:ascii="Times New Roman" w:hAnsi="Times New Roman" w:eastAsia="仿宋_GB2312" w:cs="Times New Roman"/>
          <w:color w:val="000000" w:themeColor="text1"/>
          <w:sz w:val="32"/>
          <w:szCs w:val="32"/>
          <w:u w:val="none"/>
          <w14:textFill>
            <w14:solidFill>
              <w14:schemeClr w14:val="tx1"/>
            </w14:solidFill>
          </w14:textFill>
        </w:rPr>
        <w:t>行动下设办公室在县</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应急</w:t>
      </w:r>
      <w:r>
        <w:rPr>
          <w:rFonts w:hint="default" w:ascii="Times New Roman" w:hAnsi="Times New Roman" w:eastAsia="仿宋_GB2312" w:cs="Times New Roman"/>
          <w:color w:val="000000" w:themeColor="text1"/>
          <w:sz w:val="32"/>
          <w:szCs w:val="32"/>
          <w:u w:val="none"/>
          <w14:textFill>
            <w14:solidFill>
              <w14:schemeClr w14:val="tx1"/>
            </w14:solidFill>
          </w14:textFill>
        </w:rPr>
        <w:t>局，由县</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应急局</w:t>
      </w:r>
      <w:r>
        <w:rPr>
          <w:rFonts w:hint="default" w:ascii="Times New Roman" w:hAnsi="Times New Roman" w:eastAsia="仿宋_GB2312" w:cs="Times New Roman"/>
          <w:color w:val="000000" w:themeColor="text1"/>
          <w:sz w:val="32"/>
          <w:szCs w:val="32"/>
          <w:u w:val="none"/>
          <w14:textFill>
            <w14:solidFill>
              <w14:schemeClr w14:val="tx1"/>
            </w14:solidFill>
          </w14:textFill>
        </w:rPr>
        <w:t>局长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敬世刚</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同志兼任办公室主任，负责处理日常工作</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三、行业领域</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（一）交通运输领域安全整治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联系领导：</w:t>
      </w:r>
      <w:r>
        <w:rPr>
          <w:rFonts w:hint="eastAsia" w:ascii="仿宋_GB2312" w:hAnsi="仿宋_GB2312" w:eastAsia="仿宋_GB2312" w:cs="仿宋_GB2312"/>
          <w:color w:val="000000"/>
          <w:sz w:val="32"/>
          <w:szCs w:val="32"/>
          <w:lang w:val="en-US" w:eastAsia="zh-CN"/>
        </w:rPr>
        <w:t xml:space="preserve">张  萌  </w:t>
      </w:r>
      <w:r>
        <w:rPr>
          <w:rFonts w:hint="eastAsia" w:ascii="仿宋_GB2312" w:hAnsi="仿宋_GB2312" w:eastAsia="仿宋_GB2312" w:cs="仿宋_GB2312"/>
          <w:color w:val="000000"/>
          <w:sz w:val="32"/>
          <w:szCs w:val="32"/>
        </w:rPr>
        <w:t>副县长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pacing w:val="-6"/>
          <w:sz w:val="32"/>
          <w:szCs w:val="32"/>
          <w:lang w:val="en-US" w:eastAsia="zh-CN"/>
        </w:rPr>
        <w:t>仲建军</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县交运局</w:t>
      </w:r>
      <w:r>
        <w:rPr>
          <w:rFonts w:hint="eastAsia" w:ascii="仿宋_GB2312" w:hAnsi="仿宋_GB2312" w:eastAsia="仿宋_GB2312" w:cs="仿宋_GB2312"/>
          <w:color w:val="000000"/>
          <w:sz w:val="32"/>
          <w:szCs w:val="32"/>
          <w:lang w:val="en-US" w:eastAsia="zh-CN"/>
        </w:rPr>
        <w:t>局长</w:t>
      </w:r>
    </w:p>
    <w:p>
      <w:pPr>
        <w:keepNext w:val="0"/>
        <w:keepLines w:val="0"/>
        <w:pageBreakBefore w:val="0"/>
        <w:widowControl w:val="0"/>
        <w:tabs>
          <w:tab w:val="left" w:pos="492"/>
        </w:tabs>
        <w:kinsoku/>
        <w:wordWrap/>
        <w:overflowPunct/>
        <w:topLinePunct w:val="0"/>
        <w:bidi w:val="0"/>
        <w:snapToGrid/>
        <w:spacing w:line="576" w:lineRule="exact"/>
        <w:ind w:firstLine="2240" w:firstLineChars="7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冯  旭  县交警大队大队长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牵头单位:</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县交运局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县交警大队</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县经科局、县住建局、县水利局、县农业农村局、县市场监管局</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现代农业示范区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蓬溪经开区、各乡镇党委政府、普安街道</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检查国道、省道、各村主要道路路口等交通设施是否符合行业标准要求；运输企业交通安全管理制度、责任是否落实；校车、客运车辆等安全技术管理、驾驶员及行驶路线等情况是否符合要求；客运车辆动态监控措施和客运站场安全管理措施是否执行到位；是否强化安全检查，加强了客运站等交通公共场所安保查危工作，严格执行易燃易爆危险品“三品”查堵制度，避免群死群伤事故发生；是否严厉查处各类交通违法违规行为，依法对无证无牌、非法运输、拼装车上路、客车超员、货车超载、酒后驾驶、疲劳驾驶、超速超载行驶等交通违法行为进行严厉打击，及时消除安全隐患，确保道路交通安全。</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（二）烟花爆竹与危险化学品领域安全整治</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联系领导</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淼  霖  县委常委、常务副县长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敬世刚  县应急局局长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牵头单位:</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县应急局</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县经科局、县公安局、</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生态环境局、县交运局、县农业农村局、县卫健局、县市场监管局、县消防</w:t>
      </w:r>
      <w:r>
        <w:rPr>
          <w:rFonts w:hint="eastAsia" w:ascii="仿宋_GB2312" w:hAnsi="仿宋_GB2312" w:eastAsia="仿宋_GB2312" w:cs="仿宋_GB2312"/>
          <w:color w:val="000000"/>
          <w:sz w:val="32"/>
          <w:szCs w:val="32"/>
          <w:lang w:val="en-US" w:eastAsia="zh-CN"/>
        </w:rPr>
        <w:t>救援</w:t>
      </w:r>
      <w:r>
        <w:rPr>
          <w:rFonts w:hint="eastAsia" w:ascii="仿宋_GB2312" w:hAnsi="仿宋_GB2312" w:eastAsia="仿宋_GB2312" w:cs="仿宋_GB2312"/>
          <w:color w:val="000000"/>
          <w:sz w:val="32"/>
          <w:szCs w:val="32"/>
        </w:rPr>
        <w:t>大队</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现代农业示范区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蓬溪县经开区、各乡镇党委政府、普安街道</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烟花爆竹方面重点检查烟花爆竹经营“下店上宅”“前店后宅”情况；烟花爆竹经营企业执行流向登记制度和安全禁令情况；</w:t>
      </w:r>
    </w:p>
    <w:p>
      <w:pPr>
        <w:pStyle w:val="2"/>
        <w:keepNext w:val="0"/>
        <w:keepLines w:val="0"/>
        <w:pageBreakBefore w:val="0"/>
        <w:widowControl w:val="0"/>
        <w:numPr>
          <w:ilvl w:val="0"/>
          <w:numId w:val="0"/>
        </w:numPr>
        <w:kinsoku/>
        <w:wordWrap/>
        <w:overflowPunct/>
        <w:topLinePunct w:val="0"/>
        <w:bidi w:val="0"/>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查处违规运输黑火药、引火线和烟花爆竹产品等违法违规行为情况；打击烟花爆竹非法生产、经营、储存、燃放等情况。</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危险化学品方面重点检查危险化学品企业安全生产责任体系、安全生产管理制度和操作规程的制定落实情况；动火、车辆出入、检维修等作业环节的安全管理情况；危险化学品生产、经营许可证已过期，未及时办理换证手续仍继续从事危险化学品生产、经营情况；危险化学品从业单位相关人员安全教育培训情况；涉及油气等危险化学品罐区专项安全大检查及隐患专项排查整治、危险化学品经营市场安全专项整治等工作开展情况；重点监管的危险化工工艺、重点监管的危险化学品及重大危险源评价、辨识、备案、监控情况；化工企业泄漏管理排查落实情况；危险化学品生产企业自动化控制功能性符合情况，外来施工队伍安全管理情况；化工厂区外来运输车辆管理，严格限制厂区装卸区域车辆数量和进厂运输车辆停放管理，设定外来运输车辆安全距离，严禁超量充装，科学、合理安排危险物料装卸时间等情况。</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（三）消防领域安全整治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联系领导</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张宏亮  </w:t>
      </w:r>
      <w:r>
        <w:rPr>
          <w:rFonts w:hint="eastAsia" w:ascii="仿宋_GB2312" w:hAnsi="仿宋_GB2312" w:eastAsia="仿宋_GB2312" w:cs="仿宋_GB2312"/>
          <w:color w:val="000000"/>
          <w:sz w:val="32"/>
          <w:szCs w:val="32"/>
        </w:rPr>
        <w:t>副县长、县公安局局长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长：陈  斗  县消防救援大队大队长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牵头单位:</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县消防</w:t>
      </w:r>
      <w:r>
        <w:rPr>
          <w:rFonts w:hint="eastAsia" w:ascii="仿宋_GB2312" w:hAnsi="仿宋_GB2312" w:eastAsia="仿宋_GB2312" w:cs="仿宋_GB2312"/>
          <w:color w:val="000000"/>
          <w:sz w:val="32"/>
          <w:szCs w:val="32"/>
          <w:lang w:val="en-US" w:eastAsia="zh-CN"/>
        </w:rPr>
        <w:t>救援</w:t>
      </w:r>
      <w:r>
        <w:rPr>
          <w:rFonts w:hint="eastAsia" w:ascii="仿宋_GB2312" w:hAnsi="仿宋_GB2312" w:eastAsia="仿宋_GB2312" w:cs="仿宋_GB2312"/>
          <w:color w:val="000000"/>
          <w:sz w:val="32"/>
          <w:szCs w:val="32"/>
        </w:rPr>
        <w:t>大队</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县教体局、县民政局、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lang w:val="en-US" w:eastAsia="zh-CN"/>
        </w:rPr>
        <w:t>自</w:t>
      </w:r>
      <w:r>
        <w:rPr>
          <w:rFonts w:hint="eastAsia" w:ascii="仿宋_GB2312" w:hAnsi="仿宋_GB2312" w:eastAsia="仿宋_GB2312" w:cs="仿宋_GB2312"/>
          <w:color w:val="000000"/>
          <w:sz w:val="32"/>
          <w:szCs w:val="32"/>
          <w:lang w:eastAsia="zh-CN"/>
        </w:rPr>
        <w:t>规局</w:t>
      </w:r>
      <w:r>
        <w:rPr>
          <w:rFonts w:hint="eastAsia" w:ascii="仿宋_GB2312" w:hAnsi="仿宋_GB2312" w:eastAsia="仿宋_GB2312" w:cs="仿宋_GB2312"/>
          <w:color w:val="000000"/>
          <w:sz w:val="32"/>
          <w:szCs w:val="32"/>
        </w:rPr>
        <w:t>、县住建局、县交运局、县商务经合局、县文广旅游局、县卫健局、县市场监管局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县人防办、</w:t>
      </w:r>
      <w:r>
        <w:rPr>
          <w:rFonts w:hint="default" w:ascii="Times New Roman" w:hAnsi="Times New Roman" w:eastAsia="仿宋_GB2312" w:cs="Times New Roman"/>
          <w:color w:val="000000" w:themeColor="text1"/>
          <w:sz w:val="32"/>
          <w:szCs w:val="32"/>
          <w:u w:val="none"/>
          <w14:textFill>
            <w14:solidFill>
              <w14:schemeClr w14:val="tx1"/>
            </w14:solidFill>
          </w14:textFill>
        </w:rPr>
        <w:t>现代农业示范区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蓬溪经开区、各乡镇党委政府、普安街道</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检查人员密集场所、易燃易爆单位、劳动密集型企业和高层密集建筑的消防行政许可情况；劳动密集型企业的生产加工车间和员工集体宿舍、高层建筑、地下建筑和“三合一”、“多合一”场所（集人员住宿与生产、储存、经营等一种或几种用途混合设置为一体的场所）、公共娱乐场所以及商场市场、宾馆饭店、医院、学校、养老院等人员密集场所落实消防安全责任制度、消防巡查检查、消防设备设施、消防通道和安全出口等情况；员工集中宣传培训情况、应急疏散预案制定及演练情况。</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（四）城乡建设领域安全整治</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联系领导</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张  萌  </w:t>
      </w:r>
      <w:r>
        <w:rPr>
          <w:rFonts w:hint="eastAsia" w:ascii="仿宋_GB2312" w:hAnsi="仿宋_GB2312" w:eastAsia="仿宋_GB2312" w:cs="仿宋_GB2312"/>
          <w:color w:val="000000"/>
          <w:sz w:val="32"/>
          <w:szCs w:val="32"/>
        </w:rPr>
        <w:t>副县长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pacing w:val="-6"/>
          <w:sz w:val="32"/>
          <w:szCs w:val="32"/>
          <w:lang w:val="en-US" w:eastAsia="zh-CN"/>
        </w:rPr>
        <w:t>敬成明</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县住建局</w:t>
      </w:r>
      <w:r>
        <w:rPr>
          <w:rFonts w:hint="eastAsia" w:ascii="仿宋_GB2312" w:hAnsi="仿宋_GB2312" w:eastAsia="仿宋_GB2312" w:cs="仿宋_GB2312"/>
          <w:color w:val="000000"/>
          <w:sz w:val="32"/>
          <w:szCs w:val="32"/>
          <w:lang w:val="en-US" w:eastAsia="zh-CN"/>
        </w:rPr>
        <w:t>局长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牵头单位:</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县住建局</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县发改局、</w:t>
      </w:r>
      <w:r>
        <w:rPr>
          <w:rFonts w:hint="eastAsia" w:ascii="仿宋_GB2312" w:hAnsi="仿宋_GB2312" w:eastAsia="仿宋_GB2312" w:cs="仿宋_GB2312"/>
          <w:color w:val="000000"/>
          <w:sz w:val="32"/>
          <w:szCs w:val="32"/>
          <w:lang w:eastAsia="zh-CN"/>
        </w:rPr>
        <w:t>县自规局</w:t>
      </w:r>
      <w:r>
        <w:rPr>
          <w:rFonts w:hint="eastAsia" w:ascii="仿宋_GB2312" w:hAnsi="仿宋_GB2312" w:eastAsia="仿宋_GB2312" w:cs="仿宋_GB2312"/>
          <w:color w:val="000000"/>
          <w:sz w:val="32"/>
          <w:szCs w:val="32"/>
        </w:rPr>
        <w:t>、县交运局、县水利局、县市场监管局、县综合执法局、县消防</w:t>
      </w:r>
      <w:r>
        <w:rPr>
          <w:rFonts w:hint="eastAsia" w:ascii="仿宋_GB2312" w:hAnsi="仿宋_GB2312" w:eastAsia="仿宋_GB2312" w:cs="仿宋_GB2312"/>
          <w:color w:val="000000"/>
          <w:sz w:val="32"/>
          <w:szCs w:val="32"/>
          <w:lang w:val="en-US" w:eastAsia="zh-CN"/>
        </w:rPr>
        <w:t>救援</w:t>
      </w:r>
      <w:r>
        <w:rPr>
          <w:rFonts w:hint="eastAsia" w:ascii="仿宋_GB2312" w:hAnsi="仿宋_GB2312" w:eastAsia="仿宋_GB2312" w:cs="仿宋_GB2312"/>
          <w:color w:val="000000"/>
          <w:sz w:val="32"/>
          <w:szCs w:val="32"/>
        </w:rPr>
        <w:t>大队</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现代农业示范区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蓬溪经开区、各乡镇党委政府、普安街道</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检查建筑工地，深基坑（槽）开挖防护情况，深基坑（槽）和边坡作业的合规性情况；模板支撑体系搭设前材料及基础验收、安全技术交底、模架搭设、搭设后检查验收，使用与检查、混凝土浇筑、现场安全监测、模架拆除以及监督管理等制度执行情况；建筑起重机械产权备案、安装（拆卸）告知、安全档案建立、检验检测、安装验收、使用登记、定期检查维护保养等制度执行情况，起重机械安装拆卸人员、司机、信号司索工持证上岗情况；编制、审批脚手架专项施工方案情况，按有关规定组织专家论证情况，作业前进行安全技术交底情况，脚手架、支模架搭设及拆除情况；预留洞口、楼梯口、电梯井口、通道口等防护措施及警示标志落实情况，给排水沟槽、桥梁工程、泥浆池等临边设置防护栏杆情况，各种垂直运输卸料平台临边防护情况，建筑物楼层邻边四周未砌筑、未安装维护结构时设置安全防护情况；室内防水工程、装饰装修工程中进行焊接等明火作业、动火审批管理情况，油漆、稀料、木材、保温材料等易燃材料的保管和使用情况，宿舍内乱拉乱接电线、宿舍明火取暖等排查情况；地下暗挖工程、地下管网施工等事故易发环节的安全专项施工方案编制及落实情况，对工程周边可能造成损害的毗邻建筑物、构筑物和地下管线防护情况。</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重点检查燃气经营企业及供应站点、燃气管道、液化气钢瓶、餐饮场所使用燃气安全，加大对瓶装液化气非法经营行为的打击力度，规范市场秩序；液化气企业充装枪联锁、液化气灌瓶站视频监控系统、瓶装液化气购销实名制、燃气安全软管更换、应急管理等重点工作不落实的问题；燃气管网占压、圈围、埋深不足、安全间距不足等隐患，燃气重要场站和重点部位的人防、物防、技防措施不到位的问题；场站设施设备和管道安全检查及定期检测、维护以及历次检查发现的隐患排除不彻底等问题。 </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（五）文化旅游领域安全整治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联系领导</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何亚杰  </w:t>
      </w:r>
      <w:r>
        <w:rPr>
          <w:rFonts w:hint="eastAsia" w:ascii="仿宋_GB2312" w:hAnsi="仿宋_GB2312" w:eastAsia="仿宋_GB2312" w:cs="仿宋_GB2312"/>
          <w:color w:val="000000"/>
          <w:sz w:val="32"/>
          <w:szCs w:val="32"/>
        </w:rPr>
        <w:t>副县长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pacing w:val="-6"/>
          <w:sz w:val="32"/>
          <w:szCs w:val="32"/>
        </w:rPr>
        <w:t>张光照</w:t>
      </w:r>
      <w:r>
        <w:rPr>
          <w:rFonts w:hint="eastAsia" w:ascii="仿宋_GB2312" w:hAnsi="仿宋_GB2312" w:eastAsia="仿宋_GB2312" w:cs="仿宋_GB2312"/>
          <w:color w:val="000000"/>
          <w:spacing w:val="-6"/>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县文广旅游局</w:t>
      </w:r>
      <w:r>
        <w:rPr>
          <w:rFonts w:hint="eastAsia" w:ascii="仿宋_GB2312" w:hAnsi="仿宋_GB2312" w:eastAsia="仿宋_GB2312" w:cs="仿宋_GB2312"/>
          <w:color w:val="000000"/>
          <w:sz w:val="32"/>
          <w:szCs w:val="32"/>
          <w:lang w:val="en-US" w:eastAsia="zh-CN"/>
        </w:rPr>
        <w:t>局长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牵头单位:</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县文广旅游局</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color w:val="000000"/>
          <w:sz w:val="32"/>
          <w:szCs w:val="32"/>
        </w:rPr>
        <w:t>责任单位:县</w:t>
      </w:r>
      <w:r>
        <w:rPr>
          <w:rFonts w:hint="eastAsia" w:ascii="仿宋_GB2312" w:hAnsi="仿宋_GB2312" w:eastAsia="仿宋_GB2312" w:cs="仿宋_GB2312"/>
          <w:color w:val="000000"/>
          <w:sz w:val="32"/>
          <w:szCs w:val="32"/>
          <w:lang w:val="en-US" w:eastAsia="zh-CN"/>
        </w:rPr>
        <w:t>民宗局</w:t>
      </w:r>
      <w:r>
        <w:rPr>
          <w:rFonts w:hint="eastAsia" w:ascii="仿宋_GB2312" w:hAnsi="仿宋_GB2312" w:eastAsia="仿宋_GB2312" w:cs="仿宋_GB2312"/>
          <w:color w:val="000000"/>
          <w:sz w:val="32"/>
          <w:szCs w:val="32"/>
        </w:rPr>
        <w:t>、县公安局、县交运局、县市场监管局、县消防</w:t>
      </w:r>
      <w:r>
        <w:rPr>
          <w:rFonts w:hint="eastAsia" w:ascii="仿宋_GB2312" w:hAnsi="仿宋_GB2312" w:eastAsia="仿宋_GB2312" w:cs="仿宋_GB2312"/>
          <w:color w:val="000000"/>
          <w:sz w:val="32"/>
          <w:szCs w:val="32"/>
          <w:lang w:val="en-US" w:eastAsia="zh-CN"/>
        </w:rPr>
        <w:t>救援</w:t>
      </w:r>
      <w:r>
        <w:rPr>
          <w:rFonts w:hint="eastAsia" w:ascii="仿宋_GB2312" w:hAnsi="仿宋_GB2312" w:eastAsia="仿宋_GB2312" w:cs="仿宋_GB2312"/>
          <w:color w:val="000000"/>
          <w:sz w:val="32"/>
          <w:szCs w:val="32"/>
        </w:rPr>
        <w:t>大队</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现代农业示范区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蓬溪经开区、各乡镇党委政府、普安街道</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检查文化经营场所消防安全管理责任落实及自查自纠情况；星级饭店有效消防安全许可情况，各类消防设施设备检验及性能状况，客房、会议室等各种场所的安全设施、安全提示等情况，厨房有效餐饮及卫生许可、食品安全制度落实情况，电梯、锅炉等特种设备是否在检验有效期内，游泳池、儿童娱乐设施安全提示及保障措施等情况；A级旅游景区各类消防设施设备检验许可情况，安全通道及疏散出口设置情况，特种设备运营许可情况, 包括大型游乐设施、缆车、索道、玻璃栈道等，景区食品卫生安全许可情况，警示标识、安全提醒设立情况。强化流量管控、严防人员聚集等各项防控措施落实情况；文博单位消防安全管理制度是否完善及落实情况，重点部位的消防设施、灭火器材是否配备到位、是否完好有效，疏散通道、安全出口是否畅通，电气线路铺设是否规范，电气设备使用是否正确等情况，人流管控和视频监控是否有效；影院及室内外固定放映场所安全生产应急处置机制建立情况，疫情防控落实情况，火灾危险源情况，消防通道、安全出口、疏散通道、防火间距、防火分区设置情况，建筑材料情况，自动消防设施运行和维护保养情况，人员管理情况，其它关联设施设备防护情况。</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（六）工业企业领域安全整治</w:t>
      </w:r>
    </w:p>
    <w:p>
      <w:pPr>
        <w:keepNext w:val="0"/>
        <w:keepLines w:val="0"/>
        <w:pageBreakBefore w:val="0"/>
        <w:widowControl w:val="0"/>
        <w:kinsoku/>
        <w:wordWrap/>
        <w:overflowPunct/>
        <w:topLinePunct w:val="0"/>
        <w:bidi w:val="0"/>
        <w:snapToGrid/>
        <w:spacing w:line="576" w:lineRule="exact"/>
        <w:ind w:left="3518" w:leftChars="304" w:hanging="2880" w:hangingChars="9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联系领导：敬  平  </w:t>
      </w:r>
      <w:r>
        <w:rPr>
          <w:rFonts w:hint="eastAsia" w:ascii="仿宋_GB2312" w:hAnsi="仿宋_GB2312" w:eastAsia="仿宋_GB2312" w:cs="仿宋_GB2312"/>
          <w:color w:val="000000"/>
          <w:sz w:val="32"/>
          <w:szCs w:val="32"/>
        </w:rPr>
        <w:t>副县长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eastAsia="仿宋_GB2312" w:cs="仿宋_GB2312"/>
          <w:color w:val="000000"/>
          <w:spacing w:val="-6"/>
          <w:sz w:val="32"/>
          <w:szCs w:val="32"/>
        </w:rPr>
        <w:t>聂书明</w:t>
      </w:r>
      <w:r>
        <w:rPr>
          <w:rFonts w:hint="eastAsia" w:ascii="仿宋_GB2312" w:hAnsi="仿宋_GB2312" w:eastAsia="仿宋_GB2312" w:cs="仿宋_GB2312"/>
          <w:color w:val="000000"/>
          <w:spacing w:val="-6"/>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w:t>
      </w:r>
      <w:r>
        <w:rPr>
          <w:rFonts w:hint="eastAsia" w:ascii="仿宋_GB2312" w:hAnsi="仿宋_GB2312" w:eastAsia="仿宋_GB2312" w:cs="仿宋_GB2312"/>
          <w:color w:val="000000"/>
          <w:sz w:val="32"/>
          <w:szCs w:val="32"/>
          <w:lang w:val="en-US" w:eastAsia="zh-CN"/>
        </w:rPr>
        <w:t>经科局局长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牵头单位:</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w:t>
      </w:r>
      <w:r>
        <w:rPr>
          <w:rFonts w:hint="eastAsia" w:ascii="仿宋_GB2312" w:hAnsi="仿宋_GB2312" w:eastAsia="仿宋_GB2312" w:cs="仿宋_GB2312"/>
          <w:color w:val="000000"/>
          <w:sz w:val="32"/>
          <w:szCs w:val="32"/>
          <w:lang w:val="en-US" w:eastAsia="zh-CN"/>
        </w:rPr>
        <w:t>经科局</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县发改局、</w:t>
      </w:r>
      <w:r>
        <w:rPr>
          <w:rFonts w:hint="eastAsia" w:ascii="仿宋_GB2312" w:hAnsi="仿宋_GB2312" w:eastAsia="仿宋_GB2312" w:cs="仿宋_GB2312"/>
          <w:color w:val="000000"/>
          <w:sz w:val="32"/>
          <w:szCs w:val="32"/>
          <w:lang w:eastAsia="zh-CN"/>
        </w:rPr>
        <w:t>县自规局</w:t>
      </w:r>
      <w:r>
        <w:rPr>
          <w:rFonts w:hint="eastAsia" w:ascii="仿宋_GB2312" w:hAnsi="仿宋_GB2312" w:eastAsia="仿宋_GB2312" w:cs="仿宋_GB2312"/>
          <w:color w:val="000000"/>
          <w:sz w:val="32"/>
          <w:szCs w:val="32"/>
        </w:rPr>
        <w:t>、县住建局、</w:t>
      </w:r>
      <w:r>
        <w:rPr>
          <w:rFonts w:hint="eastAsia" w:ascii="仿宋_GB2312" w:hAnsi="仿宋_GB2312" w:eastAsia="仿宋_GB2312" w:cs="仿宋_GB2312"/>
          <w:color w:val="000000"/>
          <w:sz w:val="32"/>
          <w:szCs w:val="32"/>
          <w:lang w:val="en-US" w:eastAsia="zh-CN"/>
        </w:rPr>
        <w:t>县商务经合局、</w:t>
      </w:r>
      <w:r>
        <w:rPr>
          <w:rFonts w:hint="eastAsia" w:ascii="仿宋_GB2312" w:hAnsi="仿宋_GB2312" w:eastAsia="仿宋_GB2312" w:cs="仿宋_GB2312"/>
          <w:color w:val="000000"/>
          <w:sz w:val="32"/>
          <w:szCs w:val="32"/>
        </w:rPr>
        <w:t>县市场监管局、县消防</w:t>
      </w:r>
      <w:r>
        <w:rPr>
          <w:rFonts w:hint="eastAsia" w:ascii="仿宋_GB2312" w:hAnsi="仿宋_GB2312" w:eastAsia="仿宋_GB2312" w:cs="仿宋_GB2312"/>
          <w:color w:val="000000"/>
          <w:sz w:val="32"/>
          <w:szCs w:val="32"/>
          <w:lang w:val="en-US" w:eastAsia="zh-CN"/>
        </w:rPr>
        <w:t>救援</w:t>
      </w:r>
      <w:r>
        <w:rPr>
          <w:rFonts w:hint="eastAsia" w:ascii="仿宋_GB2312" w:hAnsi="仿宋_GB2312" w:eastAsia="仿宋_GB2312" w:cs="仿宋_GB2312"/>
          <w:color w:val="000000"/>
          <w:sz w:val="32"/>
          <w:szCs w:val="32"/>
        </w:rPr>
        <w:t>大队</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现代农业示范区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蓬溪经开区、各乡镇党委政府、普安街道</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检查有限空间作业、粉尘涉爆、液氨制冷的企业通风除尘设备完善、禁火措施是否制定并落实，电气电路和消防设施是否符合要求，消防器材和个人劳动保护用品是否按规定配置到位，企业是否开展隐患自查自纠等情况。</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（七）商贸流通领域安全整治</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联系领导：敬  平  </w:t>
      </w:r>
      <w:r>
        <w:rPr>
          <w:rFonts w:hint="eastAsia" w:ascii="仿宋_GB2312" w:hAnsi="仿宋_GB2312" w:eastAsia="仿宋_GB2312" w:cs="仿宋_GB2312"/>
          <w:color w:val="000000"/>
          <w:sz w:val="32"/>
          <w:szCs w:val="32"/>
        </w:rPr>
        <w:t>副县长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pacing w:val="-6"/>
          <w:sz w:val="32"/>
          <w:szCs w:val="32"/>
          <w:lang w:val="en-US" w:eastAsia="zh-CN"/>
        </w:rPr>
        <w:t xml:space="preserve">赵伶俐 </w:t>
      </w:r>
      <w:r>
        <w:rPr>
          <w:rFonts w:hint="eastAsia" w:ascii="仿宋_GB2312" w:hAnsi="仿宋_GB2312" w:eastAsia="仿宋_GB2312" w:cs="仿宋_GB2312"/>
          <w:color w:val="000000"/>
          <w:sz w:val="32"/>
          <w:szCs w:val="32"/>
          <w:lang w:val="en-US" w:eastAsia="zh-CN"/>
        </w:rPr>
        <w:t xml:space="preserve"> 县商务经合局局长</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牵头单位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县商务经合局</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color w:val="000000"/>
          <w:sz w:val="32"/>
          <w:szCs w:val="32"/>
          <w:lang w:val="en-US" w:eastAsia="zh-CN"/>
        </w:rPr>
        <w:t>责任单位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县发改局、</w:t>
      </w:r>
      <w:r>
        <w:rPr>
          <w:rFonts w:hint="eastAsia" w:ascii="仿宋_GB2312" w:hAnsi="仿宋_GB2312" w:eastAsia="仿宋_GB2312" w:cs="仿宋_GB2312"/>
          <w:color w:val="000000"/>
          <w:sz w:val="32"/>
          <w:szCs w:val="32"/>
          <w:lang w:val="en-US" w:eastAsia="zh-CN"/>
        </w:rPr>
        <w:t>县公安局、</w:t>
      </w:r>
      <w:r>
        <w:rPr>
          <w:rFonts w:hint="eastAsia" w:ascii="仿宋_GB2312" w:hAnsi="仿宋_GB2312" w:eastAsia="仿宋_GB2312" w:cs="仿宋_GB2312"/>
          <w:color w:val="000000"/>
          <w:sz w:val="32"/>
          <w:szCs w:val="32"/>
        </w:rPr>
        <w:t>县市场监管局、县消防</w:t>
      </w:r>
      <w:r>
        <w:rPr>
          <w:rFonts w:hint="eastAsia" w:ascii="仿宋_GB2312" w:hAnsi="仿宋_GB2312" w:eastAsia="仿宋_GB2312" w:cs="仿宋_GB2312"/>
          <w:color w:val="000000"/>
          <w:sz w:val="32"/>
          <w:szCs w:val="32"/>
          <w:lang w:val="en-US" w:eastAsia="zh-CN"/>
        </w:rPr>
        <w:t>救援</w:t>
      </w:r>
      <w:r>
        <w:rPr>
          <w:rFonts w:hint="eastAsia" w:ascii="仿宋_GB2312" w:hAnsi="仿宋_GB2312" w:eastAsia="仿宋_GB2312" w:cs="仿宋_GB2312"/>
          <w:color w:val="000000"/>
          <w:sz w:val="32"/>
          <w:szCs w:val="32"/>
        </w:rPr>
        <w:t>大队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县供销社、</w:t>
      </w:r>
      <w:r>
        <w:rPr>
          <w:rFonts w:hint="default" w:ascii="Times New Roman" w:hAnsi="Times New Roman" w:eastAsia="仿宋_GB2312" w:cs="Times New Roman"/>
          <w:color w:val="000000" w:themeColor="text1"/>
          <w:sz w:val="32"/>
          <w:szCs w:val="32"/>
          <w:u w:val="none"/>
          <w14:textFill>
            <w14:solidFill>
              <w14:schemeClr w14:val="tx1"/>
            </w14:solidFill>
          </w14:textFill>
        </w:rPr>
        <w:t>现代农业示范区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蓬溪经开区、各乡镇党委政府、普安街道</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楷体_GB2312" w:hAnsi="楷体_GB2312" w:eastAsia="仿宋_GB2312" w:cs="楷体_GB2312"/>
          <w:sz w:val="32"/>
          <w:szCs w:val="32"/>
          <w:lang w:val="en-US" w:eastAsia="zh-CN"/>
        </w:rPr>
      </w:pPr>
      <w:r>
        <w:rPr>
          <w:rFonts w:hint="eastAsia" w:ascii="Times New Roman" w:hAnsi="Times New Roman" w:eastAsia="仿宋_GB2312" w:cs="Times New Roman"/>
          <w:sz w:val="32"/>
          <w:szCs w:val="32"/>
          <w:lang w:val="en-US" w:eastAsia="zh-CN"/>
        </w:rPr>
        <w:t>重点检查</w:t>
      </w:r>
      <w:r>
        <w:rPr>
          <w:rFonts w:hint="default" w:ascii="Times New Roman" w:hAnsi="Times New Roman" w:eastAsia="仿宋_GB2312" w:cs="Times New Roman"/>
          <w:sz w:val="32"/>
          <w:szCs w:val="32"/>
        </w:rPr>
        <w:t>商场、超市、餐饮、物流仓储、二手车交易等区域的各类消防安全隐患，</w:t>
      </w:r>
      <w:r>
        <w:rPr>
          <w:rFonts w:hint="eastAsia" w:ascii="Times New Roman" w:hAnsi="Times New Roman" w:eastAsia="仿宋_GB2312" w:cs="Times New Roman"/>
          <w:sz w:val="32"/>
          <w:szCs w:val="32"/>
          <w:lang w:val="en-US" w:eastAsia="zh-CN"/>
        </w:rPr>
        <w:t>紧盯上述场所</w:t>
      </w:r>
      <w:r>
        <w:rPr>
          <w:rFonts w:hint="default" w:ascii="Times New Roman" w:hAnsi="Times New Roman" w:eastAsia="仿宋_GB2312" w:cs="Times New Roman"/>
          <w:sz w:val="32"/>
          <w:szCs w:val="32"/>
        </w:rPr>
        <w:t>消防通道、安全出口、消防设施、灭火器材、电路线路老化等方面存在的火灾隐患，加强消防演练及人员疏散，确保以上场所的消防安全</w:t>
      </w:r>
      <w:r>
        <w:rPr>
          <w:rFonts w:hint="eastAsia" w:ascii="Times New Roman" w:hAnsi="Times New Roman" w:eastAsia="仿宋_GB2312" w:cs="Times New Roman"/>
          <w:sz w:val="32"/>
          <w:szCs w:val="32"/>
          <w:lang w:eastAsia="zh-CN"/>
        </w:rPr>
        <w:t>。</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（八）教育和体育领域安全整治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联系领导</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何亚杰  </w:t>
      </w:r>
      <w:r>
        <w:rPr>
          <w:rFonts w:hint="eastAsia" w:ascii="仿宋_GB2312" w:hAnsi="仿宋_GB2312" w:eastAsia="仿宋_GB2312" w:cs="仿宋_GB2312"/>
          <w:color w:val="000000"/>
          <w:sz w:val="32"/>
          <w:szCs w:val="32"/>
        </w:rPr>
        <w:t>副县长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杜志凌  县教体局局长</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牵头单位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县教体局</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color w:val="000000"/>
          <w:sz w:val="32"/>
          <w:szCs w:val="32"/>
          <w:lang w:val="en-US" w:eastAsia="zh-CN"/>
        </w:rPr>
        <w:t>责任单位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县公安局、县自规局、县文广旅游局、</w:t>
      </w:r>
      <w:r>
        <w:rPr>
          <w:rFonts w:hint="eastAsia" w:ascii="仿宋_GB2312" w:hAnsi="仿宋_GB2312" w:eastAsia="仿宋_GB2312" w:cs="仿宋_GB2312"/>
          <w:color w:val="000000"/>
          <w:sz w:val="32"/>
          <w:szCs w:val="32"/>
        </w:rPr>
        <w:t>县住建局</w:t>
      </w:r>
      <w:r>
        <w:rPr>
          <w:rFonts w:hint="eastAsia" w:ascii="仿宋_GB2312" w:hAnsi="仿宋_GB2312" w:eastAsia="仿宋_GB2312" w:cs="仿宋_GB2312"/>
          <w:color w:val="000000"/>
          <w:sz w:val="32"/>
          <w:szCs w:val="32"/>
          <w:lang w:val="en-US" w:eastAsia="zh-CN"/>
        </w:rPr>
        <w:t>、县经科局、县农业农村局、县市场监管局、</w:t>
      </w:r>
      <w:r>
        <w:rPr>
          <w:rFonts w:hint="eastAsia" w:ascii="仿宋_GB2312" w:hAnsi="仿宋_GB2312" w:eastAsia="仿宋_GB2312" w:cs="仿宋_GB2312"/>
          <w:color w:val="000000"/>
          <w:sz w:val="32"/>
          <w:szCs w:val="32"/>
        </w:rPr>
        <w:t>县</w:t>
      </w:r>
      <w:r>
        <w:rPr>
          <w:rFonts w:hint="eastAsia" w:ascii="仿宋_GB2312" w:hAnsi="仿宋_GB2312" w:eastAsia="仿宋_GB2312" w:cs="仿宋_GB2312"/>
          <w:color w:val="000000"/>
          <w:sz w:val="32"/>
          <w:szCs w:val="32"/>
          <w:lang w:val="en-US" w:eastAsia="zh-CN"/>
        </w:rPr>
        <w:t>卫健</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县综合执法局、县消防救援大队、县交警大队、</w:t>
      </w:r>
      <w:r>
        <w:rPr>
          <w:rFonts w:hint="default" w:ascii="Times New Roman" w:hAnsi="Times New Roman" w:eastAsia="仿宋_GB2312" w:cs="Times New Roman"/>
          <w:color w:val="000000" w:themeColor="text1"/>
          <w:sz w:val="32"/>
          <w:szCs w:val="32"/>
          <w:u w:val="none"/>
          <w14:textFill>
            <w14:solidFill>
              <w14:schemeClr w14:val="tx1"/>
            </w14:solidFill>
          </w14:textFill>
        </w:rPr>
        <w:t>现代农业示范区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蓬溪经开区、</w:t>
      </w:r>
      <w:r>
        <w:rPr>
          <w:rFonts w:hint="eastAsia" w:ascii="仿宋_GB2312" w:hAnsi="仿宋_GB2312" w:eastAsia="仿宋_GB2312" w:cs="仿宋_GB2312"/>
          <w:color w:val="000000"/>
          <w:sz w:val="32"/>
          <w:szCs w:val="32"/>
          <w:lang w:val="en-US" w:eastAsia="zh-CN"/>
        </w:rPr>
        <w:t>各乡镇党委政府、普安街道</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重点</w:t>
      </w:r>
      <w:r>
        <w:rPr>
          <w:rFonts w:hint="default" w:ascii="Times New Roman" w:hAnsi="Times New Roman" w:eastAsia="仿宋_GB2312" w:cs="Times New Roman"/>
          <w:sz w:val="32"/>
          <w:szCs w:val="32"/>
        </w:rPr>
        <w:t>检查</w:t>
      </w:r>
      <w:r>
        <w:rPr>
          <w:rFonts w:hint="eastAsia" w:ascii="Times New Roman" w:hAnsi="Times New Roman" w:eastAsia="仿宋_GB2312" w:cs="Times New Roman"/>
          <w:sz w:val="32"/>
          <w:szCs w:val="32"/>
          <w:lang w:val="en-US" w:eastAsia="zh-CN"/>
        </w:rPr>
        <w:t>全县</w:t>
      </w:r>
      <w:r>
        <w:rPr>
          <w:rFonts w:hint="default" w:ascii="Times New Roman" w:hAnsi="Times New Roman" w:eastAsia="仿宋_GB2312" w:cs="Times New Roman"/>
          <w:sz w:val="32"/>
          <w:szCs w:val="32"/>
        </w:rPr>
        <w:t>学校安全管理、校舍安全、消防安全管理情况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学校基础设施隐患排查整改情况、校园“三防”建设是否达标、校园及周边环境秩序综合治理情况、校车安全管理、供水供电及突发事件预案编制建立等</w:t>
      </w:r>
      <w:r>
        <w:rPr>
          <w:rFonts w:hint="default" w:ascii="Times New Roman" w:hAnsi="Times New Roman" w:eastAsia="仿宋_GB2312" w:cs="Times New Roman"/>
          <w:sz w:val="32"/>
          <w:szCs w:val="32"/>
        </w:rPr>
        <w:t>情况。</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（九）森林防灭火安全整治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联系领导</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淼  霖</w:t>
      </w:r>
      <w:r>
        <w:rPr>
          <w:rFonts w:hint="default" w:ascii="Times New Roman" w:hAnsi="Times New Roman" w:eastAsia="仿宋_GB2312" w:cs="Times New Roman"/>
          <w:color w:val="000000" w:themeColor="text1"/>
          <w:sz w:val="32"/>
          <w:szCs w:val="32"/>
          <w:u w:val="non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县委常委、常务</w:t>
      </w:r>
      <w:r>
        <w:rPr>
          <w:rFonts w:hint="default" w:ascii="Times New Roman" w:hAnsi="Times New Roman" w:eastAsia="仿宋_GB2312" w:cs="Times New Roman"/>
          <w:color w:val="000000" w:themeColor="text1"/>
          <w:sz w:val="32"/>
          <w:szCs w:val="32"/>
          <w:u w:val="none"/>
          <w14:textFill>
            <w14:solidFill>
              <w14:schemeClr w14:val="tx1"/>
            </w14:solidFill>
          </w14:textFill>
        </w:rPr>
        <w:t>副县长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敬世刚  县应急局局长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sz w:val="32"/>
          <w:szCs w:val="32"/>
          <w:lang w:val="en-US" w:eastAsia="zh-CN"/>
        </w:rPr>
        <w:t>牵头单位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县应急局</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lang w:val="en-US" w:eastAsia="zh-CN"/>
        </w:rPr>
      </w:pPr>
      <w:r>
        <w:rPr>
          <w:rFonts w:hint="default" w:ascii="Times New Roman" w:hAnsi="Times New Roman" w:eastAsia="仿宋_GB2312" w:cs="Times New Roman"/>
          <w:color w:val="000000" w:themeColor="text1"/>
          <w:sz w:val="32"/>
          <w:szCs w:val="32"/>
          <w:u w:val="none"/>
          <w14:textFill>
            <w14:solidFill>
              <w14:schemeClr w14:val="tx1"/>
            </w14:solidFill>
          </w14:textFill>
        </w:rPr>
        <w:t>责任单位：</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县自规局、县公安局、县农业农村局、县生态环境局、县教体局、县民宗局、县文广旅游局、</w:t>
      </w:r>
      <w:r>
        <w:rPr>
          <w:rFonts w:hint="default" w:ascii="Times New Roman" w:hAnsi="Times New Roman" w:eastAsia="仿宋_GB2312" w:cs="Times New Roman"/>
          <w:color w:val="000000" w:themeColor="text1"/>
          <w:sz w:val="32"/>
          <w:szCs w:val="32"/>
          <w:u w:val="none"/>
          <w14:textFill>
            <w14:solidFill>
              <w14:schemeClr w14:val="tx1"/>
            </w14:solidFill>
          </w14:textFill>
        </w:rPr>
        <w:t>县</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消防救援大队</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现代农业示范区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蓬溪经开区、各</w:t>
      </w:r>
      <w:r>
        <w:rPr>
          <w:rFonts w:hint="eastAsia" w:ascii="仿宋_GB2312" w:hAnsi="仿宋_GB2312" w:eastAsia="仿宋_GB2312" w:cs="仿宋_GB2312"/>
          <w:color w:val="000000"/>
          <w:sz w:val="32"/>
          <w:szCs w:val="32"/>
          <w:lang w:val="en-US" w:eastAsia="zh-CN"/>
        </w:rPr>
        <w:t>乡镇党委政府、普安街道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重点检查</w:t>
      </w:r>
      <w:r>
        <w:rPr>
          <w:rFonts w:hint="default" w:ascii="Times New Roman" w:hAnsi="Times New Roman" w:eastAsia="仿宋_GB2312" w:cs="Times New Roman"/>
          <w:color w:val="000000" w:themeColor="text1"/>
          <w:sz w:val="32"/>
          <w:szCs w:val="32"/>
          <w:u w:val="none"/>
          <w14:textFill>
            <w14:solidFill>
              <w14:schemeClr w14:val="tx1"/>
            </w14:solidFill>
          </w14:textFill>
        </w:rPr>
        <w:t>火源管控</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情况</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是否落实</w:t>
      </w:r>
      <w:r>
        <w:rPr>
          <w:rFonts w:hint="default" w:ascii="Times New Roman" w:hAnsi="Times New Roman" w:eastAsia="仿宋_GB2312" w:cs="Times New Roman"/>
          <w:color w:val="000000" w:themeColor="text1"/>
          <w:sz w:val="32"/>
          <w:szCs w:val="32"/>
          <w:u w:val="none"/>
          <w14:textFill>
            <w14:solidFill>
              <w14:schemeClr w14:val="tx1"/>
            </w14:solidFill>
          </w14:textFill>
        </w:rPr>
        <w:t>预警信息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防范措施</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是否</w:t>
      </w:r>
      <w:r>
        <w:rPr>
          <w:rFonts w:hint="default" w:ascii="Times New Roman" w:hAnsi="Times New Roman" w:eastAsia="仿宋_GB2312" w:cs="Times New Roman"/>
          <w:color w:val="000000" w:themeColor="text1"/>
          <w:sz w:val="32"/>
          <w:szCs w:val="32"/>
          <w:u w:val="none"/>
          <w14:textFill>
            <w14:solidFill>
              <w14:schemeClr w14:val="tx1"/>
            </w14:solidFill>
          </w14:textFill>
        </w:rPr>
        <w:t>健全工作机制、机构、人员、责任</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利用电视、广播、横幅标语等载体强化宣传引导，营造浓厚氛围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情况；是否制定本级《森林火灾应急预案》，并按预案进行应急演练；是否按要求组建镇、村两级扑火队伍；是否按要求配备应急物资；值班值守情况；“四川森防”、“熊猫”APP每日登陆情况。</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（十）特种设备安全整治</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联系领导：刘定华  </w:t>
      </w:r>
      <w:r>
        <w:rPr>
          <w:rFonts w:hint="eastAsia" w:ascii="仿宋_GB2312" w:hAnsi="仿宋_GB2312" w:eastAsia="仿宋_GB2312" w:cs="仿宋_GB2312"/>
          <w:color w:val="000000"/>
          <w:sz w:val="32"/>
          <w:szCs w:val="32"/>
        </w:rPr>
        <w:t>副县长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pacing w:val="-6"/>
          <w:sz w:val="32"/>
          <w:szCs w:val="32"/>
        </w:rPr>
        <w:t>唐清平</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县市场监管局</w:t>
      </w:r>
      <w:r>
        <w:rPr>
          <w:rFonts w:hint="eastAsia" w:ascii="仿宋_GB2312" w:hAnsi="仿宋_GB2312" w:eastAsia="仿宋_GB2312" w:cs="仿宋_GB2312"/>
          <w:color w:val="000000"/>
          <w:sz w:val="32"/>
          <w:szCs w:val="32"/>
          <w:lang w:val="en-US" w:eastAsia="zh-CN"/>
        </w:rPr>
        <w:t>局长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牵头单位:</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县市场监管局</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县经科局、县住建局、县交运局、县教体局、县卫健局、县文广旅游局</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现代农业示范区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蓬溪经开区、各乡镇党委政府、普安街道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kern w:val="0"/>
          <w:sz w:val="32"/>
          <w:szCs w:val="32"/>
          <w:lang w:val="en-US" w:eastAsia="zh-CN"/>
        </w:rPr>
        <w:t>重点检查</w:t>
      </w:r>
      <w:r>
        <w:rPr>
          <w:rFonts w:hint="eastAsia" w:ascii="仿宋_GB2312" w:hAnsi="仿宋_GB2312" w:eastAsia="仿宋_GB2312" w:cs="仿宋_GB2312"/>
          <w:b w:val="0"/>
          <w:bCs/>
          <w:kern w:val="0"/>
          <w:sz w:val="32"/>
          <w:szCs w:val="32"/>
        </w:rPr>
        <w:t>特种设备风险分级管控和隐患排查治理</w:t>
      </w:r>
      <w:r>
        <w:rPr>
          <w:rFonts w:hint="eastAsia" w:ascii="仿宋_GB2312" w:hAnsi="仿宋_GB2312" w:eastAsia="仿宋_GB2312" w:cs="仿宋_GB2312"/>
          <w:b w:val="0"/>
          <w:bCs/>
          <w:kern w:val="0"/>
          <w:sz w:val="32"/>
          <w:szCs w:val="32"/>
          <w:lang w:val="en-US" w:eastAsia="zh-CN"/>
        </w:rPr>
        <w:t>工作开展情况</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val="en-US" w:eastAsia="zh-CN"/>
        </w:rPr>
        <w:t>是否</w:t>
      </w:r>
      <w:r>
        <w:rPr>
          <w:rFonts w:hint="eastAsia" w:ascii="仿宋_GB2312" w:hAnsi="仿宋_GB2312" w:eastAsia="仿宋_GB2312" w:cs="仿宋_GB2312"/>
          <w:b w:val="0"/>
          <w:bCs/>
          <w:kern w:val="0"/>
          <w:sz w:val="32"/>
          <w:szCs w:val="32"/>
        </w:rPr>
        <w:t>开展特种设备日常监督检查和安全生产大检查发现问题隐患的整改情况的“回头看”“回头查”，督促相关单位整改到位；公共场所使用的电梯，大型游乐设施，间歇性生产使用的锅炉、压力容器、压力管道、起重机械和气瓶充装</w:t>
      </w:r>
      <w:r>
        <w:rPr>
          <w:rFonts w:hint="eastAsia" w:ascii="仿宋_GB2312" w:hAnsi="仿宋_GB2312" w:eastAsia="仿宋_GB2312" w:cs="仿宋_GB2312"/>
          <w:b w:val="0"/>
          <w:bCs/>
          <w:kern w:val="0"/>
          <w:sz w:val="32"/>
          <w:szCs w:val="32"/>
          <w:lang w:val="en-US" w:eastAsia="zh-CN"/>
        </w:rPr>
        <w:t>使用情况；</w:t>
      </w:r>
      <w:r>
        <w:rPr>
          <w:rFonts w:hint="eastAsia" w:ascii="仿宋_GB2312" w:hAnsi="仿宋_GB2312" w:eastAsia="仿宋_GB2312" w:cs="仿宋_GB2312"/>
          <w:b w:val="0"/>
          <w:bCs/>
          <w:kern w:val="0"/>
          <w:sz w:val="32"/>
          <w:szCs w:val="32"/>
        </w:rPr>
        <w:t>严厉打击无证操作、违规使用、违章作业和非法充装等违法违规行为</w:t>
      </w:r>
      <w:r>
        <w:rPr>
          <w:rFonts w:hint="eastAsia" w:ascii="仿宋_GB2312" w:hAnsi="仿宋_GB2312" w:eastAsia="仿宋_GB2312" w:cs="仿宋_GB2312"/>
          <w:b w:val="0"/>
          <w:bCs/>
          <w:kern w:val="0"/>
          <w:sz w:val="32"/>
          <w:szCs w:val="32"/>
          <w:lang w:eastAsia="zh-CN"/>
        </w:rPr>
        <w:t>。</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（十一）食品药品安全整治</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联系领导：刘定华  </w:t>
      </w:r>
      <w:r>
        <w:rPr>
          <w:rFonts w:hint="eastAsia" w:ascii="仿宋_GB2312" w:hAnsi="仿宋_GB2312" w:eastAsia="仿宋_GB2312" w:cs="仿宋_GB2312"/>
          <w:color w:val="000000"/>
          <w:sz w:val="32"/>
          <w:szCs w:val="32"/>
        </w:rPr>
        <w:t>副县长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pacing w:val="-6"/>
          <w:sz w:val="32"/>
          <w:szCs w:val="32"/>
        </w:rPr>
        <w:t>唐清平</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县市场监管局</w:t>
      </w:r>
      <w:r>
        <w:rPr>
          <w:rFonts w:hint="eastAsia" w:ascii="仿宋_GB2312" w:hAnsi="仿宋_GB2312" w:eastAsia="仿宋_GB2312" w:cs="仿宋_GB2312"/>
          <w:color w:val="000000"/>
          <w:sz w:val="32"/>
          <w:szCs w:val="32"/>
          <w:lang w:val="en-US" w:eastAsia="zh-CN"/>
        </w:rPr>
        <w:t>局长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牵头单位:</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县市场监管局</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县经科局、县住建局、县交运局、县教体局、县卫健局、县文广旅游局</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现代农业示范区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蓬溪经开区、各乡镇党委政府、普安街道</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重点检查食品生产企业的肉制品、禽产品、桶装饮用水、食用植物油等风险较高的品种；食品流通环节，从食品经营者主体资格，经营责任落实，经营食品、食用农产品质量安全方面入手，以农村、城郊结合部、城区集贸市场、校园周边、旅游景区周边为重点区域，以销售者落实索证索票、进货查验制度，严格市场准入为重点重点内容，重点整治过期、三无食品经营，农药残留、兽药残留超标果蔬、畜禽水产品经营行为；餐饮服务环节。以学校食堂、集体食堂、承接重大活动餐饮服务保障工作的餐饮单位、承办红白喜事的餐饮单位、旅游景区及其周边、美食街等餐饮消费较为集中区域为重点排查对象。要以米、面、油、菜、肉等大宗食品和酱腌菜、熟肉制品等餐饮自制食品为重点排查品种。药品流通使用环节，聚焦农村集市、城乡结合部、集贸市场等重点区域，以小摊点、小药店、小诊所、小门店等为重点对象，以假劣药品医疗器械化妆品、国家禁止擅自销售的中药材、贴敷类医疗器械等为重点品种，不留盲区、不留死角，进行全面监督检查。严厉打击执业药师“挂证”、不凭处方销售处方药等违法违规行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（十二）医疗及养老机构领域安全整治</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联系领导</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何亚杰  副县长</w:t>
      </w:r>
    </w:p>
    <w:p>
      <w:pPr>
        <w:keepNext w:val="0"/>
        <w:keepLines w:val="0"/>
        <w:pageBreakBefore w:val="0"/>
        <w:widowControl w:val="0"/>
        <w:kinsoku/>
        <w:wordWrap/>
        <w:overflowPunct/>
        <w:topLinePunct w:val="0"/>
        <w:bidi w:val="0"/>
        <w:snapToGrid/>
        <w:spacing w:line="576" w:lineRule="exact"/>
        <w:ind w:firstLine="2240" w:firstLineChars="7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刘定华  副县长</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张启先  县卫健局局长</w:t>
      </w:r>
    </w:p>
    <w:p>
      <w:pPr>
        <w:keepNext w:val="0"/>
        <w:keepLines w:val="0"/>
        <w:pageBreakBefore w:val="0"/>
        <w:widowControl w:val="0"/>
        <w:kinsoku/>
        <w:wordWrap/>
        <w:overflowPunct/>
        <w:topLinePunct w:val="0"/>
        <w:bidi w:val="0"/>
        <w:snapToGrid/>
        <w:spacing w:line="576" w:lineRule="exact"/>
        <w:ind w:firstLine="2240" w:firstLineChars="700"/>
        <w:textAlignment w:val="auto"/>
        <w:rPr>
          <w:rFonts w:hint="eastAsia"/>
          <w:lang w:val="en-US" w:eastAsia="zh-CN"/>
        </w:rPr>
      </w:pPr>
      <w:r>
        <w:rPr>
          <w:rFonts w:hint="eastAsia" w:ascii="仿宋_GB2312" w:hAnsi="仿宋_GB2312" w:eastAsia="仿宋_GB2312" w:cs="仿宋_GB2312"/>
          <w:color w:val="000000"/>
          <w:sz w:val="32"/>
          <w:szCs w:val="32"/>
          <w:lang w:val="en-US" w:eastAsia="zh-CN"/>
        </w:rPr>
        <w:t xml:space="preserve">周  刚  </w:t>
      </w:r>
      <w:r>
        <w:rPr>
          <w:rFonts w:hint="eastAsia" w:ascii="仿宋_GB2312" w:hAnsi="仿宋_GB2312" w:eastAsia="仿宋_GB2312" w:cs="仿宋_GB2312"/>
          <w:color w:val="000000"/>
          <w:sz w:val="32"/>
          <w:szCs w:val="32"/>
        </w:rPr>
        <w:t>县</w:t>
      </w:r>
      <w:r>
        <w:rPr>
          <w:rFonts w:hint="eastAsia" w:ascii="仿宋_GB2312" w:hAnsi="仿宋_GB2312" w:eastAsia="仿宋_GB2312" w:cs="仿宋_GB2312"/>
          <w:color w:val="000000"/>
          <w:sz w:val="32"/>
          <w:szCs w:val="32"/>
          <w:lang w:val="en-US" w:eastAsia="zh-CN"/>
        </w:rPr>
        <w:t>民政</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sz w:val="32"/>
          <w:szCs w:val="32"/>
          <w:lang w:val="en-US" w:eastAsia="zh-CN"/>
        </w:rPr>
        <w:t>局长</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牵头单位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县卫健局、</w:t>
      </w:r>
      <w:r>
        <w:rPr>
          <w:rFonts w:hint="eastAsia" w:ascii="仿宋_GB2312" w:hAnsi="仿宋_GB2312" w:eastAsia="仿宋_GB2312" w:cs="仿宋_GB2312"/>
          <w:color w:val="000000"/>
          <w:sz w:val="32"/>
          <w:szCs w:val="32"/>
        </w:rPr>
        <w:t>县</w:t>
      </w:r>
      <w:r>
        <w:rPr>
          <w:rFonts w:hint="eastAsia" w:ascii="仿宋_GB2312" w:hAnsi="仿宋_GB2312" w:eastAsia="仿宋_GB2312" w:cs="仿宋_GB2312"/>
          <w:color w:val="000000"/>
          <w:sz w:val="32"/>
          <w:szCs w:val="32"/>
          <w:lang w:val="en-US" w:eastAsia="zh-CN"/>
        </w:rPr>
        <w:t>民政</w:t>
      </w:r>
      <w:r>
        <w:rPr>
          <w:rFonts w:hint="eastAsia" w:ascii="仿宋_GB2312" w:hAnsi="仿宋_GB2312" w:eastAsia="仿宋_GB2312" w:cs="仿宋_GB2312"/>
          <w:color w:val="000000"/>
          <w:sz w:val="32"/>
          <w:szCs w:val="32"/>
        </w:rPr>
        <w:t>局</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color w:val="000000"/>
          <w:sz w:val="32"/>
          <w:szCs w:val="32"/>
          <w:lang w:val="en-US" w:eastAsia="zh-CN"/>
        </w:rPr>
        <w:t>责任单位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县文广旅游局、县农业农村局、县市场监管局、县消防救援大队、</w:t>
      </w:r>
      <w:r>
        <w:rPr>
          <w:rFonts w:hint="default" w:ascii="Times New Roman" w:hAnsi="Times New Roman" w:eastAsia="仿宋_GB2312" w:cs="Times New Roman"/>
          <w:color w:val="000000" w:themeColor="text1"/>
          <w:sz w:val="32"/>
          <w:szCs w:val="32"/>
          <w:u w:val="none"/>
          <w14:textFill>
            <w14:solidFill>
              <w14:schemeClr w14:val="tx1"/>
            </w14:solidFill>
          </w14:textFill>
        </w:rPr>
        <w:t>现代农业示范区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蓬溪经开区、各乡镇党委政府、普安街道</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重点检查全县各医疗机构，消防设施、灭火器材和消防安全标志及紧急疏散通道畅通是否完备完好；锅炉、压力容器、压力管道和配电室、水、电、气等实施设备安全保养情况；医疗处理废物处理设施安全监管情况；养老机构饮食卫生、住房、消防、电、气、值班和危险物品保管等方面。</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四、时间安排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本次安全生产大排查大整治攻坚行动采取“企业全面自查自改+属地集中排查整治+县级部门督促指导+安办综合督导检查”的方式，共分三个阶段进行。</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default" w:ascii="Times New Roman" w:hAnsi="Times New Roman" w:eastAsia="仿宋_GB2312" w:cs="Times New Roman"/>
          <w:color w:val="000000" w:themeColor="text1"/>
          <w:sz w:val="32"/>
          <w:szCs w:val="24"/>
          <w:u w:val="none"/>
          <w:lang w:val="en-US" w:eastAsia="zh-CN"/>
          <w14:textFill>
            <w14:solidFill>
              <w14:schemeClr w14:val="tx1"/>
            </w14:solidFill>
          </w14:textFill>
        </w:rPr>
      </w:pPr>
      <w:r>
        <w:rPr>
          <w:rFonts w:hint="default" w:ascii="Times New Roman" w:hAnsi="Times New Roman" w:eastAsia="楷体_GB2312" w:cs="Times New Roman"/>
          <w:bCs/>
          <w:color w:val="000000" w:themeColor="text1"/>
          <w:sz w:val="32"/>
          <w:szCs w:val="32"/>
          <w:u w:val="none"/>
          <w14:textFill>
            <w14:solidFill>
              <w14:schemeClr w14:val="tx1"/>
            </w14:solidFill>
          </w14:textFill>
        </w:rPr>
        <w:t>（一）</w:t>
      </w:r>
      <w:r>
        <w:rPr>
          <w:rFonts w:hint="eastAsia" w:ascii="Times New Roman" w:hAnsi="Times New Roman" w:eastAsia="楷体_GB2312" w:cs="Times New Roman"/>
          <w:bCs/>
          <w:color w:val="000000" w:themeColor="text1"/>
          <w:sz w:val="32"/>
          <w:szCs w:val="32"/>
          <w:u w:val="none"/>
          <w:lang w:val="en-US" w:eastAsia="zh-CN"/>
          <w14:textFill>
            <w14:solidFill>
              <w14:schemeClr w14:val="tx1"/>
            </w14:solidFill>
          </w14:textFill>
        </w:rPr>
        <w:t>全面覆盖排查</w:t>
      </w:r>
      <w:r>
        <w:rPr>
          <w:rFonts w:hint="default" w:ascii="Times New Roman" w:hAnsi="Times New Roman" w:eastAsia="楷体_GB2312" w:cs="Times New Roman"/>
          <w:bCs/>
          <w:color w:val="000000" w:themeColor="text1"/>
          <w:sz w:val="32"/>
          <w:szCs w:val="32"/>
          <w:u w:val="none"/>
          <w14:textFill>
            <w14:solidFill>
              <w14:schemeClr w14:val="tx1"/>
            </w14:solidFill>
          </w14:textFill>
        </w:rPr>
        <w:t>（</w:t>
      </w:r>
      <w:r>
        <w:rPr>
          <w:rFonts w:hint="eastAsia" w:ascii="Times New Roman" w:hAnsi="Times New Roman" w:eastAsia="楷体_GB2312" w:cs="Times New Roman"/>
          <w:bCs/>
          <w:color w:val="000000" w:themeColor="text1"/>
          <w:sz w:val="32"/>
          <w:szCs w:val="32"/>
          <w:u w:val="none"/>
          <w:lang w:val="en-US" w:eastAsia="zh-CN"/>
          <w14:textFill>
            <w14:solidFill>
              <w14:schemeClr w14:val="tx1"/>
            </w14:solidFill>
          </w14:textFill>
        </w:rPr>
        <w:t>9月14日至9</w:t>
      </w:r>
      <w:r>
        <w:rPr>
          <w:rFonts w:hint="default" w:ascii="Times New Roman" w:hAnsi="Times New Roman" w:eastAsia="楷体_GB2312" w:cs="Times New Roman"/>
          <w:bCs/>
          <w:color w:val="000000" w:themeColor="text1"/>
          <w:sz w:val="32"/>
          <w:szCs w:val="32"/>
          <w:u w:val="none"/>
          <w14:textFill>
            <w14:solidFill>
              <w14:schemeClr w14:val="tx1"/>
            </w14:solidFill>
          </w14:textFill>
        </w:rPr>
        <w:t>月</w:t>
      </w:r>
      <w:r>
        <w:rPr>
          <w:rFonts w:hint="eastAsia" w:ascii="Times New Roman" w:hAnsi="Times New Roman" w:eastAsia="楷体_GB2312" w:cs="Times New Roman"/>
          <w:bCs/>
          <w:color w:val="000000" w:themeColor="text1"/>
          <w:sz w:val="32"/>
          <w:szCs w:val="32"/>
          <w:u w:val="none"/>
          <w:lang w:val="en-US" w:eastAsia="zh-CN"/>
          <w14:textFill>
            <w14:solidFill>
              <w14:schemeClr w14:val="tx1"/>
            </w14:solidFill>
          </w14:textFill>
        </w:rPr>
        <w:t>24</w:t>
      </w:r>
      <w:r>
        <w:rPr>
          <w:rFonts w:hint="default" w:ascii="Times New Roman" w:hAnsi="Times New Roman" w:eastAsia="楷体_GB2312" w:cs="Times New Roman"/>
          <w:bCs/>
          <w:color w:val="000000" w:themeColor="text1"/>
          <w:sz w:val="32"/>
          <w:szCs w:val="32"/>
          <w:u w:val="none"/>
          <w14:textFill>
            <w14:solidFill>
              <w14:schemeClr w14:val="tx1"/>
            </w14:solidFill>
          </w14:textFill>
        </w:rPr>
        <w:t>日）</w:t>
      </w:r>
      <w:r>
        <w:rPr>
          <w:rFonts w:hint="default" w:ascii="Times New Roman" w:hAnsi="Times New Roman" w:eastAsia="仿宋_GB2312" w:cs="Times New Roman"/>
          <w:color w:val="000000" w:themeColor="text1"/>
          <w:kern w:val="0"/>
          <w:sz w:val="32"/>
          <w:szCs w:val="24"/>
          <w:u w:val="none"/>
          <w14:textFill>
            <w14:solidFill>
              <w14:schemeClr w14:val="tx1"/>
            </w14:solidFill>
          </w14:textFill>
        </w:rPr>
        <w:t>各单位、各行业主管部门、各企业要结合本地</w:t>
      </w:r>
      <w:r>
        <w:rPr>
          <w:rFonts w:hint="default" w:ascii="Times New Roman" w:hAnsi="Times New Roman" w:eastAsia="仿宋_GB2312" w:cs="Times New Roman"/>
          <w:color w:val="000000" w:themeColor="text1"/>
          <w:kern w:val="0"/>
          <w:sz w:val="32"/>
          <w:szCs w:val="24"/>
          <w:u w:val="none"/>
          <w:lang w:eastAsia="zh-CN"/>
          <w14:textFill>
            <w14:solidFill>
              <w14:schemeClr w14:val="tx1"/>
            </w14:solidFill>
          </w14:textFill>
        </w:rPr>
        <w:t>区</w:t>
      </w:r>
      <w:r>
        <w:rPr>
          <w:rFonts w:hint="default" w:ascii="Times New Roman" w:hAnsi="Times New Roman" w:eastAsia="仿宋_GB2312" w:cs="Times New Roman"/>
          <w:color w:val="000000" w:themeColor="text1"/>
          <w:kern w:val="0"/>
          <w:sz w:val="32"/>
          <w:szCs w:val="24"/>
          <w:u w:val="none"/>
          <w14:textFill>
            <w14:solidFill>
              <w14:schemeClr w14:val="tx1"/>
            </w14:solidFill>
          </w14:textFill>
        </w:rPr>
        <w:t>、本行业领域、本企业安全生产实际，</w:t>
      </w:r>
      <w:r>
        <w:rPr>
          <w:rFonts w:hint="default" w:ascii="Times New Roman" w:hAnsi="Times New Roman" w:eastAsia="仿宋_GB2312" w:cs="Times New Roman"/>
          <w:color w:val="000000" w:themeColor="text1"/>
          <w:kern w:val="0"/>
          <w:sz w:val="32"/>
          <w:szCs w:val="24"/>
          <w:u w:val="none"/>
          <w:lang w:eastAsia="zh-CN"/>
          <w14:textFill>
            <w14:solidFill>
              <w14:schemeClr w14:val="tx1"/>
            </w14:solidFill>
          </w14:textFill>
        </w:rPr>
        <w:t>深入分析研判安全生产工作中存在的</w:t>
      </w:r>
      <w:r>
        <w:rPr>
          <w:rFonts w:hint="default" w:ascii="Times New Roman" w:hAnsi="Times New Roman" w:eastAsia="仿宋_GB2312" w:cs="Times New Roman"/>
          <w:color w:val="000000" w:themeColor="text1"/>
          <w:kern w:val="0"/>
          <w:sz w:val="32"/>
          <w:szCs w:val="24"/>
          <w:u w:val="none"/>
          <w14:textFill>
            <w14:solidFill>
              <w14:schemeClr w14:val="tx1"/>
            </w14:solidFill>
          </w14:textFill>
        </w:rPr>
        <w:t>突出问题和重大风险，</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深入查找在</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安全理念、责任落实、</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规章制度</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执行</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、安全培训、风险管控、隐患排查、</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现场</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安全</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管理、</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应急</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处置和</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上级督导检查发现问题整改等方面存在的突出问题和薄弱环节，</w:t>
      </w:r>
      <w:r>
        <w:rPr>
          <w:rFonts w:hint="default" w:ascii="Times New Roman" w:hAnsi="Times New Roman" w:eastAsia="仿宋_GB2312" w:cs="Times New Roman"/>
          <w:color w:val="000000" w:themeColor="text1"/>
          <w:kern w:val="0"/>
          <w:sz w:val="32"/>
          <w:szCs w:val="24"/>
          <w:u w:val="none"/>
          <w:lang w:eastAsia="zh-CN"/>
          <w14:textFill>
            <w14:solidFill>
              <w14:schemeClr w14:val="tx1"/>
            </w14:solidFill>
          </w14:textFill>
        </w:rPr>
        <w:t>反思剖析问题产生的原因，切实</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摸清底数，</w:t>
      </w:r>
      <w:r>
        <w:rPr>
          <w:rFonts w:hint="default" w:ascii="Times New Roman" w:hAnsi="Times New Roman" w:eastAsia="仿宋_GB2312" w:cs="Times New Roman"/>
          <w:color w:val="000000" w:themeColor="text1"/>
          <w:kern w:val="0"/>
          <w:sz w:val="32"/>
          <w:szCs w:val="24"/>
          <w:u w:val="none"/>
          <w:lang w:eastAsia="zh-CN"/>
          <w14:textFill>
            <w14:solidFill>
              <w14:schemeClr w14:val="tx1"/>
            </w14:solidFill>
          </w14:textFill>
        </w:rPr>
        <w:t>列出问题清单，</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明确</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整改计划</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24"/>
          <w:u w:val="none"/>
          <w:lang w:eastAsia="zh-CN"/>
          <w14:textFill>
            <w14:solidFill>
              <w14:schemeClr w14:val="tx1"/>
            </w14:solidFill>
          </w14:textFill>
        </w:rPr>
        <w:t>实行台账管理</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限期整改销号</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请各乡镇、县安委会负</w:t>
      </w:r>
      <w:r>
        <w:rPr>
          <w:rFonts w:hint="eastAsia" w:ascii="仿宋_GB2312" w:hAnsi="仿宋_GB2312" w:eastAsia="仿宋_GB2312" w:cs="仿宋_GB2312"/>
          <w:sz w:val="32"/>
          <w:szCs w:val="32"/>
          <w:lang w:val="en-US" w:eastAsia="zh-CN"/>
        </w:rPr>
        <w:t>有监管职责的成员单位将本地、本行业（领域）攻坚行动负责人、联络员名单，于</w:t>
      </w:r>
      <w:r>
        <w:rPr>
          <w:rFonts w:hint="default" w:ascii="Times New Roman" w:hAnsi="Times New Roman" w:eastAsia="仿宋_GB2312" w:cs="Times New Roman"/>
          <w:sz w:val="32"/>
          <w:szCs w:val="32"/>
          <w:lang w:val="en-US" w:eastAsia="zh-CN"/>
        </w:rPr>
        <w:t>9月1</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日前报县安办。自行动开展后，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每周五上午12:00前将《蓬溪县安全生产大排查大整治攻坚行动隐患清单》（见附件2），如发现的问题隐患整改完成，则给县安办报送单位主要领导签字盖章的相关整改佐证资料（纸质+电子档），如未完成整改，则每周五上午12：00报送整改进度，直至隐患整改销号。</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各乡镇、</w:t>
      </w:r>
      <w:r>
        <w:rPr>
          <w:rFonts w:hint="default" w:ascii="Times New Roman" w:hAnsi="Times New Roman" w:eastAsia="仿宋_GB2312" w:cs="Times New Roman"/>
          <w:color w:val="000000" w:themeColor="text1"/>
          <w:sz w:val="32"/>
          <w:szCs w:val="32"/>
          <w:u w:val="none"/>
          <w14:textFill>
            <w14:solidFill>
              <w14:schemeClr w14:val="tx1"/>
            </w14:solidFill>
          </w14:textFill>
        </w:rPr>
        <w:t>现代农业示范区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蓬溪经开区、</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县安委会负</w:t>
      </w:r>
      <w:r>
        <w:rPr>
          <w:rFonts w:hint="eastAsia" w:ascii="仿宋_GB2312" w:hAnsi="仿宋_GB2312" w:eastAsia="仿宋_GB2312" w:cs="仿宋_GB2312"/>
          <w:sz w:val="32"/>
          <w:szCs w:val="32"/>
          <w:lang w:val="en-US" w:eastAsia="zh-CN"/>
        </w:rPr>
        <w:t>有监管职责的成员单位要全面</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摸清企业底数，并</w:t>
      </w:r>
      <w:r>
        <w:rPr>
          <w:rFonts w:hint="eastAsia" w:ascii="仿宋_GB2312" w:hAnsi="仿宋_GB2312" w:eastAsia="仿宋_GB2312" w:cs="仿宋_GB2312"/>
          <w:sz w:val="32"/>
          <w:szCs w:val="32"/>
          <w:lang w:val="en-US" w:eastAsia="zh-CN"/>
        </w:rPr>
        <w:t>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9月17日下午下班前将《蓬溪县XX（行业领域）XX企业信息汇总表》（见附件1）电子档报县安办。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楷体_GB2312" w:cs="Times New Roman"/>
          <w:bCs/>
          <w:color w:val="000000" w:themeColor="text1"/>
          <w:sz w:val="32"/>
          <w:szCs w:val="32"/>
          <w:u w:val="none"/>
          <w14:textFill>
            <w14:solidFill>
              <w14:schemeClr w14:val="tx1"/>
            </w14:solidFill>
          </w14:textFill>
        </w:rPr>
        <w:t>（</w:t>
      </w:r>
      <w:r>
        <w:rPr>
          <w:rFonts w:hint="eastAsia" w:ascii="Times New Roman" w:hAnsi="Times New Roman" w:eastAsia="楷体_GB2312" w:cs="Times New Roman"/>
          <w:bCs/>
          <w:color w:val="000000" w:themeColor="text1"/>
          <w:sz w:val="32"/>
          <w:szCs w:val="32"/>
          <w:u w:val="none"/>
          <w:lang w:eastAsia="zh-CN"/>
          <w14:textFill>
            <w14:solidFill>
              <w14:schemeClr w14:val="tx1"/>
            </w14:solidFill>
          </w14:textFill>
        </w:rPr>
        <w:t>二</w:t>
      </w:r>
      <w:r>
        <w:rPr>
          <w:rFonts w:hint="default" w:ascii="Times New Roman" w:hAnsi="Times New Roman" w:eastAsia="楷体_GB2312" w:cs="Times New Roman"/>
          <w:bCs/>
          <w:color w:val="000000" w:themeColor="text1"/>
          <w:sz w:val="32"/>
          <w:szCs w:val="32"/>
          <w:u w:val="none"/>
          <w14:textFill>
            <w14:solidFill>
              <w14:schemeClr w14:val="tx1"/>
            </w14:solidFill>
          </w14:textFill>
        </w:rPr>
        <w:t>）</w:t>
      </w:r>
      <w:r>
        <w:rPr>
          <w:rFonts w:hint="eastAsia" w:ascii="Times New Roman" w:hAnsi="Times New Roman" w:eastAsia="楷体_GB2312" w:cs="Times New Roman"/>
          <w:bCs/>
          <w:color w:val="000000" w:themeColor="text1"/>
          <w:sz w:val="32"/>
          <w:szCs w:val="32"/>
          <w:u w:val="none"/>
          <w:lang w:val="en-US" w:eastAsia="zh-CN"/>
          <w14:textFill>
            <w14:solidFill>
              <w14:schemeClr w14:val="tx1"/>
            </w14:solidFill>
          </w14:textFill>
        </w:rPr>
        <w:t>全面整改销号</w:t>
      </w:r>
      <w:r>
        <w:rPr>
          <w:rFonts w:hint="default" w:ascii="Times New Roman" w:hAnsi="Times New Roman" w:eastAsia="楷体_GB2312" w:cs="Times New Roman"/>
          <w:bCs/>
          <w:color w:val="000000" w:themeColor="text1"/>
          <w:sz w:val="32"/>
          <w:szCs w:val="32"/>
          <w:u w:val="none"/>
          <w14:textFill>
            <w14:solidFill>
              <w14:schemeClr w14:val="tx1"/>
            </w14:solidFill>
          </w14:textFill>
        </w:rPr>
        <w:t>（</w:t>
      </w:r>
      <w:r>
        <w:rPr>
          <w:rFonts w:hint="eastAsia" w:ascii="Times New Roman" w:hAnsi="Times New Roman" w:eastAsia="楷体_GB2312" w:cs="Times New Roman"/>
          <w:bCs/>
          <w:color w:val="000000" w:themeColor="text1"/>
          <w:sz w:val="32"/>
          <w:szCs w:val="32"/>
          <w:u w:val="none"/>
          <w:lang w:val="en-US" w:eastAsia="zh-CN"/>
          <w14:textFill>
            <w14:solidFill>
              <w14:schemeClr w14:val="tx1"/>
            </w14:solidFill>
          </w14:textFill>
        </w:rPr>
        <w:t>9</w:t>
      </w:r>
      <w:r>
        <w:rPr>
          <w:rFonts w:hint="default" w:ascii="Times New Roman" w:hAnsi="Times New Roman" w:eastAsia="楷体_GB2312" w:cs="Times New Roman"/>
          <w:bCs/>
          <w:color w:val="000000" w:themeColor="text1"/>
          <w:sz w:val="32"/>
          <w:szCs w:val="32"/>
          <w:u w:val="none"/>
          <w14:textFill>
            <w14:solidFill>
              <w14:schemeClr w14:val="tx1"/>
            </w14:solidFill>
          </w14:textFill>
        </w:rPr>
        <w:t>月</w:t>
      </w:r>
      <w:r>
        <w:rPr>
          <w:rFonts w:hint="eastAsia" w:ascii="Times New Roman" w:hAnsi="Times New Roman" w:eastAsia="楷体_GB2312" w:cs="Times New Roman"/>
          <w:bCs/>
          <w:color w:val="000000" w:themeColor="text1"/>
          <w:sz w:val="32"/>
          <w:szCs w:val="32"/>
          <w:u w:val="none"/>
          <w:lang w:val="en-US" w:eastAsia="zh-CN"/>
          <w14:textFill>
            <w14:solidFill>
              <w14:schemeClr w14:val="tx1"/>
            </w14:solidFill>
          </w14:textFill>
        </w:rPr>
        <w:t>25</w:t>
      </w:r>
      <w:r>
        <w:rPr>
          <w:rFonts w:hint="default" w:ascii="Times New Roman" w:hAnsi="Times New Roman" w:eastAsia="楷体_GB2312" w:cs="Times New Roman"/>
          <w:bCs/>
          <w:color w:val="000000" w:themeColor="text1"/>
          <w:sz w:val="32"/>
          <w:szCs w:val="32"/>
          <w:u w:val="none"/>
          <w14:textFill>
            <w14:solidFill>
              <w14:schemeClr w14:val="tx1"/>
            </w14:solidFill>
          </w14:textFill>
        </w:rPr>
        <w:t>日至</w:t>
      </w:r>
      <w:r>
        <w:rPr>
          <w:rFonts w:hint="eastAsia" w:ascii="Times New Roman" w:hAnsi="Times New Roman" w:eastAsia="楷体_GB2312" w:cs="Times New Roman"/>
          <w:bCs/>
          <w:color w:val="000000" w:themeColor="text1"/>
          <w:sz w:val="32"/>
          <w:szCs w:val="32"/>
          <w:u w:val="none"/>
          <w:lang w:val="en-US" w:eastAsia="zh-CN"/>
          <w14:textFill>
            <w14:solidFill>
              <w14:schemeClr w14:val="tx1"/>
            </w14:solidFill>
          </w14:textFill>
        </w:rPr>
        <w:t>10</w:t>
      </w:r>
      <w:r>
        <w:rPr>
          <w:rFonts w:hint="default" w:ascii="Times New Roman" w:hAnsi="Times New Roman" w:eastAsia="楷体_GB2312" w:cs="Times New Roman"/>
          <w:bCs/>
          <w:color w:val="000000" w:themeColor="text1"/>
          <w:sz w:val="32"/>
          <w:szCs w:val="32"/>
          <w:u w:val="none"/>
          <w14:textFill>
            <w14:solidFill>
              <w14:schemeClr w14:val="tx1"/>
            </w14:solidFill>
          </w14:textFill>
        </w:rPr>
        <w:t>月</w:t>
      </w:r>
      <w:r>
        <w:rPr>
          <w:rFonts w:hint="eastAsia" w:ascii="Times New Roman" w:hAnsi="Times New Roman" w:eastAsia="楷体_GB2312" w:cs="Times New Roman"/>
          <w:bCs/>
          <w:color w:val="000000" w:themeColor="text1"/>
          <w:sz w:val="32"/>
          <w:szCs w:val="32"/>
          <w:u w:val="none"/>
          <w:lang w:val="en-US" w:eastAsia="zh-CN"/>
          <w14:textFill>
            <w14:solidFill>
              <w14:schemeClr w14:val="tx1"/>
            </w14:solidFill>
          </w14:textFill>
        </w:rPr>
        <w:t>5</w:t>
      </w:r>
      <w:r>
        <w:rPr>
          <w:rFonts w:hint="default" w:ascii="Times New Roman" w:hAnsi="Times New Roman" w:eastAsia="楷体_GB2312" w:cs="Times New Roman"/>
          <w:bCs/>
          <w:color w:val="000000" w:themeColor="text1"/>
          <w:sz w:val="32"/>
          <w:szCs w:val="32"/>
          <w:u w:val="none"/>
          <w14:textFill>
            <w14:solidFill>
              <w14:schemeClr w14:val="tx1"/>
            </w14:solidFill>
          </w14:textFill>
        </w:rPr>
        <w:t>日）</w:t>
      </w:r>
      <w:r>
        <w:rPr>
          <w:rFonts w:hint="default" w:ascii="Times New Roman" w:hAnsi="Times New Roman" w:eastAsia="楷体_GB2312" w:cs="Times New Roman"/>
          <w:bCs/>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一是强化问题隐患集中治理。各地、各行业主管部门对检查发现的违法违规行为，要依法依规从严查处，要按照“四个一律”的要求，该曝光的要曝光，该挂牌督办的要挂牌督办。对涉及多部门的重大问题，要加强联合执法。对检查发现的每项问题隐患，都要严格落实整改责任，制定整改措施，能立即整改的要立行立改，不能立即整改的要落实防范措施。二是从严从实从细抓好问题隐患“清零”工作。各部门要结合安全生产专项整治三年行动，全面梳理、认真汇总今年以来排查出的问题隐患台账逐项分级分类列出清单，实行对账销号，闭环管理。对已整改的问题隐患，要建立复查验收清单，做到“谁牵头、谁验收、谁负责”确保整改到位、不反复、不反弹。三是加大警示曝光力度。各乡镇（街道）、园区和部门要加强警示教育和联合惩戒，集中曝光一批重大事故隐患和严重违法违规行为，公布一批实施联合惩戒和“黑名单”管理企业，公告一批依法关闭取缔的违法违规和不符合安全生产条件的企业。10月8日上午下班前，各乡镇（街道）、</w:t>
      </w:r>
      <w:r>
        <w:rPr>
          <w:rFonts w:hint="default" w:ascii="Times New Roman" w:hAnsi="Times New Roman" w:eastAsia="仿宋_GB2312" w:cs="Times New Roman"/>
          <w:color w:val="000000" w:themeColor="text1"/>
          <w:sz w:val="32"/>
          <w:szCs w:val="32"/>
          <w:u w:val="none"/>
          <w14:textFill>
            <w14:solidFill>
              <w14:schemeClr w14:val="tx1"/>
            </w14:solidFill>
          </w14:textFill>
        </w:rPr>
        <w:t>现代农业示范区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蓬溪县经开区和县安委会负</w:t>
      </w:r>
      <w:r>
        <w:rPr>
          <w:rFonts w:hint="eastAsia" w:ascii="仿宋_GB2312" w:hAnsi="仿宋_GB2312" w:eastAsia="仿宋_GB2312" w:cs="仿宋_GB2312"/>
          <w:sz w:val="32"/>
          <w:szCs w:val="32"/>
          <w:lang w:val="en-US" w:eastAsia="zh-CN"/>
        </w:rPr>
        <w:t>有监管职责的成员单位</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将安全生产大排查大整治未整改隐患清单和整改方案由单位主要领导签字盖章后报县安办。</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b/>
          <w:bCs/>
          <w:color w:val="000000" w:themeColor="text1"/>
          <w:sz w:val="32"/>
          <w:szCs w:val="32"/>
          <w:u w:val="none"/>
          <w:lang w:eastAsia="zh-CN"/>
          <w14:textFill>
            <w14:solidFill>
              <w14:schemeClr w14:val="tx1"/>
            </w14:solidFill>
          </w14:textFill>
        </w:rPr>
      </w:pPr>
      <w:r>
        <w:rPr>
          <w:rFonts w:hint="default" w:ascii="Times New Roman" w:hAnsi="Times New Roman" w:eastAsia="楷体_GB2312" w:cs="Times New Roman"/>
          <w:bCs/>
          <w:color w:val="000000" w:themeColor="text1"/>
          <w:sz w:val="32"/>
          <w:szCs w:val="32"/>
          <w:u w:val="none"/>
          <w14:textFill>
            <w14:solidFill>
              <w14:schemeClr w14:val="tx1"/>
            </w14:solidFill>
          </w14:textFill>
        </w:rPr>
        <w:t>（</w:t>
      </w:r>
      <w:r>
        <w:rPr>
          <w:rFonts w:hint="eastAsia" w:ascii="Times New Roman" w:hAnsi="Times New Roman" w:eastAsia="楷体_GB2312" w:cs="Times New Roman"/>
          <w:bCs/>
          <w:color w:val="000000" w:themeColor="text1"/>
          <w:sz w:val="32"/>
          <w:szCs w:val="32"/>
          <w:u w:val="none"/>
          <w:lang w:eastAsia="zh-CN"/>
          <w14:textFill>
            <w14:solidFill>
              <w14:schemeClr w14:val="tx1"/>
            </w14:solidFill>
          </w14:textFill>
        </w:rPr>
        <w:t>三</w:t>
      </w:r>
      <w:r>
        <w:rPr>
          <w:rFonts w:hint="default" w:ascii="Times New Roman" w:hAnsi="Times New Roman" w:eastAsia="楷体_GB2312" w:cs="Times New Roman"/>
          <w:bCs/>
          <w:color w:val="000000" w:themeColor="text1"/>
          <w:sz w:val="32"/>
          <w:szCs w:val="32"/>
          <w:u w:val="none"/>
          <w14:textFill>
            <w14:solidFill>
              <w14:schemeClr w14:val="tx1"/>
            </w14:solidFill>
          </w14:textFill>
        </w:rPr>
        <w:t>）</w:t>
      </w:r>
      <w:r>
        <w:rPr>
          <w:rFonts w:hint="default" w:ascii="Times New Roman" w:hAnsi="Times New Roman" w:eastAsia="楷体_GB2312" w:cs="Times New Roman"/>
          <w:bCs/>
          <w:color w:val="000000" w:themeColor="text1"/>
          <w:sz w:val="32"/>
          <w:szCs w:val="32"/>
          <w:u w:val="none"/>
          <w:lang w:eastAsia="zh-CN"/>
          <w14:textFill>
            <w14:solidFill>
              <w14:schemeClr w14:val="tx1"/>
            </w14:solidFill>
          </w14:textFill>
        </w:rPr>
        <w:t>全面</w:t>
      </w:r>
      <w:r>
        <w:rPr>
          <w:rFonts w:hint="eastAsia" w:ascii="Times New Roman" w:hAnsi="Times New Roman" w:eastAsia="楷体_GB2312" w:cs="Times New Roman"/>
          <w:bCs/>
          <w:color w:val="000000" w:themeColor="text1"/>
          <w:sz w:val="32"/>
          <w:szCs w:val="32"/>
          <w:u w:val="none"/>
          <w:lang w:val="en-US" w:eastAsia="zh-CN"/>
          <w14:textFill>
            <w14:solidFill>
              <w14:schemeClr w14:val="tx1"/>
            </w14:solidFill>
          </w14:textFill>
        </w:rPr>
        <w:t>督导巩固</w:t>
      </w:r>
      <w:r>
        <w:rPr>
          <w:rFonts w:hint="default" w:ascii="Times New Roman" w:hAnsi="Times New Roman" w:eastAsia="楷体_GB2312" w:cs="Times New Roman"/>
          <w:bCs/>
          <w:color w:val="000000" w:themeColor="text1"/>
          <w:sz w:val="32"/>
          <w:szCs w:val="32"/>
          <w:u w:val="none"/>
          <w14:textFill>
            <w14:solidFill>
              <w14:schemeClr w14:val="tx1"/>
            </w14:solidFill>
          </w14:textFill>
        </w:rPr>
        <w:t>（</w:t>
      </w:r>
      <w:r>
        <w:rPr>
          <w:rFonts w:hint="eastAsia" w:ascii="Times New Roman" w:hAnsi="Times New Roman" w:eastAsia="楷体_GB2312" w:cs="Times New Roman"/>
          <w:bCs/>
          <w:color w:val="000000" w:themeColor="text1"/>
          <w:sz w:val="32"/>
          <w:szCs w:val="32"/>
          <w:u w:val="none"/>
          <w:lang w:val="en-US" w:eastAsia="zh-CN"/>
          <w14:textFill>
            <w14:solidFill>
              <w14:schemeClr w14:val="tx1"/>
            </w14:solidFill>
          </w14:textFill>
        </w:rPr>
        <w:t>10</w:t>
      </w:r>
      <w:r>
        <w:rPr>
          <w:rFonts w:hint="default" w:ascii="Times New Roman" w:hAnsi="Times New Roman" w:eastAsia="楷体_GB2312" w:cs="Times New Roman"/>
          <w:bCs/>
          <w:color w:val="000000" w:themeColor="text1"/>
          <w:sz w:val="32"/>
          <w:szCs w:val="32"/>
          <w:u w:val="none"/>
          <w14:textFill>
            <w14:solidFill>
              <w14:schemeClr w14:val="tx1"/>
            </w14:solidFill>
          </w14:textFill>
        </w:rPr>
        <w:t>月</w:t>
      </w:r>
      <w:r>
        <w:rPr>
          <w:rFonts w:hint="eastAsia" w:ascii="Times New Roman" w:hAnsi="Times New Roman" w:eastAsia="楷体_GB2312" w:cs="Times New Roman"/>
          <w:bCs/>
          <w:color w:val="000000" w:themeColor="text1"/>
          <w:sz w:val="32"/>
          <w:szCs w:val="32"/>
          <w:u w:val="none"/>
          <w:lang w:val="en-US" w:eastAsia="zh-CN"/>
          <w14:textFill>
            <w14:solidFill>
              <w14:schemeClr w14:val="tx1"/>
            </w14:solidFill>
          </w14:textFill>
        </w:rPr>
        <w:t>6</w:t>
      </w:r>
      <w:r>
        <w:rPr>
          <w:rFonts w:hint="default" w:ascii="Times New Roman" w:hAnsi="Times New Roman" w:eastAsia="楷体_GB2312" w:cs="Times New Roman"/>
          <w:bCs/>
          <w:color w:val="000000" w:themeColor="text1"/>
          <w:sz w:val="32"/>
          <w:szCs w:val="32"/>
          <w:u w:val="none"/>
          <w14:textFill>
            <w14:solidFill>
              <w14:schemeClr w14:val="tx1"/>
            </w14:solidFill>
          </w14:textFill>
        </w:rPr>
        <w:t>日至</w:t>
      </w:r>
      <w:r>
        <w:rPr>
          <w:rFonts w:hint="eastAsia" w:ascii="Times New Roman" w:hAnsi="Times New Roman" w:eastAsia="楷体_GB2312" w:cs="Times New Roman"/>
          <w:bCs/>
          <w:color w:val="000000" w:themeColor="text1"/>
          <w:sz w:val="32"/>
          <w:szCs w:val="32"/>
          <w:u w:val="none"/>
          <w:lang w:val="en-US" w:eastAsia="zh-CN"/>
          <w14:textFill>
            <w14:solidFill>
              <w14:schemeClr w14:val="tx1"/>
            </w14:solidFill>
          </w14:textFill>
        </w:rPr>
        <w:t>10</w:t>
      </w:r>
      <w:r>
        <w:rPr>
          <w:rFonts w:hint="default" w:ascii="Times New Roman" w:hAnsi="Times New Roman" w:eastAsia="楷体_GB2312" w:cs="Times New Roman"/>
          <w:bCs/>
          <w:color w:val="000000" w:themeColor="text1"/>
          <w:sz w:val="32"/>
          <w:szCs w:val="32"/>
          <w:u w:val="none"/>
          <w14:textFill>
            <w14:solidFill>
              <w14:schemeClr w14:val="tx1"/>
            </w14:solidFill>
          </w14:textFill>
        </w:rPr>
        <w:t>月</w:t>
      </w:r>
      <w:r>
        <w:rPr>
          <w:rFonts w:hint="eastAsia" w:ascii="Times New Roman" w:hAnsi="Times New Roman" w:eastAsia="楷体_GB2312" w:cs="Times New Roman"/>
          <w:bCs/>
          <w:color w:val="000000" w:themeColor="text1"/>
          <w:sz w:val="32"/>
          <w:szCs w:val="32"/>
          <w:u w:val="none"/>
          <w:lang w:val="en-US" w:eastAsia="zh-CN"/>
          <w14:textFill>
            <w14:solidFill>
              <w14:schemeClr w14:val="tx1"/>
            </w14:solidFill>
          </w14:textFill>
        </w:rPr>
        <w:t>15</w:t>
      </w:r>
      <w:r>
        <w:rPr>
          <w:rFonts w:hint="default" w:ascii="Times New Roman" w:hAnsi="Times New Roman" w:eastAsia="楷体_GB2312" w:cs="Times New Roman"/>
          <w:bCs/>
          <w:color w:val="000000" w:themeColor="text1"/>
          <w:sz w:val="32"/>
          <w:szCs w:val="32"/>
          <w:u w:val="none"/>
          <w14:textFill>
            <w14:solidFill>
              <w14:schemeClr w14:val="tx1"/>
            </w14:solidFill>
          </w14:textFill>
        </w:rPr>
        <w:t>日）</w:t>
      </w:r>
      <w:r>
        <w:rPr>
          <w:rFonts w:hint="default" w:ascii="Times New Roman" w:hAnsi="Times New Roman" w:eastAsia="楷体_GB2312" w:cs="Times New Roman"/>
          <w:bCs/>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一是</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各有关单位、各行业主管部门要对前期</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检查执法过程中</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发现的问题认真开展“回头看”</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“回头查”</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，坚决督促</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责任单位整改到位，确保形成工作闭环</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二是</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对被挂牌督办、通报、责令停产整顿、关闭取缔的企业，逐一复查整改落实情况</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对短期无法整治的重大隐患要严防死守，</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督促其坚决落实各项安全生产工作措施，做到抓早抓小、防微杜渐，严防发生各类安全事故，确保人民群众生命财产安全</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三是加大督导检查力度，各督导组务必严格要求，确保全覆盖、无死角督导督查到位。各督导督查组成员第一个单位为本组牵头单位，牵头单位主要负责同志统筹安排督导工作并确定一名联络员，由牵头单位汇总督导情况并及时报送县安办。四</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是要认真总结工作当中好的做法和存在的不足，全面改进工作，不断完善安全生产工作机制，进一步巩固提升工作成效。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（一）加强领导，落实责任。</w:t>
      </w:r>
      <w:r>
        <w:rPr>
          <w:rFonts w:hint="eastAsia" w:ascii="仿宋_GB2312" w:hAnsi="仿宋_GB2312" w:eastAsia="仿宋_GB2312" w:cs="仿宋_GB2312"/>
          <w:sz w:val="32"/>
          <w:szCs w:val="32"/>
          <w:lang w:val="en-US" w:eastAsia="zh-CN"/>
        </w:rPr>
        <w:t>各地、各部门要把此次大排查作为当前一项重要政治任务，切实加强组织领导。认真落实“党政同责、一岗双责、失职追责、尽职免责”制度，严格按照“管行业必须管安全、管业务必须管安全、管生产经营必须管安全”要求，主要负责人作为大排查第一责任人，要亲自研究部署，亲自带队检查，组织开展好本单位的自查和整改工作。分管负责人要切实履行职责；各乡镇、行业主管部门作为大排查的主体，认真履行安全生产主体责任。对检查工作不认真、走过场的，予以通报批评并严肃处理；对因自查、检查敷衍塞责而导致事故发生的，从严追究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（二）全面排查，强化整治。</w:t>
      </w:r>
      <w:r>
        <w:rPr>
          <w:rFonts w:hint="eastAsia" w:ascii="仿宋_GB2312" w:hAnsi="仿宋_GB2312" w:eastAsia="仿宋_GB2312" w:cs="仿宋_GB2312"/>
          <w:sz w:val="32"/>
          <w:szCs w:val="32"/>
          <w:lang w:val="en-US" w:eastAsia="zh-CN"/>
        </w:rPr>
        <w:t>各地、各部门严格落实检查督查工作流程，认真履行检查程序，完善检查记录和文书手续。以对隐患和问题“零容忍”的态度和“严细实”的工作作风，从操作层面倒查倒逼，强化整治。对排查出的隐患和问题，能立即整改的要立即整改，不能立即整改的要指定专人盯防，并逐一制定整改方案，做到责任、措施、资金、时限和预案“五落实”。对存在重大隐患、不能保证安全生产的，坚决停产整顿。对非法违法组织生产经营建设的，坚决依法予以取缔、关闭。选择一批容易造成重大安全事故的隐患，县安办严格实行挂牌督办整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（三）突出重点，加强监管。</w:t>
      </w:r>
      <w:r>
        <w:rPr>
          <w:rFonts w:hint="eastAsia" w:ascii="仿宋_GB2312" w:hAnsi="仿宋_GB2312" w:eastAsia="仿宋_GB2312" w:cs="仿宋_GB2312"/>
          <w:sz w:val="32"/>
          <w:szCs w:val="32"/>
          <w:lang w:val="en-US" w:eastAsia="zh-CN"/>
        </w:rPr>
        <w:t>针对即将来临的中秋、国庆双节，各地、各部门进一步加强安全监管，严格落实各类大型集会、商业促销等活动的安全防范措施，加强对群众聚集活动的安全预判、风险防控和组织引导，强化安全管理，深入开展道路交通、消防等安全生产重点行业（领域）和人员密集场所安全专项整治，严防发生群死群伤事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（四）强化执法，高压整治。</w:t>
      </w:r>
      <w:r>
        <w:rPr>
          <w:rFonts w:hint="eastAsia" w:ascii="仿宋_GB2312" w:hAnsi="仿宋_GB2312" w:eastAsia="仿宋_GB2312" w:cs="仿宋_GB2312"/>
          <w:sz w:val="32"/>
          <w:szCs w:val="32"/>
          <w:lang w:val="en-US" w:eastAsia="zh-CN"/>
        </w:rPr>
        <w:t>负有安全生产监管职责部门要将安全生产风险等级较高存在重大生产安全事故隐患、纳入安全生产失信行为联合惩戒对象等企业，全部列为执法检查的重点企业，增加执法检查频次。要将各类园区、功能区、企业作为检查重点，加大执法检查力度。要严格落实“四个一律”要求，按规定将有关执法信息及时予以公开，并将典型案例通过新闻媒体进行公开曝光。要加大警示约谈、上限处罚力度，执法人员因执法检查不严格、不认真，或对检查发现的隐患和问题未依法采取相应执法措施、降低执法标准，导致发生生产安全事故的，要追究相关单位和责任人的责任。各行业领域主管部门，在检查中发现生产经营单位存在安全生产非法违法行为的，要及时将有关情况移交有相应安全监管职责部门依法进行处理。大排查大整治攻坚期间，要对高危企业执法检查全覆盖，对排查出的风险隐患逐级签字背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五</w:t>
      </w:r>
      <w:r>
        <w:rPr>
          <w:rFonts w:hint="eastAsia" w:ascii="楷体_GB2312" w:hAnsi="楷体_GB2312" w:eastAsia="楷体_GB2312" w:cs="楷体_GB2312"/>
          <w:b w:val="0"/>
          <w:bCs/>
          <w:sz w:val="32"/>
          <w:szCs w:val="32"/>
          <w:lang w:eastAsia="zh-CN"/>
        </w:rPr>
        <w:t>）强化</w:t>
      </w:r>
      <w:r>
        <w:rPr>
          <w:rFonts w:hint="eastAsia" w:ascii="楷体_GB2312" w:hAnsi="楷体_GB2312" w:eastAsia="楷体_GB2312" w:cs="楷体_GB2312"/>
          <w:b w:val="0"/>
          <w:bCs/>
          <w:sz w:val="32"/>
          <w:szCs w:val="32"/>
          <w:lang w:val="en-US" w:eastAsia="zh-CN"/>
        </w:rPr>
        <w:t>值守，迅速应急</w:t>
      </w:r>
      <w:r>
        <w:rPr>
          <w:rFonts w:hint="default" w:ascii="楷体_GB2312" w:hAnsi="楷体_GB2312" w:eastAsia="楷体_GB2312" w:cs="楷体_GB2312"/>
          <w:b w:val="0"/>
          <w:bCs/>
          <w:sz w:val="32"/>
          <w:szCs w:val="32"/>
        </w:rPr>
        <w:t>。</w:t>
      </w:r>
      <w:r>
        <w:rPr>
          <w:rFonts w:hint="eastAsia" w:ascii="Times New Roman" w:hAnsi="Times New Roman" w:eastAsia="仿宋_GB2312" w:cs="Times New Roman"/>
          <w:b w:val="0"/>
          <w:bCs/>
          <w:sz w:val="32"/>
          <w:szCs w:val="32"/>
          <w:lang w:val="en-US" w:eastAsia="zh-CN"/>
        </w:rPr>
        <w:t>各乡镇、各部门</w:t>
      </w:r>
      <w:r>
        <w:rPr>
          <w:rFonts w:hint="default" w:ascii="Times New Roman" w:hAnsi="Times New Roman" w:eastAsia="仿宋_GB2312" w:cs="Times New Roman"/>
          <w:b w:val="0"/>
          <w:bCs/>
          <w:sz w:val="32"/>
          <w:szCs w:val="32"/>
        </w:rPr>
        <w:t>要落实救援队伍、装备、物资等应急资源，完善应急预案，强化应急演练，加强应急准备。要加强值班值守和安全生产网络舆情监测，严格执行领导带班和</w:t>
      </w:r>
      <w:r>
        <w:rPr>
          <w:rFonts w:hint="eastAsia" w:ascii="仿宋_GB2312" w:hAnsi="仿宋_GB2312" w:eastAsia="仿宋_GB2312" w:cs="仿宋_GB2312"/>
          <w:b w:val="0"/>
          <w:bCs/>
          <w:sz w:val="32"/>
          <w:szCs w:val="32"/>
        </w:rPr>
        <w:t xml:space="preserve"> 24 </w:t>
      </w:r>
      <w:r>
        <w:rPr>
          <w:rFonts w:hint="default" w:ascii="Times New Roman" w:hAnsi="Times New Roman" w:eastAsia="仿宋_GB2312" w:cs="Times New Roman"/>
          <w:b w:val="0"/>
          <w:bCs/>
          <w:sz w:val="32"/>
          <w:szCs w:val="32"/>
        </w:rPr>
        <w:t>小时值班</w:t>
      </w:r>
      <w:r>
        <w:rPr>
          <w:rFonts w:hint="eastAsia" w:ascii="Times New Roman" w:hAnsi="Times New Roman" w:eastAsia="仿宋_GB2312" w:cs="Times New Roman"/>
          <w:b w:val="0"/>
          <w:bCs/>
          <w:sz w:val="32"/>
          <w:szCs w:val="32"/>
          <w:lang w:eastAsia="zh-CN"/>
        </w:rPr>
        <w:t>值守</w:t>
      </w:r>
      <w:r>
        <w:rPr>
          <w:rFonts w:hint="default" w:ascii="Times New Roman" w:hAnsi="Times New Roman" w:eastAsia="仿宋_GB2312" w:cs="Times New Roman"/>
          <w:b w:val="0"/>
          <w:bCs/>
          <w:sz w:val="32"/>
          <w:szCs w:val="32"/>
        </w:rPr>
        <w:t>制度，严格落实事故信息报告制度，确保安全生产事故和重大险情能科学及时处置、有效应对。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color w:val="000000"/>
          <w:kern w:val="0"/>
          <w:sz w:val="32"/>
          <w:szCs w:val="32"/>
          <w:lang w:val="en-US" w:eastAsia="zh-CN"/>
        </w:rPr>
        <w:t>严格督导，逗硬考核。</w:t>
      </w:r>
      <w:r>
        <w:rPr>
          <w:rFonts w:hint="eastAsia" w:ascii="仿宋_GB2312" w:hAnsi="仿宋_GB2312" w:eastAsia="仿宋_GB2312" w:cs="仿宋_GB2312"/>
          <w:color w:val="000000"/>
          <w:kern w:val="0"/>
          <w:sz w:val="32"/>
          <w:szCs w:val="32"/>
          <w:lang w:val="en-US" w:eastAsia="zh-CN"/>
        </w:rPr>
        <w:t>请各牵头责任部门和各乡镇（街道、园区）立即安排部署，扎实开展安全大排查大整治攻坚行动，</w:t>
      </w:r>
      <w:r>
        <w:rPr>
          <w:rFonts w:hint="default" w:ascii="Times New Roman" w:hAnsi="Times New Roman" w:eastAsia="仿宋_GB2312" w:cs="Times New Roman"/>
          <w:color w:val="000000" w:themeColor="text1"/>
          <w:sz w:val="32"/>
          <w:szCs w:val="32"/>
          <w:u w:val="none"/>
          <w14:textFill>
            <w14:solidFill>
              <w14:schemeClr w14:val="tx1"/>
            </w14:solidFill>
          </w14:textFill>
        </w:rPr>
        <w:t>对责任不落实、</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成效不明显的单位</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将严格扣减单位安全生产年度目标分</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。对因工作开展不力引发生产安全事故或造成严重社会负面影响的，将</w:t>
      </w:r>
      <w:r>
        <w:rPr>
          <w:rFonts w:hint="default" w:ascii="Times New Roman" w:hAnsi="Times New Roman" w:eastAsia="仿宋_GB2312" w:cs="Times New Roman"/>
          <w:color w:val="000000" w:themeColor="text1"/>
          <w:sz w:val="32"/>
          <w:szCs w:val="32"/>
          <w:u w:val="none"/>
          <w14:textFill>
            <w14:solidFill>
              <w14:schemeClr w14:val="tx1"/>
            </w14:solidFill>
          </w14:textFill>
        </w:rPr>
        <w:t>依法依规依纪严肃追责问责。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各乡镇（街道）</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现代农业示范区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sz w:val="32"/>
          <w:szCs w:val="32"/>
          <w:lang w:val="en-US" w:eastAsia="zh-CN"/>
        </w:rPr>
        <w:t>蓬溪经开区和县安委会有关成员单位于</w:t>
      </w:r>
      <w:r>
        <w:rPr>
          <w:rFonts w:hint="default" w:ascii="Times New Roman" w:hAnsi="Times New Roman" w:eastAsia="仿宋_GB2312" w:cs="Times New Roman"/>
          <w:sz w:val="32"/>
          <w:szCs w:val="32"/>
          <w:lang w:val="en-US" w:eastAsia="zh-CN"/>
        </w:rPr>
        <w:t>10月1</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日下班前上报攻坚行动工作开展情况报告（含成立督导检查组数、检查企业数、排查隐患整改数、立案数、行政处罚金额数、责令停产整顿数等基本情况）及安全生产大排查大整治未整改问题隐患清单，经部门主要负责人签字后报县安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仿宋" w:hAnsi="仿宋" w:eastAsia="仿宋"/>
          <w:sz w:val="32"/>
          <w:szCs w:val="32"/>
          <w:lang w:eastAsia="zh-CN"/>
        </w:rPr>
        <w:t>（</w:t>
      </w:r>
      <w:r>
        <w:rPr>
          <w:rFonts w:hint="default" w:ascii="Times New Roman" w:hAnsi="Times New Roman" w:eastAsia="仿宋_GB2312" w:cs="Times New Roman"/>
          <w:sz w:val="32"/>
          <w:szCs w:val="32"/>
        </w:rPr>
        <w:t>联系</w:t>
      </w:r>
      <w:r>
        <w:rPr>
          <w:rFonts w:hint="default" w:ascii="Times New Roman" w:hAnsi="Times New Roman" w:eastAsia="仿宋_GB2312" w:cs="Times New Roman"/>
          <w:sz w:val="32"/>
          <w:szCs w:val="32"/>
          <w:lang w:eastAsia="zh-CN"/>
        </w:rPr>
        <w:t>人：</w:t>
      </w:r>
      <w:r>
        <w:rPr>
          <w:rFonts w:hint="eastAsia" w:ascii="Times New Roman" w:hAnsi="Times New Roman" w:eastAsia="仿宋_GB2312" w:cs="Times New Roman"/>
          <w:sz w:val="32"/>
          <w:szCs w:val="32"/>
          <w:lang w:val="en-US" w:eastAsia="zh-CN"/>
        </w:rPr>
        <w:t>丁宇微</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王鑫</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0825-5391315</w:t>
      </w:r>
      <w:r>
        <w:rPr>
          <w:rFonts w:hint="default" w:ascii="Times New Roman" w:hAnsi="Times New Roman" w:eastAsia="仿宋_GB2312" w:cs="Times New Roman"/>
          <w:sz w:val="32"/>
          <w:szCs w:val="32"/>
        </w:rPr>
        <w:t>，邮箱:</w:t>
      </w:r>
      <w:r>
        <w:rPr>
          <w:rFonts w:hint="default" w:ascii="Times New Roman" w:hAnsi="Times New Roman" w:eastAsia="仿宋_GB2312" w:cs="Times New Roman"/>
          <w:color w:val="000000" w:themeColor="text1"/>
          <w:sz w:val="32"/>
          <w:szCs w:val="32"/>
          <w:u w:val="none"/>
          <w14:textFill>
            <w14:solidFill>
              <w14:schemeClr w14:val="tx1"/>
            </w14:solidFill>
          </w14:textFill>
        </w:rPr>
        <w:t>pxxajj123@163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com</w:t>
      </w:r>
      <w:r>
        <w:rPr>
          <w:rFonts w:hint="eastAsia" w:ascii="仿宋" w:hAnsi="仿宋" w:eastAsia="仿宋"/>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蓬溪县XX（行业领域）XX企业信息汇总表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left"/>
        <w:textAlignment w:val="auto"/>
        <w:rPr>
          <w:rFonts w:hint="default"/>
          <w:lang w:val="en-US" w:eastAsia="zh-CN"/>
        </w:rPr>
        <w:sectPr>
          <w:footerReference r:id="rId3" w:type="default"/>
          <w:pgSz w:w="11906" w:h="16838"/>
          <w:pgMar w:top="2098" w:right="1474" w:bottom="1984" w:left="1587" w:header="851" w:footer="992" w:gutter="0"/>
          <w:pgNumType w:fmt="decimal" w:start="1"/>
          <w:cols w:space="0" w:num="1"/>
          <w:rtlGutter w:val="0"/>
          <w:docGrid w:type="lines" w:linePitch="312" w:charSpace="0"/>
        </w:sectPr>
      </w:pPr>
      <w:r>
        <w:rPr>
          <w:rFonts w:hint="eastAsia" w:ascii="仿宋_GB2312" w:hAnsi="仿宋_GB2312" w:eastAsia="仿宋_GB2312" w:cs="仿宋_GB2312"/>
          <w:sz w:val="32"/>
          <w:szCs w:val="32"/>
          <w:lang w:val="en-US" w:eastAsia="zh-CN"/>
        </w:rPr>
        <w:t>2.蓬溪县安全生产大排查大整治攻坚行动隐患清单</w:t>
      </w:r>
    </w:p>
    <w:p>
      <w:pPr>
        <w:pStyle w:val="2"/>
        <w:numPr>
          <w:ilvl w:val="0"/>
          <w:numId w:val="0"/>
        </w:numPr>
        <w:ind w:leftChars="0"/>
        <w:rPr>
          <w:rFonts w:hint="eastAsia" w:ascii="方正小标宋简体" w:hAnsi="方正小标宋简体" w:eastAsia="方正小标宋简体" w:cs="方正小标宋简体"/>
          <w:color w:val="auto"/>
          <w:sz w:val="44"/>
          <w:szCs w:val="44"/>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蓬溪县</w:t>
      </w:r>
      <w:r>
        <w:rPr>
          <w:rFonts w:hint="eastAsia" w:ascii="方正小标宋简体" w:hAnsi="方正小标宋简体" w:eastAsia="方正小标宋简体" w:cs="方正小标宋简体"/>
          <w:color w:val="auto"/>
          <w:sz w:val="44"/>
          <w:szCs w:val="44"/>
        </w:rPr>
        <w:t>XX（行业领域）XX企业信息汇总表</w:t>
      </w:r>
    </w:p>
    <w:p>
      <w:pPr>
        <w:bidi w:val="0"/>
        <w:rPr>
          <w:rFonts w:hint="eastAsia"/>
          <w:color w:val="auto"/>
        </w:rPr>
      </w:pPr>
    </w:p>
    <w:tbl>
      <w:tblPr>
        <w:tblStyle w:val="4"/>
        <w:tblW w:w="14173" w:type="dxa"/>
        <w:jc w:val="center"/>
        <w:shd w:val="clear" w:color="auto" w:fill="auto"/>
        <w:tblLayout w:type="fixed"/>
        <w:tblCellMar>
          <w:top w:w="0" w:type="dxa"/>
          <w:left w:w="108" w:type="dxa"/>
          <w:bottom w:w="0" w:type="dxa"/>
          <w:right w:w="108" w:type="dxa"/>
        </w:tblCellMar>
      </w:tblPr>
      <w:tblGrid>
        <w:gridCol w:w="502"/>
        <w:gridCol w:w="1432"/>
        <w:gridCol w:w="1000"/>
        <w:gridCol w:w="1016"/>
        <w:gridCol w:w="948"/>
        <w:gridCol w:w="738"/>
        <w:gridCol w:w="866"/>
        <w:gridCol w:w="1050"/>
        <w:gridCol w:w="1067"/>
        <w:gridCol w:w="901"/>
        <w:gridCol w:w="1171"/>
        <w:gridCol w:w="806"/>
        <w:gridCol w:w="985"/>
        <w:gridCol w:w="887"/>
        <w:gridCol w:w="804"/>
      </w:tblGrid>
      <w:tr>
        <w:tblPrEx>
          <w:shd w:val="clear" w:color="auto" w:fill="auto"/>
          <w:tblCellMar>
            <w:top w:w="0" w:type="dxa"/>
            <w:left w:w="108" w:type="dxa"/>
            <w:bottom w:w="0" w:type="dxa"/>
            <w:right w:w="108" w:type="dxa"/>
          </w:tblCellMar>
        </w:tblPrEx>
        <w:trPr>
          <w:trHeight w:val="2351" w:hRule="atLeast"/>
          <w:jc w:val="center"/>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i w:val="0"/>
                <w:iCs w:val="0"/>
                <w:color w:val="auto"/>
                <w:kern w:val="0"/>
                <w:sz w:val="24"/>
                <w:szCs w:val="24"/>
                <w:u w:val="none"/>
                <w:lang w:val="en-US" w:eastAsia="zh-CN" w:bidi="ar"/>
              </w:rPr>
              <w:t>序号</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企业名称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所在县（区）</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详细</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地址</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所属行业类别</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经济类型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从业人员总数</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生产规模（大、中、小、微型）</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主要产品名称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主要生产工艺</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涉及危险化学品种类</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重点行业类别</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危险源类别</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企业主要负责人及联系方式</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安全管理部门名称及负责人及联系方式</w:t>
            </w:r>
          </w:p>
        </w:tc>
      </w:tr>
      <w:tr>
        <w:tblPrEx>
          <w:shd w:val="clear" w:color="auto" w:fill="auto"/>
          <w:tblCellMar>
            <w:top w:w="0" w:type="dxa"/>
            <w:left w:w="108" w:type="dxa"/>
            <w:bottom w:w="0" w:type="dxa"/>
            <w:right w:w="108" w:type="dxa"/>
          </w:tblCellMar>
        </w:tblPrEx>
        <w:trPr>
          <w:trHeight w:val="1547" w:hRule="atLeast"/>
          <w:jc w:val="center"/>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四川省射洪川中建材有限公司</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射洪市</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射洪市万林乡夏家大田村</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冶金</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私营</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经济</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390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小</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盘元钢、圆钢、螺纹钢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黑色金属冶炼及钢延压</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氧气、乙</w:t>
            </w:r>
            <w:r>
              <w:rPr>
                <w:rFonts w:hint="default" w:ascii="Times New Roman" w:hAnsi="Times New Roman" w:eastAsia="仿宋_GB2312" w:cs="Times New Roman"/>
                <w:color w:val="auto"/>
                <w:spacing w:val="-6"/>
                <w:kern w:val="0"/>
                <w:sz w:val="24"/>
                <w:szCs w:val="24"/>
                <w:lang w:val="en-US" w:eastAsia="zh-CN"/>
              </w:rPr>
              <w:t>炔、氩气</w:t>
            </w:r>
            <w:r>
              <w:rPr>
                <w:rFonts w:hint="default" w:ascii="Times New Roman" w:hAnsi="Times New Roman" w:eastAsia="仿宋_GB2312" w:cs="Times New Roman"/>
                <w:color w:val="auto"/>
                <w:kern w:val="0"/>
                <w:sz w:val="24"/>
                <w:szCs w:val="24"/>
                <w:lang w:val="en-US" w:eastAsia="zh-CN"/>
              </w:rPr>
              <w:t>、天然气</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金属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冶炼</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高温熔融金属</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0"/>
                <w:sz w:val="24"/>
                <w:szCs w:val="24"/>
              </w:rPr>
            </w:pPr>
          </w:p>
        </w:tc>
      </w:tr>
      <w:tr>
        <w:tblPrEx>
          <w:shd w:val="clear" w:color="auto" w:fill="auto"/>
          <w:tblCellMar>
            <w:top w:w="0" w:type="dxa"/>
            <w:left w:w="108" w:type="dxa"/>
            <w:bottom w:w="0" w:type="dxa"/>
            <w:right w:w="108" w:type="dxa"/>
          </w:tblCellMar>
        </w:tblPrEx>
        <w:trPr>
          <w:trHeight w:val="1840" w:hRule="atLeast"/>
          <w:jc w:val="center"/>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u w:val="none"/>
              </w:rPr>
            </w:pPr>
          </w:p>
        </w:tc>
      </w:tr>
    </w:tbl>
    <w:p>
      <w:pPr>
        <w:pStyle w:val="2"/>
        <w:numPr>
          <w:ilvl w:val="0"/>
          <w:numId w:val="0"/>
        </w:numPr>
        <w:ind w:leftChars="0"/>
        <w:rPr>
          <w:rFonts w:hint="default"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附件2.</w:t>
      </w:r>
    </w:p>
    <w:p>
      <w:pPr>
        <w:pStyle w:val="2"/>
        <w:numPr>
          <w:ilvl w:val="0"/>
          <w:numId w:val="0"/>
        </w:numPr>
        <w:ind w:left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蓬溪县安全生产大排查大整治攻坚行动隐患清单</w:t>
      </w:r>
    </w:p>
    <w:p>
      <w:pPr>
        <w:spacing w:line="579" w:lineRule="exact"/>
        <w:jc w:val="left"/>
        <w:rPr>
          <w:rFonts w:hint="eastAsia" w:ascii="方正小标宋简体" w:hAnsi="方正小标宋简体" w:eastAsia="方正小标宋简体" w:cs="方正小标宋简体"/>
          <w:sz w:val="44"/>
          <w:szCs w:val="44"/>
          <w:lang w:val="en-US" w:eastAsia="zh-CN"/>
        </w:rPr>
      </w:pPr>
      <w:r>
        <w:rPr>
          <w:rFonts w:hint="eastAsia" w:ascii="仿宋_GB2312" w:hAnsi="宋体" w:eastAsia="仿宋_GB2312" w:cs="仿宋_GB2312"/>
          <w:color w:val="auto"/>
          <w:kern w:val="0"/>
          <w:sz w:val="28"/>
          <w:szCs w:val="28"/>
          <w:lang w:val="en-US" w:eastAsia="zh-CN"/>
        </w:rPr>
        <w:t>督导单位</w:t>
      </w:r>
      <w:r>
        <w:rPr>
          <w:rFonts w:hint="eastAsia" w:ascii="仿宋_GB2312" w:hAnsi="宋体" w:eastAsia="仿宋_GB2312" w:cs="仿宋_GB2312"/>
          <w:color w:val="auto"/>
          <w:kern w:val="0"/>
          <w:sz w:val="28"/>
          <w:szCs w:val="28"/>
        </w:rPr>
        <w:t xml:space="preserve"> </w:t>
      </w:r>
      <w:r>
        <w:rPr>
          <w:rFonts w:hint="eastAsia" w:ascii="仿宋_GB2312" w:hAnsi="宋体" w:eastAsia="仿宋_GB2312" w:cs="仿宋_GB2312"/>
          <w:color w:val="auto"/>
          <w:kern w:val="0"/>
          <w:sz w:val="28"/>
          <w:szCs w:val="28"/>
          <w:lang w:eastAsia="zh-CN"/>
        </w:rPr>
        <w:t>：</w:t>
      </w:r>
      <w:r>
        <w:rPr>
          <w:rFonts w:hint="eastAsia" w:ascii="仿宋_GB2312" w:hAnsi="宋体" w:eastAsia="仿宋_GB2312" w:cs="仿宋_GB2312"/>
          <w:color w:val="auto"/>
          <w:kern w:val="0"/>
          <w:sz w:val="28"/>
          <w:szCs w:val="28"/>
        </w:rPr>
        <w:t xml:space="preserve">                      督导</w:t>
      </w:r>
      <w:r>
        <w:rPr>
          <w:rFonts w:hint="eastAsia" w:ascii="仿宋_GB2312" w:hAnsi="宋体" w:eastAsia="仿宋_GB2312" w:cs="仿宋_GB2312"/>
          <w:color w:val="auto"/>
          <w:kern w:val="0"/>
          <w:sz w:val="28"/>
          <w:szCs w:val="28"/>
          <w:lang w:val="en-US" w:eastAsia="zh-CN"/>
        </w:rPr>
        <w:t>点位</w:t>
      </w:r>
      <w:r>
        <w:rPr>
          <w:rFonts w:hint="eastAsia" w:ascii="仿宋_GB2312" w:hAnsi="宋体" w:eastAsia="仿宋_GB2312" w:cs="仿宋_GB2312"/>
          <w:color w:val="auto"/>
          <w:kern w:val="0"/>
          <w:sz w:val="28"/>
          <w:szCs w:val="28"/>
        </w:rPr>
        <w:t>：                  督导</w:t>
      </w:r>
      <w:r>
        <w:rPr>
          <w:rFonts w:hint="eastAsia" w:ascii="仿宋_GB2312" w:hAnsi="宋体" w:eastAsia="仿宋_GB2312" w:cs="仿宋_GB2312"/>
          <w:color w:val="auto"/>
          <w:kern w:val="0"/>
          <w:sz w:val="28"/>
          <w:szCs w:val="28"/>
          <w:lang w:val="en-US" w:eastAsia="zh-CN"/>
        </w:rPr>
        <w:t>人员</w:t>
      </w:r>
      <w:r>
        <w:rPr>
          <w:rFonts w:hint="eastAsia" w:ascii="仿宋_GB2312" w:hAnsi="宋体" w:eastAsia="仿宋_GB2312" w:cs="仿宋_GB2312"/>
          <w:color w:val="auto"/>
          <w:kern w:val="0"/>
          <w:sz w:val="28"/>
          <w:szCs w:val="28"/>
        </w:rPr>
        <w:t>（签字）：</w:t>
      </w:r>
    </w:p>
    <w:tbl>
      <w:tblPr>
        <w:tblStyle w:val="4"/>
        <w:tblpPr w:leftFromText="180" w:rightFromText="180" w:vertAnchor="text" w:horzAnchor="page" w:tblpX="1788" w:tblpY="130"/>
        <w:tblOverlap w:val="never"/>
        <w:tblW w:w="13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264"/>
        <w:gridCol w:w="1020"/>
        <w:gridCol w:w="1889"/>
        <w:gridCol w:w="1533"/>
        <w:gridCol w:w="1237"/>
        <w:gridCol w:w="1184"/>
        <w:gridCol w:w="1123"/>
        <w:gridCol w:w="1254"/>
        <w:gridCol w:w="1012"/>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5" w:hRule="atLeast"/>
        </w:trPr>
        <w:tc>
          <w:tcPr>
            <w:tcW w:w="739" w:type="dxa"/>
            <w:noWrap w:val="0"/>
            <w:vAlign w:val="center"/>
          </w:tcPr>
          <w:p>
            <w:pPr>
              <w:pStyle w:val="2"/>
              <w:numPr>
                <w:ilvl w:val="0"/>
                <w:numId w:val="0"/>
              </w:num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264" w:type="dxa"/>
            <w:noWrap w:val="0"/>
            <w:vAlign w:val="center"/>
          </w:tcPr>
          <w:p>
            <w:pPr>
              <w:pStyle w:val="2"/>
              <w:numPr>
                <w:ilvl w:val="0"/>
                <w:numId w:val="0"/>
              </w:num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企业名称</w:t>
            </w:r>
          </w:p>
        </w:tc>
        <w:tc>
          <w:tcPr>
            <w:tcW w:w="1020" w:type="dxa"/>
            <w:noWrap w:val="0"/>
            <w:vAlign w:val="center"/>
          </w:tcPr>
          <w:p>
            <w:pPr>
              <w:pStyle w:val="2"/>
              <w:numPr>
                <w:ilvl w:val="0"/>
                <w:numId w:val="0"/>
              </w:num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所属行业领域</w:t>
            </w:r>
          </w:p>
        </w:tc>
        <w:tc>
          <w:tcPr>
            <w:tcW w:w="1889" w:type="dxa"/>
            <w:noWrap w:val="0"/>
            <w:vAlign w:val="center"/>
          </w:tcPr>
          <w:p>
            <w:pPr>
              <w:pStyle w:val="2"/>
              <w:numPr>
                <w:ilvl w:val="0"/>
                <w:numId w:val="0"/>
              </w:num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问题隐患</w:t>
            </w:r>
          </w:p>
          <w:p>
            <w:pPr>
              <w:pStyle w:val="2"/>
              <w:numPr>
                <w:ilvl w:val="0"/>
                <w:numId w:val="0"/>
              </w:numPr>
              <w:jc w:val="center"/>
              <w:rPr>
                <w:rFonts w:hint="eastAsia" w:ascii="黑体" w:hAnsi="黑体" w:eastAsia="黑体" w:cs="黑体"/>
                <w:sz w:val="24"/>
                <w:szCs w:val="24"/>
                <w:vertAlign w:val="baseline"/>
                <w:lang w:val="en-US" w:eastAsia="zh-CN"/>
              </w:rPr>
            </w:pPr>
            <w:r>
              <w:rPr>
                <w:rFonts w:hint="eastAsia" w:ascii="黑体" w:hAnsi="黑体" w:eastAsia="黑体" w:cs="黑体"/>
                <w:sz w:val="18"/>
                <w:szCs w:val="18"/>
                <w:vertAlign w:val="baseline"/>
                <w:lang w:val="en-US" w:eastAsia="zh-CN"/>
              </w:rPr>
              <w:t>（</w:t>
            </w:r>
            <w:r>
              <w:rPr>
                <w:rFonts w:hint="eastAsia" w:ascii="仿宋_GB2312" w:hAnsi="仿宋_GB2312" w:eastAsia="仿宋_GB2312" w:cs="仿宋_GB2312"/>
                <w:sz w:val="18"/>
                <w:szCs w:val="18"/>
                <w:vertAlign w:val="baseline"/>
                <w:lang w:val="en-US" w:eastAsia="zh-CN"/>
              </w:rPr>
              <w:t>隐患名称和位置</w:t>
            </w:r>
            <w:r>
              <w:rPr>
                <w:rFonts w:hint="eastAsia" w:ascii="黑体" w:hAnsi="黑体" w:eastAsia="黑体" w:cs="黑体"/>
                <w:sz w:val="18"/>
                <w:szCs w:val="18"/>
                <w:vertAlign w:val="baseline"/>
                <w:lang w:val="en-US" w:eastAsia="zh-CN"/>
              </w:rPr>
              <w:t>）</w:t>
            </w:r>
          </w:p>
        </w:tc>
        <w:tc>
          <w:tcPr>
            <w:tcW w:w="1533" w:type="dxa"/>
            <w:noWrap w:val="0"/>
            <w:vAlign w:val="center"/>
          </w:tcPr>
          <w:p>
            <w:pPr>
              <w:pStyle w:val="2"/>
              <w:numPr>
                <w:ilvl w:val="0"/>
                <w:numId w:val="0"/>
              </w:num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整改措施</w:t>
            </w:r>
          </w:p>
        </w:tc>
        <w:tc>
          <w:tcPr>
            <w:tcW w:w="1237" w:type="dxa"/>
            <w:noWrap w:val="0"/>
            <w:vAlign w:val="center"/>
          </w:tcPr>
          <w:p>
            <w:pPr>
              <w:pStyle w:val="2"/>
              <w:numPr>
                <w:ilvl w:val="0"/>
                <w:numId w:val="0"/>
              </w:num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整改时限</w:t>
            </w:r>
          </w:p>
        </w:tc>
        <w:tc>
          <w:tcPr>
            <w:tcW w:w="1184" w:type="dxa"/>
            <w:noWrap w:val="0"/>
            <w:vAlign w:val="center"/>
          </w:tcPr>
          <w:p>
            <w:pPr>
              <w:pStyle w:val="2"/>
              <w:numPr>
                <w:ilvl w:val="0"/>
                <w:numId w:val="0"/>
              </w:numPr>
              <w:ind w:left="0" w:leftChars="0" w:firstLine="0" w:firstLineChars="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整改责任人（企业）</w:t>
            </w:r>
          </w:p>
        </w:tc>
        <w:tc>
          <w:tcPr>
            <w:tcW w:w="1123" w:type="dxa"/>
            <w:noWrap w:val="0"/>
            <w:vAlign w:val="center"/>
          </w:tcPr>
          <w:p>
            <w:pPr>
              <w:pStyle w:val="2"/>
              <w:numPr>
                <w:ilvl w:val="0"/>
                <w:numId w:val="0"/>
              </w:numPr>
              <w:ind w:left="0" w:leftChars="0" w:firstLine="0" w:firstLineChars="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整改责任部门及人员</w:t>
            </w:r>
          </w:p>
        </w:tc>
        <w:tc>
          <w:tcPr>
            <w:tcW w:w="1254" w:type="dxa"/>
            <w:noWrap w:val="0"/>
            <w:vAlign w:val="center"/>
          </w:tcPr>
          <w:p>
            <w:pPr>
              <w:pStyle w:val="2"/>
              <w:numPr>
                <w:ilvl w:val="0"/>
                <w:numId w:val="0"/>
              </w:numPr>
              <w:ind w:left="0" w:leftChars="0" w:firstLine="0" w:firstLineChars="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县级整改责任领导</w:t>
            </w:r>
          </w:p>
        </w:tc>
        <w:tc>
          <w:tcPr>
            <w:tcW w:w="1012" w:type="dxa"/>
            <w:noWrap w:val="0"/>
            <w:vAlign w:val="center"/>
          </w:tcPr>
          <w:p>
            <w:pPr>
              <w:pStyle w:val="2"/>
              <w:numPr>
                <w:ilvl w:val="0"/>
                <w:numId w:val="0"/>
              </w:numPr>
              <w:ind w:left="0" w:leftChars="0" w:firstLine="0" w:firstLineChars="0"/>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整改完成情况</w:t>
            </w:r>
          </w:p>
        </w:tc>
        <w:tc>
          <w:tcPr>
            <w:tcW w:w="1338" w:type="dxa"/>
            <w:noWrap w:val="0"/>
            <w:vAlign w:val="center"/>
          </w:tcPr>
          <w:p>
            <w:pPr>
              <w:pStyle w:val="2"/>
              <w:numPr>
                <w:ilvl w:val="0"/>
                <w:numId w:val="0"/>
              </w:num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验收人员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39" w:type="dxa"/>
            <w:noWrap w:val="0"/>
            <w:vAlign w:val="top"/>
          </w:tcPr>
          <w:p>
            <w:pPr>
              <w:pStyle w:val="2"/>
              <w:numPr>
                <w:ilvl w:val="0"/>
                <w:numId w:val="0"/>
              </w:numPr>
              <w:rPr>
                <w:rFonts w:hint="eastAsia"/>
                <w:vertAlign w:val="baseline"/>
                <w:lang w:val="en-US" w:eastAsia="zh-CN"/>
              </w:rPr>
            </w:pPr>
          </w:p>
        </w:tc>
        <w:tc>
          <w:tcPr>
            <w:tcW w:w="1264" w:type="dxa"/>
            <w:noWrap w:val="0"/>
            <w:vAlign w:val="top"/>
          </w:tcPr>
          <w:p>
            <w:pPr>
              <w:pStyle w:val="2"/>
              <w:numPr>
                <w:ilvl w:val="0"/>
                <w:numId w:val="0"/>
              </w:numPr>
              <w:rPr>
                <w:rFonts w:hint="eastAsia"/>
                <w:vertAlign w:val="baseline"/>
                <w:lang w:val="en-US" w:eastAsia="zh-CN"/>
              </w:rPr>
            </w:pPr>
          </w:p>
        </w:tc>
        <w:tc>
          <w:tcPr>
            <w:tcW w:w="1020" w:type="dxa"/>
            <w:noWrap w:val="0"/>
            <w:vAlign w:val="top"/>
          </w:tcPr>
          <w:p>
            <w:pPr>
              <w:pStyle w:val="2"/>
              <w:numPr>
                <w:ilvl w:val="0"/>
                <w:numId w:val="0"/>
              </w:numPr>
              <w:rPr>
                <w:rFonts w:hint="eastAsia"/>
                <w:vertAlign w:val="baseline"/>
                <w:lang w:val="en-US" w:eastAsia="zh-CN"/>
              </w:rPr>
            </w:pPr>
          </w:p>
        </w:tc>
        <w:tc>
          <w:tcPr>
            <w:tcW w:w="1889" w:type="dxa"/>
            <w:noWrap w:val="0"/>
            <w:vAlign w:val="top"/>
          </w:tcPr>
          <w:p>
            <w:pPr>
              <w:pStyle w:val="2"/>
              <w:numPr>
                <w:ilvl w:val="0"/>
                <w:numId w:val="0"/>
              </w:numPr>
              <w:rPr>
                <w:rFonts w:hint="eastAsia" w:ascii="宋体" w:hAnsi="宋体" w:eastAsia="宋体" w:cs="宋体"/>
                <w:vertAlign w:val="baseline"/>
                <w:lang w:val="en-US" w:eastAsia="zh-CN"/>
              </w:rPr>
            </w:pPr>
          </w:p>
        </w:tc>
        <w:tc>
          <w:tcPr>
            <w:tcW w:w="1533" w:type="dxa"/>
            <w:noWrap w:val="0"/>
            <w:vAlign w:val="top"/>
          </w:tcPr>
          <w:p>
            <w:pPr>
              <w:pStyle w:val="2"/>
              <w:numPr>
                <w:ilvl w:val="0"/>
                <w:numId w:val="0"/>
              </w:numPr>
              <w:rPr>
                <w:rFonts w:hint="eastAsia" w:ascii="宋体" w:hAnsi="宋体" w:eastAsia="宋体" w:cs="宋体"/>
                <w:vertAlign w:val="baseline"/>
                <w:lang w:val="en-US" w:eastAsia="zh-CN"/>
              </w:rPr>
            </w:pPr>
          </w:p>
        </w:tc>
        <w:tc>
          <w:tcPr>
            <w:tcW w:w="1237" w:type="dxa"/>
            <w:noWrap w:val="0"/>
            <w:vAlign w:val="top"/>
          </w:tcPr>
          <w:p>
            <w:pPr>
              <w:pStyle w:val="2"/>
              <w:numPr>
                <w:ilvl w:val="0"/>
                <w:numId w:val="0"/>
              </w:numPr>
              <w:rPr>
                <w:rFonts w:hint="eastAsia" w:ascii="宋体" w:hAnsi="宋体" w:eastAsia="宋体" w:cs="宋体"/>
                <w:vertAlign w:val="baseline"/>
                <w:lang w:val="en-US" w:eastAsia="zh-CN"/>
              </w:rPr>
            </w:pPr>
          </w:p>
        </w:tc>
        <w:tc>
          <w:tcPr>
            <w:tcW w:w="1184" w:type="dxa"/>
            <w:noWrap w:val="0"/>
            <w:vAlign w:val="top"/>
          </w:tcPr>
          <w:p>
            <w:pPr>
              <w:pStyle w:val="2"/>
              <w:numPr>
                <w:ilvl w:val="0"/>
                <w:numId w:val="0"/>
              </w:numPr>
              <w:rPr>
                <w:rFonts w:hint="eastAsia" w:ascii="宋体" w:hAnsi="宋体" w:eastAsia="宋体" w:cs="宋体"/>
                <w:vertAlign w:val="baseline"/>
                <w:lang w:val="en-US" w:eastAsia="zh-CN"/>
              </w:rPr>
            </w:pPr>
          </w:p>
        </w:tc>
        <w:tc>
          <w:tcPr>
            <w:tcW w:w="1123" w:type="dxa"/>
            <w:noWrap w:val="0"/>
            <w:vAlign w:val="top"/>
          </w:tcPr>
          <w:p>
            <w:pPr>
              <w:pStyle w:val="2"/>
              <w:numPr>
                <w:ilvl w:val="0"/>
                <w:numId w:val="0"/>
              </w:numPr>
              <w:rPr>
                <w:rFonts w:hint="eastAsia" w:ascii="宋体" w:hAnsi="宋体" w:eastAsia="宋体" w:cs="宋体"/>
                <w:vertAlign w:val="baseline"/>
                <w:lang w:val="en-US" w:eastAsia="zh-CN"/>
              </w:rPr>
            </w:pPr>
          </w:p>
        </w:tc>
        <w:tc>
          <w:tcPr>
            <w:tcW w:w="1254" w:type="dxa"/>
            <w:noWrap w:val="0"/>
            <w:vAlign w:val="top"/>
          </w:tcPr>
          <w:p>
            <w:pPr>
              <w:pStyle w:val="2"/>
              <w:numPr>
                <w:ilvl w:val="0"/>
                <w:numId w:val="0"/>
              </w:numPr>
              <w:rPr>
                <w:rFonts w:hint="eastAsia" w:ascii="宋体" w:hAnsi="宋体" w:eastAsia="宋体" w:cs="宋体"/>
                <w:vertAlign w:val="baseline"/>
                <w:lang w:val="en-US" w:eastAsia="zh-CN"/>
              </w:rPr>
            </w:pPr>
          </w:p>
        </w:tc>
        <w:tc>
          <w:tcPr>
            <w:tcW w:w="1012" w:type="dxa"/>
            <w:noWrap w:val="0"/>
            <w:vAlign w:val="top"/>
          </w:tcPr>
          <w:p>
            <w:pPr>
              <w:pStyle w:val="2"/>
              <w:numPr>
                <w:ilvl w:val="0"/>
                <w:numId w:val="0"/>
              </w:numPr>
              <w:rPr>
                <w:rFonts w:hint="eastAsia" w:ascii="宋体" w:hAnsi="宋体" w:eastAsia="宋体" w:cs="宋体"/>
                <w:vertAlign w:val="baseline"/>
                <w:lang w:val="en-US" w:eastAsia="zh-CN"/>
              </w:rPr>
            </w:pPr>
          </w:p>
        </w:tc>
        <w:tc>
          <w:tcPr>
            <w:tcW w:w="1338" w:type="dxa"/>
            <w:noWrap w:val="0"/>
            <w:vAlign w:val="top"/>
          </w:tcPr>
          <w:p>
            <w:pPr>
              <w:pStyle w:val="2"/>
              <w:numPr>
                <w:ilvl w:val="0"/>
                <w:numId w:val="0"/>
              </w:numPr>
              <w:rPr>
                <w:rFonts w:hint="eastAsia" w:ascii="宋体" w:hAnsi="宋体" w:eastAsia="宋体" w:cs="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39" w:type="dxa"/>
            <w:noWrap w:val="0"/>
            <w:vAlign w:val="top"/>
          </w:tcPr>
          <w:p>
            <w:pPr>
              <w:pStyle w:val="2"/>
              <w:numPr>
                <w:ilvl w:val="0"/>
                <w:numId w:val="0"/>
              </w:numPr>
              <w:rPr>
                <w:rFonts w:hint="eastAsia"/>
                <w:vertAlign w:val="baseline"/>
                <w:lang w:val="en-US" w:eastAsia="zh-CN"/>
              </w:rPr>
            </w:pPr>
          </w:p>
        </w:tc>
        <w:tc>
          <w:tcPr>
            <w:tcW w:w="1264" w:type="dxa"/>
            <w:noWrap w:val="0"/>
            <w:vAlign w:val="top"/>
          </w:tcPr>
          <w:p>
            <w:pPr>
              <w:pStyle w:val="2"/>
              <w:numPr>
                <w:ilvl w:val="0"/>
                <w:numId w:val="0"/>
              </w:numPr>
              <w:rPr>
                <w:rFonts w:hint="eastAsia"/>
                <w:vertAlign w:val="baseline"/>
                <w:lang w:val="en-US" w:eastAsia="zh-CN"/>
              </w:rPr>
            </w:pPr>
          </w:p>
        </w:tc>
        <w:tc>
          <w:tcPr>
            <w:tcW w:w="1020" w:type="dxa"/>
            <w:noWrap w:val="0"/>
            <w:vAlign w:val="top"/>
          </w:tcPr>
          <w:p>
            <w:pPr>
              <w:pStyle w:val="2"/>
              <w:numPr>
                <w:ilvl w:val="0"/>
                <w:numId w:val="0"/>
              </w:numPr>
              <w:rPr>
                <w:rFonts w:hint="eastAsia"/>
                <w:vertAlign w:val="baseline"/>
                <w:lang w:val="en-US" w:eastAsia="zh-CN"/>
              </w:rPr>
            </w:pPr>
          </w:p>
        </w:tc>
        <w:tc>
          <w:tcPr>
            <w:tcW w:w="1889" w:type="dxa"/>
            <w:noWrap w:val="0"/>
            <w:vAlign w:val="top"/>
          </w:tcPr>
          <w:p>
            <w:pPr>
              <w:pStyle w:val="2"/>
              <w:numPr>
                <w:ilvl w:val="0"/>
                <w:numId w:val="0"/>
              </w:numPr>
              <w:rPr>
                <w:rFonts w:hint="eastAsia"/>
                <w:vertAlign w:val="baseline"/>
                <w:lang w:val="en-US" w:eastAsia="zh-CN"/>
              </w:rPr>
            </w:pPr>
          </w:p>
        </w:tc>
        <w:tc>
          <w:tcPr>
            <w:tcW w:w="1533" w:type="dxa"/>
            <w:noWrap w:val="0"/>
            <w:vAlign w:val="top"/>
          </w:tcPr>
          <w:p>
            <w:pPr>
              <w:pStyle w:val="2"/>
              <w:numPr>
                <w:ilvl w:val="0"/>
                <w:numId w:val="0"/>
              </w:numPr>
              <w:rPr>
                <w:rFonts w:hint="eastAsia"/>
                <w:vertAlign w:val="baseline"/>
                <w:lang w:val="en-US" w:eastAsia="zh-CN"/>
              </w:rPr>
            </w:pPr>
          </w:p>
        </w:tc>
        <w:tc>
          <w:tcPr>
            <w:tcW w:w="1237" w:type="dxa"/>
            <w:noWrap w:val="0"/>
            <w:vAlign w:val="top"/>
          </w:tcPr>
          <w:p>
            <w:pPr>
              <w:pStyle w:val="2"/>
              <w:numPr>
                <w:ilvl w:val="0"/>
                <w:numId w:val="0"/>
              </w:numPr>
              <w:rPr>
                <w:rFonts w:hint="eastAsia"/>
                <w:vertAlign w:val="baseline"/>
                <w:lang w:val="en-US" w:eastAsia="zh-CN"/>
              </w:rPr>
            </w:pPr>
          </w:p>
        </w:tc>
        <w:tc>
          <w:tcPr>
            <w:tcW w:w="1184" w:type="dxa"/>
            <w:noWrap w:val="0"/>
            <w:vAlign w:val="top"/>
          </w:tcPr>
          <w:p>
            <w:pPr>
              <w:pStyle w:val="2"/>
              <w:numPr>
                <w:ilvl w:val="0"/>
                <w:numId w:val="0"/>
              </w:numPr>
              <w:rPr>
                <w:rFonts w:hint="eastAsia"/>
                <w:vertAlign w:val="baseline"/>
                <w:lang w:val="en-US" w:eastAsia="zh-CN"/>
              </w:rPr>
            </w:pPr>
          </w:p>
        </w:tc>
        <w:tc>
          <w:tcPr>
            <w:tcW w:w="1123" w:type="dxa"/>
            <w:noWrap w:val="0"/>
            <w:vAlign w:val="top"/>
          </w:tcPr>
          <w:p>
            <w:pPr>
              <w:pStyle w:val="2"/>
              <w:numPr>
                <w:ilvl w:val="0"/>
                <w:numId w:val="0"/>
              </w:numPr>
              <w:rPr>
                <w:rFonts w:hint="eastAsia"/>
                <w:vertAlign w:val="baseline"/>
                <w:lang w:val="en-US" w:eastAsia="zh-CN"/>
              </w:rPr>
            </w:pPr>
          </w:p>
        </w:tc>
        <w:tc>
          <w:tcPr>
            <w:tcW w:w="1254" w:type="dxa"/>
            <w:noWrap w:val="0"/>
            <w:vAlign w:val="top"/>
          </w:tcPr>
          <w:p>
            <w:pPr>
              <w:pStyle w:val="2"/>
              <w:numPr>
                <w:ilvl w:val="0"/>
                <w:numId w:val="0"/>
              </w:numPr>
              <w:rPr>
                <w:rFonts w:hint="eastAsia"/>
                <w:vertAlign w:val="baseline"/>
                <w:lang w:val="en-US" w:eastAsia="zh-CN"/>
              </w:rPr>
            </w:pPr>
          </w:p>
        </w:tc>
        <w:tc>
          <w:tcPr>
            <w:tcW w:w="1012" w:type="dxa"/>
            <w:noWrap w:val="0"/>
            <w:vAlign w:val="top"/>
          </w:tcPr>
          <w:p>
            <w:pPr>
              <w:pStyle w:val="2"/>
              <w:numPr>
                <w:ilvl w:val="0"/>
                <w:numId w:val="0"/>
              </w:numPr>
              <w:rPr>
                <w:rFonts w:hint="eastAsia"/>
                <w:vertAlign w:val="baseline"/>
                <w:lang w:val="en-US" w:eastAsia="zh-CN"/>
              </w:rPr>
            </w:pPr>
          </w:p>
        </w:tc>
        <w:tc>
          <w:tcPr>
            <w:tcW w:w="1338" w:type="dxa"/>
            <w:noWrap w:val="0"/>
            <w:vAlign w:val="top"/>
          </w:tcPr>
          <w:p>
            <w:pPr>
              <w:pStyle w:val="2"/>
              <w:numPr>
                <w:ilvl w:val="0"/>
                <w:numId w:val="0"/>
              </w:num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39" w:type="dxa"/>
            <w:noWrap w:val="0"/>
            <w:vAlign w:val="top"/>
          </w:tcPr>
          <w:p>
            <w:pPr>
              <w:pStyle w:val="2"/>
              <w:numPr>
                <w:ilvl w:val="0"/>
                <w:numId w:val="0"/>
              </w:numPr>
              <w:rPr>
                <w:rFonts w:hint="eastAsia"/>
                <w:vertAlign w:val="baseline"/>
                <w:lang w:val="en-US" w:eastAsia="zh-CN"/>
              </w:rPr>
            </w:pPr>
          </w:p>
        </w:tc>
        <w:tc>
          <w:tcPr>
            <w:tcW w:w="1264" w:type="dxa"/>
            <w:noWrap w:val="0"/>
            <w:vAlign w:val="top"/>
          </w:tcPr>
          <w:p>
            <w:pPr>
              <w:pStyle w:val="2"/>
              <w:numPr>
                <w:ilvl w:val="0"/>
                <w:numId w:val="0"/>
              </w:numPr>
              <w:rPr>
                <w:rFonts w:hint="eastAsia"/>
                <w:vertAlign w:val="baseline"/>
                <w:lang w:val="en-US" w:eastAsia="zh-CN"/>
              </w:rPr>
            </w:pPr>
          </w:p>
        </w:tc>
        <w:tc>
          <w:tcPr>
            <w:tcW w:w="1020" w:type="dxa"/>
            <w:noWrap w:val="0"/>
            <w:vAlign w:val="top"/>
          </w:tcPr>
          <w:p>
            <w:pPr>
              <w:pStyle w:val="2"/>
              <w:numPr>
                <w:ilvl w:val="0"/>
                <w:numId w:val="0"/>
              </w:numPr>
              <w:rPr>
                <w:rFonts w:hint="eastAsia"/>
                <w:vertAlign w:val="baseline"/>
                <w:lang w:val="en-US" w:eastAsia="zh-CN"/>
              </w:rPr>
            </w:pPr>
          </w:p>
        </w:tc>
        <w:tc>
          <w:tcPr>
            <w:tcW w:w="1889" w:type="dxa"/>
            <w:noWrap w:val="0"/>
            <w:vAlign w:val="top"/>
          </w:tcPr>
          <w:p>
            <w:pPr>
              <w:pStyle w:val="2"/>
              <w:numPr>
                <w:ilvl w:val="0"/>
                <w:numId w:val="0"/>
              </w:numPr>
              <w:rPr>
                <w:rFonts w:hint="eastAsia"/>
                <w:vertAlign w:val="baseline"/>
                <w:lang w:val="en-US" w:eastAsia="zh-CN"/>
              </w:rPr>
            </w:pPr>
          </w:p>
        </w:tc>
        <w:tc>
          <w:tcPr>
            <w:tcW w:w="1533" w:type="dxa"/>
            <w:noWrap w:val="0"/>
            <w:vAlign w:val="top"/>
          </w:tcPr>
          <w:p>
            <w:pPr>
              <w:pStyle w:val="2"/>
              <w:numPr>
                <w:ilvl w:val="0"/>
                <w:numId w:val="0"/>
              </w:numPr>
              <w:rPr>
                <w:rFonts w:hint="eastAsia"/>
                <w:vertAlign w:val="baseline"/>
                <w:lang w:val="en-US" w:eastAsia="zh-CN"/>
              </w:rPr>
            </w:pPr>
          </w:p>
        </w:tc>
        <w:tc>
          <w:tcPr>
            <w:tcW w:w="1237" w:type="dxa"/>
            <w:noWrap w:val="0"/>
            <w:vAlign w:val="top"/>
          </w:tcPr>
          <w:p>
            <w:pPr>
              <w:pStyle w:val="2"/>
              <w:numPr>
                <w:ilvl w:val="0"/>
                <w:numId w:val="0"/>
              </w:numPr>
              <w:rPr>
                <w:rFonts w:hint="eastAsia"/>
                <w:vertAlign w:val="baseline"/>
                <w:lang w:val="en-US" w:eastAsia="zh-CN"/>
              </w:rPr>
            </w:pPr>
          </w:p>
        </w:tc>
        <w:tc>
          <w:tcPr>
            <w:tcW w:w="1184" w:type="dxa"/>
            <w:noWrap w:val="0"/>
            <w:vAlign w:val="top"/>
          </w:tcPr>
          <w:p>
            <w:pPr>
              <w:pStyle w:val="2"/>
              <w:numPr>
                <w:ilvl w:val="0"/>
                <w:numId w:val="0"/>
              </w:numPr>
              <w:rPr>
                <w:rFonts w:hint="eastAsia"/>
                <w:vertAlign w:val="baseline"/>
                <w:lang w:val="en-US" w:eastAsia="zh-CN"/>
              </w:rPr>
            </w:pPr>
          </w:p>
        </w:tc>
        <w:tc>
          <w:tcPr>
            <w:tcW w:w="1123" w:type="dxa"/>
            <w:noWrap w:val="0"/>
            <w:vAlign w:val="top"/>
          </w:tcPr>
          <w:p>
            <w:pPr>
              <w:pStyle w:val="2"/>
              <w:numPr>
                <w:ilvl w:val="0"/>
                <w:numId w:val="0"/>
              </w:numPr>
              <w:rPr>
                <w:rFonts w:hint="eastAsia"/>
                <w:vertAlign w:val="baseline"/>
                <w:lang w:val="en-US" w:eastAsia="zh-CN"/>
              </w:rPr>
            </w:pPr>
          </w:p>
        </w:tc>
        <w:tc>
          <w:tcPr>
            <w:tcW w:w="1254" w:type="dxa"/>
            <w:noWrap w:val="0"/>
            <w:vAlign w:val="top"/>
          </w:tcPr>
          <w:p>
            <w:pPr>
              <w:pStyle w:val="2"/>
              <w:numPr>
                <w:ilvl w:val="0"/>
                <w:numId w:val="0"/>
              </w:numPr>
              <w:rPr>
                <w:rFonts w:hint="eastAsia"/>
                <w:vertAlign w:val="baseline"/>
                <w:lang w:val="en-US" w:eastAsia="zh-CN"/>
              </w:rPr>
            </w:pPr>
          </w:p>
        </w:tc>
        <w:tc>
          <w:tcPr>
            <w:tcW w:w="1012" w:type="dxa"/>
            <w:noWrap w:val="0"/>
            <w:vAlign w:val="top"/>
          </w:tcPr>
          <w:p>
            <w:pPr>
              <w:pStyle w:val="2"/>
              <w:numPr>
                <w:ilvl w:val="0"/>
                <w:numId w:val="0"/>
              </w:numPr>
              <w:rPr>
                <w:rFonts w:hint="eastAsia"/>
                <w:vertAlign w:val="baseline"/>
                <w:lang w:val="en-US" w:eastAsia="zh-CN"/>
              </w:rPr>
            </w:pPr>
          </w:p>
        </w:tc>
        <w:tc>
          <w:tcPr>
            <w:tcW w:w="1338" w:type="dxa"/>
            <w:noWrap w:val="0"/>
            <w:vAlign w:val="top"/>
          </w:tcPr>
          <w:p>
            <w:pPr>
              <w:pStyle w:val="2"/>
              <w:numPr>
                <w:ilvl w:val="0"/>
                <w:numId w:val="0"/>
              </w:num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39"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264"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020"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889"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533"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237"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184"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123"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254"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012"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338"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39"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264"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020"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889"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533"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237"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184"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123"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254"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012"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c>
          <w:tcPr>
            <w:tcW w:w="1338" w:type="dxa"/>
            <w:noWrap w:val="0"/>
            <w:vAlign w:val="top"/>
          </w:tcPr>
          <w:p>
            <w:pPr>
              <w:pStyle w:val="2"/>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p>
        </w:tc>
      </w:tr>
    </w:tbl>
    <w:p>
      <w:pPr>
        <w:spacing w:line="62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备注：请各乡镇、县安委会负有监管职责的部门如实填报，需将问题隐患整改前后照片作为佐证资料与此表一并报送</w:t>
      </w:r>
    </w:p>
    <w:p>
      <w:pPr>
        <w:pStyle w:val="2"/>
        <w:widowControl w:val="0"/>
        <w:numPr>
          <w:ilvl w:val="0"/>
          <w:numId w:val="0"/>
        </w:numPr>
        <w:jc w:val="both"/>
        <w:rPr>
          <w:rFonts w:hint="eastAsia" w:ascii="仿宋_GB2312" w:hAnsi="仿宋_GB2312" w:eastAsia="仿宋_GB2312" w:cs="仿宋_GB2312"/>
          <w:sz w:val="24"/>
          <w:szCs w:val="24"/>
          <w:lang w:val="en-US" w:eastAsia="zh-CN"/>
        </w:rPr>
      </w:pPr>
    </w:p>
    <w:p>
      <w:pPr>
        <w:pStyle w:val="2"/>
        <w:widowControl w:val="0"/>
        <w:numPr>
          <w:ilvl w:val="0"/>
          <w:numId w:val="0"/>
        </w:numPr>
        <w:jc w:val="both"/>
        <w:rPr>
          <w:rFonts w:hint="eastAsia" w:ascii="仿宋_GB2312" w:hAnsi="仿宋_GB2312" w:eastAsia="仿宋_GB2312" w:cs="仿宋_GB2312"/>
          <w:sz w:val="24"/>
          <w:szCs w:val="24"/>
          <w:lang w:val="en-US" w:eastAsia="zh-CN"/>
        </w:rPr>
        <w:sectPr>
          <w:pgSz w:w="16838" w:h="11906" w:orient="landscape"/>
          <w:pgMar w:top="1587" w:right="2098" w:bottom="1474" w:left="1984" w:header="851" w:footer="992" w:gutter="0"/>
          <w:pgNumType w:fmt="decimal"/>
          <w:cols w:space="0" w:num="1"/>
          <w:rtlGutter w:val="0"/>
          <w:docGrid w:type="lines" w:linePitch="312" w:charSpace="0"/>
        </w:sect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spacing w:line="520" w:lineRule="exact"/>
        <w:ind w:firstLine="140" w:firstLineChars="50"/>
        <w:rPr>
          <w:rFonts w:hint="default" w:ascii="Times New Roman" w:hAnsi="Times New Roman" w:eastAsia="仿宋_GB2312" w:cs="Times New Roman"/>
          <w:color w:val="000000" w:themeColor="text1"/>
          <w:sz w:val="28"/>
          <w:szCs w:val="28"/>
          <w:u w:val="none"/>
          <w14:textFill>
            <w14:solidFill>
              <w14:schemeClr w14:val="tx1"/>
            </w14:solidFill>
          </w14:textFill>
        </w:rPr>
      </w:pPr>
    </w:p>
    <w:p>
      <w:pPr>
        <w:pStyle w:val="2"/>
        <w:numPr>
          <w:ilvl w:val="0"/>
          <w:numId w:val="0"/>
        </w:numPr>
        <w:ind w:leftChars="0"/>
        <w:rPr>
          <w:rFonts w:hint="default"/>
        </w:rPr>
      </w:pPr>
    </w:p>
    <w:p>
      <w:pPr>
        <w:spacing w:line="520" w:lineRule="exact"/>
        <w:ind w:firstLine="140" w:firstLineChars="50"/>
        <w:rPr>
          <w:rFonts w:hint="default" w:ascii="仿宋_GB2312" w:hAnsi="仿宋_GB2312" w:eastAsia="仿宋_GB2312" w:cs="仿宋_GB2312"/>
          <w:sz w:val="32"/>
          <w:szCs w:val="32"/>
          <w:lang w:val="en-US" w:eastAsia="zh-CN"/>
        </w:rPr>
        <w:sectPr>
          <w:pgSz w:w="11906" w:h="16838"/>
          <w:pgMar w:top="2098" w:right="1474" w:bottom="1984" w:left="1587" w:header="851" w:footer="992" w:gutter="0"/>
          <w:pgNumType w:fmt="decimal"/>
          <w:cols w:space="0" w:num="1"/>
          <w:rtlGutter w:val="0"/>
          <w:docGrid w:type="lines" w:linePitch="312" w:charSpace="0"/>
        </w:sectPr>
      </w:pPr>
      <w:r>
        <w:rPr>
          <w:rFonts w:hint="default" w:ascii="Times New Roman" w:hAnsi="Times New Roman" w:eastAsia="仿宋_GB2312" w:cs="Times New Roman"/>
          <w:color w:val="000000" w:themeColor="text1"/>
          <w:sz w:val="28"/>
          <w:szCs w:val="28"/>
          <w:u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365125</wp:posOffset>
                </wp:positionV>
                <wp:extent cx="5600700" cy="0"/>
                <wp:effectExtent l="0" t="0" r="0" b="0"/>
                <wp:wrapNone/>
                <wp:docPr id="6" name="直线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pt;margin-top:28.75pt;height:0pt;width:441pt;z-index:251660288;mso-width-relative:page;mso-height-relative:page;" filled="f" stroked="t" coordsize="21600,21600" o:gfxdata="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BOJabT&#10;AAAABgEAAA8AAAAAAAAAAQAgAAAAIgAAAGRycy9kb3ducmV2LnhtbFBLAQIUABQAAAAIAIdO4kAc&#10;dZE+7AEAAOkDAAAOAAAAAAAAAAEAIAAAACIBAABkcnMvZTJvRG9jLnhtbFBLBQYAAAAABgAGAFkB&#10;AACA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sz w:val="28"/>
          <w:szCs w:val="28"/>
          <w:u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27940</wp:posOffset>
                </wp:positionV>
                <wp:extent cx="5600700" cy="0"/>
                <wp:effectExtent l="0" t="0" r="0" b="0"/>
                <wp:wrapNone/>
                <wp:docPr id="7" name="直线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0pt;margin-top:2.2pt;height:0pt;width:441pt;z-index:251661312;mso-width-relative:page;mso-height-relative:page;" filled="f" stroked="t" coordsize="21600,21600" o:gfxdata="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zZ0otIA&#10;AAAEAQAADwAAAAAAAAABACAAAAAiAAAAZHJzL2Rvd25yZXYueG1sUEsBAhQAFAAAAAgAh07iQH01&#10;KgzsAQAA6QMAAA4AAAAAAAAAAQAgAAAAIQ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sz w:val="28"/>
          <w:szCs w:val="28"/>
          <w:u w:val="none"/>
          <w14:textFill>
            <w14:solidFill>
              <w14:schemeClr w14:val="tx1"/>
            </w14:solidFill>
          </w14:textFill>
        </w:rPr>
        <w:t xml:space="preserve">蓬溪县安全生产委员会  </w:t>
      </w:r>
      <w:r>
        <w:rPr>
          <w:rFonts w:hint="eastAsia" w:ascii="Times New Roman" w:hAnsi="Times New Roman" w:eastAsia="仿宋_GB2312" w:cs="Times New Roman"/>
          <w:color w:val="000000" w:themeColor="text1"/>
          <w:sz w:val="28"/>
          <w:szCs w:val="28"/>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non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none"/>
          <w14:textFill>
            <w14:solidFill>
              <w14:schemeClr w14:val="tx1"/>
            </w14:solidFill>
          </w14:textFill>
        </w:rPr>
        <w:t xml:space="preserve">  20</w:t>
      </w:r>
      <w:r>
        <w:rPr>
          <w:rFonts w:hint="default" w:ascii="Times New Roman" w:hAnsi="Times New Roman" w:eastAsia="仿宋_GB2312" w:cs="Times New Roman"/>
          <w:color w:val="000000" w:themeColor="text1"/>
          <w:sz w:val="28"/>
          <w:szCs w:val="28"/>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28"/>
          <w:szCs w:val="28"/>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28"/>
          <w:szCs w:val="28"/>
          <w:u w:val="none"/>
          <w14:textFill>
            <w14:solidFill>
              <w14:schemeClr w14:val="tx1"/>
            </w14:solidFill>
          </w14:textFill>
        </w:rPr>
        <w:t>年</w:t>
      </w:r>
      <w:r>
        <w:rPr>
          <w:rFonts w:hint="eastAsia" w:ascii="Times New Roman" w:hAnsi="Times New Roman" w:eastAsia="仿宋_GB2312" w:cs="Times New Roman"/>
          <w:color w:val="000000" w:themeColor="text1"/>
          <w:sz w:val="28"/>
          <w:szCs w:val="28"/>
          <w:u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28"/>
          <w:szCs w:val="28"/>
          <w:u w:val="none"/>
          <w14:textFill>
            <w14:solidFill>
              <w14:schemeClr w14:val="tx1"/>
            </w14:solidFill>
          </w14:textFill>
        </w:rPr>
        <w:t>月</w:t>
      </w:r>
      <w:r>
        <w:rPr>
          <w:rFonts w:hint="eastAsia" w:ascii="Times New Roman" w:hAnsi="Times New Roman" w:eastAsia="仿宋_GB2312" w:cs="Times New Roman"/>
          <w:color w:val="000000" w:themeColor="text1"/>
          <w:sz w:val="28"/>
          <w:szCs w:val="28"/>
          <w:u w:val="none"/>
          <w:lang w:val="en-US" w:eastAsia="zh-CN"/>
          <w14:textFill>
            <w14:solidFill>
              <w14:schemeClr w14:val="tx1"/>
            </w14:solidFill>
          </w14:textFill>
        </w:rPr>
        <w:t>14</w:t>
      </w:r>
      <w:r>
        <w:rPr>
          <w:rFonts w:hint="default" w:ascii="Times New Roman" w:hAnsi="Times New Roman" w:eastAsia="仿宋_GB2312" w:cs="Times New Roman"/>
          <w:color w:val="000000" w:themeColor="text1"/>
          <w:sz w:val="28"/>
          <w:szCs w:val="28"/>
          <w:u w:val="none"/>
          <w14:textFill>
            <w14:solidFill>
              <w14:schemeClr w14:val="tx1"/>
            </w14:solidFill>
          </w14:textFill>
        </w:rPr>
        <w:t>日印发</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1A460"/>
    <w:multiLevelType w:val="singleLevel"/>
    <w:tmpl w:val="3071A460"/>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B2E87"/>
    <w:rsid w:val="05802C2A"/>
    <w:rsid w:val="09FE7947"/>
    <w:rsid w:val="0DF14586"/>
    <w:rsid w:val="0F284DE3"/>
    <w:rsid w:val="17F64161"/>
    <w:rsid w:val="1D1B2E87"/>
    <w:rsid w:val="22715A41"/>
    <w:rsid w:val="5835333E"/>
    <w:rsid w:val="5F680598"/>
    <w:rsid w:val="641E0660"/>
    <w:rsid w:val="75453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9108</Words>
  <Characters>9177</Characters>
  <Lines>0</Lines>
  <Paragraphs>0</Paragraphs>
  <TotalTime>13</TotalTime>
  <ScaleCrop>false</ScaleCrop>
  <LinksUpToDate>false</LinksUpToDate>
  <CharactersWithSpaces>9425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2021-09-15T07:15:00Z</dcterms:created>
  <dc:creator>要得</dc:creator>
  <cp:lastModifiedBy>lenovo12</cp:lastModifiedBy>
  <dcterms:modified xsi:type="dcterms:W3CDTF">2021-09-16T01:46:41Z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01AD5B22D007444AB7AA6165B2F4543C</vt:lpwstr>
  </property>
</Properties>
</file>