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bCs/>
          <w:color w:val="auto"/>
          <w:spacing w:val="0"/>
          <w:sz w:val="44"/>
          <w:szCs w:val="44"/>
          <w:lang w:val="en-US" w:eastAsia="zh-CN"/>
        </w:rPr>
        <w:t>蓬溪县槐花镇法定行政权力事项清单</w:t>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rPr>
      </w:pPr>
    </w:p>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对在乡（镇）、村规划区域内使用原有宅基地、村内空闲地进行住宅建设的许可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0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对在村庄、集镇规划区内，村民未经批准或者违反村镇规划修建住宅的处罚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799"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419" w:type="dxa"/>
        <w:jc w:val="center"/>
        <w:tblInd w:w="0" w:type="dxa"/>
        <w:tblLayout w:type="fixed"/>
        <w:tblCellMar>
          <w:top w:w="0" w:type="dxa"/>
          <w:left w:w="108" w:type="dxa"/>
          <w:bottom w:w="0" w:type="dxa"/>
          <w:right w:w="108" w:type="dxa"/>
        </w:tblCellMar>
      </w:tblPr>
      <w:tblGrid>
        <w:gridCol w:w="1461"/>
        <w:gridCol w:w="6958"/>
      </w:tblGrid>
      <w:tr>
        <w:tblPrEx>
          <w:tblLayout w:type="fixed"/>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Layout w:type="fixed"/>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Layout w:type="fixed"/>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对在依法划定的电力设施保护区内修 建建筑物、构筑物或者种植植物、堆放物品，危及电力设施安全的强制拆除、砍伐或者清除</w:t>
            </w:r>
          </w:p>
        </w:tc>
      </w:tr>
      <w:tr>
        <w:tblPrEx>
          <w:tblLayout w:type="fixed"/>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Layout w:type="fixed"/>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419" w:type="dxa"/>
        <w:jc w:val="center"/>
        <w:tblInd w:w="0" w:type="dxa"/>
        <w:tblLayout w:type="fixed"/>
        <w:tblCellMar>
          <w:top w:w="0" w:type="dxa"/>
          <w:left w:w="108" w:type="dxa"/>
          <w:bottom w:w="0" w:type="dxa"/>
          <w:right w:w="108" w:type="dxa"/>
        </w:tblCellMar>
      </w:tblPr>
      <w:tblGrid>
        <w:gridCol w:w="1461"/>
        <w:gridCol w:w="6958"/>
      </w:tblGrid>
      <w:tr>
        <w:tblPrEx>
          <w:tblLayout w:type="fixed"/>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Layout w:type="fixed"/>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Layout w:type="fixed"/>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对非法种植毒品原植物的强制制止、铲除</w:t>
            </w:r>
          </w:p>
        </w:tc>
      </w:tr>
      <w:tr>
        <w:tblPrEx>
          <w:tblLayout w:type="fixed"/>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Layout w:type="fixed"/>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419" w:type="dxa"/>
        <w:jc w:val="center"/>
        <w:tblInd w:w="0" w:type="dxa"/>
        <w:tblLayout w:type="fixed"/>
        <w:tblCellMar>
          <w:top w:w="0" w:type="dxa"/>
          <w:left w:w="108" w:type="dxa"/>
          <w:bottom w:w="0" w:type="dxa"/>
          <w:right w:w="108" w:type="dxa"/>
        </w:tblCellMar>
      </w:tblPr>
      <w:tblGrid>
        <w:gridCol w:w="1461"/>
        <w:gridCol w:w="6958"/>
      </w:tblGrid>
      <w:tr>
        <w:tblPrEx>
          <w:tblLayout w:type="fixed"/>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Layout w:type="fixed"/>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Layout w:type="fixed"/>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对受到地质灾害威胁且情况紧急时的强制避灾疏散</w:t>
            </w:r>
          </w:p>
        </w:tc>
      </w:tr>
      <w:tr>
        <w:tblPrEx>
          <w:tblLayout w:type="fixed"/>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Layout w:type="fixed"/>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419" w:type="dxa"/>
        <w:jc w:val="center"/>
        <w:tblInd w:w="0" w:type="dxa"/>
        <w:tblLayout w:type="fixed"/>
        <w:tblCellMar>
          <w:top w:w="0" w:type="dxa"/>
          <w:left w:w="108" w:type="dxa"/>
          <w:bottom w:w="0" w:type="dxa"/>
          <w:right w:w="108" w:type="dxa"/>
        </w:tblCellMar>
      </w:tblPr>
      <w:tblGrid>
        <w:gridCol w:w="1461"/>
        <w:gridCol w:w="6958"/>
      </w:tblGrid>
      <w:tr>
        <w:tblPrEx>
          <w:tblLayout w:type="fixed"/>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blPrEx>
          <w:tblLayout w:type="fixed"/>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Layout w:type="fixed"/>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对在乡、村庄规划区内未依法取得乡村建设规划许可证或者未按照乡村建设规划许可证的规定进行建设的，逾期不改正的强制拆除</w:t>
            </w:r>
          </w:p>
        </w:tc>
      </w:tr>
      <w:tr>
        <w:tblPrEx>
          <w:tblLayout w:type="fixed"/>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Layout w:type="fixed"/>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419" w:type="dxa"/>
        <w:jc w:val="center"/>
        <w:tblInd w:w="0" w:type="dxa"/>
        <w:tblLayout w:type="fixed"/>
        <w:tblCellMar>
          <w:top w:w="0" w:type="dxa"/>
          <w:left w:w="108" w:type="dxa"/>
          <w:bottom w:w="0" w:type="dxa"/>
          <w:right w:w="108" w:type="dxa"/>
        </w:tblCellMar>
      </w:tblPr>
      <w:tblGrid>
        <w:gridCol w:w="1461"/>
        <w:gridCol w:w="6958"/>
      </w:tblGrid>
      <w:tr>
        <w:tblPrEx>
          <w:tblLayout w:type="fixed"/>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Layout w:type="fixed"/>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行政强制</w:t>
            </w:r>
          </w:p>
        </w:tc>
      </w:tr>
      <w:tr>
        <w:tblPrEx>
          <w:tblLayout w:type="fixed"/>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防汛工作遇到阻拦和拖延时，经批准后，组织强制实施。</w:t>
            </w:r>
          </w:p>
        </w:tc>
      </w:tr>
      <w:tr>
        <w:tblPrEx>
          <w:tblLayout w:type="fixed"/>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Layout w:type="fixed"/>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column"/>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8"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8"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7"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7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0825-5478014</w:t>
            </w:r>
          </w:p>
        </w:tc>
      </w:tr>
    </w:tbl>
    <w:p>
      <w:r>
        <w:br w:type="page"/>
      </w:r>
    </w:p>
    <w:tbl>
      <w:tblPr>
        <w:tblStyle w:val="5"/>
        <w:tblpPr w:leftFromText="180" w:rightFromText="180" w:vertAnchor="text" w:horzAnchor="page" w:tblpX="1830" w:tblpY="466"/>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4"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19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对地质灾害险情的检查</w:t>
            </w:r>
          </w:p>
        </w:tc>
      </w:tr>
      <w:tr>
        <w:tblPrEx>
          <w:tblLayout w:type="fixed"/>
          <w:tblCellMar>
            <w:top w:w="0" w:type="dxa"/>
            <w:left w:w="108" w:type="dxa"/>
            <w:bottom w:w="0" w:type="dxa"/>
            <w:right w:w="108" w:type="dxa"/>
          </w:tblCellMar>
        </w:tblPrEx>
        <w:trPr>
          <w:trHeight w:val="80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地质灾害险情</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对环境保护隐患的检查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环境保护隐患</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对秸秆禁烧区开展秸秆焚烧现场检查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秸秆禁烧区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对乡（镇）、村农村住房建设质量安全的检查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住房建设质量安全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对水上交通安全的监督检查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水上交通安全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15382" w:type="dxa"/>
        <w:tblInd w:w="125" w:type="dxa"/>
        <w:tblLayout w:type="fixed"/>
        <w:tblCellMar>
          <w:top w:w="0" w:type="dxa"/>
          <w:left w:w="108" w:type="dxa"/>
          <w:bottom w:w="0" w:type="dxa"/>
          <w:right w:w="108" w:type="dxa"/>
        </w:tblCellMar>
      </w:tblPr>
      <w:tblGrid>
        <w:gridCol w:w="1416"/>
        <w:gridCol w:w="6983"/>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对渡口安全的监督检查</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社会治理和应急管理办公室</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b w:val="0"/>
                <w:bCs w:val="0"/>
                <w:kern w:val="0"/>
                <w:sz w:val="28"/>
                <w:szCs w:val="28"/>
                <w:lang w:val="en-US" w:eastAsia="zh-CN" w:bidi="ar"/>
              </w:rPr>
            </w:pP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渡口安全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i w:val="0"/>
                <w:color w:val="auto"/>
                <w:kern w:val="0"/>
                <w:sz w:val="28"/>
                <w:szCs w:val="28"/>
                <w:highlight w:val="none"/>
                <w:u w:val="none"/>
                <w:lang w:val="en-US" w:eastAsia="zh-CN" w:bidi="ar"/>
              </w:rPr>
              <w:t>对水库大坝的监督检查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水库大坝</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对流动人口用人单位计划生育工作的监督检查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流动人口用人单位计划生育工作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对预防控制狂犬病工作的督促检查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预防控制狂犬病工作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对生产经营单位安全生产状况的监督检查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生产经营单位安全生产状况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对食品安全的监督检查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食品安全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配合开展电信设施建设和保护工作的监督检查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配合开展电信设施建设和保护工作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行政检查</w:t>
            </w:r>
          </w:p>
        </w:tc>
      </w:tr>
      <w:tr>
        <w:tblPrEx>
          <w:tblLayout w:type="fixed"/>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对消防安全的检查</w:t>
            </w:r>
          </w:p>
        </w:tc>
      </w:tr>
      <w:tr>
        <w:tblPrEx>
          <w:tblLayout w:type="fixed"/>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消防安全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default" w:ascii="宋体" w:hAnsi="宋体" w:eastAsia="宋体" w:cs="宋体"/>
                <w:i w:val="0"/>
                <w:color w:val="auto"/>
                <w:kern w:val="0"/>
                <w:sz w:val="28"/>
                <w:szCs w:val="28"/>
                <w:highlight w:val="none"/>
                <w:u w:val="none"/>
                <w:lang w:val="en-US" w:eastAsia="zh-CN" w:bidi="ar"/>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default"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b w:val="0"/>
                <w:bCs w:val="0"/>
                <w:kern w:val="0"/>
                <w:sz w:val="28"/>
                <w:szCs w:val="28"/>
                <w:lang w:val="en-US" w:eastAsia="zh-CN" w:bidi="ar"/>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对在军人抚恤优待工作中作出显著成绩的单位和个人的表彰奖励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对在促进就业工作中作出显著成绩的单位和个人的表彰奖励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r>
        <w:br w:type="page"/>
      </w:r>
    </w:p>
    <w:p>
      <w:pPr>
        <w:pStyle w:val="3"/>
      </w:pPr>
    </w:p>
    <w:p>
      <w:pPr>
        <w:pStyle w:val="3"/>
        <w:jc w:val="both"/>
        <w:rPr>
          <w:rFonts w:hint="default"/>
          <w:lang w:val="en-US"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5"/>
        <w:tblW w:w="81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5"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rPr>
      </w:pPr>
    </w:p>
    <w:tbl>
      <w:tblPr>
        <w:tblStyle w:val="5"/>
        <w:tblW w:w="81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5"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5"/>
        <w:tblW w:w="81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2"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2"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3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rPr>
      </w:pPr>
    </w:p>
    <w:tbl>
      <w:tblPr>
        <w:tblStyle w:val="5"/>
        <w:tblW w:w="8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ascii="宋体" w:hAnsi="宋体" w:eastAsia="宋体" w:cs="宋体"/>
          <w:color w:val="auto"/>
          <w:sz w:val="21"/>
          <w:szCs w:val="21"/>
          <w:highlight w:val="none"/>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9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61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17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5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9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2"/>
        <w:rPr>
          <w:rFonts w:hint="eastAsia"/>
        </w:rPr>
      </w:pPr>
    </w:p>
    <w:p>
      <w:pPr>
        <w:rPr>
          <w:rFonts w:hint="eastAsia" w:ascii="黑体" w:hAnsi="黑体" w:eastAsia="黑体" w:cs="黑体"/>
          <w:color w:val="auto"/>
          <w:sz w:val="32"/>
          <w:szCs w:val="32"/>
          <w:highlight w:val="none"/>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00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22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3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12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46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103"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38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90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26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27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jc w:val="both"/>
        <w:rPr>
          <w:rFonts w:hint="eastAsia"/>
          <w:lang w:eastAsia="zh-CN"/>
        </w:rPr>
      </w:pPr>
    </w:p>
    <w:p>
      <w:pPr>
        <w:pStyle w:val="3"/>
        <w:rPr>
          <w:rFonts w:hint="eastAsia"/>
          <w:lang w:eastAsia="zh-CN"/>
        </w:rPr>
      </w:pP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70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6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96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26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56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lang w:eastAsia="zh-CN"/>
        </w:rPr>
      </w:pPr>
    </w:p>
    <w:p>
      <w:pPr>
        <w:pStyle w:val="3"/>
        <w:rPr>
          <w:rFonts w:hint="eastAsia"/>
          <w:lang w:eastAsia="zh-CN"/>
        </w:rPr>
      </w:pP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44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425"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339"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503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lang w:eastAsia="zh-CN"/>
        </w:rPr>
      </w:pPr>
    </w:p>
    <w:p>
      <w:pPr>
        <w:rPr>
          <w:rFonts w:hint="eastAsia"/>
          <w:lang w:eastAsia="zh-CN"/>
        </w:rPr>
      </w:pPr>
      <w:r>
        <w:rPr>
          <w:rFonts w:hint="eastAsia"/>
          <w:lang w:eastAsia="zh-CN"/>
        </w:rPr>
        <w:br w:type="page"/>
      </w:r>
    </w:p>
    <w:p>
      <w:pPr>
        <w:pStyle w:val="3"/>
        <w:rPr>
          <w:rFonts w:hint="eastAsia"/>
          <w:lang w:eastAsia="zh-CN"/>
        </w:rPr>
      </w:pPr>
    </w:p>
    <w:p>
      <w:pPr>
        <w:rPr>
          <w:rFonts w:hint="eastAsia" w:ascii="黑体" w:hAnsi="黑体" w:eastAsia="黑体" w:cs="黑体"/>
          <w:color w:val="auto"/>
          <w:sz w:val="32"/>
          <w:szCs w:val="32"/>
          <w:highlight w:val="none"/>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r>
        <w:rPr>
          <w:rFonts w:hint="eastAsia"/>
          <w:lang w:eastAsia="zh-CN"/>
        </w:rPr>
        <w:br w:type="page"/>
      </w: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r>
        <w:rPr>
          <w:rFonts w:hint="eastAsia"/>
          <w:lang w:eastAsia="zh-CN"/>
        </w:rPr>
        <w:br w:type="page"/>
      </w:r>
    </w:p>
    <w:p>
      <w:pPr>
        <w:rPr>
          <w:rFonts w:hint="eastAsia"/>
          <w:lang w:eastAsia="zh-CN"/>
        </w:rPr>
      </w:pP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lang w:eastAsia="zh-CN"/>
        </w:rPr>
      </w:pPr>
    </w:p>
    <w:p>
      <w:pPr>
        <w:pStyle w:val="3"/>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lang w:eastAsia="zh-CN"/>
        </w:rPr>
      </w:pPr>
    </w:p>
    <w:p>
      <w:pPr>
        <w:pStyle w:val="3"/>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r>
        <w:rPr>
          <w:rFonts w:hint="eastAsia"/>
          <w:lang w:eastAsia="zh-CN"/>
        </w:rPr>
        <w:br w:type="page"/>
      </w:r>
    </w:p>
    <w:p>
      <w:pPr>
        <w:pStyle w:val="2"/>
        <w:rPr>
          <w:rFonts w:hint="eastAsia"/>
          <w:lang w:eastAsia="zh-CN"/>
        </w:rPr>
      </w:pP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lang w:eastAsia="zh-CN"/>
        </w:rPr>
      </w:pP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lang w:eastAsia="zh-CN"/>
        </w:rPr>
      </w:pPr>
    </w:p>
    <w:p>
      <w:pPr>
        <w:rPr>
          <w:rFonts w:hint="eastAsia"/>
          <w:lang w:eastAsia="zh-CN"/>
        </w:rPr>
      </w:pPr>
      <w:r>
        <w:rPr>
          <w:rFonts w:hint="eastAsia"/>
          <w:lang w:eastAsia="zh-CN"/>
        </w:rPr>
        <w:br w:type="page"/>
      </w:r>
    </w:p>
    <w:p>
      <w:pPr>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lang w:eastAsia="zh-CN"/>
        </w:rPr>
      </w:pP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jc w:val="both"/>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rPr>
      </w:pPr>
    </w:p>
    <w:p>
      <w:pPr>
        <w:pStyle w:val="3"/>
        <w:rPr>
          <w:rFonts w:hint="eastAsia"/>
        </w:rPr>
      </w:pPr>
      <w:r>
        <w:rPr>
          <w:rFonts w:hint="eastAsia"/>
        </w:rPr>
        <w:br w:type="column"/>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r>
        <w:rPr>
          <w:rFonts w:hint="eastAsia"/>
        </w:rPr>
        <w:br w:type="page"/>
      </w:r>
    </w:p>
    <w:p>
      <w:pPr>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rPr>
      </w:pPr>
    </w:p>
    <w:p>
      <w:pPr>
        <w:rPr>
          <w:rFonts w:hint="eastAsia"/>
        </w:rPr>
      </w:pPr>
      <w:r>
        <w:rPr>
          <w:rFonts w:hint="eastAsia"/>
        </w:rPr>
        <w:br w:type="page"/>
      </w: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rPr>
          <w:rFonts w:hint="eastAsia"/>
        </w:rPr>
      </w:pPr>
      <w:r>
        <w:rPr>
          <w:rFonts w:hint="eastAsia"/>
        </w:rPr>
        <w:br w:type="page"/>
      </w: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r>
        <w:rPr>
          <w:rFonts w:hint="eastAsia"/>
        </w:rPr>
        <w:br w:type="page"/>
      </w:r>
    </w:p>
    <w:p>
      <w:pPr>
        <w:pStyle w:val="3"/>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r>
        <w:rPr>
          <w:rFonts w:hint="eastAsia"/>
        </w:rPr>
        <w:br w:type="page"/>
      </w:r>
    </w:p>
    <w:p>
      <w:pPr>
        <w:pStyle w:val="3"/>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对不满 16 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r>
        <w:rPr>
          <w:rFonts w:hint="eastAsia"/>
        </w:rPr>
        <w:br w:type="page"/>
      </w:r>
    </w:p>
    <w:p>
      <w:pPr>
        <w:pStyle w:val="3"/>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p>
    <w:p>
      <w:pPr>
        <w:rPr>
          <w:rFonts w:hint="eastAsia"/>
        </w:rPr>
      </w:pPr>
      <w:r>
        <w:rPr>
          <w:rFonts w:hint="eastAsia"/>
        </w:rPr>
        <w:br w:type="page"/>
      </w: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pStyle w:val="3"/>
        <w:rPr>
          <w:rFonts w:hint="eastAsia"/>
        </w:rPr>
      </w:pPr>
    </w:p>
    <w:p>
      <w:pPr>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Pr>
        <w:rPr>
          <w:rFonts w:hint="eastAsia"/>
        </w:rPr>
      </w:pPr>
      <w:r>
        <w:rPr>
          <w:rFonts w:hint="eastAsia"/>
        </w:rPr>
        <w:br w:type="page"/>
      </w:r>
    </w:p>
    <w:p>
      <w:pPr>
        <w:pStyle w:val="3"/>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42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0825-5478014</w:t>
            </w:r>
          </w:p>
        </w:tc>
      </w:tr>
    </w:tbl>
    <w:p/>
    <w:p>
      <w:pPr>
        <w:spacing w:line="300" w:lineRule="exact"/>
        <w:jc w:val="both"/>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spacing w:val="-20"/>
          <w:sz w:val="44"/>
          <w:szCs w:val="44"/>
        </w:rPr>
        <w:t>蓬溪县赋予乡镇(街道)县级行政权力事项清单</w:t>
      </w:r>
    </w:p>
    <w:p>
      <w:pPr>
        <w:pStyle w:val="2"/>
        <w:rPr>
          <w:rFonts w:hint="eastAsia"/>
          <w:lang w:val="en-US" w:eastAsia="zh-CN"/>
        </w:rPr>
      </w:pPr>
      <w:bookmarkStart w:id="0" w:name="_GoBack"/>
      <w:bookmarkEnd w:id="0"/>
    </w:p>
    <w:tbl>
      <w:tblPr>
        <w:tblStyle w:val="5"/>
        <w:tblW w:w="8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tbl>
      <w:tblPr>
        <w:tblStyle w:val="5"/>
        <w:tblW w:w="8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5"/>
        <w:tblW w:w="8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lang w:val="en-US" w:eastAsia="zh-CN"/>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jc w:val="both"/>
        <w:rPr>
          <w:rFonts w:hint="eastAsia"/>
          <w:lang w:val="en-US"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2</w:t>
      </w:r>
    </w:p>
    <w:p>
      <w:pPr>
        <w:pStyle w:val="3"/>
        <w:rPr>
          <w:rFonts w:hint="eastAsia"/>
          <w:lang w:val="en-US" w:eastAsia="zh-CN"/>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对养老机构的监督检查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敬老院</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3"/>
        <w:rPr>
          <w:rFonts w:hint="eastAsia"/>
        </w:rPr>
      </w:pPr>
    </w:p>
    <w:p>
      <w:pPr>
        <w:spacing w:line="300" w:lineRule="exact"/>
        <w:jc w:val="both"/>
        <w:rPr>
          <w:rFonts w:hint="eastAsia" w:ascii="黑体" w:hAnsi="黑体" w:eastAsia="黑体" w:cs="黑体"/>
          <w:color w:val="auto"/>
          <w:sz w:val="32"/>
          <w:szCs w:val="32"/>
          <w:highlight w:val="none"/>
        </w:rPr>
      </w:pPr>
    </w:p>
    <w:p>
      <w:pPr>
        <w:pStyle w:val="2"/>
        <w:rPr>
          <w:rFonts w:hint="eastAsia"/>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对重点排污单位环境信息公开活动的监督检查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对从事可能造成土壤污染活动的企业事业单位和其他生产经营者进行的监督检查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养殖场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对排放污染物的企业事业单位和其他生产经营者的监督检查（不含监测）</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对房屋和市政工程施工扬尘的监督检查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房屋和市政工程施工现场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对道路运输及相关业务经营场所、客货集散地的监督检查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客运站</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对道路运输车辆的监督检查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color w:val="auto"/>
                <w:sz w:val="28"/>
                <w:szCs w:val="28"/>
                <w:highlight w:val="none"/>
                <w:lang w:val="en-US" w:eastAsia="zh-CN"/>
              </w:rPr>
              <w:t>对道路运输车辆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对船舶、船员的监督检查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船舶、船员</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1267"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对有关单位、个人或其他组织执行公路管理法律、法规、规章情况进行的监督检查（仅下放对超限运输车辆、公路路产路权的检查）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超限运输车辆、公路路产路权</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水土保持监督检查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辖区</w:t>
            </w:r>
            <w:r>
              <w:rPr>
                <w:rFonts w:hint="eastAsia" w:ascii="宋体" w:hAnsi="宋体" w:eastAsia="宋体" w:cs="宋体"/>
                <w:color w:val="auto"/>
                <w:sz w:val="28"/>
                <w:szCs w:val="28"/>
                <w:highlight w:val="none"/>
                <w:lang w:val="en-US" w:eastAsia="zh-CN"/>
              </w:rPr>
              <w:t>水土保持</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检查督促防洪工程设施的建设和水毁工程的修复</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防洪工程设施的建设和水毁工程的修复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监督检查其他有防汛抗洪任务的部门和单位做好本行业和本单位防汛工作的情况</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XXXX</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对供用水单位的取水、供水和用水情况进行监督检查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供用水单位的取水、供水和用水情况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河道采砂检查（仅下放对村民生活自用河砂开采及使用的检查）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村民生活自用河砂开采及使用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农村饮水安全检查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农村饮水安全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对农产品质量安全的监督检查(不含监督抽查）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b w:val="0"/>
                <w:bCs w:val="0"/>
                <w:sz w:val="28"/>
                <w:szCs w:val="28"/>
                <w:lang w:val="en-US" w:eastAsia="zh-CN"/>
              </w:rPr>
              <w:t>对农产品质量安全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对农产品地理标志的地域范围、标志使用的监督检查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农产品地理标志的地域范围、标志使用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对农药生产、经营、使用场所进行检查（不含对农药实施抽查检测）</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农药生产、经营、使用场所</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对动物防疫的监督检查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动物防疫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对生猪屠宰活动的监督检查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生猪屠宰活动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对绿色食品及绿色食品标志的监督检查（不含监督抽查）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绿色食品及绿色食品标志</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对农业机械的安全监督检查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农业机械的安全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default" w:ascii="宋体" w:hAnsi="宋体" w:eastAsia="宋体" w:cs="宋体"/>
                <w:color w:val="auto"/>
                <w:sz w:val="28"/>
                <w:szCs w:val="28"/>
                <w:highlight w:val="none"/>
                <w:lang w:val="en-US" w:eastAsia="zh-CN"/>
              </w:rPr>
              <w:t>对兽药的监督检查（仅下放对兽药经营企业的监督检查）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兽药经营企业</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对渔业及渔业船舶的监督检查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渔业及渔业船舶</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对经营利用水生野生动物及其产品、捕捉国家重点保护的水生野生动物的监督检查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经营利用水生野生动物及其产品、捕捉国家重点保护的水生野生动物</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29</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植物检疫检查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植物检疫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30</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对违反农村宅基地管理法律、法规行为的监督检查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违反农村宅基地管理法律、法规行为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森林防火检查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森林防火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对宗教活动场所内的文物保护单位的行政检查</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党建工作办公室</w:t>
            </w:r>
          </w:p>
        </w:tc>
      </w:tr>
      <w:tr>
        <w:tblPrEx>
          <w:tblLayout w:type="fixed"/>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宗教活动场所内的文物保护单位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spacing w:line="30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3</w:t>
      </w: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对环境保护工作有重要推动作用的信访人的表扬或者奖励</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5"/>
        <w:tblW w:w="8399" w:type="dxa"/>
        <w:tblInd w:w="125" w:type="dxa"/>
        <w:tblLayout w:type="fixed"/>
        <w:tblCellMar>
          <w:top w:w="0" w:type="dxa"/>
          <w:left w:w="108" w:type="dxa"/>
          <w:bottom w:w="0" w:type="dxa"/>
          <w:right w:w="108" w:type="dxa"/>
        </w:tblCellMar>
      </w:tblPr>
      <w:tblGrid>
        <w:gridCol w:w="1416"/>
        <w:gridCol w:w="6983"/>
      </w:tblGrid>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Layout w:type="fixed"/>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对举报违反食品安全规定的行为进行奖励</w:t>
            </w:r>
          </w:p>
        </w:tc>
      </w:tr>
      <w:tr>
        <w:tblPrEx>
          <w:tblLayout w:type="fixed"/>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Layout w:type="fixed"/>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Layout w:type="fixed"/>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Layout w:type="fixed"/>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社会治理和应急管理</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3"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3-4</w:t>
      </w:r>
    </w:p>
    <w:p>
      <w:pPr>
        <w:pStyle w:val="3"/>
        <w:rPr>
          <w:rFonts w:hint="default"/>
          <w:lang w:val="en-US" w:eastAsia="zh-CN"/>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0825—5478014</w:t>
            </w:r>
          </w:p>
        </w:tc>
      </w:tr>
    </w:tbl>
    <w:p>
      <w:pPr>
        <w:pStyle w:val="3"/>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6BA5"/>
    <w:rsid w:val="04180B9C"/>
    <w:rsid w:val="043D1BCF"/>
    <w:rsid w:val="084305FB"/>
    <w:rsid w:val="08A17639"/>
    <w:rsid w:val="0BF11528"/>
    <w:rsid w:val="0D1A38BD"/>
    <w:rsid w:val="13186C5D"/>
    <w:rsid w:val="1343644D"/>
    <w:rsid w:val="14FC748F"/>
    <w:rsid w:val="18F674D5"/>
    <w:rsid w:val="1D017DCB"/>
    <w:rsid w:val="26FE0837"/>
    <w:rsid w:val="274F26A3"/>
    <w:rsid w:val="296C162B"/>
    <w:rsid w:val="2F1528D1"/>
    <w:rsid w:val="34BC0EFA"/>
    <w:rsid w:val="37842856"/>
    <w:rsid w:val="37AC391B"/>
    <w:rsid w:val="398836FB"/>
    <w:rsid w:val="40BE756E"/>
    <w:rsid w:val="42670826"/>
    <w:rsid w:val="47487A81"/>
    <w:rsid w:val="52575AE4"/>
    <w:rsid w:val="60ED7280"/>
    <w:rsid w:val="61F6197D"/>
    <w:rsid w:val="633E19B0"/>
    <w:rsid w:val="68402487"/>
    <w:rsid w:val="6C1208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2021-06-01T07:15:00Z</dcterms:created>
  <dc:creator>zq</dc:creator>
  <cp:lastModifiedBy>Administrator</cp:lastModifiedBy>
  <cp:lastPrinted>2021-06-17T03:51:00Z</cp:lastPrinted>
  <dcterms:modified xsi:type="dcterms:W3CDTF">2021-06-21T09:28:35Z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ICV">
    <vt:lpwstr>6B6376BD76EE4F25B370A14AE5327DCC</vt:lpwstr>
  </property>
</Properties>
</file>