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baseline"/>
        <w:outlineLvl w:val="9"/>
        <w:rPr>
          <w:rFonts w:hint="eastAsia" w:ascii="仿宋_GB2312" w:eastAsia="仿宋_GB2312"/>
          <w:sz w:val="32"/>
          <w:szCs w:val="32"/>
        </w:rPr>
      </w:pPr>
      <w:r>
        <w:rPr>
          <w:rFonts w:hint="eastAsia" w:ascii="仿宋_GB2312" w:eastAsia="仿宋_GB2312"/>
          <w:sz w:val="32"/>
          <w:szCs w:val="32"/>
        </w:rPr>
        <w:t xml:space="preserve">                        </w:t>
      </w:r>
    </w:p>
    <w:p>
      <w:pPr>
        <w:keepNext w:val="0"/>
        <w:keepLines w:val="0"/>
        <w:pageBreakBefore w:val="0"/>
        <w:widowControl w:val="0"/>
        <w:kinsoku/>
        <w:overflowPunct/>
        <w:topLinePunct w:val="0"/>
        <w:bidi w:val="0"/>
        <w:spacing w:line="576" w:lineRule="exact"/>
        <w:ind w:left="0" w:leftChars="0"/>
        <w:jc w:val="center"/>
        <w:textAlignment w:val="baseline"/>
        <w:outlineLvl w:val="9"/>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Cs/>
          <w:sz w:val="32"/>
          <w:szCs w:val="32"/>
        </w:rPr>
        <w:t>遂</w:t>
      </w:r>
      <w:r>
        <w:rPr>
          <w:rFonts w:hint="eastAsia" w:ascii="仿宋_GB2312" w:hAnsi="仿宋_GB2312" w:eastAsia="仿宋_GB2312" w:cs="仿宋_GB2312"/>
          <w:bCs/>
          <w:sz w:val="32"/>
          <w:szCs w:val="32"/>
          <w:lang w:eastAsia="zh-CN"/>
        </w:rPr>
        <w:t>蓬</w:t>
      </w:r>
      <w:r>
        <w:rPr>
          <w:rFonts w:hint="eastAsia" w:ascii="仿宋_GB2312" w:hAnsi="仿宋_GB2312" w:eastAsia="仿宋_GB2312" w:cs="仿宋_GB2312"/>
          <w:bCs/>
          <w:sz w:val="32"/>
          <w:szCs w:val="32"/>
        </w:rPr>
        <w:t>环</w:t>
      </w:r>
      <w:r>
        <w:rPr>
          <w:rFonts w:hint="eastAsia" w:ascii="仿宋_GB2312" w:hAnsi="仿宋_GB2312" w:eastAsia="仿宋_GB2312" w:cs="仿宋_GB2312"/>
          <w:bCs/>
          <w:sz w:val="32"/>
          <w:szCs w:val="32"/>
          <w:lang w:val="en-US" w:eastAsia="zh-CN"/>
        </w:rPr>
        <w:t>诺审</w:t>
      </w:r>
      <w:r>
        <w:rPr>
          <w:rFonts w:hint="eastAsia" w:ascii="仿宋_GB2312" w:hAnsi="仿宋_GB2312" w:eastAsia="仿宋_GB2312" w:cs="仿宋_GB2312"/>
          <w:bCs/>
          <w:sz w:val="32"/>
          <w:szCs w:val="32"/>
        </w:rPr>
        <w:t>〔20</w:t>
      </w:r>
      <w:r>
        <w:rPr>
          <w:rFonts w:hint="eastAsia" w:ascii="仿宋_GB2312" w:hAnsi="仿宋_GB2312" w:eastAsia="仿宋_GB2312" w:cs="仿宋_GB2312"/>
          <w:bCs/>
          <w:sz w:val="32"/>
          <w:szCs w:val="32"/>
          <w:lang w:val="en-US" w:eastAsia="zh-CN"/>
        </w:rPr>
        <w:t>21</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5</w:t>
      </w:r>
      <w:r>
        <w:rPr>
          <w:rFonts w:hint="eastAsia" w:ascii="仿宋_GB2312" w:hAnsi="仿宋_GB2312" w:eastAsia="仿宋_GB2312" w:cs="仿宋_GB2312"/>
          <w:bCs/>
          <w:sz w:val="32"/>
          <w:szCs w:val="32"/>
        </w:rPr>
        <w:t>号</w:t>
      </w:r>
    </w:p>
    <w:p>
      <w:pPr>
        <w:keepNext w:val="0"/>
        <w:keepLines w:val="0"/>
        <w:pageBreakBefore w:val="0"/>
        <w:widowControl w:val="0"/>
        <w:kinsoku/>
        <w:overflowPunct/>
        <w:topLinePunct w:val="0"/>
        <w:bidi w:val="0"/>
        <w:spacing w:line="576" w:lineRule="exact"/>
        <w:ind w:left="0" w:leftChars="0"/>
        <w:jc w:val="center"/>
        <w:textAlignment w:val="baseline"/>
        <w:outlineLvl w:val="9"/>
        <w:rPr>
          <w:rFonts w:ascii="仿宋_GB2312" w:eastAsia="仿宋_GB2312"/>
          <w:sz w:val="32"/>
          <w:szCs w:val="32"/>
        </w:rPr>
      </w:pPr>
    </w:p>
    <w:p>
      <w:pPr>
        <w:keepNext w:val="0"/>
        <w:keepLines w:val="0"/>
        <w:pageBreakBefore w:val="0"/>
        <w:widowControl w:val="0"/>
        <w:kinsoku/>
        <w:overflowPunct/>
        <w:topLinePunct w:val="0"/>
        <w:bidi w:val="0"/>
        <w:snapToGrid w:val="0"/>
        <w:spacing w:line="576" w:lineRule="exact"/>
        <w:ind w:left="0" w:leftChars="0"/>
        <w:jc w:val="center"/>
        <w:outlineLvl w:val="9"/>
        <w:rPr>
          <w:rFonts w:hint="eastAsia" w:ascii="方正小标宋简体" w:hAnsi="方正小标宋简体" w:eastAsia="方正小标宋简体" w:cs="方正小标宋简体"/>
          <w:spacing w:val="0"/>
          <w:sz w:val="44"/>
          <w:szCs w:val="32"/>
          <w:lang w:val="en-US" w:eastAsia="zh-CN"/>
        </w:rPr>
      </w:pPr>
      <w:r>
        <w:rPr>
          <w:rFonts w:hint="eastAsia" w:ascii="方正小标宋简体" w:hAnsi="方正小标宋简体" w:eastAsia="方正小标宋简体" w:cs="方正小标宋简体"/>
          <w:sz w:val="44"/>
          <w:szCs w:val="32"/>
        </w:rPr>
        <w:t>遂宁市</w:t>
      </w:r>
      <w:r>
        <w:rPr>
          <w:rFonts w:hint="eastAsia" w:ascii="方正小标宋简体" w:hAnsi="方正小标宋简体" w:eastAsia="方正小标宋简体" w:cs="方正小标宋简体"/>
          <w:sz w:val="44"/>
          <w:szCs w:val="32"/>
          <w:lang w:eastAsia="zh-CN"/>
        </w:rPr>
        <w:t>蓬溪</w:t>
      </w:r>
      <w:r>
        <w:rPr>
          <w:rFonts w:hint="eastAsia" w:ascii="方正小标宋简体" w:hAnsi="方正小标宋简体" w:eastAsia="方正小标宋简体" w:cs="方正小标宋简体"/>
          <w:sz w:val="44"/>
          <w:szCs w:val="32"/>
        </w:rPr>
        <w:t>生态环境局关于</w:t>
      </w:r>
      <w:r>
        <w:rPr>
          <w:rFonts w:hint="eastAsia" w:ascii="方正小标宋简体" w:hAnsi="方正小标宋简体" w:eastAsia="方正小标宋简体" w:cs="方正小标宋简体"/>
          <w:spacing w:val="0"/>
          <w:sz w:val="44"/>
          <w:szCs w:val="32"/>
          <w:lang w:val="en-US" w:eastAsia="zh-CN"/>
        </w:rPr>
        <w:t>蓬溪县年产2000 吨食用菌休闲食品精深加工项目</w:t>
      </w:r>
    </w:p>
    <w:p>
      <w:pPr>
        <w:keepNext w:val="0"/>
        <w:keepLines w:val="0"/>
        <w:pageBreakBefore w:val="0"/>
        <w:widowControl w:val="0"/>
        <w:kinsoku/>
        <w:overflowPunct/>
        <w:topLinePunct w:val="0"/>
        <w:bidi w:val="0"/>
        <w:snapToGrid w:val="0"/>
        <w:spacing w:line="576" w:lineRule="exact"/>
        <w:ind w:left="0" w:leftChars="0"/>
        <w:jc w:val="center"/>
        <w:outlineLvl w:val="9"/>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pacing w:val="0"/>
          <w:sz w:val="44"/>
          <w:szCs w:val="32"/>
        </w:rPr>
        <w:t>环境影响报告表的</w:t>
      </w:r>
      <w:r>
        <w:rPr>
          <w:rFonts w:hint="eastAsia" w:ascii="方正小标宋简体" w:hAnsi="方正小标宋简体" w:eastAsia="方正小标宋简体" w:cs="方正小标宋简体"/>
          <w:sz w:val="44"/>
          <w:szCs w:val="32"/>
        </w:rPr>
        <w:t>批复</w:t>
      </w:r>
    </w:p>
    <w:p>
      <w:pPr>
        <w:keepNext w:val="0"/>
        <w:keepLines w:val="0"/>
        <w:pageBreakBefore w:val="0"/>
        <w:widowControl w:val="0"/>
        <w:kinsoku/>
        <w:overflowPunct/>
        <w:topLinePunct w:val="0"/>
        <w:bidi w:val="0"/>
        <w:snapToGrid w:val="0"/>
        <w:spacing w:line="576" w:lineRule="exact"/>
        <w:ind w:left="0" w:leftChars="0"/>
        <w:jc w:val="center"/>
        <w:outlineLvl w:val="9"/>
        <w:rPr>
          <w:rFonts w:hint="eastAsia" w:ascii="方正小标宋简体" w:hAnsi="方正小标宋简体" w:eastAsia="方正小标宋简体" w:cs="方正小标宋简体"/>
          <w:sz w:val="44"/>
          <w:szCs w:val="32"/>
        </w:rPr>
      </w:pPr>
    </w:p>
    <w:p>
      <w:pPr>
        <w:keepNext w:val="0"/>
        <w:keepLines w:val="0"/>
        <w:pageBreakBefore w:val="0"/>
        <w:widowControl w:val="0"/>
        <w:kinsoku/>
        <w:overflowPunct/>
        <w:topLinePunct w:val="0"/>
        <w:bidi w:val="0"/>
        <w:adjustRightInd w:val="0"/>
        <w:snapToGrid w:val="0"/>
        <w:spacing w:line="576" w:lineRule="exact"/>
        <w:ind w:left="0" w:leftChars="0"/>
        <w:outlineLvl w:val="9"/>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lang w:val="en-US" w:eastAsia="zh-CN"/>
        </w:rPr>
        <w:t>蓬溪菌香缘农业有限公司</w:t>
      </w:r>
      <w:r>
        <w:rPr>
          <w:rFonts w:hint="eastAsia" w:ascii="仿宋_GB2312" w:hAnsi="仿宋_GB2312" w:eastAsia="仿宋_GB2312" w:cs="仿宋_GB2312"/>
          <w:spacing w:val="4"/>
          <w:sz w:val="32"/>
          <w:szCs w:val="32"/>
        </w:rPr>
        <w:t>：</w:t>
      </w:r>
    </w:p>
    <w:p>
      <w:pPr>
        <w:pStyle w:val="16"/>
        <w:keepNext w:val="0"/>
        <w:keepLines w:val="0"/>
        <w:pageBreakBefore w:val="0"/>
        <w:widowControl w:val="0"/>
        <w:kinsoku/>
        <w:overflowPunct/>
        <w:topLinePunct w:val="0"/>
        <w:bidi w:val="0"/>
        <w:spacing w:line="576" w:lineRule="exact"/>
        <w:ind w:left="0" w:leftChars="0" w:firstLine="656"/>
        <w:outlineLvl w:val="9"/>
        <w:rPr>
          <w:rFonts w:hint="eastAsia" w:ascii="仿宋_GB2312" w:hAnsi="仿宋_GB2312" w:eastAsia="仿宋_GB2312" w:cs="仿宋_GB2312"/>
          <w:spacing w:val="4"/>
          <w:kern w:val="2"/>
          <w:sz w:val="32"/>
          <w:szCs w:val="32"/>
        </w:rPr>
      </w:pPr>
      <w:r>
        <w:rPr>
          <w:rFonts w:hint="eastAsia" w:ascii="仿宋_GB2312" w:hAnsi="仿宋_GB2312" w:eastAsia="仿宋_GB2312" w:cs="仿宋_GB2312"/>
          <w:spacing w:val="4"/>
          <w:kern w:val="2"/>
          <w:sz w:val="32"/>
          <w:szCs w:val="32"/>
        </w:rPr>
        <w:t>你公司关于《</w:t>
      </w:r>
      <w:r>
        <w:rPr>
          <w:rFonts w:hint="eastAsia" w:ascii="仿宋_GB2312" w:hAnsi="仿宋_GB2312" w:eastAsia="仿宋_GB2312" w:cs="仿宋_GB2312"/>
          <w:spacing w:val="4"/>
          <w:kern w:val="2"/>
          <w:sz w:val="32"/>
          <w:szCs w:val="32"/>
          <w:lang w:val="en-US" w:eastAsia="zh-CN"/>
        </w:rPr>
        <w:t>蓬溪县年产2000 吨食用菌休闲食品精深加工项目</w:t>
      </w:r>
      <w:r>
        <w:rPr>
          <w:rFonts w:hint="eastAsia" w:ascii="仿宋_GB2312" w:hAnsi="仿宋_GB2312" w:eastAsia="仿宋_GB2312" w:cs="仿宋_GB2312"/>
          <w:spacing w:val="4"/>
          <w:kern w:val="2"/>
          <w:sz w:val="32"/>
          <w:szCs w:val="32"/>
        </w:rPr>
        <w:t>环境影响报告表》(下称“报告表”)的报批申请收悉</w:t>
      </w:r>
      <w:r>
        <w:rPr>
          <w:rFonts w:hint="eastAsia" w:ascii="仿宋_GB2312" w:hAnsi="仿宋_GB2312" w:eastAsia="仿宋_GB2312" w:cs="仿宋_GB2312"/>
          <w:spacing w:val="4"/>
          <w:kern w:val="2"/>
          <w:sz w:val="32"/>
          <w:szCs w:val="32"/>
          <w:lang w:eastAsia="zh-CN"/>
        </w:rPr>
        <w:t>。</w:t>
      </w:r>
      <w:r>
        <w:rPr>
          <w:rFonts w:hint="eastAsia" w:ascii="仿宋_GB2312" w:hAnsi="仿宋_GB2312" w:eastAsia="仿宋_GB2312" w:cs="仿宋_GB2312"/>
          <w:spacing w:val="4"/>
          <w:kern w:val="2"/>
          <w:sz w:val="32"/>
          <w:szCs w:val="32"/>
          <w:lang w:val="en-US" w:eastAsia="zh-CN"/>
        </w:rPr>
        <w:t>该项目经</w:t>
      </w:r>
      <w:r>
        <w:rPr>
          <w:rFonts w:hint="eastAsia" w:ascii="仿宋_GB2312" w:hAnsi="仿宋_GB2312" w:eastAsia="仿宋_GB2312" w:cs="仿宋_GB2312"/>
          <w:spacing w:val="4"/>
          <w:kern w:val="2"/>
          <w:sz w:val="32"/>
          <w:szCs w:val="32"/>
          <w:lang w:eastAsia="zh-CN"/>
        </w:rPr>
        <w:t>（</w:t>
      </w:r>
      <w:r>
        <w:rPr>
          <w:rFonts w:hint="eastAsia" w:ascii="仿宋_GB2312" w:hAnsi="仿宋_GB2312" w:eastAsia="仿宋_GB2312" w:cs="仿宋_GB2312"/>
          <w:spacing w:val="4"/>
          <w:kern w:val="2"/>
          <w:sz w:val="32"/>
          <w:szCs w:val="32"/>
          <w:lang w:val="en-US" w:eastAsia="zh-CN"/>
        </w:rPr>
        <w:t>川投资备【2103-510921-04-01-664708】 FGQB-0065 号</w:t>
      </w:r>
      <w:r>
        <w:rPr>
          <w:rFonts w:hint="eastAsia" w:ascii="仿宋_GB2312" w:hAnsi="仿宋_GB2312" w:eastAsia="仿宋_GB2312" w:cs="仿宋_GB2312"/>
          <w:spacing w:val="4"/>
          <w:kern w:val="2"/>
          <w:sz w:val="32"/>
          <w:szCs w:val="32"/>
          <w:lang w:eastAsia="zh-CN"/>
        </w:rPr>
        <w:t>）</w:t>
      </w:r>
      <w:r>
        <w:rPr>
          <w:rFonts w:hint="eastAsia" w:ascii="仿宋_GB2312" w:hAnsi="仿宋_GB2312" w:eastAsia="仿宋_GB2312" w:cs="仿宋_GB2312"/>
          <w:spacing w:val="4"/>
          <w:kern w:val="2"/>
          <w:sz w:val="32"/>
          <w:szCs w:val="32"/>
          <w:lang w:val="en-US" w:eastAsia="zh-CN"/>
        </w:rPr>
        <w:t>备案</w:t>
      </w:r>
      <w:r>
        <w:rPr>
          <w:rFonts w:hint="eastAsia" w:ascii="仿宋_GB2312" w:hAnsi="仿宋_GB2312" w:eastAsia="仿宋_GB2312" w:cs="仿宋_GB2312"/>
          <w:spacing w:val="4"/>
          <w:kern w:val="2"/>
          <w:sz w:val="32"/>
          <w:szCs w:val="32"/>
        </w:rPr>
        <w:t>。</w:t>
      </w:r>
      <w:r>
        <w:rPr>
          <w:rFonts w:hint="eastAsia" w:ascii="仿宋_GB2312" w:hAnsi="仿宋_GB2312" w:eastAsia="仿宋_GB2312" w:cs="仿宋_GB2312"/>
          <w:spacing w:val="4"/>
          <w:kern w:val="2"/>
          <w:sz w:val="32"/>
          <w:szCs w:val="32"/>
          <w:lang w:val="en-US" w:eastAsia="zh-CN"/>
        </w:rPr>
        <w:t>根据四川浩瀚宏略工程技术咨询有限公司</w:t>
      </w:r>
      <w:r>
        <w:rPr>
          <w:rFonts w:hint="eastAsia" w:ascii="仿宋_GB2312" w:hAnsi="仿宋_GB2312" w:eastAsia="仿宋_GB2312" w:cs="仿宋_GB2312"/>
          <w:spacing w:val="4"/>
          <w:kern w:val="2"/>
          <w:sz w:val="32"/>
          <w:szCs w:val="32"/>
        </w:rPr>
        <w:t>（</w:t>
      </w:r>
      <w:r>
        <w:rPr>
          <w:rFonts w:hint="eastAsia" w:ascii="仿宋_GB2312" w:hAnsi="仿宋_GB2312" w:eastAsia="仿宋_GB2312" w:cs="仿宋_GB2312"/>
          <w:spacing w:val="4"/>
          <w:kern w:val="2"/>
          <w:sz w:val="32"/>
          <w:szCs w:val="32"/>
          <w:lang w:val="en-US" w:eastAsia="zh-CN"/>
        </w:rPr>
        <w:t>社会信用代码91510903MA6269DGOA</w:t>
      </w:r>
      <w:r>
        <w:rPr>
          <w:rFonts w:hint="eastAsia" w:ascii="仿宋_GB2312" w:hAnsi="仿宋_GB2312" w:eastAsia="仿宋_GB2312" w:cs="仿宋_GB2312"/>
          <w:spacing w:val="4"/>
          <w:kern w:val="2"/>
          <w:sz w:val="32"/>
          <w:szCs w:val="32"/>
        </w:rPr>
        <w:t>）对该项目开展环境影响评价的结论，在全面落实报告表提出的各项防治生态破坏和环境污染措施的前提下，工程建设对环境的不利影响能够得到缓解和控制。我局</w:t>
      </w:r>
      <w:r>
        <w:rPr>
          <w:rFonts w:hint="eastAsia" w:ascii="仿宋_GB2312" w:hAnsi="仿宋_GB2312" w:eastAsia="仿宋_GB2312" w:cs="仿宋_GB2312"/>
          <w:spacing w:val="4"/>
          <w:kern w:val="2"/>
          <w:sz w:val="32"/>
          <w:szCs w:val="32"/>
          <w:lang w:val="en-US" w:eastAsia="zh-CN"/>
        </w:rPr>
        <w:t>原则</w:t>
      </w:r>
      <w:r>
        <w:rPr>
          <w:rFonts w:hint="eastAsia" w:ascii="仿宋_GB2312" w:hAnsi="仿宋_GB2312" w:eastAsia="仿宋_GB2312" w:cs="仿宋_GB2312"/>
          <w:spacing w:val="4"/>
          <w:kern w:val="2"/>
          <w:sz w:val="32"/>
          <w:szCs w:val="32"/>
        </w:rPr>
        <w:t>同意该项目环境影响报告表中所列建设项目的性质、规模、地点以及拟采取的环境保护措施。</w:t>
      </w:r>
    </w:p>
    <w:p>
      <w:pPr>
        <w:pStyle w:val="16"/>
        <w:keepNext w:val="0"/>
        <w:keepLines w:val="0"/>
        <w:pageBreakBefore w:val="0"/>
        <w:widowControl w:val="0"/>
        <w:kinsoku/>
        <w:overflowPunct/>
        <w:topLinePunct w:val="0"/>
        <w:bidi w:val="0"/>
        <w:spacing w:line="576" w:lineRule="exact"/>
        <w:ind w:left="0" w:leftChars="0" w:firstLine="656"/>
        <w:outlineLvl w:val="9"/>
        <w:rPr>
          <w:rFonts w:hint="eastAsia" w:ascii="仿宋_GB2312" w:hAnsi="仿宋_GB2312" w:eastAsia="仿宋_GB2312" w:cs="仿宋_GB2312"/>
          <w:spacing w:val="4"/>
          <w:kern w:val="2"/>
          <w:sz w:val="32"/>
          <w:szCs w:val="32"/>
        </w:rPr>
      </w:pPr>
      <w:r>
        <w:rPr>
          <w:rFonts w:hint="eastAsia" w:ascii="仿宋_GB2312" w:hAnsi="仿宋_GB2312" w:eastAsia="仿宋_GB2312" w:cs="仿宋_GB2312"/>
          <w:spacing w:val="4"/>
          <w:kern w:val="2"/>
          <w:sz w:val="32"/>
          <w:szCs w:val="32"/>
        </w:rPr>
        <w:t>你公司应当严格落实报告表提出的防治污染和防止生态破坏的措施，严格执行配套建设的环保设施与主体工程同时设计、同时施工、同时投产的环保“三同时”制度。项目竣工后，应按规定开展环境保护</w:t>
      </w:r>
      <w:r>
        <w:rPr>
          <w:rFonts w:hint="eastAsia" w:ascii="仿宋_GB2312" w:hAnsi="仿宋_GB2312" w:eastAsia="仿宋_GB2312" w:cs="仿宋_GB2312"/>
          <w:spacing w:val="4"/>
          <w:kern w:val="2"/>
          <w:sz w:val="32"/>
          <w:szCs w:val="32"/>
          <w:lang w:val="en-US" w:eastAsia="zh-CN"/>
        </w:rPr>
        <w:t>自主</w:t>
      </w:r>
      <w:r>
        <w:rPr>
          <w:rFonts w:hint="eastAsia" w:ascii="仿宋_GB2312" w:hAnsi="仿宋_GB2312" w:eastAsia="仿宋_GB2312" w:cs="仿宋_GB2312"/>
          <w:spacing w:val="4"/>
          <w:kern w:val="2"/>
          <w:sz w:val="32"/>
          <w:szCs w:val="32"/>
        </w:rPr>
        <w:t>验收。经验收合格后，项目方可正式投入生产或者使用。</w:t>
      </w:r>
    </w:p>
    <w:p>
      <w:pPr>
        <w:keepNext w:val="0"/>
        <w:keepLines w:val="0"/>
        <w:pageBreakBefore w:val="0"/>
        <w:widowControl w:val="0"/>
        <w:kinsoku/>
        <w:overflowPunct/>
        <w:topLinePunct w:val="0"/>
        <w:bidi w:val="0"/>
        <w:spacing w:line="576" w:lineRule="exact"/>
        <w:ind w:left="0" w:leftChars="0" w:firstLine="640" w:firstLineChars="200"/>
        <w:outlineLvl w:val="9"/>
        <w:rPr>
          <w:rFonts w:hint="eastAsia" w:ascii="仿宋_GB2312" w:hAnsi="仿宋_GB2312" w:eastAsia="仿宋_GB2312" w:cs="仿宋_GB2312"/>
          <w:spacing w:val="4"/>
          <w:kern w:val="2"/>
          <w:sz w:val="32"/>
          <w:szCs w:val="32"/>
          <w:lang w:eastAsia="zh-CN"/>
        </w:rPr>
      </w:pPr>
      <w:r>
        <w:rPr>
          <w:rFonts w:hint="eastAsia" w:ascii="仿宋_GB2312" w:hAnsi="仿宋_GB2312" w:eastAsia="仿宋_GB2312" w:cs="仿宋_GB2312"/>
          <w:sz w:val="32"/>
          <w:szCs w:val="32"/>
        </w:rPr>
        <w:t>请</w:t>
      </w:r>
      <w:r>
        <w:rPr>
          <w:rFonts w:hint="eastAsia" w:ascii="仿宋_GB2312" w:hAnsi="仿宋_GB2312" w:eastAsia="仿宋_GB2312" w:cs="仿宋_GB2312"/>
          <w:sz w:val="32"/>
          <w:szCs w:val="32"/>
          <w:lang w:val="en-US" w:eastAsia="zh-CN"/>
        </w:rPr>
        <w:t>遂宁市蓬溪生态环境保护综合行政执法大队加强</w:t>
      </w:r>
      <w:r>
        <w:rPr>
          <w:rFonts w:hint="eastAsia" w:ascii="仿宋_GB2312" w:hAnsi="仿宋_GB2312" w:eastAsia="仿宋_GB2312" w:cs="仿宋_GB2312"/>
          <w:bCs/>
          <w:sz w:val="32"/>
          <w:szCs w:val="32"/>
        </w:rPr>
        <w:t>对该项目的“事中事后”和环境保护“三同时”监督检查及日常监督管理工作</w:t>
      </w:r>
      <w:r>
        <w:rPr>
          <w:rFonts w:hint="eastAsia" w:ascii="仿宋_GB2312" w:hAnsi="仿宋_GB2312" w:eastAsia="仿宋_GB2312" w:cs="仿宋_GB2312"/>
          <w:bCs/>
          <w:sz w:val="32"/>
          <w:szCs w:val="32"/>
          <w:lang w:eastAsia="zh-CN"/>
        </w:rPr>
        <w:t>。</w:t>
      </w:r>
    </w:p>
    <w:p>
      <w:pPr>
        <w:keepNext w:val="0"/>
        <w:keepLines w:val="0"/>
        <w:pageBreakBefore w:val="0"/>
        <w:widowControl w:val="0"/>
        <w:kinsoku/>
        <w:wordWrap/>
        <w:overflowPunct/>
        <w:topLinePunct w:val="0"/>
        <w:bidi w:val="0"/>
        <w:adjustRightInd w:val="0"/>
        <w:snapToGrid w:val="0"/>
        <w:spacing w:line="576" w:lineRule="exact"/>
        <w:ind w:left="0" w:leftChars="0" w:right="0"/>
        <w:jc w:val="left"/>
        <w:outlineLvl w:val="9"/>
        <w:rPr>
          <w:rFonts w:hint="eastAsia" w:ascii="仿宋_GB2312" w:hAnsi="仿宋_GB2312" w:eastAsia="仿宋_GB2312" w:cs="仿宋_GB2312"/>
          <w:kern w:val="0"/>
          <w:sz w:val="32"/>
          <w:szCs w:val="32"/>
        </w:rPr>
      </w:pPr>
    </w:p>
    <w:p>
      <w:pPr>
        <w:keepNext w:val="0"/>
        <w:keepLines w:val="0"/>
        <w:pageBreakBefore w:val="0"/>
        <w:widowControl w:val="0"/>
        <w:kinsoku/>
        <w:wordWrap w:val="0"/>
        <w:overflowPunct/>
        <w:topLinePunct w:val="0"/>
        <w:bidi w:val="0"/>
        <w:spacing w:line="576" w:lineRule="exact"/>
        <w:ind w:left="0" w:leftChars="0" w:right="24"/>
        <w:jc w:val="right"/>
        <w:outlineLvl w:val="9"/>
        <w:rPr>
          <w:rFonts w:hint="eastAsia" w:ascii="仿宋_GB2312" w:hAnsi="仿宋_GB2312" w:eastAsia="仿宋_GB2312" w:cs="仿宋_GB2312"/>
          <w:kern w:val="0"/>
          <w:sz w:val="32"/>
          <w:szCs w:val="32"/>
        </w:rPr>
      </w:pPr>
    </w:p>
    <w:p>
      <w:pPr>
        <w:keepNext w:val="0"/>
        <w:keepLines w:val="0"/>
        <w:pageBreakBefore w:val="0"/>
        <w:widowControl w:val="0"/>
        <w:kinsoku/>
        <w:wordWrap w:val="0"/>
        <w:overflowPunct/>
        <w:topLinePunct w:val="0"/>
        <w:bidi w:val="0"/>
        <w:spacing w:line="576" w:lineRule="exact"/>
        <w:ind w:left="0" w:leftChars="0" w:right="24"/>
        <w:jc w:val="right"/>
        <w:outlineLvl w:val="9"/>
        <w:rPr>
          <w:rFonts w:hint="eastAsia" w:ascii="仿宋_GB2312" w:hAnsi="仿宋_GB2312" w:eastAsia="仿宋_GB2312" w:cs="仿宋_GB2312"/>
          <w:kern w:val="0"/>
          <w:sz w:val="32"/>
          <w:szCs w:val="32"/>
        </w:rPr>
      </w:pPr>
    </w:p>
    <w:p>
      <w:pPr>
        <w:keepNext w:val="0"/>
        <w:keepLines w:val="0"/>
        <w:pageBreakBefore w:val="0"/>
        <w:widowControl w:val="0"/>
        <w:kinsoku/>
        <w:wordWrap w:val="0"/>
        <w:overflowPunct/>
        <w:topLinePunct w:val="0"/>
        <w:bidi w:val="0"/>
        <w:spacing w:line="576" w:lineRule="exact"/>
        <w:ind w:left="0" w:leftChars="0" w:right="24"/>
        <w:jc w:val="center"/>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遂宁市</w:t>
      </w:r>
      <w:r>
        <w:rPr>
          <w:rFonts w:hint="eastAsia" w:ascii="仿宋_GB2312" w:hAnsi="仿宋_GB2312" w:eastAsia="仿宋_GB2312" w:cs="仿宋_GB2312"/>
          <w:kern w:val="0"/>
          <w:sz w:val="32"/>
          <w:szCs w:val="32"/>
          <w:lang w:eastAsia="zh-CN"/>
        </w:rPr>
        <w:t>蓬溪</w:t>
      </w:r>
      <w:r>
        <w:rPr>
          <w:rFonts w:hint="eastAsia" w:ascii="仿宋_GB2312" w:hAnsi="仿宋_GB2312" w:eastAsia="仿宋_GB2312" w:cs="仿宋_GB2312"/>
          <w:kern w:val="0"/>
          <w:sz w:val="32"/>
          <w:szCs w:val="32"/>
        </w:rPr>
        <w:t xml:space="preserve">生态环境局     </w:t>
      </w:r>
    </w:p>
    <w:p>
      <w:pPr>
        <w:pStyle w:val="2"/>
        <w:keepNext w:val="0"/>
        <w:keepLines w:val="0"/>
        <w:pageBreakBefore w:val="0"/>
        <w:widowControl w:val="0"/>
        <w:kinsoku/>
        <w:overflowPunct/>
        <w:topLinePunct w:val="0"/>
        <w:bidi w:val="0"/>
        <w:spacing w:line="576" w:lineRule="exact"/>
        <w:ind w:left="0" w:leftChars="0" w:firstLine="4800" w:firstLineChars="1500"/>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21</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31</w:t>
      </w:r>
      <w:r>
        <w:rPr>
          <w:rFonts w:hint="eastAsia" w:ascii="仿宋_GB2312" w:hAnsi="仿宋_GB2312" w:eastAsia="仿宋_GB2312" w:cs="仿宋_GB2312"/>
          <w:kern w:val="0"/>
          <w:sz w:val="32"/>
          <w:szCs w:val="32"/>
        </w:rPr>
        <w:t>日</w:t>
      </w:r>
    </w:p>
    <w:p>
      <w:pPr>
        <w:pStyle w:val="2"/>
        <w:keepNext w:val="0"/>
        <w:keepLines w:val="0"/>
        <w:pageBreakBefore w:val="0"/>
        <w:widowControl w:val="0"/>
        <w:kinsoku/>
        <w:overflowPunct/>
        <w:topLinePunct w:val="0"/>
        <w:bidi w:val="0"/>
        <w:spacing w:line="576" w:lineRule="exact"/>
        <w:rPr>
          <w:rFonts w:hint="eastAsia" w:ascii="仿宋_GB2312" w:eastAsia="仿宋_GB2312"/>
          <w:sz w:val="28"/>
          <w:szCs w:val="28"/>
        </w:rPr>
      </w:pPr>
    </w:p>
    <w:p>
      <w:pPr>
        <w:pStyle w:val="2"/>
        <w:keepNext w:val="0"/>
        <w:keepLines w:val="0"/>
        <w:pageBreakBefore w:val="0"/>
        <w:widowControl w:val="0"/>
        <w:kinsoku/>
        <w:overflowPunct/>
        <w:topLinePunct w:val="0"/>
        <w:bidi w:val="0"/>
        <w:spacing w:line="576" w:lineRule="exact"/>
        <w:rPr>
          <w:rFonts w:hint="eastAsia" w:ascii="仿宋_GB2312" w:eastAsia="仿宋_GB2312"/>
          <w:sz w:val="28"/>
          <w:szCs w:val="28"/>
        </w:rPr>
      </w:pPr>
    </w:p>
    <w:tbl>
      <w:tblPr>
        <w:tblStyle w:val="12"/>
        <w:tblpPr w:leftFromText="180" w:rightFromText="180" w:vertAnchor="text" w:horzAnchor="page" w:tblpX="1693" w:tblpY="6129"/>
        <w:tblOverlap w:val="never"/>
        <w:tblW w:w="8822" w:type="dxa"/>
        <w:tblInd w:w="0" w:type="dxa"/>
        <w:tblBorders>
          <w:top w:val="single" w:color="auto" w:sz="4" w:space="0"/>
          <w:left w:val="none" w:color="auto" w:sz="0" w:space="0"/>
          <w:bottom w:val="single" w:color="auto" w:sz="4" w:space="0"/>
          <w:right w:val="none" w:color="auto" w:sz="0" w:space="0"/>
          <w:insideH w:val="outset" w:color="auto" w:sz="6" w:space="0"/>
          <w:insideV w:val="outset" w:color="auto" w:sz="6" w:space="0"/>
        </w:tblBorders>
        <w:tblLayout w:type="fixed"/>
        <w:tblCellMar>
          <w:top w:w="0" w:type="dxa"/>
          <w:left w:w="108" w:type="dxa"/>
          <w:bottom w:w="0" w:type="dxa"/>
          <w:right w:w="108" w:type="dxa"/>
        </w:tblCellMar>
      </w:tblPr>
      <w:tblGrid>
        <w:gridCol w:w="8822"/>
      </w:tblGrid>
      <w:tr>
        <w:tblPrEx>
          <w:tblBorders>
            <w:top w:val="single" w:color="auto" w:sz="4" w:space="0"/>
            <w:left w:val="none" w:color="auto" w:sz="0" w:space="0"/>
            <w:bottom w:val="single" w:color="auto" w:sz="4" w:space="0"/>
            <w:right w:val="none" w:color="auto" w:sz="0" w:space="0"/>
            <w:insideH w:val="outset" w:color="auto" w:sz="6" w:space="0"/>
            <w:insideV w:val="outset" w:color="auto" w:sz="6" w:space="0"/>
          </w:tblBorders>
          <w:tblLayout w:type="fixed"/>
          <w:tblCellMar>
            <w:top w:w="0" w:type="dxa"/>
            <w:left w:w="108" w:type="dxa"/>
            <w:bottom w:w="0" w:type="dxa"/>
            <w:right w:w="108" w:type="dxa"/>
          </w:tblCellMar>
        </w:tblPrEx>
        <w:tc>
          <w:tcPr>
            <w:tcW w:w="8822" w:type="dxa"/>
            <w:tcBorders>
              <w:top w:val="single" w:color="auto" w:sz="4" w:space="0"/>
              <w:left w:val="nil"/>
              <w:bottom w:val="single" w:color="auto" w:sz="4" w:space="0"/>
              <w:right w:val="nil"/>
            </w:tcBorders>
            <w:vAlign w:val="top"/>
          </w:tcPr>
          <w:p>
            <w:pPr>
              <w:pStyle w:val="2"/>
              <w:keepNext w:val="0"/>
              <w:keepLines w:val="0"/>
              <w:pageBreakBefore w:val="0"/>
              <w:widowControl w:val="0"/>
              <w:kinsoku/>
              <w:overflowPunct/>
              <w:topLinePunct w:val="0"/>
              <w:bidi w:val="0"/>
              <w:spacing w:line="576" w:lineRule="exact"/>
              <w:rPr>
                <w:rFonts w:ascii="仿宋_GB2312" w:eastAsia="仿宋_GB2312"/>
                <w:sz w:val="28"/>
                <w:szCs w:val="28"/>
              </w:rPr>
            </w:pPr>
            <w:r>
              <w:rPr>
                <w:rFonts w:hint="eastAsia" w:ascii="仿宋_GB2312" w:eastAsia="仿宋_GB2312"/>
                <w:sz w:val="28"/>
                <w:szCs w:val="28"/>
              </w:rPr>
              <w:t>抄送：市生态环境局，环评编制单位</w:t>
            </w:r>
            <w:r>
              <w:rPr>
                <w:rFonts w:hint="eastAsia" w:ascii="仿宋_GB2312" w:eastAsia="仿宋_GB2312"/>
                <w:sz w:val="28"/>
                <w:szCs w:val="28"/>
                <w:lang w:eastAsia="zh-CN"/>
              </w:rPr>
              <w:t>。</w:t>
            </w:r>
          </w:p>
        </w:tc>
      </w:tr>
      <w:tr>
        <w:tblPrEx>
          <w:tblBorders>
            <w:top w:val="single" w:color="auto" w:sz="4" w:space="0"/>
            <w:left w:val="none" w:color="auto" w:sz="0" w:space="0"/>
            <w:bottom w:val="single" w:color="auto" w:sz="4" w:space="0"/>
            <w:right w:val="none" w:color="auto" w:sz="0" w:space="0"/>
            <w:insideH w:val="outset" w:color="auto" w:sz="6" w:space="0"/>
            <w:insideV w:val="outset" w:color="auto" w:sz="6" w:space="0"/>
          </w:tblBorders>
          <w:tblLayout w:type="fixed"/>
          <w:tblCellMar>
            <w:top w:w="0" w:type="dxa"/>
            <w:left w:w="108" w:type="dxa"/>
            <w:bottom w:w="0" w:type="dxa"/>
            <w:right w:w="108" w:type="dxa"/>
          </w:tblCellMar>
        </w:tblPrEx>
        <w:tc>
          <w:tcPr>
            <w:tcW w:w="8822" w:type="dxa"/>
            <w:tcBorders>
              <w:top w:val="single" w:color="auto" w:sz="4" w:space="0"/>
              <w:left w:val="nil"/>
              <w:bottom w:val="single" w:color="auto" w:sz="4" w:space="0"/>
              <w:right w:val="nil"/>
            </w:tcBorders>
            <w:vAlign w:val="top"/>
          </w:tcPr>
          <w:p>
            <w:pPr>
              <w:keepNext w:val="0"/>
              <w:keepLines w:val="0"/>
              <w:pageBreakBefore w:val="0"/>
              <w:widowControl w:val="0"/>
              <w:kinsoku/>
              <w:wordWrap/>
              <w:overflowPunct/>
              <w:topLinePunct w:val="0"/>
              <w:bidi w:val="0"/>
              <w:adjustRightInd w:val="0"/>
              <w:snapToGrid w:val="0"/>
              <w:spacing w:line="576" w:lineRule="exact"/>
              <w:ind w:right="136" w:rightChars="65"/>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遂宁市</w:t>
            </w:r>
            <w:r>
              <w:rPr>
                <w:rFonts w:hint="eastAsia" w:ascii="仿宋_GB2312" w:eastAsia="仿宋_GB2312"/>
                <w:sz w:val="28"/>
                <w:szCs w:val="28"/>
              </w:rPr>
              <w:t>蓬溪</w:t>
            </w:r>
            <w:r>
              <w:rPr>
                <w:rFonts w:hint="eastAsia" w:ascii="仿宋_GB2312" w:eastAsia="仿宋_GB2312"/>
                <w:sz w:val="28"/>
                <w:szCs w:val="28"/>
                <w:lang w:val="en-US" w:eastAsia="zh-CN"/>
              </w:rPr>
              <w:t>生态</w:t>
            </w:r>
            <w:r>
              <w:rPr>
                <w:rFonts w:hint="eastAsia" w:ascii="仿宋_GB2312" w:eastAsia="仿宋_GB2312"/>
                <w:sz w:val="28"/>
                <w:szCs w:val="28"/>
              </w:rPr>
              <w:t xml:space="preserve">环境局办公室    </w:t>
            </w:r>
            <w:r>
              <w:rPr>
                <w:rFonts w:hint="eastAsia"/>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2021年5月31日印发</w:t>
            </w:r>
          </w:p>
        </w:tc>
      </w:tr>
    </w:tbl>
    <w:p>
      <w:pPr>
        <w:pStyle w:val="2"/>
        <w:keepNext w:val="0"/>
        <w:keepLines w:val="0"/>
        <w:pageBreakBefore w:val="0"/>
        <w:widowControl w:val="0"/>
        <w:kinsoku/>
        <w:overflowPunct/>
        <w:topLinePunct w:val="0"/>
        <w:bidi w:val="0"/>
        <w:spacing w:line="576" w:lineRule="exact"/>
        <w:rPr>
          <w:rFonts w:hint="eastAsia" w:ascii="仿宋_GB2312" w:eastAsia="仿宋_GB2312"/>
          <w:sz w:val="28"/>
          <w:szCs w:val="28"/>
        </w:rPr>
      </w:pPr>
    </w:p>
    <w:p>
      <w:pPr>
        <w:pStyle w:val="2"/>
        <w:keepNext w:val="0"/>
        <w:keepLines w:val="0"/>
        <w:pageBreakBefore w:val="0"/>
        <w:widowControl w:val="0"/>
        <w:kinsoku/>
        <w:overflowPunct/>
        <w:topLinePunct w:val="0"/>
        <w:bidi w:val="0"/>
        <w:spacing w:line="576" w:lineRule="exact"/>
        <w:rPr>
          <w:sz w:val="28"/>
          <w:szCs w:val="28"/>
        </w:rPr>
      </w:pPr>
      <w:bookmarkStart w:id="0" w:name="_GoBack"/>
      <w:bookmarkEnd w:id="0"/>
    </w:p>
    <w:sectPr>
      <w:footerReference r:id="rId3" w:type="default"/>
      <w:footerReference r:id="rId4" w:type="even"/>
      <w:pgSz w:w="11906" w:h="16838"/>
      <w:pgMar w:top="2098" w:right="1474" w:bottom="153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 w:val="clear" w:pos="8307"/>
      </w:tabs>
      <w:ind w:right="360" w:firstLine="360"/>
    </w:pPr>
    <w:r>
      <w:rPr>
        <w:rFonts w:ascii="仿宋_GB2312" w:eastAsia="仿宋_GB2312"/>
        <w:sz w:val="32"/>
        <w:szCs w:val="32"/>
      </w:rPr>
      <mc:AlternateContent>
        <mc:Choice Requires="wps">
          <w:drawing>
            <wp:anchor distT="0" distB="0" distL="0" distR="0" simplePos="0" relativeHeight="251658240" behindDoc="0" locked="0" layoutInCell="1" allowOverlap="1">
              <wp:simplePos x="0" y="0"/>
              <wp:positionH relativeFrom="margin">
                <wp:align>outside</wp:align>
              </wp:positionH>
              <wp:positionV relativeFrom="paragraph">
                <wp:posOffset>-95885</wp:posOffset>
              </wp:positionV>
              <wp:extent cx="469900" cy="326390"/>
              <wp:effectExtent l="0" t="0" r="0" b="0"/>
              <wp:wrapSquare wrapText="bothSides"/>
              <wp:docPr id="2" name="矩形 1025"/>
              <wp:cNvGraphicFramePr/>
              <a:graphic xmlns:a="http://schemas.openxmlformats.org/drawingml/2006/main">
                <a:graphicData uri="http://schemas.microsoft.com/office/word/2010/wordprocessingShape">
                  <wps:wsp>
                    <wps:cNvSpPr/>
                    <wps:spPr>
                      <a:xfrm>
                        <a:off x="0" y="0"/>
                        <a:ext cx="469900" cy="326390"/>
                      </a:xfrm>
                      <a:prstGeom prst="rect">
                        <a:avLst/>
                      </a:prstGeom>
                      <a:noFill/>
                      <a:ln w="9525">
                        <a:noFill/>
                      </a:ln>
                      <a:effectLst/>
                    </wps:spPr>
                    <wps:txbx>
                      <w:txbxContent>
                        <w:p>
                          <w:pPr>
                            <w:pStyle w:val="7"/>
                            <w:tabs>
                              <w:tab w:val="clear" w:pos="4153"/>
                              <w:tab w:val="clear" w:pos="8307"/>
                            </w:tabs>
                            <w:rPr>
                              <w:rFonts w:ascii="宋体"/>
                              <w:sz w:val="28"/>
                              <w:szCs w:val="28"/>
                            </w:rPr>
                          </w:pPr>
                          <w:r>
                            <w:rPr>
                              <w:rFonts w:hint="eastAsia" w:ascii="宋体"/>
                              <w:sz w:val="28"/>
                              <w:szCs w:val="28"/>
                            </w:rPr>
                            <w:fldChar w:fldCharType="begin"/>
                          </w:r>
                          <w:r>
                            <w:rPr>
                              <w:rStyle w:val="11"/>
                              <w:rFonts w:hint="eastAsia" w:ascii="宋体"/>
                              <w:sz w:val="28"/>
                              <w:szCs w:val="28"/>
                            </w:rPr>
                            <w:instrText xml:space="preserve">Page</w:instrText>
                          </w:r>
                          <w:r>
                            <w:rPr>
                              <w:rFonts w:hint="eastAsia" w:ascii="宋体"/>
                              <w:sz w:val="28"/>
                              <w:szCs w:val="28"/>
                            </w:rPr>
                            <w:fldChar w:fldCharType="separate"/>
                          </w:r>
                          <w:r>
                            <w:rPr>
                              <w:rStyle w:val="11"/>
                              <w:rFonts w:ascii="宋体"/>
                              <w:sz w:val="28"/>
                              <w:szCs w:val="28"/>
                            </w:rPr>
                            <w:t>- 1 -</w:t>
                          </w:r>
                          <w:r>
                            <w:rPr>
                              <w:rFonts w:hint="eastAsia" w:ascii="宋体"/>
                              <w:sz w:val="28"/>
                              <w:szCs w:val="28"/>
                            </w:rPr>
                            <w:fldChar w:fldCharType="end"/>
                          </w:r>
                        </w:p>
                      </w:txbxContent>
                    </wps:txbx>
                    <wps:bodyPr wrap="none" lIns="12700" tIns="0" rIns="12700" bIns="0" upright="1"/>
                  </wps:wsp>
                </a:graphicData>
              </a:graphic>
            </wp:anchor>
          </w:drawing>
        </mc:Choice>
        <mc:Fallback>
          <w:pict>
            <v:rect id="矩形 1025" o:spid="_x0000_s1026" o:spt="1" style="position:absolute;left:0pt;margin-top:-7.55pt;height:25.7pt;width:37pt;mso-position-horizontal:outside;mso-position-horizontal-relative:margin;mso-wrap-distance-bottom:0pt;mso-wrap-distance-left:0pt;mso-wrap-distance-right:0pt;mso-wrap-distance-top:0pt;mso-wrap-style:none;z-index:251658240;mso-width-relative:page;mso-height-relative:page;" filled="f" stroked="f" coordsize="21600,21600" o:gfxdata="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Ls0A49UA&#10;AAAGAQAADwAAAAAAAAABACAAAAAiAAAAZHJzL2Rvd25yZXYueG1sUEsBAhQAFAAAAAgAh07iQC0r&#10;qHGwAQAARAMAAA4AAAAAAAAAAQAgAAAAJAEAAGRycy9lMm9Eb2MueG1sUEsFBgAAAAAGAAYAWQEA&#10;AEYFAAAAAA==&#10;">
              <v:fill on="f" focussize="0,0"/>
              <v:stroke on="f"/>
              <v:imagedata o:title=""/>
              <o:lock v:ext="edit" aspectratio="f"/>
              <v:textbox inset="1pt,0mm,1pt,0mm">
                <w:txbxContent>
                  <w:p>
                    <w:pPr>
                      <w:pStyle w:val="7"/>
                      <w:tabs>
                        <w:tab w:val="clear" w:pos="4153"/>
                        <w:tab w:val="clear" w:pos="8307"/>
                      </w:tabs>
                      <w:rPr>
                        <w:rFonts w:ascii="宋体"/>
                        <w:sz w:val="28"/>
                        <w:szCs w:val="28"/>
                      </w:rPr>
                    </w:pPr>
                    <w:r>
                      <w:rPr>
                        <w:rFonts w:hint="eastAsia" w:ascii="宋体"/>
                        <w:sz w:val="28"/>
                        <w:szCs w:val="28"/>
                      </w:rPr>
                      <w:fldChar w:fldCharType="begin"/>
                    </w:r>
                    <w:r>
                      <w:rPr>
                        <w:rStyle w:val="11"/>
                        <w:rFonts w:hint="eastAsia" w:ascii="宋体"/>
                        <w:sz w:val="28"/>
                        <w:szCs w:val="28"/>
                      </w:rPr>
                      <w:instrText xml:space="preserve">Page</w:instrText>
                    </w:r>
                    <w:r>
                      <w:rPr>
                        <w:rFonts w:hint="eastAsia" w:ascii="宋体"/>
                        <w:sz w:val="28"/>
                        <w:szCs w:val="28"/>
                      </w:rPr>
                      <w:fldChar w:fldCharType="separate"/>
                    </w:r>
                    <w:r>
                      <w:rPr>
                        <w:rStyle w:val="11"/>
                        <w:rFonts w:ascii="宋体"/>
                        <w:sz w:val="28"/>
                        <w:szCs w:val="28"/>
                      </w:rPr>
                      <w:t>- 1 -</w:t>
                    </w:r>
                    <w:r>
                      <w:rPr>
                        <w:rFonts w:hint="eastAsia" w:ascii="宋体"/>
                        <w:sz w:val="28"/>
                        <w:szCs w:val="28"/>
                      </w:rPr>
                      <w:fldChar w:fldCharType="end"/>
                    </w:r>
                  </w:p>
                </w:txbxContent>
              </v:textbox>
              <w10:wrap type="squar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 w:val="clear" w:pos="8307"/>
      </w:tabs>
      <w:ind w:right="360" w:firstLine="360"/>
    </w:pPr>
    <w:r>
      <w:rPr>
        <w:rFonts w:ascii="仿宋_GB2312" w:eastAsia="仿宋_GB2312"/>
        <w:sz w:val="32"/>
        <w:szCs w:val="32"/>
      </w:rPr>
      <mc:AlternateContent>
        <mc:Choice Requires="wps">
          <w:drawing>
            <wp:anchor distT="0" distB="0" distL="0" distR="0" simplePos="0" relativeHeight="251657216" behindDoc="0" locked="0" layoutInCell="1" allowOverlap="1">
              <wp:simplePos x="0" y="0"/>
              <wp:positionH relativeFrom="margin">
                <wp:align>outside</wp:align>
              </wp:positionH>
              <wp:positionV relativeFrom="paragraph">
                <wp:posOffset>0</wp:posOffset>
              </wp:positionV>
              <wp:extent cx="215900" cy="131445"/>
              <wp:effectExtent l="0" t="0" r="0" b="0"/>
              <wp:wrapSquare wrapText="bothSides"/>
              <wp:docPr id="1" name="矩形 1026"/>
              <wp:cNvGraphicFramePr/>
              <a:graphic xmlns:a="http://schemas.openxmlformats.org/drawingml/2006/main">
                <a:graphicData uri="http://schemas.microsoft.com/office/word/2010/wordprocessingShape">
                  <wps:wsp>
                    <wps:cNvSpPr/>
                    <wps:spPr>
                      <a:xfrm>
                        <a:off x="0" y="0"/>
                        <a:ext cx="215900" cy="131445"/>
                      </a:xfrm>
                      <a:prstGeom prst="rect">
                        <a:avLst/>
                      </a:prstGeom>
                      <a:noFill/>
                      <a:ln w="9525">
                        <a:noFill/>
                      </a:ln>
                      <a:effectLst/>
                    </wps:spPr>
                    <wps:txbx>
                      <w:txbxContent>
                        <w:p>
                          <w:pPr>
                            <w:pStyle w:val="7"/>
                            <w:tabs>
                              <w:tab w:val="clear" w:pos="4153"/>
                              <w:tab w:val="clear" w:pos="8307"/>
                            </w:tabs>
                          </w:pPr>
                          <w:r>
                            <w:fldChar w:fldCharType="begin"/>
                          </w:r>
                          <w:r>
                            <w:rPr>
                              <w:rStyle w:val="11"/>
                            </w:rPr>
                            <w:instrText xml:space="preserve">Page</w:instrText>
                          </w:r>
                          <w:r>
                            <w:fldChar w:fldCharType="separate"/>
                          </w:r>
                          <w:r>
                            <w:rPr>
                              <w:rStyle w:val="11"/>
                            </w:rPr>
                            <w:t>- 1 -</w:t>
                          </w:r>
                          <w:r>
                            <w:fldChar w:fldCharType="end"/>
                          </w:r>
                        </w:p>
                      </w:txbxContent>
                    </wps:txbx>
                    <wps:bodyPr wrap="none" lIns="12700" tIns="0" rIns="12700" bIns="0" upright="1">
                      <a:spAutoFit/>
                    </wps:bodyPr>
                  </wps:wsp>
                </a:graphicData>
              </a:graphic>
            </wp:anchor>
          </w:drawing>
        </mc:Choice>
        <mc:Fallback>
          <w:pict>
            <v:rect id="矩形 1026" o:spid="_x0000_s1026" o:spt="1" style="position:absolute;left:0pt;margin-top:0pt;height:10.35pt;width:17pt;mso-position-horizontal:outside;mso-position-horizontal-relative:margin;mso-wrap-distance-bottom:0pt;mso-wrap-distance-left:0pt;mso-wrap-distance-right:0pt;mso-wrap-distance-top:0pt;mso-wrap-style:none;z-index:251657216;mso-width-relative:page;mso-height-relative:page;" filled="f" stroked="f" coordsize="21600,21600" o:gfxdata="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eO6HoNQAAAADAQAADwAAAAAAAAABACAAAAAiAAAAZHJzL2Rvd25yZXYueG1sUEsBAhQA&#10;FAAAAAgAh07iQEc/NF69AQAAXgMAAA4AAAAAAAAAAQAgAAAAIwEAAGRycy9lMm9Eb2MueG1sUEsF&#10;BgAAAAAGAAYAWQEAAFIFAAAAAA==&#10;">
              <v:fill on="f" focussize="0,0"/>
              <v:stroke on="f"/>
              <v:imagedata o:title=""/>
              <o:lock v:ext="edit" aspectratio="f"/>
              <v:textbox inset="1pt,0mm,1pt,0mm" style="mso-fit-shape-to-text:t;">
                <w:txbxContent>
                  <w:p>
                    <w:pPr>
                      <w:pStyle w:val="7"/>
                      <w:tabs>
                        <w:tab w:val="clear" w:pos="4153"/>
                        <w:tab w:val="clear" w:pos="8307"/>
                      </w:tabs>
                    </w:pPr>
                    <w:r>
                      <w:fldChar w:fldCharType="begin"/>
                    </w:r>
                    <w:r>
                      <w:rPr>
                        <w:rStyle w:val="11"/>
                      </w:rPr>
                      <w:instrText xml:space="preserve">Page</w:instrText>
                    </w:r>
                    <w:r>
                      <w:fldChar w:fldCharType="separate"/>
                    </w:r>
                    <w:r>
                      <w:rPr>
                        <w:rStyle w:val="11"/>
                      </w:rPr>
                      <w:t>- 1 -</w:t>
                    </w:r>
                    <w:r>
                      <w:fldChar w:fldCharType="end"/>
                    </w:r>
                  </w:p>
                </w:txbxContent>
              </v:textbox>
              <w10:wrap type="square"/>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hideGrammaticalErrors/>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0A7"/>
    <w:rsid w:val="0000758D"/>
    <w:rsid w:val="000106E6"/>
    <w:rsid w:val="00015A95"/>
    <w:rsid w:val="00042DDD"/>
    <w:rsid w:val="00045725"/>
    <w:rsid w:val="0005146C"/>
    <w:rsid w:val="0006412D"/>
    <w:rsid w:val="000978F3"/>
    <w:rsid w:val="000A3B80"/>
    <w:rsid w:val="000A4CFA"/>
    <w:rsid w:val="000B0B05"/>
    <w:rsid w:val="00105505"/>
    <w:rsid w:val="00151B3B"/>
    <w:rsid w:val="001737FA"/>
    <w:rsid w:val="00180C6C"/>
    <w:rsid w:val="0018575B"/>
    <w:rsid w:val="001911FB"/>
    <w:rsid w:val="001C07D1"/>
    <w:rsid w:val="001C15BD"/>
    <w:rsid w:val="001D0163"/>
    <w:rsid w:val="001D0348"/>
    <w:rsid w:val="001D0382"/>
    <w:rsid w:val="001D6F72"/>
    <w:rsid w:val="001E15F4"/>
    <w:rsid w:val="001E1FE6"/>
    <w:rsid w:val="001F4FC0"/>
    <w:rsid w:val="002029CA"/>
    <w:rsid w:val="002234BE"/>
    <w:rsid w:val="00245F88"/>
    <w:rsid w:val="00246B20"/>
    <w:rsid w:val="002505E9"/>
    <w:rsid w:val="002526B3"/>
    <w:rsid w:val="00254040"/>
    <w:rsid w:val="002601EF"/>
    <w:rsid w:val="00273F67"/>
    <w:rsid w:val="002B702D"/>
    <w:rsid w:val="002D021C"/>
    <w:rsid w:val="002D2087"/>
    <w:rsid w:val="002F2099"/>
    <w:rsid w:val="00310941"/>
    <w:rsid w:val="00320C74"/>
    <w:rsid w:val="0033359F"/>
    <w:rsid w:val="003A50A7"/>
    <w:rsid w:val="003B4528"/>
    <w:rsid w:val="003B7739"/>
    <w:rsid w:val="003D0E95"/>
    <w:rsid w:val="003F7B27"/>
    <w:rsid w:val="00406D6E"/>
    <w:rsid w:val="004224FE"/>
    <w:rsid w:val="0043349B"/>
    <w:rsid w:val="00443CB2"/>
    <w:rsid w:val="0044688F"/>
    <w:rsid w:val="00465503"/>
    <w:rsid w:val="00474735"/>
    <w:rsid w:val="004910FA"/>
    <w:rsid w:val="004A387C"/>
    <w:rsid w:val="004B2DA6"/>
    <w:rsid w:val="004B4C0D"/>
    <w:rsid w:val="004D0479"/>
    <w:rsid w:val="004D2A44"/>
    <w:rsid w:val="004D59C2"/>
    <w:rsid w:val="004E4715"/>
    <w:rsid w:val="00513CCA"/>
    <w:rsid w:val="00524E1D"/>
    <w:rsid w:val="00525311"/>
    <w:rsid w:val="0054491A"/>
    <w:rsid w:val="00561FEE"/>
    <w:rsid w:val="005748D0"/>
    <w:rsid w:val="00592F76"/>
    <w:rsid w:val="005A323B"/>
    <w:rsid w:val="005B044E"/>
    <w:rsid w:val="005C3095"/>
    <w:rsid w:val="005D656F"/>
    <w:rsid w:val="005F0D23"/>
    <w:rsid w:val="00605F40"/>
    <w:rsid w:val="00635D76"/>
    <w:rsid w:val="0067540F"/>
    <w:rsid w:val="006773B7"/>
    <w:rsid w:val="006D00C6"/>
    <w:rsid w:val="006D0C04"/>
    <w:rsid w:val="006D37A4"/>
    <w:rsid w:val="006F0971"/>
    <w:rsid w:val="00717ACB"/>
    <w:rsid w:val="00734674"/>
    <w:rsid w:val="00737AA6"/>
    <w:rsid w:val="00744810"/>
    <w:rsid w:val="00753B5D"/>
    <w:rsid w:val="00767A1A"/>
    <w:rsid w:val="0077263A"/>
    <w:rsid w:val="0078065B"/>
    <w:rsid w:val="007858C0"/>
    <w:rsid w:val="00793A02"/>
    <w:rsid w:val="007C419A"/>
    <w:rsid w:val="007F3F1C"/>
    <w:rsid w:val="00814A29"/>
    <w:rsid w:val="00837CB8"/>
    <w:rsid w:val="00850415"/>
    <w:rsid w:val="008749F5"/>
    <w:rsid w:val="008763BB"/>
    <w:rsid w:val="00876F77"/>
    <w:rsid w:val="00877EAE"/>
    <w:rsid w:val="00882B5D"/>
    <w:rsid w:val="00886E3A"/>
    <w:rsid w:val="00893DF7"/>
    <w:rsid w:val="008A7FAD"/>
    <w:rsid w:val="008C5C17"/>
    <w:rsid w:val="008D3F1B"/>
    <w:rsid w:val="0090534D"/>
    <w:rsid w:val="00910E97"/>
    <w:rsid w:val="0093635F"/>
    <w:rsid w:val="0095482C"/>
    <w:rsid w:val="0095503B"/>
    <w:rsid w:val="00960543"/>
    <w:rsid w:val="009655EE"/>
    <w:rsid w:val="00977900"/>
    <w:rsid w:val="00984986"/>
    <w:rsid w:val="0099269A"/>
    <w:rsid w:val="009A7349"/>
    <w:rsid w:val="009B57B9"/>
    <w:rsid w:val="009B7BDF"/>
    <w:rsid w:val="009C72BC"/>
    <w:rsid w:val="009F0FCC"/>
    <w:rsid w:val="00A02ECA"/>
    <w:rsid w:val="00A07371"/>
    <w:rsid w:val="00A211D6"/>
    <w:rsid w:val="00A277BE"/>
    <w:rsid w:val="00A3089B"/>
    <w:rsid w:val="00A348A6"/>
    <w:rsid w:val="00A76345"/>
    <w:rsid w:val="00A93874"/>
    <w:rsid w:val="00A942A2"/>
    <w:rsid w:val="00B0432F"/>
    <w:rsid w:val="00B41382"/>
    <w:rsid w:val="00B5043F"/>
    <w:rsid w:val="00B726F9"/>
    <w:rsid w:val="00B856AA"/>
    <w:rsid w:val="00B859A3"/>
    <w:rsid w:val="00B9311C"/>
    <w:rsid w:val="00B9687C"/>
    <w:rsid w:val="00B9740B"/>
    <w:rsid w:val="00BA6684"/>
    <w:rsid w:val="00BB28D8"/>
    <w:rsid w:val="00BC3079"/>
    <w:rsid w:val="00BE6BED"/>
    <w:rsid w:val="00BF78AE"/>
    <w:rsid w:val="00C05571"/>
    <w:rsid w:val="00C13AE8"/>
    <w:rsid w:val="00C209E1"/>
    <w:rsid w:val="00C32196"/>
    <w:rsid w:val="00C326A3"/>
    <w:rsid w:val="00C43F34"/>
    <w:rsid w:val="00C47235"/>
    <w:rsid w:val="00C725D2"/>
    <w:rsid w:val="00C75E3E"/>
    <w:rsid w:val="00C845E5"/>
    <w:rsid w:val="00CB763C"/>
    <w:rsid w:val="00CE1F72"/>
    <w:rsid w:val="00CE21C1"/>
    <w:rsid w:val="00CF0E28"/>
    <w:rsid w:val="00CF2780"/>
    <w:rsid w:val="00D0449D"/>
    <w:rsid w:val="00D0686F"/>
    <w:rsid w:val="00D30DBD"/>
    <w:rsid w:val="00D46A66"/>
    <w:rsid w:val="00D477C7"/>
    <w:rsid w:val="00D71D9B"/>
    <w:rsid w:val="00D80E4B"/>
    <w:rsid w:val="00D97C93"/>
    <w:rsid w:val="00DA4DF3"/>
    <w:rsid w:val="00DD14DA"/>
    <w:rsid w:val="00DF3F23"/>
    <w:rsid w:val="00DF7A7F"/>
    <w:rsid w:val="00E10726"/>
    <w:rsid w:val="00E41E66"/>
    <w:rsid w:val="00E44240"/>
    <w:rsid w:val="00E44508"/>
    <w:rsid w:val="00E52205"/>
    <w:rsid w:val="00EA01BC"/>
    <w:rsid w:val="00EB06C4"/>
    <w:rsid w:val="00EC40F3"/>
    <w:rsid w:val="00ED0EFA"/>
    <w:rsid w:val="00F01DEE"/>
    <w:rsid w:val="00F14146"/>
    <w:rsid w:val="00F738C1"/>
    <w:rsid w:val="00F81E0E"/>
    <w:rsid w:val="00F84B09"/>
    <w:rsid w:val="00F866F6"/>
    <w:rsid w:val="00F91C70"/>
    <w:rsid w:val="00FA1646"/>
    <w:rsid w:val="00FA4012"/>
    <w:rsid w:val="00FA6209"/>
    <w:rsid w:val="00FB4297"/>
    <w:rsid w:val="00FC4318"/>
    <w:rsid w:val="00FC44EA"/>
    <w:rsid w:val="00FF6B0A"/>
    <w:rsid w:val="0216364C"/>
    <w:rsid w:val="05A47670"/>
    <w:rsid w:val="0834190D"/>
    <w:rsid w:val="08B45918"/>
    <w:rsid w:val="09C2683B"/>
    <w:rsid w:val="0B2E06E7"/>
    <w:rsid w:val="0B9403CD"/>
    <w:rsid w:val="153D4A9F"/>
    <w:rsid w:val="158833C7"/>
    <w:rsid w:val="19446FDB"/>
    <w:rsid w:val="1E8F530F"/>
    <w:rsid w:val="1FED064B"/>
    <w:rsid w:val="235B35EA"/>
    <w:rsid w:val="27712640"/>
    <w:rsid w:val="27AA55F0"/>
    <w:rsid w:val="29FE26A7"/>
    <w:rsid w:val="2CC9782D"/>
    <w:rsid w:val="2F0B119F"/>
    <w:rsid w:val="3080700A"/>
    <w:rsid w:val="30E858D0"/>
    <w:rsid w:val="322C39CA"/>
    <w:rsid w:val="32CA35BC"/>
    <w:rsid w:val="3329416B"/>
    <w:rsid w:val="37191933"/>
    <w:rsid w:val="37206835"/>
    <w:rsid w:val="3934369C"/>
    <w:rsid w:val="39FA24CE"/>
    <w:rsid w:val="3D212747"/>
    <w:rsid w:val="41981390"/>
    <w:rsid w:val="42C2196D"/>
    <w:rsid w:val="43037B45"/>
    <w:rsid w:val="44027228"/>
    <w:rsid w:val="4AB8333B"/>
    <w:rsid w:val="4B901292"/>
    <w:rsid w:val="4BE713E9"/>
    <w:rsid w:val="4C6B5FE9"/>
    <w:rsid w:val="4CB32DCE"/>
    <w:rsid w:val="4D3D14B1"/>
    <w:rsid w:val="50CC319A"/>
    <w:rsid w:val="519F1C11"/>
    <w:rsid w:val="536B0A76"/>
    <w:rsid w:val="54EC0938"/>
    <w:rsid w:val="5B8C3125"/>
    <w:rsid w:val="5D12710C"/>
    <w:rsid w:val="5E7511A4"/>
    <w:rsid w:val="5EF256FE"/>
    <w:rsid w:val="5FF95C72"/>
    <w:rsid w:val="61A16218"/>
    <w:rsid w:val="64C34239"/>
    <w:rsid w:val="64E717FA"/>
    <w:rsid w:val="68751C89"/>
    <w:rsid w:val="73443141"/>
    <w:rsid w:val="7882188C"/>
    <w:rsid w:val="7AE91D4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Normal Indent"/>
    <w:basedOn w:val="1"/>
    <w:unhideWhenUsed/>
    <w:qFormat/>
    <w:uiPriority w:val="99"/>
    <w:pPr>
      <w:ind w:firstLine="420" w:firstLineChars="200"/>
    </w:pPr>
  </w:style>
  <w:style w:type="paragraph" w:styleId="4">
    <w:name w:val="Body Text"/>
    <w:next w:val="1"/>
    <w:qFormat/>
    <w:uiPriority w:val="0"/>
    <w:pPr>
      <w:widowControl w:val="0"/>
      <w:adjustRightInd w:val="0"/>
      <w:snapToGrid w:val="0"/>
      <w:spacing w:line="400" w:lineRule="atLeast"/>
      <w:jc w:val="center"/>
    </w:pPr>
    <w:rPr>
      <w:rFonts w:ascii="Times New Roman" w:hAnsi="Times New Roman" w:eastAsia="楷体_GB2312" w:cs="Times New Roman"/>
      <w:b/>
      <w:bCs/>
      <w:kern w:val="2"/>
      <w:sz w:val="36"/>
      <w:szCs w:val="24"/>
      <w:lang w:val="en-US" w:eastAsia="zh-CN" w:bidi="ar-SA"/>
    </w:rPr>
  </w:style>
  <w:style w:type="paragraph" w:styleId="5">
    <w:name w:val="Date"/>
    <w:basedOn w:val="1"/>
    <w:next w:val="1"/>
    <w:link w:val="15"/>
    <w:unhideWhenUsed/>
    <w:qFormat/>
    <w:uiPriority w:val="99"/>
    <w:pPr>
      <w:ind w:left="100" w:leftChars="2500"/>
    </w:p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7"/>
      </w:tabs>
      <w:snapToGrid w:val="0"/>
      <w:jc w:val="left"/>
    </w:pPr>
    <w:rPr>
      <w:sz w:val="18"/>
    </w:rPr>
  </w:style>
  <w:style w:type="paragraph" w:styleId="8">
    <w:name w:val="header"/>
    <w:basedOn w:val="1"/>
    <w:qFormat/>
    <w:uiPriority w:val="0"/>
    <w:pPr>
      <w:pBdr>
        <w:bottom w:val="single" w:color="auto" w:sz="6" w:space="1"/>
      </w:pBdr>
      <w:tabs>
        <w:tab w:val="center" w:pos="4153"/>
        <w:tab w:val="right" w:pos="8307"/>
      </w:tabs>
      <w:snapToGrid w:val="0"/>
      <w:jc w:val="center"/>
    </w:pPr>
    <w:rPr>
      <w:sz w:val="18"/>
    </w:rPr>
  </w:style>
  <w:style w:type="character" w:styleId="10">
    <w:name w:val="Strong"/>
    <w:qFormat/>
    <w:uiPriority w:val="0"/>
    <w:rPr>
      <w:b/>
      <w:bCs/>
    </w:rPr>
  </w:style>
  <w:style w:type="character" w:styleId="11">
    <w:name w:val="page number"/>
    <w:basedOn w:val="9"/>
    <w:qFormat/>
    <w:uiPriority w:val="0"/>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4">
    <w:name w:val="apple-converted-space"/>
    <w:qFormat/>
    <w:uiPriority w:val="0"/>
  </w:style>
  <w:style w:type="character" w:customStyle="1" w:styleId="15">
    <w:name w:val="日期 Char"/>
    <w:basedOn w:val="9"/>
    <w:link w:val="5"/>
    <w:semiHidden/>
    <w:qFormat/>
    <w:uiPriority w:val="99"/>
    <w:rPr>
      <w:rFonts w:eastAsia="宋体"/>
      <w:kern w:val="2"/>
      <w:sz w:val="21"/>
      <w:szCs w:val="24"/>
    </w:rPr>
  </w:style>
  <w:style w:type="paragraph" w:customStyle="1" w:styleId="16">
    <w:name w:val="正文A"/>
    <w:qFormat/>
    <w:uiPriority w:val="0"/>
    <w:pPr>
      <w:tabs>
        <w:tab w:val="left" w:pos="0"/>
      </w:tabs>
      <w:adjustRightInd w:val="0"/>
      <w:snapToGrid w:val="0"/>
      <w:spacing w:line="360" w:lineRule="auto"/>
      <w:ind w:firstLine="200" w:firstLineChars="200"/>
      <w:jc w:val="both"/>
    </w:pPr>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微软用户</Company>
  <Pages>4</Pages>
  <Words>234</Words>
  <Characters>1334</Characters>
  <Lines>11</Lines>
  <Paragraphs>3</Paragraphs>
  <ScaleCrop>false</ScaleCrop>
  <LinksUpToDate>false</LinksUpToDate>
  <CharactersWithSpaces>1565</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2019-07-16T07:07:00Z</dcterms:created>
  <dc:creator>微软中国</dc:creator>
  <cp:lastModifiedBy>hbj</cp:lastModifiedBy>
  <cp:lastPrinted>2020-02-11T08:01:00Z</cp:lastPrinted>
  <dcterms:modified xsi:type="dcterms:W3CDTF">2021-06-02T01:37:05Z</dcterms:modified>
  <dc:title>蓬环函〔2011〕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