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蓬溪县</w:t>
      </w:r>
      <w:r>
        <w:rPr>
          <w:rFonts w:hint="eastAsia" w:ascii="方正小标宋简体" w:hAnsi="方正小标宋简体" w:eastAsia="方正小标宋简体" w:cs="方正小标宋简体"/>
          <w:bCs/>
          <w:sz w:val="44"/>
          <w:szCs w:val="44"/>
          <w:lang w:val="en-US" w:eastAsia="zh-CN"/>
        </w:rPr>
        <w:t>天福镇</w:t>
      </w:r>
      <w:r>
        <w:rPr>
          <w:rFonts w:hint="eastAsia" w:ascii="方正小标宋简体" w:hAnsi="方正小标宋简体" w:eastAsia="方正小标宋简体" w:cs="方正小标宋简体"/>
          <w:bCs/>
          <w:sz w:val="44"/>
          <w:szCs w:val="44"/>
        </w:rPr>
        <w:t>法定行政权力事项清单</w:t>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rPr>
          <w:rFonts w:ascii="Calibri" w:hAnsi="Calibri" w:eastAsia="仿宋_GB2312" w:cs="Times New Roman"/>
          <w:kern w:val="2"/>
          <w:sz w:val="32"/>
          <w:szCs w:val="24"/>
          <w:lang w:val="en-US" w:eastAsia="zh-CN" w:bidi="ar-SA"/>
        </w:rPr>
      </w:pPr>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对在乡、村规划区域内使用原有宅基地、村内空闲地进行住宅建设的许可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0825-</w:t>
            </w:r>
            <w:r>
              <w:rPr>
                <w:rFonts w:hint="eastAsia" w:ascii="宋体" w:hAnsi="宋体" w:eastAsia="宋体" w:cs="宋体"/>
                <w:sz w:val="28"/>
                <w:szCs w:val="28"/>
                <w:lang w:val="en-US" w:eastAsia="zh-CN"/>
              </w:rPr>
              <w:t>5490001</w:t>
            </w:r>
          </w:p>
        </w:tc>
      </w:tr>
    </w:tbl>
    <w:p>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对在乡、村规划区内未经批准进行临时建设的、未按批准用途进行临时建设的、临时建设超过批准规定期限不拆除的、建设单位或者个人改变经批准的临时建（构）筑物使用性质或者转让、出租抵押等的处罚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对在村庄、集镇规划区内，村民未经批准或者违反村镇规划修建住宅的处罚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15</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autoSpaceDE w:val="0"/>
              <w:spacing w:line="320" w:lineRule="exact"/>
              <w:jc w:val="left"/>
              <w:rPr>
                <w:rFonts w:ascii="宋体" w:hAnsi="宋体" w:eastAsia="宋体" w:cs="宋体"/>
                <w:sz w:val="28"/>
                <w:szCs w:val="28"/>
              </w:rPr>
            </w:pPr>
            <w:r>
              <w:rPr>
                <w:rFonts w:hint="eastAsia" w:ascii="宋体" w:hAnsi="宋体" w:eastAsia="宋体" w:cs="宋体"/>
                <w:sz w:val="28"/>
                <w:szCs w:val="28"/>
              </w:rPr>
              <w:t>对在依法划定的电力设施保护区内修 建建筑物、构筑物或者种植植物、堆放物品，危及电力设施安全的强制拆除、砍伐或者清除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16</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对非法种植毒品原植物的强制制止、铲除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17</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对受到地质灾害威胁且情况紧急时的强制避灾疏散</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18</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对在乡、村庄规划区内未依法取得乡村建设规划许可证或者未按照乡村建设规划许可证的规定进行建设的，逾期不改正的强制拆除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19</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防汛工作遇到阻拦和拖延时，经批准后，组织强制实施。</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rPr>
          <w:rFonts w:hint="eastAsia"/>
        </w:rPr>
      </w:pPr>
    </w:p>
    <w:p>
      <w:pPr>
        <w:pStyle w:val="2"/>
      </w:pP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6560" w:type="dxa"/>
            <w:vAlign w:val="center"/>
          </w:tcPr>
          <w:p>
            <w:pPr>
              <w:spacing w:line="320" w:lineRule="exact"/>
              <w:jc w:val="left"/>
              <w:rPr>
                <w:rFonts w:ascii="宋体" w:hAnsi="宋体" w:cs="宋体"/>
                <w:sz w:val="28"/>
                <w:szCs w:val="28"/>
              </w:rPr>
            </w:pPr>
            <w:r>
              <w:rPr>
                <w:rFonts w:hint="eastAsia" w:ascii="宋体" w:hAnsi="宋体" w:eastAsia="宋体" w:cs="宋体"/>
                <w:sz w:val="28"/>
                <w:szCs w:val="28"/>
                <w:shd w:val="clear" w:color="auto" w:fill="FFFFFF"/>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p>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6560"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1.受理责任：公示裁决应当提交的材料，一次性告知补正材料，依法受理或不予受理（不予受理应当告知理由）。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2.审查责任：根据有关规定及规范，对书面申请材料进行审查，提出审查意见。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3.裁决责任：根据事实和法律、法规作出处理意见，报县政府作出处理决定。制作并向双方当事人送达裁决书。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4.执行责任：裁决生效后，争议双方应当自觉履行。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6560"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6560" w:type="dxa"/>
            <w:vAlign w:val="center"/>
          </w:tcPr>
          <w:p>
            <w:pPr>
              <w:spacing w:line="320" w:lineRule="exact"/>
              <w:jc w:val="center"/>
              <w:rPr>
                <w:rFonts w:hint="eastAsia" w:ascii="宋体" w:hAnsi="宋体" w:eastAsia="宋体" w:cs="宋体"/>
                <w:sz w:val="28"/>
                <w:szCs w:val="28"/>
                <w:shd w:val="clear" w:color="auto" w:fill="FFFFFF"/>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6560" w:type="dxa"/>
            <w:vAlign w:val="center"/>
          </w:tcPr>
          <w:p>
            <w:pPr>
              <w:spacing w:line="320" w:lineRule="exact"/>
              <w:jc w:val="center"/>
              <w:rPr>
                <w:rFonts w:ascii="宋体" w:hAnsi="宋体" w:cs="宋体"/>
                <w:sz w:val="28"/>
                <w:szCs w:val="28"/>
              </w:rPr>
            </w:pPr>
            <w:r>
              <w:rPr>
                <w:rFonts w:hint="eastAsia" w:ascii="宋体" w:hAnsi="宋体" w:eastAsia="宋体" w:cs="宋体"/>
                <w:sz w:val="28"/>
                <w:szCs w:val="28"/>
                <w:shd w:val="clear" w:color="auto" w:fill="FFFFFF"/>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p>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6560"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1.受理责任：公示裁决应当提交的材料，一次性告知补正材料，依法受理或不予受理（不予受理应当告知理由）。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2.审查责任：根据有关规定及规范，对书面申请材料进行审查，提出审查意见。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3.裁决责任：根据事实和法律、法规作出处理意见，报县政府作出处理决定。制作并向双方当事人送达裁决书。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4.执行责任：裁决生效后，争议双方应当自觉履行。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6560"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6560" w:type="dxa"/>
            <w:vAlign w:val="center"/>
          </w:tcPr>
          <w:p>
            <w:pPr>
              <w:spacing w:line="320" w:lineRule="exact"/>
              <w:jc w:val="center"/>
              <w:rPr>
                <w:rFonts w:hint="eastAsia" w:ascii="宋体" w:hAnsi="宋体" w:eastAsia="宋体" w:cs="宋体"/>
                <w:sz w:val="28"/>
                <w:szCs w:val="28"/>
                <w:shd w:val="clear" w:color="auto" w:fill="FFFFFF"/>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left"/>
              <w:rPr>
                <w:rFonts w:ascii="宋体" w:hAnsi="宋体" w:eastAsia="宋体" w:cs="宋体"/>
                <w:sz w:val="28"/>
                <w:szCs w:val="28"/>
              </w:rPr>
            </w:pPr>
            <w:r>
              <w:rPr>
                <w:rFonts w:hint="eastAsia" w:ascii="宋体" w:hAnsi="宋体" w:eastAsia="宋体" w:cs="宋体"/>
                <w:kern w:val="0"/>
                <w:sz w:val="28"/>
                <w:szCs w:val="28"/>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pPr w:leftFromText="180" w:rightFromText="180" w:vertAnchor="text" w:horzAnchor="page" w:tblpX="1830" w:tblpY="466"/>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19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对地质灾害险情的检查</w:t>
            </w:r>
          </w:p>
        </w:tc>
      </w:tr>
      <w:tr>
        <w:tblPrEx>
          <w:tblCellMar>
            <w:top w:w="0" w:type="dxa"/>
            <w:left w:w="108" w:type="dxa"/>
            <w:bottom w:w="0" w:type="dxa"/>
            <w:right w:w="108" w:type="dxa"/>
          </w:tblCellMar>
        </w:tblPrEx>
        <w:trPr>
          <w:trHeight w:val="80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1.检查责任：根据本地区的实际情况，对地质灾害险情进行定期或者不定期监督检查。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对环境保护隐患的检查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环境保护隐患</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对秸秆禁烧区开展秸秆焚烧现场检查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秸秆禁烧区</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对乡、村农村住房建设质量安全的检查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住房建设质量安全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对水上交通安全的监督检查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水上交通安全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对渡口安全的监督检查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1.检查责任：根据本地区的实际情况，对渡口安全进行定期或者不定期监督检查。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对水库大坝的监督检查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水库大坝</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对流动人口用人单位计划生育工作的监督检查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流动人口用人单位计划生育工作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对预防控制狂犬病工作的督促检查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预防控制狂犬病工作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对生产经营单位安全生产状况的监督检查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生产经营单位安全生产状况</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对食品安全的监督检查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食品安全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配合开展电信设施建设和保护工作的监督检查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配合开展电信设施建设和保护工作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对消防安全的检查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消防安全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对在军人抚恤优待工作中作出显著成绩的单位和个人的表彰奖励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对在促进就业工作中作出显著成绩的单位和个人的表彰奖励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br w:type="page"/>
      </w:r>
    </w:p>
    <w:p>
      <w:pPr>
        <w:pStyle w:val="3"/>
      </w:pPr>
    </w:p>
    <w:p>
      <w:pPr>
        <w:pStyle w:val="3"/>
        <w:jc w:val="both"/>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3"/>
        <w:rPr>
          <w:rFonts w:ascii="宋体" w:hAnsi="宋体" w:eastAsia="宋体" w:cs="宋体"/>
          <w:color w:val="auto"/>
          <w:sz w:val="21"/>
          <w:szCs w:val="21"/>
        </w:rPr>
      </w:pPr>
    </w:p>
    <w:p>
      <w:pPr>
        <w:rPr>
          <w:rFonts w:ascii="宋体" w:hAnsi="宋体" w:eastAsia="宋体" w:cs="宋体"/>
          <w:sz w:val="21"/>
          <w:szCs w:val="21"/>
        </w:rPr>
      </w:pPr>
    </w:p>
    <w:tbl>
      <w:tblPr>
        <w:tblStyle w:val="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rPr>
          <w:rFonts w:ascii="宋体" w:hAnsi="宋体" w:eastAsia="宋体" w:cs="宋体"/>
          <w:color w:val="auto"/>
          <w:sz w:val="21"/>
          <w:szCs w:val="21"/>
        </w:rPr>
      </w:pPr>
    </w:p>
    <w:p>
      <w:pPr>
        <w:rPr>
          <w:rFonts w:ascii="宋体" w:hAnsi="宋体" w:eastAsia="宋体" w:cs="宋体"/>
          <w:sz w:val="21"/>
          <w:szCs w:val="21"/>
        </w:rPr>
      </w:pPr>
      <w:r>
        <w:rPr>
          <w:rFonts w:hint="eastAsia" w:ascii="宋体" w:hAnsi="宋体" w:eastAsia="宋体" w:cs="宋体"/>
          <w:sz w:val="21"/>
          <w:szCs w:val="21"/>
        </w:rPr>
        <w:br w:type="page"/>
      </w:r>
    </w:p>
    <w:p/>
    <w:tbl>
      <w:tblPr>
        <w:tblStyle w:val="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rPr>
          <w:rFonts w:ascii="宋体" w:hAnsi="宋体" w:eastAsia="宋体" w:cs="宋体"/>
          <w:sz w:val="21"/>
          <w:szCs w:val="21"/>
        </w:rPr>
      </w:pPr>
    </w:p>
    <w:p>
      <w:pPr>
        <w:pStyle w:val="2"/>
        <w:rPr>
          <w:rFonts w:ascii="宋体" w:hAnsi="宋体" w:eastAsia="宋体" w:cs="宋体"/>
          <w:color w:val="auto"/>
          <w:sz w:val="21"/>
          <w:szCs w:val="21"/>
        </w:rPr>
      </w:pPr>
    </w:p>
    <w:p>
      <w:pPr>
        <w:pStyle w:val="3"/>
        <w:rPr>
          <w:rFonts w:ascii="宋体" w:hAnsi="宋体" w:eastAsia="宋体" w:cs="宋体"/>
          <w:color w:val="auto"/>
          <w:sz w:val="21"/>
          <w:szCs w:val="21"/>
        </w:rPr>
      </w:pPr>
    </w:p>
    <w:p>
      <w:pPr>
        <w:rPr>
          <w:rFonts w:ascii="宋体" w:hAnsi="宋体" w:eastAsia="宋体" w:cs="宋体"/>
          <w:sz w:val="21"/>
          <w:szCs w:val="21"/>
        </w:rPr>
      </w:pPr>
    </w:p>
    <w:tbl>
      <w:tblPr>
        <w:tblStyle w:val="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rPr>
          <w:rFonts w:ascii="宋体" w:hAnsi="宋体" w:eastAsia="宋体" w:cs="宋体"/>
          <w:sz w:val="21"/>
          <w:szCs w:val="21"/>
        </w:rPr>
      </w:pPr>
      <w:r>
        <w:rPr>
          <w:rFonts w:hint="eastAsia" w:ascii="宋体" w:hAnsi="宋体" w:eastAsia="宋体" w:cs="宋体"/>
          <w:sz w:val="21"/>
          <w:szCs w:val="21"/>
        </w:rPr>
        <w:br w:type="page"/>
      </w:r>
    </w:p>
    <w:p>
      <w:pPr>
        <w:pStyle w:val="3"/>
      </w:pPr>
    </w:p>
    <w:tbl>
      <w:tblPr>
        <w:tblStyle w:val="6"/>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rPr>
          <w:rFonts w:ascii="宋体" w:hAnsi="宋体" w:eastAsia="宋体" w:cs="宋体"/>
          <w:color w:val="auto"/>
          <w:sz w:val="21"/>
          <w:szCs w:val="21"/>
        </w:rPr>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9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61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7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5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4"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9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对居民公约的备案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7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2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p>
      <w:pPr>
        <w:rPr>
          <w:rFonts w:ascii="黑体" w:hAnsi="黑体" w:eastAsia="黑体" w:cs="黑体"/>
          <w:szCs w:val="32"/>
        </w:rPr>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00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2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3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12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6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03"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8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90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6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7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对乡（镇）村公共设施、公益事业建设用地的审核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jc w:val="both"/>
      </w:pPr>
    </w:p>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70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6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964"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6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6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4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2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39"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03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r>
        <w:rPr>
          <w:rFonts w:hint="eastAsia"/>
        </w:rPr>
        <w:br w:type="page"/>
      </w:r>
    </w:p>
    <w:p>
      <w:pPr>
        <w:pStyle w:val="3"/>
      </w:pPr>
    </w:p>
    <w:p>
      <w:pPr>
        <w:rPr>
          <w:rFonts w:ascii="黑体" w:hAnsi="黑体" w:eastAsia="黑体" w:cs="黑体"/>
          <w:szCs w:val="32"/>
        </w:rPr>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rPr>
          <w:rFonts w:ascii="黑体" w:hAnsi="黑体" w:eastAsia="黑体" w:cs="黑体"/>
          <w:szCs w:val="32"/>
        </w:rPr>
      </w:pPr>
    </w:p>
    <w:p>
      <w:pPr>
        <w:pStyle w:val="2"/>
        <w:rPr>
          <w:rFonts w:ascii="黑体" w:hAnsi="黑体" w:eastAsia="黑体" w:cs="黑体"/>
          <w:color w:val="auto"/>
          <w:sz w:val="32"/>
          <w:szCs w:val="32"/>
        </w:rPr>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r>
        <w:rPr>
          <w:rFonts w:hint="eastAsia"/>
        </w:rPr>
        <w:br w:type="page"/>
      </w: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Pr>
        <w:pStyle w:val="2"/>
      </w:pP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r>
        <w:rPr>
          <w:rFonts w:hint="eastAsia"/>
        </w:rPr>
        <w:br w:type="page"/>
      </w: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r>
        <w:rPr>
          <w:rFonts w:hint="eastAsia"/>
        </w:rPr>
        <w:br w:type="page"/>
      </w: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jc w:val="both"/>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r>
        <w:rPr>
          <w:rFonts w:hint="eastAsia"/>
        </w:rPr>
        <w:br w:type="column"/>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r>
        <w:rPr>
          <w:rFonts w:hint="eastAsia"/>
        </w:rPr>
        <w:br w:type="page"/>
      </w: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r>
        <w:rPr>
          <w:rFonts w:hint="eastAsia"/>
        </w:rPr>
        <w:br w:type="page"/>
      </w: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Pr>
        <w:pStyle w:val="3"/>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Pr>
        <w:pStyle w:val="3"/>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对不满 16 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Pr>
        <w:pStyle w:val="3"/>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r>
        <w:rPr>
          <w:rFonts w:hint="eastAsia"/>
        </w:rPr>
        <w:br w:type="page"/>
      </w: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Pr>
        <w:pStyle w:val="3"/>
      </w:pPr>
    </w:p>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r>
        <w:rPr>
          <w:rFonts w:hint="eastAsia"/>
        </w:rPr>
        <w:br w:type="page"/>
      </w:r>
    </w:p>
    <w:p>
      <w:pPr>
        <w:pStyle w:val="3"/>
      </w:pP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rPr>
              <w:t>0825-</w:t>
            </w:r>
            <w:r>
              <w:rPr>
                <w:rFonts w:hint="eastAsia" w:ascii="宋体" w:hAnsi="宋体" w:eastAsia="宋体" w:cs="宋体"/>
                <w:sz w:val="28"/>
                <w:szCs w:val="28"/>
                <w:lang w:eastAsia="zh-CN"/>
              </w:rPr>
              <w:t>5490001</w:t>
            </w:r>
          </w:p>
        </w:tc>
      </w:tr>
    </w:tbl>
    <w:p/>
    <w:p>
      <w:pPr>
        <w:spacing w:line="300" w:lineRule="exact"/>
        <w:rPr>
          <w:rFonts w:ascii="方正小标宋简体" w:hAnsi="方正小标宋简体" w:eastAsia="方正小标宋简体" w:cs="方正小标宋简体"/>
          <w:sz w:val="44"/>
          <w:szCs w:val="44"/>
        </w:rPr>
      </w:pPr>
    </w:p>
    <w:p>
      <w:pPr>
        <w:spacing w:line="500" w:lineRule="exact"/>
        <w:rPr>
          <w:rFonts w:ascii="方正小标宋简体" w:hAnsi="方正小标宋简体" w:eastAsia="方正小标宋简体" w:cs="方正小标宋简体"/>
          <w:sz w:val="44"/>
          <w:szCs w:val="44"/>
        </w:rPr>
      </w:pPr>
    </w:p>
    <w:p>
      <w:pPr>
        <w:spacing w:line="500" w:lineRule="exact"/>
        <w:rPr>
          <w:rFonts w:ascii="黑体" w:hAnsi="黑体" w:eastAsia="黑体" w:cs="黑体"/>
          <w:szCs w:val="32"/>
        </w:rPr>
      </w:pPr>
      <w:r>
        <w:rPr>
          <w:rFonts w:hint="eastAsia" w:ascii="方正小标宋简体" w:hAnsi="方正小标宋简体" w:eastAsia="方正小标宋简体" w:cs="方正小标宋简体"/>
          <w:spacing w:val="-20"/>
          <w:sz w:val="44"/>
          <w:szCs w:val="44"/>
        </w:rPr>
        <w:t>蓬溪县赋予乡镇(街道)县级行政权力事项清单</w:t>
      </w:r>
    </w:p>
    <w:p>
      <w:pPr>
        <w:spacing w:line="320" w:lineRule="exact"/>
        <w:rPr>
          <w:rFonts w:ascii="黑体" w:hAnsi="黑体" w:eastAsia="黑体" w:cs="黑体"/>
          <w:szCs w:val="32"/>
        </w:rPr>
      </w:pPr>
      <w:r>
        <w:rPr>
          <w:rFonts w:hint="eastAsia" w:ascii="黑体" w:hAnsi="黑体" w:eastAsia="黑体" w:cs="黑体"/>
          <w:szCs w:val="32"/>
        </w:rPr>
        <w:t>表3-1</w:t>
      </w:r>
    </w:p>
    <w:p>
      <w:pPr>
        <w:pStyle w:val="2"/>
      </w:pPr>
    </w:p>
    <w:tbl>
      <w:tblPr>
        <w:tblStyle w:val="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Pr>
        <w:pStyle w:val="3"/>
      </w:pPr>
    </w:p>
    <w:tbl>
      <w:tblPr>
        <w:tblStyle w:val="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
      <w:pPr>
        <w:pStyle w:val="2"/>
      </w:pPr>
    </w:p>
    <w:tbl>
      <w:tblPr>
        <w:tblStyle w:val="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
      <w:pPr>
        <w:pStyle w:val="2"/>
        <w:jc w:val="both"/>
      </w:pPr>
      <w:r>
        <w:rPr>
          <w:rFonts w:hint="eastAsia" w:ascii="黑体" w:hAnsi="黑体" w:eastAsia="黑体" w:cs="黑体"/>
          <w:color w:val="auto"/>
          <w:sz w:val="32"/>
          <w:szCs w:val="32"/>
        </w:rPr>
        <w:t>表3-2</w:t>
      </w: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对养老机构的监督检查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1.检查责任：根据本地区的实际情况，对敬老院进行定期或者不定期监督检查。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spacing w:line="300" w:lineRule="exact"/>
        <w:ind w:firstLine="320" w:firstLineChars="100"/>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pStyle w:val="2"/>
        <w:rPr>
          <w:rFonts w:ascii="黑体" w:hAnsi="黑体" w:eastAsia="黑体" w:cs="黑体"/>
          <w:color w:val="auto"/>
          <w:sz w:val="32"/>
          <w:szCs w:val="32"/>
        </w:rPr>
      </w:pPr>
    </w:p>
    <w:p>
      <w:pPr>
        <w:pStyle w:val="3"/>
      </w:pPr>
    </w:p>
    <w:p>
      <w:pPr>
        <w:spacing w:line="300" w:lineRule="exact"/>
        <w:rPr>
          <w:rFonts w:ascii="黑体" w:hAnsi="黑体" w:eastAsia="黑体" w:cs="黑体"/>
          <w:szCs w:val="32"/>
        </w:rPr>
      </w:pPr>
    </w:p>
    <w:p>
      <w:pPr>
        <w:pStyle w:val="2"/>
      </w:pPr>
    </w:p>
    <w:p>
      <w:pPr>
        <w:spacing w:line="300" w:lineRule="exact"/>
        <w:rPr>
          <w:rFonts w:ascii="黑体" w:hAnsi="黑体" w:eastAsia="黑体" w:cs="黑体"/>
          <w:szCs w:val="32"/>
        </w:rPr>
      </w:pPr>
    </w:p>
    <w:p>
      <w:pPr>
        <w:spacing w:line="300" w:lineRule="exact"/>
        <w:rPr>
          <w:rFonts w:ascii="黑体" w:hAnsi="黑体" w:eastAsia="黑体" w:cs="黑体"/>
          <w:szCs w:val="32"/>
        </w:rPr>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对重点排污单位环境信息公开活动的监督检查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1.检查责任：根据本地区的实际情况，对污水处理厂、养殖场、餐馆进行定期或者不定期监督检查。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Pr>
        <w:pStyle w:val="2"/>
      </w:pPr>
    </w:p>
    <w:p>
      <w:pPr>
        <w:pStyle w:val="3"/>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对从事可能造成土壤污染活动的企业事业单位和其他生产经营者进行的监督检查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1.检查责任：根据本地区的实际情况，对养殖场进行定期或者不定期监督检查。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对排放污染物的企业事业单位和其他生产经营者的监督检查（不含监测）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1.检查责任：根据本地区的实际情况，对污水处理厂、养殖场、餐馆进行定期或者不定期监督检查。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Pr>
        <w:pStyle w:val="2"/>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对房屋和市政工程施工扬尘的监督检查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XXX办公室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1.检查责任：根据本地区的实际情况，对房屋和市政工程施工现场进行定期或者不定期监督检查。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
      <w:pPr>
        <w:pStyle w:val="2"/>
      </w:pPr>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对道路运输及相关业务经营场所、客货集散地的监督检查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XXX办公室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1.检查责任：根据本地区的实际情况，对客运站进行定期或者不定期监督检查。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2"/>
      </w:pPr>
    </w:p>
    <w:p>
      <w:pPr>
        <w:pStyle w:val="3"/>
      </w:pPr>
    </w:p>
    <w:p/>
    <w:p>
      <w:pPr>
        <w:pStyle w:val="2"/>
      </w:pPr>
    </w:p>
    <w:p>
      <w:pPr>
        <w:pStyle w:val="3"/>
      </w:pPr>
    </w:p>
    <w:p/>
    <w:p>
      <w:pPr>
        <w:pStyle w:val="2"/>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对道路运输车辆的监督检查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XXX办公室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1.检查责任：根据本地区的实际情况，对道路运输车辆进行定期或者不定期监督检查。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Pr>
        <w:pStyle w:val="2"/>
      </w:pPr>
    </w:p>
    <w:p>
      <w:pPr>
        <w:pStyle w:val="3"/>
      </w:pPr>
    </w:p>
    <w:p>
      <w:pPr>
        <w:pStyle w:val="2"/>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对船舶、船员的监督检查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1.检查责任：根据本地区的实际情况，对船舶、船员进行定期或者不定期监督检查。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Pr>
        <w:pStyle w:val="2"/>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对超限运输车辆、公路路产路权的检查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1.检查责任：根据本地区的实际情况，对超限运输车辆、公路路产路权进行定期或者不定期监督检查。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2"/>
      </w:pPr>
    </w:p>
    <w:p>
      <w:pPr>
        <w:pStyle w:val="3"/>
      </w:pPr>
    </w:p>
    <w:p/>
    <w:p>
      <w:pPr>
        <w:pStyle w:val="2"/>
      </w:pPr>
    </w:p>
    <w:p>
      <w:pPr>
        <w:pStyle w:val="3"/>
      </w:pPr>
    </w:p>
    <w:p/>
    <w:p>
      <w:pPr>
        <w:pStyle w:val="2"/>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水土保持监督检查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1.检查责任：根据本地区的实际情况，对辖区水土保持进行定期或者不定期监督检查。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Pr>
        <w:pStyle w:val="2"/>
      </w:pPr>
    </w:p>
    <w:p/>
    <w:p>
      <w:pPr>
        <w:pStyle w:val="2"/>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检查督促防洪工程设施的建设和水毁工程的修复</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1.检查责任：根据本地区的实际情况，对防洪工程设施的建设和水毁工程的修复进行定期或者不定期监督检查。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Pr>
        <w:pStyle w:val="2"/>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监督检查其他有防汛抗洪任务的部门和单位做好本行业和本单位防汛工作的情况</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1.检查责任：根据本地区的实际情况，对XXXX进行定期或者不定期监督检查。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2"/>
      </w:pPr>
    </w:p>
    <w:p>
      <w:pPr>
        <w:pStyle w:val="3"/>
      </w:pPr>
    </w:p>
    <w:p/>
    <w:p>
      <w:pPr>
        <w:pStyle w:val="2"/>
      </w:pPr>
    </w:p>
    <w:p>
      <w:pPr>
        <w:pStyle w:val="3"/>
      </w:pPr>
    </w:p>
    <w:p/>
    <w:p>
      <w:pPr>
        <w:pStyle w:val="2"/>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对供用水单位的取水、供水和用水情况进行监督检查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1.检查责任：根据本地区的实际情况，对供用水单位的取水、供水和用水情况进行定期或者不定期监督检查。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Pr>
        <w:pStyle w:val="2"/>
      </w:pPr>
    </w:p>
    <w:p/>
    <w:p>
      <w:pPr>
        <w:pStyle w:val="2"/>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对村民生活自用河砂开采及使用的检查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1.检查责任：根据本地区的实际情况，对村民生活自用河砂开采及使用进行定期或者不定期监督检查。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农村饮水安全检查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1.检查责任：根据本地区的实际情况，对农村饮水安全进行定期或者不定期监督检查。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2"/>
      </w:pPr>
    </w:p>
    <w:p>
      <w:pPr>
        <w:pStyle w:val="3"/>
      </w:pPr>
    </w:p>
    <w:p/>
    <w:p>
      <w:pPr>
        <w:pStyle w:val="2"/>
      </w:pPr>
    </w:p>
    <w:p>
      <w:pPr>
        <w:pStyle w:val="3"/>
      </w:pPr>
    </w:p>
    <w:p/>
    <w:p>
      <w:pPr>
        <w:pStyle w:val="2"/>
      </w:pPr>
    </w:p>
    <w:p>
      <w:pPr>
        <w:pStyle w:val="3"/>
      </w:pPr>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对农产品质量安全的监督检查(不含监督抽查）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1.检查责任：根据本地区的实际情况，对农产品质量安全进行定期或者不定期监督检查。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Pr>
        <w:pStyle w:val="3"/>
      </w:pPr>
    </w:p>
    <w:p/>
    <w:p>
      <w:pPr>
        <w:pStyle w:val="2"/>
      </w:pPr>
    </w:p>
    <w:p>
      <w:pPr>
        <w:pStyle w:val="3"/>
      </w:pPr>
    </w:p>
    <w:p/>
    <w:p>
      <w:pPr>
        <w:pStyle w:val="2"/>
      </w:pPr>
    </w:p>
    <w:p>
      <w:pPr>
        <w:pStyle w:val="3"/>
      </w:pPr>
    </w:p>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对农产品地理标志的地域范围、标志使用的监督检查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1.检查责任：根据本地区的实际情况，对农产品地理标志的地域范围、标志使用进行定期或者不定期监督检查。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w:t>
            </w:r>
            <w:r>
              <w:rPr>
                <w:rFonts w:hint="eastAsia" w:ascii="宋体" w:hAnsi="宋体" w:eastAsia="宋体" w:cs="宋体"/>
                <w:sz w:val="28"/>
                <w:szCs w:val="28"/>
                <w:shd w:val="clear" w:color="auto" w:fill="FFFFFF"/>
                <w:lang w:val="en-US" w:eastAsia="zh-CN"/>
              </w:rPr>
              <w:t>90001</w:t>
            </w:r>
          </w:p>
        </w:tc>
      </w:tr>
    </w:tbl>
    <w:p/>
    <w:p>
      <w:pPr>
        <w:pStyle w:val="2"/>
      </w:pPr>
    </w:p>
    <w:p>
      <w:pPr>
        <w:pStyle w:val="3"/>
      </w:pPr>
    </w:p>
    <w:p/>
    <w:p>
      <w:pPr>
        <w:pStyle w:val="2"/>
      </w:pPr>
    </w:p>
    <w:p>
      <w:pPr>
        <w:pStyle w:val="3"/>
      </w:pPr>
    </w:p>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对农药生产、经营、使用场所进行检查（不含对农药实施抽查检测）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1.检查责任：根据本地区的实际情况，对农药生产、经营、使用场所进行定期或者不定期监督检查。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p/>
    <w:p>
      <w:pPr>
        <w:pStyle w:val="2"/>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对动物防疫的监督检查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1.检查责任：根据本地区的实际情况，对动物防疫进行定期或者不定期监督检查。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对生猪屠宰活动的监督检查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1.检查责任：根据本地区的实际情况，对生猪屠宰活动进行定期或者不定期监督检查。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
      <w:pPr>
        <w:pStyle w:val="2"/>
      </w:pPr>
    </w:p>
    <w:p>
      <w:pPr>
        <w:pStyle w:val="3"/>
      </w:pPr>
    </w:p>
    <w:p/>
    <w:p>
      <w:pPr>
        <w:pStyle w:val="2"/>
      </w:pPr>
    </w:p>
    <w:p>
      <w:pPr>
        <w:pStyle w:val="3"/>
      </w:pPr>
    </w:p>
    <w:p/>
    <w:p>
      <w:pPr>
        <w:pStyle w:val="2"/>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对绿色食品及绿色食品标志的监督检查（不含监督抽查）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1.检查责任：根据本地区的实际情况，对绿色食品及绿色食品标志进行定期或者不定期监督检查。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p/>
    <w:p>
      <w:pPr>
        <w:pStyle w:val="2"/>
      </w:pPr>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对农业机械的安全监督检查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1.检查责任：根据本地区的实际情况，对农业机械的安全进行定期或者不定期监督检查。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对兽药经营企业的监督检查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1.检查责任：根据本地区的实际情况，对兽药经营企业进行定期或者不定期监督检查。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
      <w:pPr>
        <w:pStyle w:val="2"/>
      </w:pPr>
    </w:p>
    <w:p>
      <w:pPr>
        <w:pStyle w:val="3"/>
      </w:pPr>
    </w:p>
    <w:p/>
    <w:p>
      <w:pPr>
        <w:pStyle w:val="2"/>
      </w:pPr>
    </w:p>
    <w:p>
      <w:pPr>
        <w:pStyle w:val="3"/>
      </w:pPr>
    </w:p>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对渔业及渔业船舶的监督检查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1.检查责任：根据本地区的实际情况，对渔业及渔业船舶进行定期或者不定期监督检查。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p/>
    <w:p>
      <w:pPr>
        <w:pStyle w:val="2"/>
      </w:pPr>
    </w:p>
    <w:p>
      <w:pPr>
        <w:pStyle w:val="3"/>
      </w:pPr>
    </w:p>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对经营利用水生野生动物及其产品、捕捉国家重点保护的水生野生动物的监督检查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1.检查责任：根据本地区的实际情况，对经营利用水生野生动物及其产品、捕捉国家重点保护的水生野生动物进行定期或者不定期监督检查。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植物检疫检查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1.检查责任：根据本地区的实际情况，对植物检疫进行定期或者不定期监督检查。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
      <w:pPr>
        <w:pStyle w:val="2"/>
      </w:pPr>
    </w:p>
    <w:p>
      <w:pPr>
        <w:pStyle w:val="3"/>
      </w:pPr>
    </w:p>
    <w:p/>
    <w:p>
      <w:pPr>
        <w:pStyle w:val="2"/>
      </w:pPr>
    </w:p>
    <w:p>
      <w:pPr>
        <w:pStyle w:val="3"/>
      </w:pPr>
    </w:p>
    <w:p/>
    <w:p>
      <w:pPr>
        <w:pStyle w:val="2"/>
      </w:pPr>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对违反农村宅基地管理法律、法规行为的监督检查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1.检查责任：根据本地区的实际情况，对违反农村宅基地管理法律、法规行为进行定期或者不定期监督检查。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p/>
    <w:p>
      <w:pPr>
        <w:pStyle w:val="2"/>
      </w:pPr>
    </w:p>
    <w:p>
      <w:pPr>
        <w:pStyle w:val="3"/>
      </w:pPr>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森林防火检查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1.检查责任：根据本地区的实际情况，对森林防火进行定期或者不定期监督检查。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对宗教活动场所内的文物保护单位的行政检查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1.检查责任：根据本地区的实际情况，对宗教活动场所内的文物保护单位进行定期或者不定期监督检查。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
      <w:pPr>
        <w:pStyle w:val="2"/>
      </w:pPr>
    </w:p>
    <w:p>
      <w:pPr>
        <w:pStyle w:val="3"/>
      </w:pPr>
    </w:p>
    <w:p/>
    <w:p>
      <w:pPr>
        <w:pStyle w:val="2"/>
      </w:pPr>
    </w:p>
    <w:p>
      <w:pPr>
        <w:pStyle w:val="3"/>
      </w:pPr>
    </w:p>
    <w:p/>
    <w:p>
      <w:pPr>
        <w:pStyle w:val="3"/>
      </w:pPr>
    </w:p>
    <w:p>
      <w:pPr>
        <w:spacing w:line="300" w:lineRule="exact"/>
        <w:rPr>
          <w:rFonts w:ascii="黑体" w:hAnsi="黑体" w:eastAsia="黑体" w:cs="黑体"/>
          <w:szCs w:val="32"/>
        </w:rPr>
      </w:pPr>
      <w:r>
        <w:rPr>
          <w:rFonts w:hint="eastAsia" w:ascii="黑体" w:hAnsi="黑体" w:eastAsia="黑体" w:cs="黑体"/>
          <w:szCs w:val="32"/>
        </w:rPr>
        <w:t>表3-3</w:t>
      </w:r>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p/>
    <w:p>
      <w:pPr>
        <w:pStyle w:val="2"/>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对环境保护工作有重要推动作用的信访人的表扬或者奖励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
      <w:pPr>
        <w:pStyle w:val="3"/>
      </w:pPr>
    </w:p>
    <w:tbl>
      <w:tblPr>
        <w:tblStyle w:val="6"/>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对举报违反食品安全规定的行为进行奖励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
      <w:pPr>
        <w:pStyle w:val="2"/>
      </w:pPr>
    </w:p>
    <w:p>
      <w:pPr>
        <w:pStyle w:val="3"/>
      </w:pPr>
    </w:p>
    <w:p/>
    <w:p>
      <w:pPr>
        <w:pStyle w:val="2"/>
      </w:pPr>
    </w:p>
    <w:p>
      <w:pPr>
        <w:pStyle w:val="3"/>
      </w:pPr>
    </w:p>
    <w:p/>
    <w:p>
      <w:pPr>
        <w:pStyle w:val="2"/>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bookmarkStart w:id="0" w:name="_GoBack"/>
            <w:r>
              <w:rPr>
                <w:rFonts w:hint="eastAsia" w:ascii="宋体" w:hAnsi="宋体" w:eastAsia="宋体" w:cs="宋体"/>
                <w:sz w:val="28"/>
                <w:szCs w:val="28"/>
                <w:shd w:val="clear" w:color="auto" w:fill="FFFFFF"/>
                <w:lang w:eastAsia="zh-CN"/>
              </w:rPr>
              <w:t>5490001</w:t>
            </w:r>
            <w:bookmarkEnd w:id="0"/>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p>
      <w:pPr>
        <w:pStyle w:val="2"/>
        <w:jc w:val="both"/>
        <w:rPr>
          <w:rFonts w:ascii="黑体" w:hAnsi="黑体" w:eastAsia="黑体" w:cs="黑体"/>
          <w:color w:val="auto"/>
          <w:sz w:val="32"/>
          <w:szCs w:val="32"/>
        </w:rPr>
      </w:pPr>
      <w:r>
        <w:rPr>
          <w:rFonts w:hint="eastAsia" w:ascii="黑体" w:hAnsi="黑体" w:eastAsia="黑体" w:cs="黑体"/>
          <w:color w:val="auto"/>
          <w:sz w:val="32"/>
          <w:szCs w:val="32"/>
        </w:rPr>
        <w:t>附件3-4</w:t>
      </w: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
      <w:pPr>
        <w:pStyle w:val="2"/>
      </w:pPr>
    </w:p>
    <w:p>
      <w:pPr>
        <w:pStyle w:val="3"/>
      </w:pPr>
    </w:p>
    <w:p/>
    <w:p>
      <w:pPr>
        <w:pStyle w:val="2"/>
      </w:pPr>
    </w:p>
    <w:p>
      <w:pPr>
        <w:pStyle w:val="3"/>
      </w:pP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hint="eastAsia" w:ascii="宋体" w:hAnsi="宋体" w:eastAsia="宋体" w:cs="宋体"/>
                <w:sz w:val="28"/>
                <w:szCs w:val="28"/>
                <w:lang w:eastAsia="zh-CN"/>
              </w:rPr>
            </w:pPr>
            <w:r>
              <w:rPr>
                <w:rFonts w:hint="eastAsia" w:ascii="宋体" w:hAnsi="宋体" w:eastAsia="宋体" w:cs="宋体"/>
                <w:sz w:val="28"/>
                <w:szCs w:val="28"/>
                <w:shd w:val="clear" w:color="auto" w:fill="FFFFFF"/>
              </w:rPr>
              <w:t>0825—</w:t>
            </w:r>
            <w:r>
              <w:rPr>
                <w:rFonts w:hint="eastAsia" w:ascii="宋体" w:hAnsi="宋体" w:eastAsia="宋体" w:cs="宋体"/>
                <w:sz w:val="28"/>
                <w:szCs w:val="28"/>
                <w:shd w:val="clear" w:color="auto" w:fill="FFFFFF"/>
                <w:lang w:eastAsia="zh-CN"/>
              </w:rPr>
              <w:t>5490001</w:t>
            </w:r>
          </w:p>
        </w:tc>
      </w:tr>
    </w:tbl>
    <w:p>
      <w:pPr>
        <w:pStyle w:val="3"/>
      </w:pPr>
    </w:p>
    <w:p>
      <w:pPr>
        <w:pStyle w:val="2"/>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6.7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F0262"/>
    <w:rsid w:val="00095A41"/>
    <w:rsid w:val="001114CE"/>
    <w:rsid w:val="00870DB5"/>
    <w:rsid w:val="00B871C4"/>
    <w:rsid w:val="00BF0262"/>
    <w:rsid w:val="024A6BA5"/>
    <w:rsid w:val="04180B9C"/>
    <w:rsid w:val="0D1A38BD"/>
    <w:rsid w:val="12BD4424"/>
    <w:rsid w:val="13186C5D"/>
    <w:rsid w:val="1343644D"/>
    <w:rsid w:val="1D017DCB"/>
    <w:rsid w:val="2C28223D"/>
    <w:rsid w:val="2D176335"/>
    <w:rsid w:val="2EF4074B"/>
    <w:rsid w:val="34BC0EFA"/>
    <w:rsid w:val="37842856"/>
    <w:rsid w:val="37AC391B"/>
    <w:rsid w:val="398836FB"/>
    <w:rsid w:val="3D666603"/>
    <w:rsid w:val="40BE756E"/>
    <w:rsid w:val="42670826"/>
    <w:rsid w:val="457958E1"/>
    <w:rsid w:val="47487A81"/>
    <w:rsid w:val="52575AE4"/>
    <w:rsid w:val="547228C1"/>
    <w:rsid w:val="5EDB1251"/>
    <w:rsid w:val="60485C62"/>
    <w:rsid w:val="60ED7280"/>
    <w:rsid w:val="62C0367D"/>
    <w:rsid w:val="633E19B0"/>
    <w:rsid w:val="65465B6E"/>
    <w:rsid w:val="68402487"/>
    <w:rsid w:val="6C1208EA"/>
    <w:rsid w:val="73DB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color w:val="000000"/>
      <w:sz w:val="28"/>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Company>
  <Pages>172</Pages>
  <Words>10502</Words>
  <Characters>59867</Characters>
  <Lines>498</Lines>
  <Paragraphs>140</Paragraphs>
  <TotalTime>2</TotalTime>
  <ScaleCrop>false</ScaleCrop>
  <LinksUpToDate>false</LinksUpToDate>
  <CharactersWithSpaces>70229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2021-06-01T07:15:00Z</dcterms:created>
  <dc:creator>zq</dc:creator>
  <cp:lastModifiedBy>周强</cp:lastModifiedBy>
  <dcterms:modified xsi:type="dcterms:W3CDTF">2021-06-28T09:35:32Z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6B6376BD76EE4F25B370A14AE5327DCC</vt:lpwstr>
  </property>
</Properties>
</file>