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hint="eastAsia" w:ascii="仿宋_GB2312" w:hAnsi="仿宋_GB2312" w:eastAsia="仿宋_GB2312" w:cs="仿宋_GB2312"/>
          <w:color w:val="auto"/>
          <w:sz w:val="36"/>
          <w:szCs w:val="36"/>
        </w:rPr>
      </w:pPr>
    </w:p>
    <w:p>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hint="eastAsia" w:ascii="宋体" w:hAnsi="宋体"/>
          <w:bCs/>
          <w:color w:val="auto"/>
          <w:sz w:val="48"/>
          <w:szCs w:val="48"/>
        </w:rPr>
      </w:pPr>
      <w:r>
        <w:rPr>
          <w:rFonts w:hint="eastAsia" w:ascii="宋体" w:hAnsi="宋体"/>
          <w:bCs/>
          <w:color w:val="auto"/>
          <w:sz w:val="48"/>
          <w:szCs w:val="48"/>
        </w:rPr>
        <w:t>（</w:t>
      </w:r>
      <w:r>
        <w:rPr>
          <w:rFonts w:hint="eastAsia" w:ascii="楷体_GB2312" w:eastAsia="楷体_GB2312"/>
          <w:bCs/>
          <w:color w:val="auto"/>
          <w:sz w:val="48"/>
          <w:szCs w:val="48"/>
        </w:rPr>
        <w:t>污染影响类</w:t>
      </w:r>
      <w:r>
        <w:rPr>
          <w:rFonts w:hint="eastAsia" w:ascii="宋体" w:hAnsi="宋体"/>
          <w:bCs/>
          <w:color w:val="auto"/>
          <w:sz w:val="48"/>
          <w:szCs w:val="48"/>
        </w:rPr>
        <w:t>）</w:t>
      </w:r>
    </w:p>
    <w:p>
      <w:pPr>
        <w:ind w:firstLine="1040"/>
        <w:rPr>
          <w:rFonts w:hint="eastAsia" w:ascii="楷体_GB2312" w:eastAsia="楷体_GB2312"/>
          <w:bCs/>
          <w:color w:val="auto"/>
          <w:sz w:val="48"/>
          <w:szCs w:val="48"/>
        </w:rPr>
      </w:pPr>
    </w:p>
    <w:p>
      <w:pPr>
        <w:pStyle w:val="121"/>
        <w:rPr>
          <w:rFonts w:hint="eastAsia" w:ascii="楷体_GB2312" w:eastAsia="楷体_GB2312" w:cs="Times New Roman"/>
          <w:bCs/>
          <w:color w:val="auto"/>
          <w:sz w:val="48"/>
          <w:szCs w:val="48"/>
        </w:rPr>
      </w:pPr>
      <w:r>
        <w:rPr>
          <w:rFonts w:hint="eastAsia" w:ascii="楷体_GB2312" w:eastAsia="楷体_GB2312" w:cs="Times New Roman"/>
          <w:bCs/>
          <w:color w:val="auto"/>
          <w:sz w:val="48"/>
          <w:szCs w:val="48"/>
          <w:lang w:val="en-US" w:eastAsia="zh-CN"/>
        </w:rPr>
        <w:t>公示</w:t>
      </w:r>
      <w:r>
        <w:rPr>
          <w:rFonts w:hint="eastAsia" w:ascii="楷体_GB2312" w:eastAsia="楷体_GB2312" w:cs="Times New Roman"/>
          <w:bCs/>
          <w:color w:val="auto"/>
          <w:sz w:val="48"/>
          <w:szCs w:val="48"/>
        </w:rPr>
        <w:t>本</w:t>
      </w:r>
    </w:p>
    <w:p>
      <w:pPr>
        <w:ind w:firstLine="1040"/>
        <w:rPr>
          <w:rFonts w:eastAsia="仿宋"/>
          <w:color w:val="auto"/>
          <w:sz w:val="44"/>
          <w:szCs w:val="44"/>
        </w:rPr>
      </w:pPr>
    </w:p>
    <w:p>
      <w:pPr>
        <w:ind w:firstLine="1040"/>
        <w:rPr>
          <w:rFonts w:eastAsia="仿宋"/>
          <w:color w:val="auto"/>
          <w:sz w:val="44"/>
          <w:szCs w:val="44"/>
        </w:rPr>
      </w:pPr>
    </w:p>
    <w:p>
      <w:pPr>
        <w:pStyle w:val="110"/>
        <w:ind w:firstLine="880"/>
        <w:rPr>
          <w:rFonts w:eastAsia="仿宋"/>
          <w:color w:val="auto"/>
          <w:sz w:val="44"/>
          <w:szCs w:val="44"/>
        </w:rPr>
      </w:pPr>
    </w:p>
    <w:p>
      <w:pPr>
        <w:rPr>
          <w:color w:val="auto"/>
        </w:rPr>
      </w:pPr>
    </w:p>
    <w:p>
      <w:pPr>
        <w:ind w:firstLine="1040"/>
        <w:rPr>
          <w:rFonts w:eastAsia="仿宋"/>
          <w:color w:val="auto"/>
          <w:sz w:val="44"/>
          <w:szCs w:val="44"/>
        </w:rPr>
      </w:pPr>
    </w:p>
    <w:p>
      <w:pPr>
        <w:keepNext w:val="0"/>
        <w:keepLines w:val="0"/>
        <w:widowControl/>
        <w:suppressLineNumbers w:val="0"/>
        <w:jc w:val="left"/>
        <w:rPr>
          <w:rFonts w:hint="default" w:ascii="仿宋_GB2312" w:eastAsia="仿宋_GB2312"/>
          <w:color w:val="auto"/>
          <w:sz w:val="36"/>
          <w:szCs w:val="36"/>
          <w:u w:val="single"/>
          <w:lang w:val="en-US"/>
        </w:rPr>
      </w:pPr>
      <w:r>
        <w:rPr>
          <w:rFonts w:hint="eastAsia" w:ascii="仿宋_GB2312" w:eastAsia="仿宋_GB2312"/>
          <w:color w:val="auto"/>
          <w:sz w:val="36"/>
          <w:szCs w:val="36"/>
        </w:rPr>
        <w:t>项目名称：</w:t>
      </w:r>
      <w:r>
        <w:rPr>
          <w:rFonts w:hint="eastAsia" w:ascii="仿宋_GB2312" w:eastAsia="仿宋_GB2312"/>
          <w:bCs/>
          <w:color w:val="auto"/>
          <w:sz w:val="36"/>
          <w:szCs w:val="36"/>
          <w:u w:val="single"/>
        </w:rPr>
        <w:t xml:space="preserve"> </w:t>
      </w:r>
      <w:r>
        <w:rPr>
          <w:rFonts w:hint="eastAsia" w:ascii="仿宋_GB2312" w:eastAsia="仿宋_GB2312"/>
          <w:bCs/>
          <w:color w:val="auto"/>
          <w:sz w:val="36"/>
          <w:szCs w:val="36"/>
          <w:u w:val="single"/>
          <w:lang w:val="en-US" w:eastAsia="zh-CN"/>
        </w:rPr>
        <w:t xml:space="preserve">  </w:t>
      </w:r>
      <w:r>
        <w:rPr>
          <w:rFonts w:hint="eastAsia" w:ascii="仿宋_GB2312" w:hAnsi="Times New Roman" w:eastAsia="仿宋_GB2312" w:cs="Times New Roman"/>
          <w:color w:val="auto"/>
          <w:sz w:val="36"/>
          <w:szCs w:val="36"/>
          <w:u w:val="single"/>
          <w:lang w:val="en-US" w:eastAsia="zh-CN"/>
        </w:rPr>
        <w:t xml:space="preserve">翔展振华 5000 吨天然石墨深加工      </w:t>
      </w:r>
    </w:p>
    <w:p>
      <w:pPr>
        <w:keepNext w:val="0"/>
        <w:keepLines w:val="0"/>
        <w:widowControl/>
        <w:suppressLineNumbers w:val="0"/>
        <w:ind w:firstLine="1800" w:firstLineChars="500"/>
        <w:jc w:val="left"/>
        <w:rPr>
          <w:rFonts w:hint="default" w:ascii="仿宋_GB2312" w:hAnsi="Times New Roman" w:eastAsia="仿宋_GB2312" w:cs="Times New Roman"/>
          <w:color w:val="auto"/>
          <w:sz w:val="36"/>
          <w:szCs w:val="36"/>
          <w:u w:val="single"/>
          <w:lang w:val="en-US" w:eastAsia="zh-CN"/>
        </w:rPr>
      </w:pPr>
      <w:r>
        <w:rPr>
          <w:rFonts w:hint="eastAsia" w:ascii="仿宋_GB2312" w:hAnsi="Times New Roman" w:eastAsia="仿宋_GB2312" w:cs="Times New Roman"/>
          <w:color w:val="auto"/>
          <w:sz w:val="36"/>
          <w:szCs w:val="36"/>
          <w:u w:val="single"/>
          <w:lang w:eastAsia="zh-CN"/>
        </w:rPr>
        <w:t xml:space="preserve"> </w:t>
      </w:r>
      <w:r>
        <w:rPr>
          <w:rFonts w:hint="eastAsia" w:ascii="仿宋_GB2312" w:hAnsi="Times New Roman" w:eastAsia="仿宋_GB2312" w:cs="Times New Roman"/>
          <w:color w:val="auto"/>
          <w:sz w:val="36"/>
          <w:szCs w:val="36"/>
          <w:u w:val="single"/>
          <w:lang w:val="en-US" w:eastAsia="zh-CN"/>
        </w:rPr>
        <w:t xml:space="preserve">    及应用制品生产项目一期项目        </w:t>
      </w:r>
    </w:p>
    <w:p>
      <w:pPr>
        <w:keepNext w:val="0"/>
        <w:keepLines w:val="0"/>
        <w:widowControl/>
        <w:suppressLineNumbers w:val="0"/>
        <w:jc w:val="left"/>
        <w:rPr>
          <w:rFonts w:hint="eastAsia" w:ascii="仿宋_GB2312" w:hAnsi="Times New Roman" w:eastAsia="仿宋_GB2312" w:cs="Times New Roman"/>
          <w:color w:val="auto"/>
          <w:sz w:val="36"/>
          <w:szCs w:val="36"/>
          <w:u w:val="single"/>
          <w:lang w:val="en-US" w:eastAsia="zh-CN"/>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rPr>
        <w:t xml:space="preserve"> </w:t>
      </w:r>
      <w:r>
        <w:rPr>
          <w:rFonts w:hint="eastAsia" w:ascii="仿宋_GB2312" w:hAnsi="Times New Roman" w:eastAsia="仿宋_GB2312" w:cs="Times New Roman"/>
          <w:color w:val="auto"/>
          <w:sz w:val="36"/>
          <w:szCs w:val="36"/>
          <w:u w:val="single"/>
          <w:lang w:val="en-US" w:eastAsia="zh-CN"/>
        </w:rPr>
        <w:t>四川翔展振华新材料科技有限公司</w:t>
      </w:r>
    </w:p>
    <w:p>
      <w:pPr>
        <w:adjustRightInd w:val="0"/>
        <w:snapToGrid w:val="0"/>
        <w:spacing w:line="360" w:lineRule="auto"/>
        <w:ind w:firstLine="360" w:firstLineChars="100"/>
        <w:rPr>
          <w:rFonts w:hint="eastAsia" w:ascii="仿宋_GB2312" w:eastAsia="仿宋_GB2312"/>
          <w:color w:val="auto"/>
          <w:sz w:val="36"/>
          <w:szCs w:val="36"/>
        </w:rPr>
      </w:pPr>
    </w:p>
    <w:p>
      <w:pPr>
        <w:adjustRightInd w:val="0"/>
        <w:snapToGrid w:val="0"/>
        <w:spacing w:line="360" w:lineRule="auto"/>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w:t>
      </w:r>
      <w:r>
        <w:rPr>
          <w:rFonts w:eastAsia="仿宋_GB2312"/>
          <w:color w:val="auto"/>
          <w:sz w:val="36"/>
          <w:szCs w:val="36"/>
          <w:u w:val="single"/>
        </w:rPr>
        <w:t xml:space="preserve"> 202</w:t>
      </w:r>
      <w:r>
        <w:rPr>
          <w:rFonts w:hint="eastAsia" w:eastAsia="仿宋_GB2312"/>
          <w:color w:val="auto"/>
          <w:sz w:val="36"/>
          <w:szCs w:val="36"/>
          <w:u w:val="single"/>
          <w:lang w:val="en-US" w:eastAsia="zh-CN"/>
        </w:rPr>
        <w:t>5</w:t>
      </w:r>
      <w:r>
        <w:rPr>
          <w:rFonts w:eastAsia="仿宋_GB2312"/>
          <w:color w:val="auto"/>
          <w:sz w:val="36"/>
          <w:szCs w:val="36"/>
          <w:u w:val="single"/>
        </w:rPr>
        <w:t>年</w:t>
      </w:r>
      <w:r>
        <w:rPr>
          <w:rFonts w:hint="eastAsia" w:eastAsia="仿宋_GB2312"/>
          <w:color w:val="auto"/>
          <w:sz w:val="36"/>
          <w:szCs w:val="36"/>
          <w:u w:val="single"/>
          <w:lang w:val="en-US" w:eastAsia="zh-CN"/>
        </w:rPr>
        <w:t>11</w:t>
      </w:r>
      <w:r>
        <w:rPr>
          <w:rFonts w:eastAsia="仿宋_GB2312"/>
          <w:color w:val="auto"/>
          <w:sz w:val="36"/>
          <w:szCs w:val="36"/>
          <w:u w:val="single"/>
        </w:rPr>
        <w:t xml:space="preserve">月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w:t>
      </w:r>
    </w:p>
    <w:p>
      <w:pPr>
        <w:adjustRightInd w:val="0"/>
        <w:snapToGrid w:val="0"/>
        <w:spacing w:line="288" w:lineRule="auto"/>
        <w:ind w:firstLine="1040"/>
        <w:rPr>
          <w:rFonts w:ascii="仿宋_GB2312" w:eastAsia="仿宋_GB2312"/>
          <w:color w:val="auto"/>
          <w:sz w:val="36"/>
          <w:szCs w:val="36"/>
          <w:u w:val="single"/>
        </w:rPr>
      </w:pPr>
      <w:bookmarkStart w:id="0" w:name="_Hlk57884087"/>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bookmarkEnd w:id="0"/>
    <w:p>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adjustRightInd w:val="0"/>
        <w:snapToGrid w:val="0"/>
        <w:spacing w:line="288" w:lineRule="auto"/>
        <w:ind w:firstLine="1040"/>
        <w:rPr>
          <w:rFonts w:ascii="仿宋_GB2312" w:eastAsia="仿宋_GB2312"/>
          <w:color w:val="auto"/>
          <w:sz w:val="36"/>
          <w:szCs w:val="36"/>
        </w:rPr>
        <w:sectPr>
          <w:pgSz w:w="11906" w:h="16838"/>
          <w:pgMar w:top="1701" w:right="1531" w:bottom="1701" w:left="1531" w:header="851" w:footer="1077" w:gutter="0"/>
          <w:pgNumType w:start="1"/>
          <w:cols w:space="720" w:num="1"/>
          <w:docGrid w:linePitch="312" w:charSpace="0"/>
        </w:sectPr>
      </w:pPr>
    </w:p>
    <w:p>
      <w:pPr>
        <w:pStyle w:val="32"/>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36"/>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47"/>
        <w:gridCol w:w="1235"/>
        <w:gridCol w:w="1637"/>
        <w:gridCol w:w="220"/>
        <w:gridCol w:w="1765"/>
        <w:gridCol w:w="28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eastAsia"/>
                <w:color w:val="auto"/>
                <w:sz w:val="24"/>
              </w:rPr>
            </w:pPr>
            <w:r>
              <w:rPr>
                <w:rFonts w:hint="eastAsia"/>
                <w:color w:val="auto"/>
                <w:sz w:val="24"/>
              </w:rPr>
              <w:t>建设项目名称</w:t>
            </w:r>
          </w:p>
        </w:tc>
        <w:tc>
          <w:tcPr>
            <w:tcW w:w="6488" w:type="dxa"/>
            <w:gridSpan w:val="4"/>
            <w:noWrap w:val="0"/>
            <w:vAlign w:val="center"/>
          </w:tcPr>
          <w:p>
            <w:pPr>
              <w:adjustRightInd w:val="0"/>
              <w:snapToGrid w:val="0"/>
              <w:jc w:val="center"/>
              <w:rPr>
                <w:rFonts w:hint="eastAsia" w:eastAsia="宋体"/>
                <w:color w:val="auto"/>
                <w:sz w:val="24"/>
                <w:lang w:eastAsia="zh-CN"/>
              </w:rPr>
            </w:pPr>
            <w:r>
              <w:rPr>
                <w:rFonts w:hint="eastAsia"/>
                <w:color w:val="auto"/>
                <w:sz w:val="24"/>
                <w:lang w:eastAsia="zh-CN"/>
              </w:rPr>
              <w:t>翔展振华 5000 吨天然石墨深加工及应用制品生产项目一期项目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项目代码</w:t>
            </w:r>
          </w:p>
        </w:tc>
        <w:tc>
          <w:tcPr>
            <w:tcW w:w="6488" w:type="dxa"/>
            <w:gridSpan w:val="4"/>
            <w:noWrap w:val="0"/>
            <w:vAlign w:val="center"/>
          </w:tcPr>
          <w:p>
            <w:pPr>
              <w:adjustRightInd w:val="0"/>
              <w:snapToGrid w:val="0"/>
              <w:jc w:val="center"/>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2508-510921-99-01-909443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建设单位联系人</w:t>
            </w:r>
          </w:p>
        </w:tc>
        <w:tc>
          <w:tcPr>
            <w:tcW w:w="1857" w:type="dxa"/>
            <w:gridSpan w:val="2"/>
            <w:noWrap w:val="0"/>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周**</w:t>
            </w:r>
          </w:p>
        </w:tc>
        <w:tc>
          <w:tcPr>
            <w:tcW w:w="1765" w:type="dxa"/>
            <w:noWrap w:val="0"/>
            <w:vAlign w:val="center"/>
          </w:tcPr>
          <w:p>
            <w:pPr>
              <w:adjustRightInd w:val="0"/>
              <w:snapToGrid w:val="0"/>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联系方式</w:t>
            </w:r>
          </w:p>
        </w:tc>
        <w:tc>
          <w:tcPr>
            <w:tcW w:w="2866" w:type="dxa"/>
            <w:noWrap w:val="0"/>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建设地点</w:t>
            </w:r>
          </w:p>
        </w:tc>
        <w:tc>
          <w:tcPr>
            <w:tcW w:w="6488" w:type="dxa"/>
            <w:gridSpan w:val="4"/>
            <w:noWrap w:val="0"/>
            <w:vAlign w:val="center"/>
          </w:tcPr>
          <w:p>
            <w:pPr>
              <w:keepNext w:val="0"/>
              <w:keepLines w:val="0"/>
              <w:widowControl/>
              <w:suppressLineNumbers w:val="0"/>
              <w:jc w:val="left"/>
              <w:rPr>
                <w:color w:val="auto"/>
                <w:sz w:val="24"/>
              </w:rPr>
            </w:pPr>
            <w:r>
              <w:rPr>
                <w:color w:val="auto"/>
                <w:sz w:val="24"/>
                <w:u w:val="single"/>
              </w:rPr>
              <w:t xml:space="preserve"> </w:t>
            </w:r>
            <w:r>
              <w:rPr>
                <w:rFonts w:hint="eastAsia"/>
                <w:color w:val="auto"/>
                <w:sz w:val="24"/>
                <w:u w:val="single"/>
              </w:rPr>
              <w:t>四川</w:t>
            </w:r>
            <w:r>
              <w:rPr>
                <w:color w:val="auto"/>
                <w:sz w:val="24"/>
                <w:u w:val="single"/>
              </w:rPr>
              <w:t xml:space="preserve"> </w:t>
            </w:r>
            <w:r>
              <w:rPr>
                <w:color w:val="auto"/>
                <w:sz w:val="24"/>
              </w:rPr>
              <w:t>省（自治区）</w:t>
            </w:r>
            <w:r>
              <w:rPr>
                <w:color w:val="auto"/>
                <w:sz w:val="24"/>
                <w:u w:val="single"/>
              </w:rPr>
              <w:t xml:space="preserve"> </w:t>
            </w:r>
            <w:r>
              <w:rPr>
                <w:rFonts w:hint="eastAsia"/>
                <w:color w:val="auto"/>
                <w:sz w:val="24"/>
                <w:u w:val="single"/>
                <w:lang w:val="en-US" w:eastAsia="zh-CN"/>
              </w:rPr>
              <w:t>遂宁</w:t>
            </w:r>
            <w:r>
              <w:rPr>
                <w:color w:val="auto"/>
                <w:sz w:val="24"/>
                <w:u w:val="single"/>
              </w:rPr>
              <w:t xml:space="preserve"> </w:t>
            </w:r>
            <w:r>
              <w:rPr>
                <w:color w:val="auto"/>
                <w:sz w:val="24"/>
              </w:rPr>
              <w:t>市</w:t>
            </w:r>
            <w:r>
              <w:rPr>
                <w:color w:val="auto"/>
                <w:sz w:val="24"/>
                <w:u w:val="single"/>
              </w:rPr>
              <w:t xml:space="preserve"> </w:t>
            </w:r>
            <w:r>
              <w:rPr>
                <w:rFonts w:hint="eastAsia"/>
                <w:color w:val="auto"/>
                <w:sz w:val="24"/>
                <w:u w:val="single"/>
                <w:lang w:val="en-US" w:eastAsia="zh-CN"/>
              </w:rPr>
              <w:t>蓬溪</w:t>
            </w:r>
            <w:r>
              <w:rPr>
                <w:color w:val="auto"/>
                <w:sz w:val="24"/>
                <w:u w:val="single"/>
              </w:rPr>
              <w:t xml:space="preserve"> </w:t>
            </w:r>
            <w:r>
              <w:rPr>
                <w:color w:val="auto"/>
                <w:sz w:val="24"/>
              </w:rPr>
              <w:t>县（区）</w:t>
            </w:r>
            <w:r>
              <w:rPr>
                <w:color w:val="auto"/>
                <w:sz w:val="24"/>
                <w:u w:val="single"/>
              </w:rPr>
              <w:t xml:space="preserve"> </w:t>
            </w:r>
            <w:r>
              <w:rPr>
                <w:rFonts w:hint="eastAsia" w:ascii="Times New Roman" w:hAnsi="Times New Roman" w:eastAsia="宋体" w:cs="Times New Roman"/>
                <w:color w:val="auto"/>
                <w:sz w:val="24"/>
                <w:u w:val="single"/>
                <w:lang w:val="en-US" w:eastAsia="zh-CN"/>
              </w:rPr>
              <w:t>金桥镇创业四支路 1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rFonts w:ascii="宋体" w:hAnsi="宋体" w:cs="宋体"/>
                <w:color w:val="auto"/>
                <w:sz w:val="24"/>
              </w:rPr>
            </w:pPr>
            <w:r>
              <w:rPr>
                <w:rFonts w:hint="eastAsia" w:ascii="宋体" w:hAnsi="宋体" w:cs="宋体"/>
                <w:color w:val="auto"/>
                <w:sz w:val="24"/>
              </w:rPr>
              <w:t>地理坐标</w:t>
            </w:r>
          </w:p>
        </w:tc>
        <w:tc>
          <w:tcPr>
            <w:tcW w:w="6488" w:type="dxa"/>
            <w:gridSpan w:val="4"/>
            <w:noWrap w:val="0"/>
            <w:vAlign w:val="center"/>
          </w:tcPr>
          <w:p>
            <w:pPr>
              <w:jc w:val="center"/>
              <w:rPr>
                <w:color w:val="auto"/>
                <w:sz w:val="24"/>
              </w:rPr>
            </w:pPr>
            <w:r>
              <w:rPr>
                <w:color w:val="auto"/>
                <w:sz w:val="24"/>
              </w:rPr>
              <w:t>（</w:t>
            </w:r>
            <w:r>
              <w:rPr>
                <w:color w:val="auto"/>
                <w:sz w:val="24"/>
                <w:u w:val="single"/>
              </w:rPr>
              <w:t xml:space="preserve"> 10</w:t>
            </w:r>
            <w:r>
              <w:rPr>
                <w:rFonts w:hint="eastAsia"/>
                <w:color w:val="auto"/>
                <w:sz w:val="24"/>
                <w:u w:val="single"/>
                <w:lang w:val="en-US" w:eastAsia="zh-CN"/>
              </w:rPr>
              <w:t>5</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lang w:val="en-US" w:eastAsia="zh-CN"/>
              </w:rPr>
              <w:t>41</w:t>
            </w:r>
            <w:r>
              <w:rPr>
                <w:color w:val="auto"/>
                <w:sz w:val="24"/>
                <w:u w:val="single"/>
              </w:rPr>
              <w:t xml:space="preserve"> </w:t>
            </w:r>
            <w:r>
              <w:rPr>
                <w:color w:val="auto"/>
                <w:sz w:val="24"/>
              </w:rPr>
              <w:t>分</w:t>
            </w:r>
            <w:r>
              <w:rPr>
                <w:color w:val="auto"/>
                <w:sz w:val="24"/>
                <w:u w:val="single"/>
              </w:rPr>
              <w:t xml:space="preserve"> </w:t>
            </w:r>
            <w:r>
              <w:rPr>
                <w:rFonts w:hint="eastAsia"/>
                <w:color w:val="auto"/>
                <w:sz w:val="24"/>
                <w:u w:val="single"/>
                <w:lang w:val="en-US" w:eastAsia="zh-CN"/>
              </w:rPr>
              <w:t>26.474</w:t>
            </w:r>
            <w:r>
              <w:rPr>
                <w:color w:val="auto"/>
                <w:sz w:val="24"/>
                <w:u w:val="single"/>
              </w:rPr>
              <w:t xml:space="preserve"> </w:t>
            </w:r>
            <w:r>
              <w:rPr>
                <w:color w:val="auto"/>
                <w:sz w:val="24"/>
              </w:rPr>
              <w:t>秒，</w:t>
            </w:r>
            <w:r>
              <w:rPr>
                <w:color w:val="auto"/>
                <w:sz w:val="24"/>
                <w:u w:val="single"/>
              </w:rPr>
              <w:t xml:space="preserve"> 30 </w:t>
            </w:r>
            <w:r>
              <w:rPr>
                <w:color w:val="auto"/>
                <w:sz w:val="24"/>
              </w:rPr>
              <w:t>度</w:t>
            </w:r>
            <w:r>
              <w:rPr>
                <w:color w:val="auto"/>
                <w:sz w:val="24"/>
                <w:u w:val="single"/>
              </w:rPr>
              <w:t xml:space="preserve"> </w:t>
            </w:r>
            <w:r>
              <w:rPr>
                <w:rFonts w:hint="eastAsia"/>
                <w:color w:val="auto"/>
                <w:sz w:val="24"/>
                <w:u w:val="single"/>
                <w:lang w:val="en-US" w:eastAsia="zh-CN"/>
              </w:rPr>
              <w:t>27</w:t>
            </w:r>
            <w:r>
              <w:rPr>
                <w:color w:val="auto"/>
                <w:sz w:val="24"/>
                <w:u w:val="single"/>
              </w:rPr>
              <w:t xml:space="preserve"> </w:t>
            </w:r>
            <w:r>
              <w:rPr>
                <w:color w:val="auto"/>
                <w:sz w:val="24"/>
              </w:rPr>
              <w:t>分</w:t>
            </w:r>
            <w:r>
              <w:rPr>
                <w:color w:val="auto"/>
                <w:sz w:val="24"/>
                <w:u w:val="single"/>
              </w:rPr>
              <w:t xml:space="preserve"> </w:t>
            </w:r>
            <w:r>
              <w:rPr>
                <w:rFonts w:hint="eastAsia"/>
                <w:color w:val="auto"/>
                <w:sz w:val="24"/>
                <w:u w:val="single"/>
                <w:lang w:val="en-US" w:eastAsia="zh-CN"/>
              </w:rPr>
              <w:t>49.958</w:t>
            </w:r>
            <w:r>
              <w:rPr>
                <w:color w:val="auto"/>
                <w:sz w:val="24"/>
                <w:u w:val="single"/>
              </w:rPr>
              <w:t xml:space="preserve"> </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2382" w:type="dxa"/>
            <w:gridSpan w:val="2"/>
            <w:noWrap w:val="0"/>
            <w:tcMar>
              <w:top w:w="16" w:type="dxa"/>
              <w:left w:w="16" w:type="dxa"/>
              <w:right w:w="16" w:type="dxa"/>
            </w:tcMar>
            <w:vAlign w:val="center"/>
          </w:tcPr>
          <w:p>
            <w:pPr>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国民经济</w:t>
            </w:r>
          </w:p>
          <w:p>
            <w:pPr>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行业类别</w:t>
            </w:r>
          </w:p>
        </w:tc>
        <w:tc>
          <w:tcPr>
            <w:tcW w:w="1637" w:type="dxa"/>
            <w:noWrap w:val="0"/>
            <w:vAlign w:val="center"/>
          </w:tcPr>
          <w:p>
            <w:pPr>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3091石墨及碳素制品制造</w:t>
            </w:r>
          </w:p>
        </w:tc>
        <w:tc>
          <w:tcPr>
            <w:tcW w:w="1985" w:type="dxa"/>
            <w:gridSpan w:val="2"/>
            <w:noWrap w:val="0"/>
            <w:vAlign w:val="center"/>
          </w:tcPr>
          <w:p>
            <w:pPr>
              <w:adjustRightInd w:val="0"/>
              <w:snapToGrid w:val="0"/>
              <w:spacing w:line="240" w:lineRule="auto"/>
              <w:jc w:val="center"/>
              <w:rPr>
                <w:color w:val="auto"/>
                <w:sz w:val="24"/>
              </w:rPr>
            </w:pPr>
            <w:r>
              <w:rPr>
                <w:color w:val="auto"/>
                <w:sz w:val="24"/>
              </w:rPr>
              <w:t>建设项目</w:t>
            </w:r>
          </w:p>
          <w:p>
            <w:pPr>
              <w:adjustRightInd w:val="0"/>
              <w:snapToGrid w:val="0"/>
              <w:spacing w:line="240" w:lineRule="auto"/>
              <w:jc w:val="center"/>
              <w:rPr>
                <w:color w:val="auto"/>
                <w:sz w:val="24"/>
              </w:rPr>
            </w:pPr>
            <w:r>
              <w:rPr>
                <w:color w:val="auto"/>
                <w:sz w:val="24"/>
              </w:rPr>
              <w:t>行业类别</w:t>
            </w:r>
          </w:p>
        </w:tc>
        <w:tc>
          <w:tcPr>
            <w:tcW w:w="2866" w:type="dxa"/>
            <w:noWrap w:val="0"/>
            <w:vAlign w:val="center"/>
          </w:tcPr>
          <w:p>
            <w:pPr>
              <w:jc w:val="left"/>
              <w:rPr>
                <w:rFonts w:hint="eastAsia" w:eastAsia="宋体"/>
                <w:color w:val="auto"/>
                <w:sz w:val="24"/>
                <w:lang w:val="en-US" w:eastAsia="zh-CN"/>
              </w:rPr>
            </w:pPr>
            <w:r>
              <w:rPr>
                <w:rFonts w:ascii="Times New Roman" w:hAnsi="Times New Roman" w:eastAsia="宋体" w:cs="Times New Roman"/>
                <w:color w:val="auto"/>
                <w:sz w:val="24"/>
                <w:lang w:val="en-US" w:eastAsia="zh-CN"/>
              </w:rPr>
              <w:t>二十七、非金属矿物制品业</w:t>
            </w:r>
            <w:r>
              <w:rPr>
                <w:rFonts w:hint="eastAsia" w:ascii="Times New Roman" w:hAnsi="Times New Roman" w:eastAsia="宋体" w:cs="Times New Roman"/>
                <w:color w:val="auto"/>
                <w:sz w:val="24"/>
                <w:lang w:val="en-US" w:eastAsia="zh-CN"/>
              </w:rPr>
              <w:t xml:space="preserve"> 30 石墨及其他非金属矿物制品制造 309 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1637" w:type="dxa"/>
            <w:noWrap w:val="0"/>
            <w:vAlign w:val="center"/>
          </w:tcPr>
          <w:p>
            <w:pPr>
              <w:jc w:val="left"/>
              <w:rPr>
                <w:color w:val="auto"/>
                <w:sz w:val="24"/>
              </w:rPr>
            </w:pPr>
            <w:r>
              <w:rPr>
                <w:rFonts w:hint="eastAsia"/>
                <w:color w:val="auto"/>
                <w:sz w:val="24"/>
                <w:lang w:eastAsia="zh-CN"/>
              </w:rPr>
              <w:t>☑</w:t>
            </w:r>
            <w:r>
              <w:rPr>
                <w:color w:val="auto"/>
                <w:sz w:val="24"/>
              </w:rPr>
              <w:t>新建（迁建）</w:t>
            </w:r>
          </w:p>
          <w:p>
            <w:pPr>
              <w:jc w:val="left"/>
              <w:rPr>
                <w:color w:val="auto"/>
                <w:sz w:val="24"/>
              </w:rPr>
            </w:pPr>
            <w:r>
              <w:rPr>
                <w:color w:val="auto"/>
                <w:sz w:val="24"/>
              </w:rPr>
              <w:t>□改建</w:t>
            </w:r>
          </w:p>
          <w:p>
            <w:pPr>
              <w:jc w:val="left"/>
              <w:rPr>
                <w:color w:val="auto"/>
                <w:sz w:val="24"/>
              </w:rPr>
            </w:pPr>
            <w:r>
              <w:rPr>
                <w:color w:val="auto"/>
                <w:sz w:val="24"/>
              </w:rPr>
              <w:t>□扩建</w:t>
            </w:r>
          </w:p>
          <w:p>
            <w:pPr>
              <w:jc w:val="left"/>
              <w:rPr>
                <w:color w:val="auto"/>
                <w:sz w:val="24"/>
              </w:rPr>
            </w:pPr>
            <w:r>
              <w:rPr>
                <w:color w:val="auto"/>
                <w:sz w:val="24"/>
              </w:rPr>
              <w:t>□技术改造</w:t>
            </w:r>
          </w:p>
        </w:tc>
        <w:tc>
          <w:tcPr>
            <w:tcW w:w="1985" w:type="dxa"/>
            <w:gridSpan w:val="2"/>
            <w:noWrap w:val="0"/>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2866" w:type="dxa"/>
            <w:noWrap w:val="0"/>
            <w:vAlign w:val="center"/>
          </w:tcPr>
          <w:p>
            <w:pPr>
              <w:jc w:val="left"/>
              <w:rPr>
                <w:color w:val="auto"/>
                <w:sz w:val="24"/>
              </w:rPr>
            </w:pPr>
            <w:r>
              <w:rPr>
                <w:rFonts w:hint="eastAsia"/>
                <w:color w:val="auto"/>
                <w:sz w:val="24"/>
                <w:lang w:eastAsia="zh-CN"/>
              </w:rPr>
              <w:t>☑</w:t>
            </w:r>
            <w:r>
              <w:rPr>
                <w:color w:val="auto"/>
                <w:sz w:val="24"/>
              </w:rPr>
              <w:t xml:space="preserve">首次申报项目             </w:t>
            </w:r>
          </w:p>
          <w:p>
            <w:pPr>
              <w:jc w:val="left"/>
              <w:rPr>
                <w:color w:val="auto"/>
                <w:sz w:val="24"/>
              </w:rPr>
            </w:pPr>
            <w:r>
              <w:rPr>
                <w:color w:val="auto"/>
                <w:sz w:val="24"/>
              </w:rPr>
              <w:t>□不予批准后再次申报项目</w:t>
            </w:r>
          </w:p>
          <w:p>
            <w:pPr>
              <w:jc w:val="left"/>
              <w:rPr>
                <w:color w:val="auto"/>
                <w:sz w:val="24"/>
              </w:rPr>
            </w:pPr>
            <w:r>
              <w:rPr>
                <w:color w:val="auto"/>
                <w:sz w:val="24"/>
              </w:rPr>
              <w:t xml:space="preserve">□超五年重新审核项目     </w:t>
            </w:r>
          </w:p>
          <w:p>
            <w:pPr>
              <w:jc w:val="left"/>
              <w:rPr>
                <w:color w:val="auto"/>
                <w:sz w:val="24"/>
              </w:rPr>
            </w:pP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2382" w:type="dxa"/>
            <w:gridSpan w:val="2"/>
            <w:noWrap w:val="0"/>
            <w:tcMar>
              <w:top w:w="16" w:type="dxa"/>
              <w:left w:w="16" w:type="dxa"/>
              <w:right w:w="16" w:type="dxa"/>
            </w:tcMar>
            <w:vAlign w:val="center"/>
          </w:tcPr>
          <w:p>
            <w:pPr>
              <w:adjustRightInd w:val="0"/>
              <w:snapToGrid w:val="0"/>
              <w:jc w:val="center"/>
              <w:rPr>
                <w:rFonts w:ascii="Times New Roman" w:hAnsi="Times New Roman" w:eastAsia="宋体" w:cs="Times New Roman"/>
                <w:color w:val="auto"/>
                <w:sz w:val="24"/>
              </w:rPr>
            </w:pPr>
            <w:r>
              <w:rPr>
                <w:rFonts w:ascii="Times New Roman" w:hAnsi="Times New Roman" w:eastAsia="宋体" w:cs="Times New Roman"/>
                <w:color w:val="auto"/>
                <w:sz w:val="24"/>
              </w:rPr>
              <w:t>项目审批（核准/</w:t>
            </w:r>
          </w:p>
          <w:p>
            <w:pPr>
              <w:adjustRightInd w:val="0"/>
              <w:snapToGrid w:val="0"/>
              <w:jc w:val="center"/>
              <w:rPr>
                <w:rFonts w:ascii="Times New Roman" w:hAnsi="Times New Roman" w:eastAsia="宋体" w:cs="Times New Roman"/>
                <w:color w:val="auto"/>
                <w:sz w:val="24"/>
              </w:rPr>
            </w:pPr>
            <w:r>
              <w:rPr>
                <w:rFonts w:ascii="Times New Roman" w:hAnsi="Times New Roman" w:eastAsia="宋体" w:cs="Times New Roman"/>
                <w:color w:val="auto"/>
                <w:sz w:val="24"/>
              </w:rPr>
              <w:t>备案）部门（选填）</w:t>
            </w:r>
          </w:p>
        </w:tc>
        <w:tc>
          <w:tcPr>
            <w:tcW w:w="1637"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Times New Roman" w:eastAsia="宋体" w:cs="Times New Roman"/>
                <w:color w:val="auto"/>
                <w:sz w:val="24"/>
                <w:lang w:val="en-US" w:eastAsia="zh-CN"/>
              </w:rPr>
              <w:t>蓬溪县行政审批局</w:t>
            </w:r>
          </w:p>
        </w:tc>
        <w:tc>
          <w:tcPr>
            <w:tcW w:w="1985" w:type="dxa"/>
            <w:gridSpan w:val="2"/>
            <w:noWrap w:val="0"/>
            <w:vAlign w:val="center"/>
          </w:tcPr>
          <w:p>
            <w:pPr>
              <w:jc w:val="left"/>
              <w:rPr>
                <w:rFonts w:ascii="Times New Roman" w:hAnsi="Times New Roman" w:eastAsia="宋体" w:cs="Times New Roman"/>
                <w:color w:val="auto"/>
                <w:sz w:val="24"/>
              </w:rPr>
            </w:pPr>
            <w:r>
              <w:rPr>
                <w:rFonts w:ascii="Times New Roman" w:hAnsi="Times New Roman" w:eastAsia="宋体" w:cs="Times New Roman"/>
                <w:color w:val="auto"/>
                <w:sz w:val="24"/>
              </w:rPr>
              <w:t>项目审批（核准/</w:t>
            </w:r>
          </w:p>
          <w:p>
            <w:pPr>
              <w:jc w:val="left"/>
              <w:rPr>
                <w:rFonts w:ascii="Times New Roman" w:hAnsi="Times New Roman" w:eastAsia="宋体" w:cs="Times New Roman"/>
                <w:color w:val="auto"/>
                <w:sz w:val="24"/>
              </w:rPr>
            </w:pPr>
            <w:r>
              <w:rPr>
                <w:rFonts w:ascii="Times New Roman" w:hAnsi="Times New Roman" w:eastAsia="宋体" w:cs="Times New Roman"/>
                <w:color w:val="auto"/>
                <w:sz w:val="24"/>
              </w:rPr>
              <w:t>备案）文号（选填）</w:t>
            </w:r>
          </w:p>
        </w:tc>
        <w:tc>
          <w:tcPr>
            <w:tcW w:w="2866" w:type="dxa"/>
            <w:noWrap w:val="0"/>
            <w:vAlign w:val="center"/>
          </w:tcPr>
          <w:p>
            <w:pPr>
              <w:keepNext w:val="0"/>
              <w:keepLines w:val="0"/>
              <w:widowControl/>
              <w:suppressLineNumbers w:val="0"/>
              <w:jc w:val="center"/>
              <w:rPr>
                <w:rFonts w:ascii="Times New Roman" w:hAnsi="Times New Roman" w:eastAsia="宋体" w:cs="Times New Roman"/>
                <w:color w:val="auto"/>
                <w:sz w:val="24"/>
              </w:rPr>
            </w:pPr>
            <w:r>
              <w:rPr>
                <w:rFonts w:ascii="Times New Roman" w:hAnsi="Times New Roman" w:eastAsia="宋体" w:cs="Times New Roman"/>
                <w:color w:val="auto"/>
                <w:sz w:val="24"/>
              </w:rPr>
              <w:t>川投资备</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2508-510921-99-01-909443</w:t>
            </w:r>
            <w:r>
              <w:rPr>
                <w:rFonts w:ascii="Times New Roman" w:hAnsi="Times New Roman" w:eastAsia="宋体" w:cs="Times New Roman"/>
                <w:color w:val="auto"/>
                <w:sz w:val="24"/>
              </w:rPr>
              <w:t>】</w:t>
            </w:r>
            <w:r>
              <w:rPr>
                <w:rFonts w:hint="default" w:ascii="Times New Roman" w:hAnsi="Times New Roman" w:eastAsia="宋体" w:cs="Times New Roman"/>
                <w:color w:val="auto"/>
                <w:kern w:val="0"/>
                <w:sz w:val="24"/>
                <w:szCs w:val="24"/>
                <w:lang w:val="en-US" w:eastAsia="zh-CN" w:bidi="ar"/>
              </w:rPr>
              <w:t>FGQB-1106</w:t>
            </w:r>
            <w:r>
              <w:rPr>
                <w:rFonts w:hint="eastAsia" w:ascii="宋体" w:hAnsi="宋体" w:eastAsia="宋体" w:cs="宋体"/>
                <w:color w:val="auto"/>
                <w:kern w:val="0"/>
                <w:sz w:val="24"/>
                <w:szCs w:val="24"/>
                <w:lang w:val="en-US" w:eastAsia="zh-CN" w:bidi="ar"/>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1637" w:type="dxa"/>
            <w:noWrap w:val="0"/>
            <w:vAlign w:val="center"/>
          </w:tcPr>
          <w:p>
            <w:pPr>
              <w:adjustRightInd w:val="0"/>
              <w:snapToGrid w:val="0"/>
              <w:jc w:val="center"/>
              <w:rPr>
                <w:color w:val="auto"/>
                <w:sz w:val="24"/>
              </w:rPr>
            </w:pPr>
            <w:r>
              <w:rPr>
                <w:rFonts w:hint="eastAsia"/>
                <w:color w:val="auto"/>
                <w:sz w:val="24"/>
                <w:lang w:val="en-US" w:eastAsia="zh-CN"/>
              </w:rPr>
              <w:t>1</w:t>
            </w:r>
            <w:r>
              <w:rPr>
                <w:rFonts w:hint="eastAsia"/>
                <w:color w:val="auto"/>
                <w:sz w:val="24"/>
              </w:rPr>
              <w:t>000</w:t>
            </w:r>
          </w:p>
        </w:tc>
        <w:tc>
          <w:tcPr>
            <w:tcW w:w="1985"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2866"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环保投资占比（%）</w:t>
            </w:r>
          </w:p>
        </w:tc>
        <w:tc>
          <w:tcPr>
            <w:tcW w:w="1637"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3</w:t>
            </w:r>
          </w:p>
        </w:tc>
        <w:tc>
          <w:tcPr>
            <w:tcW w:w="1985"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2866" w:type="dxa"/>
            <w:noWrap w:val="0"/>
            <w:vAlign w:val="center"/>
          </w:tcPr>
          <w:p>
            <w:pPr>
              <w:adjustRightInd w:val="0"/>
              <w:snapToGrid w:val="0"/>
              <w:jc w:val="center"/>
              <w:rPr>
                <w:color w:val="auto"/>
                <w:sz w:val="24"/>
              </w:rPr>
            </w:pPr>
            <w:r>
              <w:rPr>
                <w:rFonts w:hint="eastAsia"/>
                <w:color w:val="auto"/>
                <w:sz w:val="24"/>
                <w:lang w:val="en-US" w:eastAsia="zh-CN"/>
              </w:rPr>
              <w:t>7</w:t>
            </w:r>
            <w:r>
              <w:rPr>
                <w:rFonts w:hint="eastAsia"/>
                <w:color w:val="auto"/>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szCs w:val="24"/>
              </w:rPr>
            </w:pPr>
            <w:r>
              <w:rPr>
                <w:color w:val="auto"/>
                <w:sz w:val="24"/>
                <w:szCs w:val="24"/>
              </w:rPr>
              <w:t>是否开工建设</w:t>
            </w:r>
          </w:p>
        </w:tc>
        <w:tc>
          <w:tcPr>
            <w:tcW w:w="1637" w:type="dxa"/>
            <w:noWrap w:val="0"/>
            <w:vAlign w:val="center"/>
          </w:tcPr>
          <w:p>
            <w:pPr>
              <w:adjustRightInd w:val="0"/>
              <w:snapToGrid w:val="0"/>
              <w:rPr>
                <w:color w:val="auto"/>
                <w:sz w:val="24"/>
                <w:szCs w:val="24"/>
              </w:rPr>
            </w:pPr>
            <w:r>
              <w:rPr>
                <w:color w:val="auto"/>
                <w:sz w:val="24"/>
                <w:szCs w:val="24"/>
              </w:rPr>
              <w:sym w:font="Wingdings 2" w:char="0052"/>
            </w:r>
            <w:r>
              <w:rPr>
                <w:color w:val="auto"/>
                <w:sz w:val="24"/>
                <w:szCs w:val="24"/>
              </w:rPr>
              <w:t>否</w:t>
            </w:r>
          </w:p>
          <w:p>
            <w:pPr>
              <w:adjustRightInd w:val="0"/>
              <w:snapToGrid w:val="0"/>
              <w:rPr>
                <w:color w:val="auto"/>
                <w:sz w:val="24"/>
                <w:szCs w:val="24"/>
              </w:rPr>
            </w:pPr>
            <w:r>
              <w:rPr>
                <w:color w:val="auto"/>
                <w:sz w:val="24"/>
                <w:szCs w:val="24"/>
              </w:rPr>
              <w:sym w:font="Wingdings 2" w:char="00A3"/>
            </w:r>
            <w:r>
              <w:rPr>
                <w:color w:val="auto"/>
                <w:sz w:val="24"/>
                <w:szCs w:val="24"/>
              </w:rPr>
              <w:t>是：</w:t>
            </w:r>
            <w:r>
              <w:rPr>
                <w:color w:val="auto"/>
                <w:sz w:val="24"/>
                <w:szCs w:val="24"/>
                <w:u w:val="single"/>
              </w:rPr>
              <w:t xml:space="preserve">                   </w:t>
            </w:r>
          </w:p>
        </w:tc>
        <w:tc>
          <w:tcPr>
            <w:tcW w:w="1985" w:type="dxa"/>
            <w:gridSpan w:val="2"/>
            <w:noWrap w:val="0"/>
            <w:tcMar>
              <w:top w:w="16" w:type="dxa"/>
              <w:left w:w="16" w:type="dxa"/>
              <w:right w:w="16" w:type="dxa"/>
            </w:tcMar>
            <w:vAlign w:val="center"/>
          </w:tcPr>
          <w:p>
            <w:pPr>
              <w:adjustRightInd w:val="0"/>
              <w:snapToGrid w:val="0"/>
              <w:jc w:val="center"/>
              <w:rPr>
                <w:color w:val="auto"/>
                <w:spacing w:val="-6"/>
                <w:sz w:val="24"/>
              </w:rPr>
            </w:pPr>
            <w:r>
              <w:rPr>
                <w:color w:val="auto"/>
                <w:spacing w:val="-6"/>
                <w:sz w:val="24"/>
              </w:rPr>
              <w:t>用地（用海）</w:t>
            </w:r>
          </w:p>
          <w:p>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866" w:type="dxa"/>
            <w:noWrap w:val="0"/>
            <w:vAlign w:val="center"/>
          </w:tcPr>
          <w:p>
            <w:pPr>
              <w:widowControl/>
              <w:jc w:val="center"/>
              <w:rPr>
                <w:rFonts w:hint="eastAsia" w:eastAsia="宋体"/>
                <w:color w:val="auto"/>
                <w:sz w:val="24"/>
                <w:vertAlign w:val="baseline"/>
                <w:lang w:val="en-US" w:eastAsia="zh-CN"/>
              </w:rPr>
            </w:pPr>
            <w:r>
              <w:rPr>
                <w:rFonts w:hint="eastAsia"/>
                <w:color w:val="auto"/>
                <w:kern w:val="0"/>
                <w:sz w:val="24"/>
                <w:lang w:val="en-US" w:eastAsia="zh-CN" w:bidi="ar"/>
              </w:rPr>
              <w:t>1200</w:t>
            </w:r>
            <w:r>
              <w:rPr>
                <w:color w:val="auto"/>
                <w:spacing w:val="-6"/>
                <w:sz w:val="24"/>
              </w:rPr>
              <w:t>m</w:t>
            </w:r>
            <w:r>
              <w:rPr>
                <w:color w:val="auto"/>
                <w:spacing w:val="-6"/>
                <w:sz w:val="24"/>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147" w:type="dxa"/>
            <w:noWrap w:val="0"/>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 w:val="24"/>
              </w:rPr>
              <w:t>专项评价设置情况</w:t>
            </w:r>
          </w:p>
        </w:tc>
        <w:tc>
          <w:tcPr>
            <w:tcW w:w="7723" w:type="dxa"/>
            <w:gridSpan w:val="5"/>
            <w:noWrap w:val="0"/>
            <w:vAlign w:val="center"/>
          </w:tcPr>
          <w:p>
            <w:pPr>
              <w:autoSpaceDE w:val="0"/>
              <w:autoSpaceDN w:val="0"/>
              <w:adjustRightInd w:val="0"/>
              <w:snapToGrid w:val="0"/>
              <w:spacing w:line="360" w:lineRule="auto"/>
              <w:ind w:firstLine="480" w:firstLineChars="200"/>
              <w:rPr>
                <w:color w:val="auto"/>
                <w:kern w:val="0"/>
                <w:sz w:val="24"/>
              </w:rPr>
            </w:pPr>
            <w:r>
              <w:rPr>
                <w:rFonts w:hint="eastAsia"/>
                <w:color w:val="auto"/>
                <w:kern w:val="0"/>
                <w:sz w:val="24"/>
              </w:rPr>
              <w:t>根据《建设项目环境影响报告表编制技术指南（污染影响类）》，本项目专项评价设置情况见下表。</w:t>
            </w:r>
          </w:p>
          <w:tbl>
            <w:tblPr>
              <w:tblStyle w:val="36"/>
              <w:tblW w:w="7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67"/>
              <w:gridCol w:w="3754"/>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967" w:type="dxa"/>
                  <w:noWrap w:val="0"/>
                  <w:vAlign w:val="center"/>
                </w:tcPr>
                <w:p>
                  <w:pPr>
                    <w:autoSpaceDE w:val="0"/>
                    <w:autoSpaceDN w:val="0"/>
                    <w:adjustRightInd w:val="0"/>
                    <w:snapToGrid w:val="0"/>
                    <w:jc w:val="center"/>
                    <w:rPr>
                      <w:b/>
                      <w:bCs/>
                      <w:color w:val="auto"/>
                      <w:kern w:val="0"/>
                      <w:szCs w:val="21"/>
                    </w:rPr>
                  </w:pPr>
                  <w:r>
                    <w:rPr>
                      <w:b/>
                      <w:bCs/>
                      <w:color w:val="auto"/>
                      <w:kern w:val="0"/>
                      <w:szCs w:val="21"/>
                    </w:rPr>
                    <w:t>专项评价的类别</w:t>
                  </w:r>
                </w:p>
              </w:tc>
              <w:tc>
                <w:tcPr>
                  <w:tcW w:w="3754" w:type="dxa"/>
                  <w:noWrap w:val="0"/>
                  <w:vAlign w:val="center"/>
                </w:tcPr>
                <w:p>
                  <w:pPr>
                    <w:autoSpaceDE w:val="0"/>
                    <w:autoSpaceDN w:val="0"/>
                    <w:adjustRightInd w:val="0"/>
                    <w:snapToGrid w:val="0"/>
                    <w:jc w:val="center"/>
                    <w:rPr>
                      <w:b/>
                      <w:bCs/>
                      <w:color w:val="auto"/>
                      <w:kern w:val="0"/>
                      <w:szCs w:val="21"/>
                    </w:rPr>
                  </w:pPr>
                  <w:r>
                    <w:rPr>
                      <w:b/>
                      <w:bCs/>
                      <w:color w:val="auto"/>
                      <w:kern w:val="0"/>
                      <w:szCs w:val="21"/>
                    </w:rPr>
                    <w:t>设置原则</w:t>
                  </w:r>
                </w:p>
              </w:tc>
              <w:tc>
                <w:tcPr>
                  <w:tcW w:w="2800" w:type="dxa"/>
                  <w:noWrap w:val="0"/>
                  <w:vAlign w:val="center"/>
                </w:tcPr>
                <w:p>
                  <w:pPr>
                    <w:autoSpaceDE w:val="0"/>
                    <w:autoSpaceDN w:val="0"/>
                    <w:adjustRightInd w:val="0"/>
                    <w:snapToGrid w:val="0"/>
                    <w:jc w:val="center"/>
                    <w:rPr>
                      <w:b/>
                      <w:bCs/>
                      <w:color w:val="auto"/>
                      <w:kern w:val="0"/>
                      <w:szCs w:val="21"/>
                    </w:rPr>
                  </w:pPr>
                  <w:r>
                    <w:rPr>
                      <w:b/>
                      <w:bCs/>
                      <w:color w:val="auto"/>
                      <w:kern w:val="0"/>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967" w:type="dxa"/>
                  <w:noWrap w:val="0"/>
                  <w:vAlign w:val="center"/>
                </w:tcPr>
                <w:p>
                  <w:pPr>
                    <w:autoSpaceDE w:val="0"/>
                    <w:autoSpaceDN w:val="0"/>
                    <w:adjustRightInd w:val="0"/>
                    <w:snapToGrid w:val="0"/>
                    <w:jc w:val="center"/>
                    <w:rPr>
                      <w:color w:val="auto"/>
                      <w:kern w:val="0"/>
                      <w:szCs w:val="21"/>
                    </w:rPr>
                  </w:pPr>
                  <w:r>
                    <w:rPr>
                      <w:color w:val="auto"/>
                      <w:kern w:val="0"/>
                      <w:szCs w:val="21"/>
                    </w:rPr>
                    <w:t>大气</w:t>
                  </w:r>
                </w:p>
              </w:tc>
              <w:tc>
                <w:tcPr>
                  <w:tcW w:w="3754" w:type="dxa"/>
                  <w:noWrap w:val="0"/>
                  <w:vAlign w:val="center"/>
                </w:tcPr>
                <w:p>
                  <w:pPr>
                    <w:autoSpaceDE w:val="0"/>
                    <w:autoSpaceDN w:val="0"/>
                    <w:adjustRightInd w:val="0"/>
                    <w:snapToGrid w:val="0"/>
                    <w:jc w:val="center"/>
                    <w:rPr>
                      <w:color w:val="auto"/>
                      <w:kern w:val="0"/>
                      <w:szCs w:val="21"/>
                    </w:rPr>
                  </w:pPr>
                  <w:r>
                    <w:rPr>
                      <w:color w:val="auto"/>
                      <w:kern w:val="0"/>
                      <w:szCs w:val="21"/>
                    </w:rPr>
                    <w:t>排放废气含有毒有害</w:t>
                  </w:r>
                  <w:r>
                    <w:rPr>
                      <w:color w:val="auto"/>
                      <w:kern w:val="0"/>
                      <w:szCs w:val="21"/>
                      <w:vertAlign w:val="superscript"/>
                    </w:rPr>
                    <w:t>1</w:t>
                  </w:r>
                  <w:r>
                    <w:rPr>
                      <w:color w:val="auto"/>
                      <w:kern w:val="0"/>
                      <w:szCs w:val="21"/>
                    </w:rPr>
                    <w:t>、二噁英、苯并[a]芘、氰化物、氯气且厂界外500米范围内有环境空气保护目标</w:t>
                  </w:r>
                  <w:r>
                    <w:rPr>
                      <w:color w:val="auto"/>
                      <w:kern w:val="0"/>
                      <w:szCs w:val="21"/>
                      <w:vertAlign w:val="superscript"/>
                    </w:rPr>
                    <w:t>2</w:t>
                  </w:r>
                  <w:r>
                    <w:rPr>
                      <w:color w:val="auto"/>
                      <w:kern w:val="0"/>
                      <w:szCs w:val="21"/>
                    </w:rPr>
                    <w:t>的建设项目</w:t>
                  </w:r>
                </w:p>
              </w:tc>
              <w:tc>
                <w:tcPr>
                  <w:tcW w:w="2800" w:type="dxa"/>
                  <w:noWrap w:val="0"/>
                  <w:vAlign w:val="center"/>
                </w:tcPr>
                <w:p>
                  <w:pPr>
                    <w:autoSpaceDE w:val="0"/>
                    <w:autoSpaceDN w:val="0"/>
                    <w:adjustRightInd w:val="0"/>
                    <w:snapToGrid w:val="0"/>
                    <w:jc w:val="center"/>
                    <w:rPr>
                      <w:color w:val="auto"/>
                      <w:kern w:val="2"/>
                      <w:sz w:val="21"/>
                      <w:szCs w:val="24"/>
                      <w:lang w:val="en-US" w:eastAsia="zh-CN" w:bidi="ar-SA"/>
                    </w:rPr>
                  </w:pPr>
                  <w:r>
                    <w:rPr>
                      <w:color w:val="auto"/>
                      <w:kern w:val="0"/>
                      <w:szCs w:val="21"/>
                    </w:rPr>
                    <w:t>不设置专项评价</w:t>
                  </w:r>
                  <w:r>
                    <w:rPr>
                      <w:color w:val="auto"/>
                    </w:rPr>
                    <w:t>，</w:t>
                  </w:r>
                  <w:r>
                    <w:rPr>
                      <w:color w:val="auto"/>
                      <w:kern w:val="0"/>
                      <w:szCs w:val="21"/>
                    </w:rPr>
                    <w:t>本项目</w:t>
                  </w:r>
                  <w:r>
                    <w:rPr>
                      <w:rFonts w:hint="eastAsia"/>
                      <w:color w:val="auto"/>
                      <w:kern w:val="0"/>
                      <w:szCs w:val="21"/>
                      <w:lang w:val="en-US" w:eastAsia="zh-CN"/>
                    </w:rPr>
                    <w:t>产生的</w:t>
                  </w:r>
                  <w:r>
                    <w:rPr>
                      <w:color w:val="auto"/>
                      <w:kern w:val="0"/>
                      <w:szCs w:val="21"/>
                    </w:rPr>
                    <w:t>废气</w:t>
                  </w:r>
                  <w:r>
                    <w:rPr>
                      <w:rFonts w:hint="eastAsia"/>
                      <w:color w:val="auto"/>
                      <w:kern w:val="0"/>
                      <w:szCs w:val="21"/>
                    </w:rPr>
                    <w:t>不含</w:t>
                  </w:r>
                  <w:r>
                    <w:rPr>
                      <w:color w:val="auto"/>
                      <w:kern w:val="0"/>
                      <w:szCs w:val="21"/>
                    </w:rPr>
                    <w:t>有毒有害</w:t>
                  </w:r>
                  <w:r>
                    <w:rPr>
                      <w:color w:val="auto"/>
                      <w:kern w:val="0"/>
                      <w:szCs w:val="21"/>
                      <w:vertAlign w:val="superscript"/>
                    </w:rPr>
                    <w:t>1</w:t>
                  </w:r>
                  <w:r>
                    <w:rPr>
                      <w:color w:val="auto"/>
                      <w:kern w:val="0"/>
                      <w:szCs w:val="21"/>
                    </w:rPr>
                    <w:t>、二噁英、苯并[a]芘、氰化物、氯气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967" w:type="dxa"/>
                  <w:noWrap w:val="0"/>
                  <w:vAlign w:val="center"/>
                </w:tcPr>
                <w:p>
                  <w:pPr>
                    <w:autoSpaceDE w:val="0"/>
                    <w:autoSpaceDN w:val="0"/>
                    <w:adjustRightInd w:val="0"/>
                    <w:snapToGrid w:val="0"/>
                    <w:jc w:val="center"/>
                    <w:rPr>
                      <w:color w:val="auto"/>
                      <w:kern w:val="0"/>
                      <w:szCs w:val="21"/>
                    </w:rPr>
                  </w:pPr>
                  <w:r>
                    <w:rPr>
                      <w:color w:val="auto"/>
                      <w:kern w:val="0"/>
                      <w:szCs w:val="21"/>
                    </w:rPr>
                    <w:t>地表水</w:t>
                  </w:r>
                </w:p>
              </w:tc>
              <w:tc>
                <w:tcPr>
                  <w:tcW w:w="3754" w:type="dxa"/>
                  <w:noWrap w:val="0"/>
                  <w:vAlign w:val="center"/>
                </w:tcPr>
                <w:p>
                  <w:pPr>
                    <w:autoSpaceDE w:val="0"/>
                    <w:autoSpaceDN w:val="0"/>
                    <w:adjustRightInd w:val="0"/>
                    <w:snapToGrid w:val="0"/>
                    <w:jc w:val="center"/>
                    <w:rPr>
                      <w:color w:val="auto"/>
                      <w:kern w:val="0"/>
                      <w:szCs w:val="21"/>
                    </w:rPr>
                  </w:pPr>
                  <w:r>
                    <w:rPr>
                      <w:color w:val="auto"/>
                      <w:kern w:val="0"/>
                      <w:szCs w:val="21"/>
                    </w:rPr>
                    <w:t>新增工业废水直排建设项目（槽罐车外送污水处理厂的除外）；新增废水直排的污水集中处理厂</w:t>
                  </w:r>
                </w:p>
              </w:tc>
              <w:tc>
                <w:tcPr>
                  <w:tcW w:w="2800" w:type="dxa"/>
                  <w:noWrap w:val="0"/>
                  <w:vAlign w:val="center"/>
                </w:tcPr>
                <w:p>
                  <w:pPr>
                    <w:autoSpaceDE w:val="0"/>
                    <w:autoSpaceDN w:val="0"/>
                    <w:adjustRightInd w:val="0"/>
                    <w:snapToGrid w:val="0"/>
                    <w:jc w:val="center"/>
                    <w:rPr>
                      <w:rFonts w:hint="eastAsia" w:eastAsia="宋体"/>
                      <w:color w:val="auto"/>
                      <w:kern w:val="0"/>
                      <w:szCs w:val="21"/>
                      <w:lang w:eastAsia="zh-CN"/>
                    </w:rPr>
                  </w:pPr>
                  <w:r>
                    <w:rPr>
                      <w:color w:val="auto"/>
                      <w:kern w:val="0"/>
                      <w:szCs w:val="21"/>
                    </w:rPr>
                    <w:t>不设置专项评价，本项目废水经处理达标后排放</w:t>
                  </w:r>
                  <w:r>
                    <w:rPr>
                      <w:rFonts w:hint="eastAsia"/>
                      <w:color w:val="auto"/>
                      <w:kern w:val="0"/>
                      <w:szCs w:val="21"/>
                      <w:lang w:eastAsia="zh-CN"/>
                    </w:rPr>
                    <w:t>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967" w:type="dxa"/>
                  <w:noWrap w:val="0"/>
                  <w:vAlign w:val="center"/>
                </w:tcPr>
                <w:p>
                  <w:pPr>
                    <w:autoSpaceDE w:val="0"/>
                    <w:autoSpaceDN w:val="0"/>
                    <w:adjustRightInd w:val="0"/>
                    <w:snapToGrid w:val="0"/>
                    <w:jc w:val="center"/>
                    <w:rPr>
                      <w:color w:val="auto"/>
                      <w:kern w:val="0"/>
                      <w:szCs w:val="21"/>
                    </w:rPr>
                  </w:pPr>
                  <w:r>
                    <w:rPr>
                      <w:color w:val="auto"/>
                      <w:kern w:val="0"/>
                      <w:szCs w:val="21"/>
                    </w:rPr>
                    <w:t>环境风险</w:t>
                  </w:r>
                </w:p>
              </w:tc>
              <w:tc>
                <w:tcPr>
                  <w:tcW w:w="3754" w:type="dxa"/>
                  <w:noWrap w:val="0"/>
                  <w:vAlign w:val="center"/>
                </w:tcPr>
                <w:p>
                  <w:pPr>
                    <w:autoSpaceDE w:val="0"/>
                    <w:autoSpaceDN w:val="0"/>
                    <w:adjustRightInd w:val="0"/>
                    <w:snapToGrid w:val="0"/>
                    <w:jc w:val="center"/>
                    <w:rPr>
                      <w:color w:val="auto"/>
                      <w:kern w:val="0"/>
                      <w:szCs w:val="21"/>
                    </w:rPr>
                  </w:pPr>
                  <w:r>
                    <w:rPr>
                      <w:color w:val="auto"/>
                      <w:kern w:val="0"/>
                      <w:szCs w:val="21"/>
                    </w:rPr>
                    <w:t>有毒有害和易燃易爆危险物质存储量超过临界量</w:t>
                  </w:r>
                  <w:r>
                    <w:rPr>
                      <w:color w:val="auto"/>
                      <w:kern w:val="0"/>
                      <w:szCs w:val="21"/>
                      <w:vertAlign w:val="superscript"/>
                    </w:rPr>
                    <w:t>3</w:t>
                  </w:r>
                  <w:r>
                    <w:rPr>
                      <w:color w:val="auto"/>
                      <w:kern w:val="0"/>
                      <w:szCs w:val="21"/>
                    </w:rPr>
                    <w:t>的建设项目</w:t>
                  </w:r>
                </w:p>
              </w:tc>
              <w:tc>
                <w:tcPr>
                  <w:tcW w:w="2800" w:type="dxa"/>
                  <w:noWrap w:val="0"/>
                  <w:vAlign w:val="center"/>
                </w:tcPr>
                <w:p>
                  <w:pPr>
                    <w:autoSpaceDE w:val="0"/>
                    <w:autoSpaceDN w:val="0"/>
                    <w:adjustRightInd w:val="0"/>
                    <w:snapToGrid w:val="0"/>
                    <w:jc w:val="center"/>
                    <w:rPr>
                      <w:color w:val="auto"/>
                      <w:kern w:val="0"/>
                      <w:szCs w:val="21"/>
                    </w:rPr>
                  </w:pPr>
                  <w:r>
                    <w:rPr>
                      <w:color w:val="auto"/>
                      <w:kern w:val="0"/>
                      <w:szCs w:val="21"/>
                    </w:rPr>
                    <w:t>不设置专项评价，本项目危险物质存储量不超过临界量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967" w:type="dxa"/>
                  <w:noWrap w:val="0"/>
                  <w:vAlign w:val="center"/>
                </w:tcPr>
                <w:p>
                  <w:pPr>
                    <w:autoSpaceDE w:val="0"/>
                    <w:autoSpaceDN w:val="0"/>
                    <w:adjustRightInd w:val="0"/>
                    <w:snapToGrid w:val="0"/>
                    <w:jc w:val="center"/>
                    <w:rPr>
                      <w:color w:val="auto"/>
                      <w:kern w:val="0"/>
                      <w:szCs w:val="21"/>
                    </w:rPr>
                  </w:pPr>
                  <w:r>
                    <w:rPr>
                      <w:color w:val="auto"/>
                      <w:kern w:val="0"/>
                      <w:szCs w:val="21"/>
                    </w:rPr>
                    <w:t>生态</w:t>
                  </w:r>
                </w:p>
              </w:tc>
              <w:tc>
                <w:tcPr>
                  <w:tcW w:w="3754" w:type="dxa"/>
                  <w:noWrap w:val="0"/>
                  <w:vAlign w:val="center"/>
                </w:tcPr>
                <w:p>
                  <w:pPr>
                    <w:autoSpaceDE w:val="0"/>
                    <w:autoSpaceDN w:val="0"/>
                    <w:adjustRightInd w:val="0"/>
                    <w:snapToGrid w:val="0"/>
                    <w:jc w:val="center"/>
                    <w:rPr>
                      <w:color w:val="auto"/>
                      <w:kern w:val="0"/>
                      <w:szCs w:val="21"/>
                    </w:rPr>
                  </w:pPr>
                  <w:r>
                    <w:rPr>
                      <w:color w:val="auto"/>
                      <w:kern w:val="0"/>
                      <w:szCs w:val="21"/>
                    </w:rPr>
                    <w:t>取水口下游500米范围内有重要水生生物的自然产卵场、索饵场、越冬场和洄游通道的新增河道取水的污染类建设项目</w:t>
                  </w:r>
                </w:p>
              </w:tc>
              <w:tc>
                <w:tcPr>
                  <w:tcW w:w="2800" w:type="dxa"/>
                  <w:noWrap w:val="0"/>
                  <w:vAlign w:val="center"/>
                </w:tcPr>
                <w:p>
                  <w:pPr>
                    <w:autoSpaceDE w:val="0"/>
                    <w:autoSpaceDN w:val="0"/>
                    <w:adjustRightInd w:val="0"/>
                    <w:snapToGrid w:val="0"/>
                    <w:jc w:val="center"/>
                    <w:rPr>
                      <w:color w:val="auto"/>
                      <w:kern w:val="0"/>
                      <w:szCs w:val="21"/>
                    </w:rPr>
                  </w:pPr>
                  <w:r>
                    <w:rPr>
                      <w:color w:val="auto"/>
                      <w:kern w:val="0"/>
                      <w:szCs w:val="21"/>
                    </w:rPr>
                    <w:t>不设置专项评价，本项目不涉及取水口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967" w:type="dxa"/>
                  <w:noWrap w:val="0"/>
                  <w:vAlign w:val="center"/>
                </w:tcPr>
                <w:p>
                  <w:pPr>
                    <w:autoSpaceDE w:val="0"/>
                    <w:autoSpaceDN w:val="0"/>
                    <w:adjustRightInd w:val="0"/>
                    <w:snapToGrid w:val="0"/>
                    <w:jc w:val="center"/>
                    <w:rPr>
                      <w:color w:val="auto"/>
                      <w:kern w:val="0"/>
                      <w:szCs w:val="21"/>
                    </w:rPr>
                  </w:pPr>
                  <w:r>
                    <w:rPr>
                      <w:color w:val="auto"/>
                      <w:kern w:val="0"/>
                      <w:szCs w:val="21"/>
                    </w:rPr>
                    <w:t>海洋</w:t>
                  </w:r>
                </w:p>
              </w:tc>
              <w:tc>
                <w:tcPr>
                  <w:tcW w:w="3754" w:type="dxa"/>
                  <w:noWrap w:val="0"/>
                  <w:vAlign w:val="center"/>
                </w:tcPr>
                <w:p>
                  <w:pPr>
                    <w:autoSpaceDE w:val="0"/>
                    <w:autoSpaceDN w:val="0"/>
                    <w:adjustRightInd w:val="0"/>
                    <w:snapToGrid w:val="0"/>
                    <w:jc w:val="center"/>
                    <w:rPr>
                      <w:color w:val="auto"/>
                      <w:kern w:val="0"/>
                      <w:szCs w:val="21"/>
                    </w:rPr>
                  </w:pPr>
                  <w:r>
                    <w:rPr>
                      <w:color w:val="auto"/>
                      <w:kern w:val="0"/>
                      <w:szCs w:val="21"/>
                    </w:rPr>
                    <w:t>直接向海排放污染物的海洋工程建设项目</w:t>
                  </w:r>
                </w:p>
              </w:tc>
              <w:tc>
                <w:tcPr>
                  <w:tcW w:w="2800" w:type="dxa"/>
                  <w:noWrap w:val="0"/>
                  <w:vAlign w:val="center"/>
                </w:tcPr>
                <w:p>
                  <w:pPr>
                    <w:pStyle w:val="9"/>
                    <w:jc w:val="center"/>
                    <w:rPr>
                      <w:color w:val="auto"/>
                      <w:sz w:val="21"/>
                      <w:szCs w:val="21"/>
                    </w:rPr>
                  </w:pPr>
                  <w:r>
                    <w:rPr>
                      <w:color w:val="auto"/>
                      <w:sz w:val="21"/>
                      <w:szCs w:val="21"/>
                    </w:rPr>
                    <w:t>不设置专项评价，本项目不涉及海洋工程</w:t>
                  </w:r>
                </w:p>
              </w:tc>
            </w:tr>
          </w:tbl>
          <w:p>
            <w:pPr>
              <w:autoSpaceDE w:val="0"/>
              <w:autoSpaceDN w:val="0"/>
              <w:adjustRightInd w:val="0"/>
              <w:snapToGrid w:val="0"/>
              <w:rPr>
                <w:b/>
                <w:bCs/>
                <w:color w:val="auto"/>
                <w:kern w:val="0"/>
                <w:szCs w:val="21"/>
              </w:rPr>
            </w:pPr>
            <w:r>
              <w:rPr>
                <w:rFonts w:hint="eastAsia"/>
                <w:b/>
                <w:bCs/>
                <w:color w:val="auto"/>
                <w:kern w:val="0"/>
                <w:szCs w:val="21"/>
              </w:rPr>
              <w:t>注：</w:t>
            </w:r>
            <w:r>
              <w:rPr>
                <w:b/>
                <w:bCs/>
                <w:color w:val="auto"/>
                <w:kern w:val="0"/>
                <w:szCs w:val="21"/>
              </w:rPr>
              <w:t>1、废气中有毒有害污染物指纳入《有毒有害大气污染物名录》的污染物（不包括无排放标准的污染物）；</w:t>
            </w:r>
          </w:p>
          <w:p>
            <w:pPr>
              <w:autoSpaceDE w:val="0"/>
              <w:autoSpaceDN w:val="0"/>
              <w:adjustRightInd w:val="0"/>
              <w:snapToGrid w:val="0"/>
              <w:ind w:firstLine="422" w:firstLineChars="200"/>
              <w:rPr>
                <w:b/>
                <w:bCs/>
                <w:color w:val="auto"/>
                <w:kern w:val="0"/>
                <w:szCs w:val="21"/>
              </w:rPr>
            </w:pPr>
            <w:r>
              <w:rPr>
                <w:b/>
                <w:bCs/>
                <w:color w:val="auto"/>
                <w:kern w:val="0"/>
                <w:szCs w:val="21"/>
              </w:rPr>
              <w:t>2、环境空气保护目标指自然保护区、风景名胜区、居住区、文化区和农村地区中人群较集中的区域；</w:t>
            </w:r>
          </w:p>
          <w:p>
            <w:pPr>
              <w:pStyle w:val="121"/>
              <w:ind w:firstLine="422" w:firstLineChars="200"/>
              <w:jc w:val="both"/>
              <w:rPr>
                <w:rFonts w:hAnsi="宋体"/>
                <w:color w:val="auto"/>
                <w:sz w:val="21"/>
                <w:szCs w:val="21"/>
              </w:rPr>
            </w:pPr>
            <w:r>
              <w:rPr>
                <w:rFonts w:ascii="Times New Roman" w:cs="Times New Roman"/>
                <w:b/>
                <w:bCs/>
                <w:color w:val="auto"/>
                <w:sz w:val="21"/>
                <w:szCs w:val="21"/>
              </w:rPr>
              <w:t>3、临界量及其计算方法可参考《建设项目环境风险评价技术</w:t>
            </w:r>
            <w:r>
              <w:rPr>
                <w:rFonts w:hint="eastAsia" w:ascii="Times New Roman" w:cs="Times New Roman"/>
                <w:b/>
                <w:bCs/>
                <w:color w:val="auto"/>
                <w:sz w:val="21"/>
                <w:szCs w:val="21"/>
                <w:lang w:val="en-US" w:eastAsia="zh-CN"/>
              </w:rPr>
              <w:t>导则</w:t>
            </w:r>
            <w:r>
              <w:rPr>
                <w:rFonts w:ascii="Times New Roman" w:cs="Times New Roman"/>
                <w:b/>
                <w:bCs/>
                <w:color w:val="auto"/>
                <w:sz w:val="21"/>
                <w:szCs w:val="21"/>
              </w:rPr>
              <w:t>》（HJ169）附录B、附录C。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1" w:hRule="atLeast"/>
          <w:jc w:val="center"/>
        </w:trPr>
        <w:tc>
          <w:tcPr>
            <w:tcW w:w="1147" w:type="dxa"/>
            <w:noWrap w:val="0"/>
            <w:vAlign w:val="center"/>
          </w:tcPr>
          <w:p>
            <w:pPr>
              <w:autoSpaceDE w:val="0"/>
              <w:autoSpaceDN w:val="0"/>
              <w:adjustRightInd w:val="0"/>
              <w:snapToGrid w:val="0"/>
              <w:jc w:val="center"/>
              <w:rPr>
                <w:rFonts w:hint="eastAsia" w:ascii="宋体" w:hAnsi="宋体" w:cs="宋体"/>
                <w:color w:val="auto"/>
                <w:kern w:val="0"/>
                <w:sz w:val="24"/>
              </w:rPr>
            </w:pPr>
            <w:r>
              <w:rPr>
                <w:rFonts w:hint="eastAsia" w:ascii="宋体" w:hAnsi="宋体" w:cs="宋体"/>
                <w:color w:val="auto"/>
                <w:sz w:val="24"/>
              </w:rPr>
              <w:t>规划情况</w:t>
            </w:r>
          </w:p>
        </w:tc>
        <w:tc>
          <w:tcPr>
            <w:tcW w:w="7723" w:type="dxa"/>
            <w:gridSpan w:val="5"/>
            <w:noWrap w:val="0"/>
            <w:vAlign w:val="center"/>
          </w:tcPr>
          <w:p>
            <w:pPr>
              <w:autoSpaceDE w:val="0"/>
              <w:autoSpaceDN w:val="0"/>
              <w:adjustRightInd w:val="0"/>
              <w:snapToGrid w:val="0"/>
              <w:spacing w:line="360" w:lineRule="auto"/>
              <w:jc w:val="left"/>
              <w:rPr>
                <w:rFonts w:ascii="Times New Roman" w:hAnsi="Times New Roman" w:eastAsia="宋体" w:cs="Times New Roman"/>
                <w:color w:val="auto"/>
                <w:kern w:val="0"/>
                <w:sz w:val="24"/>
              </w:rPr>
            </w:pPr>
            <w:r>
              <w:rPr>
                <w:b/>
                <w:bCs/>
                <w:color w:val="auto"/>
                <w:kern w:val="0"/>
                <w:sz w:val="24"/>
              </w:rPr>
              <w:t>规划名称：</w:t>
            </w:r>
            <w:r>
              <w:rPr>
                <w:rFonts w:hint="eastAsia" w:ascii="Times New Roman" w:hAnsi="Times New Roman" w:eastAsia="宋体" w:cs="Times New Roman"/>
                <w:b w:val="0"/>
                <w:bCs w:val="0"/>
                <w:color w:val="auto"/>
                <w:sz w:val="24"/>
                <w:szCs w:val="24"/>
                <w:lang w:val="en-US" w:eastAsia="zh-CN"/>
              </w:rPr>
              <w:t>蓬溪</w:t>
            </w:r>
            <w:r>
              <w:rPr>
                <w:rFonts w:hint="default" w:ascii="Times New Roman" w:hAnsi="Times New Roman" w:eastAsia="宋体" w:cs="Times New Roman"/>
                <w:b w:val="0"/>
                <w:bCs w:val="0"/>
                <w:color w:val="auto"/>
                <w:sz w:val="24"/>
                <w:szCs w:val="24"/>
                <w:lang w:val="en-US" w:eastAsia="zh-CN"/>
              </w:rPr>
              <w:t>县金桥工业港规划修编（暨四川蓬溪经济开发区（金桥片区）规划）</w:t>
            </w:r>
          </w:p>
          <w:p>
            <w:pPr>
              <w:spacing w:line="360" w:lineRule="auto"/>
              <w:rPr>
                <w:rFonts w:hint="eastAsia" w:ascii="Times New Roman" w:hAnsi="Times New Roman" w:eastAsia="宋体" w:cs="Times New Roman"/>
                <w:color w:val="auto"/>
                <w:kern w:val="0"/>
                <w:sz w:val="24"/>
                <w:lang w:eastAsia="zh-CN"/>
              </w:rPr>
            </w:pPr>
            <w:r>
              <w:rPr>
                <w:b/>
                <w:bCs/>
                <w:color w:val="auto"/>
                <w:kern w:val="0"/>
                <w:sz w:val="24"/>
              </w:rPr>
              <w:t>审批机关：</w:t>
            </w:r>
            <w:r>
              <w:rPr>
                <w:rFonts w:hint="default" w:ascii="Times New Roman" w:hAnsi="Times New Roman" w:eastAsia="宋体" w:cs="Times New Roman"/>
                <w:b w:val="0"/>
                <w:bCs w:val="0"/>
                <w:color w:val="auto"/>
                <w:sz w:val="24"/>
                <w:szCs w:val="24"/>
                <w:lang w:val="en-US" w:eastAsia="zh-CN"/>
              </w:rPr>
              <w:t>四川省人民政府</w:t>
            </w:r>
          </w:p>
          <w:p>
            <w:pPr>
              <w:pStyle w:val="11"/>
              <w:spacing w:before="0" w:after="0" w:line="360" w:lineRule="auto"/>
              <w:ind w:right="0"/>
              <w:rPr>
                <w:color w:val="auto"/>
                <w:sz w:val="24"/>
              </w:rPr>
            </w:pPr>
            <w:r>
              <w:rPr>
                <w:b/>
                <w:bCs/>
                <w:color w:val="auto"/>
                <w:sz w:val="24"/>
              </w:rPr>
              <w:t>审批文号：</w:t>
            </w:r>
            <w:r>
              <w:rPr>
                <w:rFonts w:hint="default" w:ascii="Times New Roman" w:hAnsi="Times New Roman" w:eastAsia="宋体" w:cs="Times New Roman"/>
                <w:b w:val="0"/>
                <w:bCs w:val="0"/>
                <w:color w:val="auto"/>
                <w:sz w:val="24"/>
                <w:szCs w:val="24"/>
                <w:lang w:val="en-US" w:eastAsia="zh-CN"/>
              </w:rPr>
              <w:t>20</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9年12月</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经省人民政府以（川府函〔2019〕</w:t>
            </w:r>
            <w:r>
              <w:rPr>
                <w:rFonts w:hint="eastAsia" w:ascii="Times New Roman" w:hAnsi="Times New Roman" w:eastAsia="宋体" w:cs="Times New Roman"/>
                <w:b w:val="0"/>
                <w:bCs w:val="0"/>
                <w:color w:val="auto"/>
                <w:sz w:val="24"/>
                <w:szCs w:val="24"/>
                <w:lang w:val="en-US" w:eastAsia="zh-CN"/>
              </w:rPr>
              <w:t>20</w:t>
            </w:r>
            <w:r>
              <w:rPr>
                <w:rFonts w:hint="default" w:ascii="Times New Roman" w:hAnsi="Times New Roman" w:eastAsia="宋体" w:cs="Times New Roman"/>
                <w:b w:val="0"/>
                <w:bCs w:val="0"/>
                <w:color w:val="auto"/>
                <w:sz w:val="24"/>
                <w:szCs w:val="24"/>
                <w:lang w:val="en-US" w:eastAsia="zh-CN"/>
              </w:rPr>
              <w:t>号）设立为省级经济开发区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08" w:hRule="atLeast"/>
          <w:jc w:val="center"/>
        </w:trPr>
        <w:tc>
          <w:tcPr>
            <w:tcW w:w="1147" w:type="dxa"/>
            <w:noWrap w:val="0"/>
            <w:vAlign w:val="center"/>
          </w:tcPr>
          <w:p>
            <w:pPr>
              <w:adjustRightInd w:val="0"/>
              <w:snapToGrid w:val="0"/>
              <w:jc w:val="center"/>
              <w:rPr>
                <w:rFonts w:ascii="宋体" w:hAnsi="宋体" w:cs="宋体"/>
                <w:color w:val="auto"/>
                <w:sz w:val="24"/>
              </w:rPr>
            </w:pPr>
            <w:r>
              <w:rPr>
                <w:rFonts w:hint="eastAsia" w:ascii="宋体" w:hAnsi="宋体" w:cs="宋体"/>
                <w:color w:val="auto"/>
                <w:sz w:val="24"/>
              </w:rPr>
              <w:t>规划环境影响</w:t>
            </w:r>
          </w:p>
          <w:p>
            <w:pPr>
              <w:adjustRightInd w:val="0"/>
              <w:snapToGrid w:val="0"/>
              <w:jc w:val="center"/>
              <w:rPr>
                <w:rFonts w:hint="eastAsia" w:ascii="宋体" w:hAnsi="宋体" w:cs="宋体"/>
                <w:color w:val="auto"/>
                <w:kern w:val="0"/>
                <w:sz w:val="24"/>
              </w:rPr>
            </w:pPr>
            <w:r>
              <w:rPr>
                <w:rFonts w:hint="eastAsia" w:ascii="宋体" w:hAnsi="宋体" w:cs="宋体"/>
                <w:color w:val="auto"/>
                <w:sz w:val="24"/>
              </w:rPr>
              <w:t>评价情况</w:t>
            </w:r>
          </w:p>
        </w:tc>
        <w:tc>
          <w:tcPr>
            <w:tcW w:w="7723" w:type="dxa"/>
            <w:gridSpan w:val="5"/>
            <w:noWrap w:val="0"/>
            <w:vAlign w:val="center"/>
          </w:tcPr>
          <w:p>
            <w:pPr>
              <w:spacing w:line="360" w:lineRule="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b/>
                <w:bCs/>
                <w:color w:val="auto"/>
                <w:kern w:val="0"/>
                <w:sz w:val="24"/>
              </w:rPr>
              <w:t>规</w:t>
            </w:r>
            <w:r>
              <w:rPr>
                <w:rFonts w:hint="eastAsia"/>
                <w:b/>
                <w:bCs/>
                <w:color w:val="auto"/>
                <w:kern w:val="0"/>
                <w:sz w:val="24"/>
              </w:rPr>
              <w:t>划环境影响评价文件名称：</w:t>
            </w:r>
            <w:r>
              <w:rPr>
                <w:rFonts w:hint="eastAsia"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b w:val="0"/>
                <w:bCs w:val="0"/>
                <w:color w:val="auto"/>
                <w:sz w:val="24"/>
                <w:szCs w:val="24"/>
                <w:lang w:val="en-US" w:eastAsia="zh-CN"/>
              </w:rPr>
              <w:t>蓬溪</w:t>
            </w:r>
            <w:r>
              <w:rPr>
                <w:rFonts w:hint="default" w:ascii="Times New Roman" w:hAnsi="Times New Roman" w:eastAsia="宋体" w:cs="Times New Roman"/>
                <w:b w:val="0"/>
                <w:bCs w:val="0"/>
                <w:color w:val="auto"/>
                <w:sz w:val="24"/>
                <w:szCs w:val="24"/>
                <w:lang w:val="en-US" w:eastAsia="zh-CN"/>
              </w:rPr>
              <w:t>县金桥工业港规划修编（暨四川蓬溪经济开发区（金桥片区）规划）环境影响评价报告书》</w:t>
            </w:r>
          </w:p>
          <w:p>
            <w:pPr>
              <w:autoSpaceDE w:val="0"/>
              <w:autoSpaceDN w:val="0"/>
              <w:adjustRightInd w:val="0"/>
              <w:snapToGrid w:val="0"/>
              <w:spacing w:line="360" w:lineRule="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审批机关：</w:t>
            </w:r>
            <w:r>
              <w:rPr>
                <w:rFonts w:hint="default" w:ascii="Times New Roman" w:hAnsi="Times New Roman" w:eastAsia="宋体" w:cs="Times New Roman"/>
                <w:b w:val="0"/>
                <w:bCs w:val="0"/>
                <w:color w:val="auto"/>
                <w:sz w:val="24"/>
                <w:szCs w:val="24"/>
                <w:lang w:val="en-US" w:eastAsia="zh-CN"/>
              </w:rPr>
              <w:t>四川省生态环境厅</w:t>
            </w:r>
          </w:p>
          <w:p>
            <w:pPr>
              <w:widowControl/>
              <w:spacing w:line="360" w:lineRule="auto"/>
              <w:jc w:val="left"/>
              <w:rPr>
                <w:color w:val="auto"/>
              </w:rPr>
            </w:pPr>
            <w:r>
              <w:rPr>
                <w:rFonts w:hint="eastAsia"/>
                <w:b/>
                <w:bCs/>
                <w:color w:val="auto"/>
                <w:sz w:val="24"/>
              </w:rPr>
              <w:t>审批</w:t>
            </w:r>
            <w:r>
              <w:rPr>
                <w:rFonts w:hint="eastAsia"/>
                <w:b/>
                <w:bCs/>
                <w:color w:val="auto"/>
                <w:sz w:val="24"/>
                <w:lang w:val="en-US" w:eastAsia="zh-CN"/>
              </w:rPr>
              <w:t>文件</w:t>
            </w:r>
            <w:r>
              <w:rPr>
                <w:rFonts w:hint="eastAsia"/>
                <w:b/>
                <w:bCs/>
                <w:color w:val="auto"/>
                <w:sz w:val="24"/>
              </w:rPr>
              <w:t>名称及文号：</w:t>
            </w:r>
            <w:r>
              <w:rPr>
                <w:rFonts w:hint="default" w:ascii="Times New Roman" w:hAnsi="Times New Roman" w:eastAsia="宋体" w:cs="Times New Roman"/>
                <w:b w:val="0"/>
                <w:bCs w:val="0"/>
                <w:color w:val="auto"/>
                <w:sz w:val="24"/>
                <w:szCs w:val="24"/>
                <w:lang w:val="en-US" w:eastAsia="zh-CN"/>
              </w:rPr>
              <w:t>《四川省生态环境厅关于＜</w:t>
            </w:r>
            <w:r>
              <w:rPr>
                <w:rFonts w:hint="eastAsia" w:ascii="Times New Roman" w:hAnsi="Times New Roman" w:eastAsia="宋体" w:cs="Times New Roman"/>
                <w:b w:val="0"/>
                <w:bCs w:val="0"/>
                <w:color w:val="auto"/>
                <w:sz w:val="24"/>
                <w:szCs w:val="24"/>
                <w:lang w:val="en-US" w:eastAsia="zh-CN"/>
              </w:rPr>
              <w:t>蓬溪</w:t>
            </w:r>
            <w:r>
              <w:rPr>
                <w:rFonts w:hint="default" w:ascii="Times New Roman" w:hAnsi="Times New Roman" w:eastAsia="宋体" w:cs="Times New Roman"/>
                <w:b w:val="0"/>
                <w:bCs w:val="0"/>
                <w:color w:val="auto"/>
                <w:sz w:val="24"/>
                <w:szCs w:val="24"/>
                <w:lang w:val="en-US" w:eastAsia="zh-CN"/>
              </w:rPr>
              <w:t>县金桥工业港规划修编（暨四川蓬溪经济开发区（金桥片区）规划）环境影响评价报告书＞审查意见的函》（川环建函〔20</w:t>
            </w:r>
            <w:r>
              <w:rPr>
                <w:rFonts w:hint="eastAsia" w:ascii="Times New Roman" w:hAnsi="Times New Roman" w:eastAsia="宋体" w:cs="Times New Roman"/>
                <w:b w:val="0"/>
                <w:bCs w:val="0"/>
                <w:color w:val="auto"/>
                <w:sz w:val="24"/>
                <w:szCs w:val="24"/>
                <w:lang w:val="en-US" w:eastAsia="zh-CN"/>
              </w:rPr>
              <w:t>19</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91</w:t>
            </w:r>
            <w:r>
              <w:rPr>
                <w:rFonts w:hint="default" w:ascii="Times New Roman" w:hAnsi="Times New Roman" w:eastAsia="宋体" w:cs="Times New Roman"/>
                <w:b w:val="0"/>
                <w:bCs w:val="0"/>
                <w:color w:val="auto"/>
                <w:sz w:val="24"/>
                <w:szCs w:val="24"/>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177" w:hRule="atLeast"/>
          <w:jc w:val="center"/>
        </w:trPr>
        <w:tc>
          <w:tcPr>
            <w:tcW w:w="1147" w:type="dxa"/>
            <w:noWrap w:val="0"/>
            <w:vAlign w:val="center"/>
          </w:tcPr>
          <w:p>
            <w:pPr>
              <w:autoSpaceDE w:val="0"/>
              <w:autoSpaceDN w:val="0"/>
              <w:adjustRightInd w:val="0"/>
              <w:snapToGrid w:val="0"/>
              <w:jc w:val="center"/>
              <w:rPr>
                <w:rFonts w:ascii="宋体" w:hAnsi="宋体" w:cs="宋体"/>
                <w:color w:val="auto"/>
                <w:kern w:val="0"/>
                <w:sz w:val="24"/>
              </w:rPr>
            </w:pPr>
            <w:r>
              <w:rPr>
                <w:rFonts w:hint="eastAsia" w:ascii="宋体" w:hAnsi="宋体" w:cs="宋体"/>
                <w:color w:val="auto"/>
                <w:kern w:val="0"/>
                <w:sz w:val="24"/>
              </w:rPr>
              <w:t>规划及规划环境影响评价符合性分析</w:t>
            </w:r>
          </w:p>
        </w:tc>
        <w:tc>
          <w:tcPr>
            <w:tcW w:w="7723" w:type="dxa"/>
            <w:gridSpan w:val="5"/>
            <w:noWrap w:val="0"/>
            <w:vAlign w:val="center"/>
          </w:tcPr>
          <w:p>
            <w:pPr>
              <w:widowControl/>
              <w:snapToGrid w:val="0"/>
              <w:spacing w:line="360" w:lineRule="auto"/>
              <w:ind w:firstLine="482" w:firstLineChars="200"/>
              <w:rPr>
                <w:rFonts w:hint="eastAsia"/>
                <w:b/>
                <w:color w:val="auto"/>
                <w:kern w:val="0"/>
                <w:sz w:val="24"/>
              </w:rPr>
            </w:pPr>
            <w:r>
              <w:rPr>
                <w:rFonts w:hint="eastAsia"/>
                <w:b/>
                <w:color w:val="auto"/>
                <w:kern w:val="0"/>
                <w:sz w:val="24"/>
              </w:rPr>
              <w:t>一、</w:t>
            </w:r>
            <w:r>
              <w:rPr>
                <w:rFonts w:hint="eastAsia" w:ascii="Times New Roman" w:hAnsi="Times New Roman" w:eastAsia="宋体" w:cs="Times New Roman"/>
                <w:b/>
                <w:color w:val="auto"/>
                <w:kern w:val="0"/>
                <w:sz w:val="24"/>
              </w:rPr>
              <w:t>与</w:t>
            </w:r>
            <w:r>
              <w:rPr>
                <w:rFonts w:hint="eastAsia" w:ascii="Times New Roman" w:hAnsi="Times New Roman" w:eastAsia="宋体" w:cs="Times New Roman"/>
                <w:b/>
                <w:color w:val="auto"/>
                <w:kern w:val="0"/>
                <w:sz w:val="24"/>
                <w:lang w:val="en-US" w:eastAsia="zh-CN"/>
              </w:rPr>
              <w:t>蓬溪</w:t>
            </w:r>
            <w:r>
              <w:rPr>
                <w:rFonts w:hint="default" w:ascii="Times New Roman" w:hAnsi="Times New Roman" w:eastAsia="宋体" w:cs="Times New Roman"/>
                <w:b/>
                <w:color w:val="auto"/>
                <w:kern w:val="0"/>
                <w:sz w:val="24"/>
                <w:lang w:val="en-US" w:eastAsia="zh-CN"/>
              </w:rPr>
              <w:t>县金桥工业港规划修编（暨四川蓬溪经济开发区（金桥片区）规划）</w:t>
            </w:r>
            <w:r>
              <w:rPr>
                <w:rFonts w:hint="eastAsia" w:ascii="Times New Roman" w:hAnsi="Times New Roman" w:eastAsia="宋体" w:cs="Times New Roman"/>
                <w:b/>
                <w:color w:val="auto"/>
                <w:kern w:val="0"/>
                <w:sz w:val="24"/>
              </w:rPr>
              <w:t>符合性分析</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蓬溪县金桥工业港成立于200</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lang w:val="en-US" w:eastAsia="zh-CN"/>
              </w:rPr>
              <w:t>年，规划面积8</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97</w:t>
            </w:r>
            <w:r>
              <w:rPr>
                <w:rFonts w:hint="eastAsia" w:ascii="Times New Roman" w:hAnsi="Times New Roman" w:eastAsia="宋体" w:cs="Times New Roman"/>
                <w:color w:val="auto"/>
                <w:sz w:val="24"/>
                <w:lang w:val="en-US" w:eastAsia="zh-CN"/>
              </w:rPr>
              <w:t>k</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2010年扩区为30.9km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，同年取得规划环评审查意见</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川环建函</w:t>
            </w:r>
            <w:r>
              <w:rPr>
                <w:rStyle w:val="57"/>
                <w:rFonts w:hint="default" w:ascii="Times New Roman" w:hAnsi="Times New Roman" w:eastAsia="宋体" w:cs="Times New Roman"/>
                <w:color w:val="auto"/>
                <w:sz w:val="24"/>
              </w:rPr>
              <w:t>〔201</w:t>
            </w:r>
            <w:r>
              <w:rPr>
                <w:rStyle w:val="57"/>
                <w:rFonts w:hint="eastAsia" w:ascii="Times New Roman" w:hAnsi="Times New Roman" w:eastAsia="宋体" w:cs="Times New Roman"/>
                <w:color w:val="auto"/>
                <w:sz w:val="24"/>
                <w:lang w:val="en-US"/>
              </w:rPr>
              <w:t>0</w:t>
            </w:r>
            <w:r>
              <w:rPr>
                <w:rStyle w:val="57"/>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552号</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。2016年蓬溪县人民政府以</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蓬府</w:t>
            </w:r>
            <w:r>
              <w:rPr>
                <w:rStyle w:val="57"/>
                <w:rFonts w:hint="default" w:ascii="Times New Roman" w:hAnsi="Times New Roman" w:eastAsia="宋体" w:cs="Times New Roman"/>
                <w:color w:val="auto"/>
                <w:sz w:val="24"/>
              </w:rPr>
              <w:t>〔201</w:t>
            </w:r>
            <w:r>
              <w:rPr>
                <w:rStyle w:val="57"/>
                <w:rFonts w:hint="eastAsia" w:ascii="Times New Roman" w:hAnsi="Times New Roman" w:eastAsia="宋体" w:cs="Times New Roman"/>
                <w:color w:val="auto"/>
                <w:sz w:val="24"/>
                <w:lang w:val="en-US"/>
              </w:rPr>
              <w:t>6</w:t>
            </w:r>
            <w:r>
              <w:rPr>
                <w:rStyle w:val="57"/>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41号</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批复该园区控规，园区以精细化工、机械制造、生物工程为主导产业。四川蓬溪经济开发区成立于2009年12月，包括蓬溪县上游工业园和遂宁金桥新区</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2019年经省人民政府以（川府函〔2019〕</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lang w:val="en-US" w:eastAsia="zh-CN"/>
              </w:rPr>
              <w:t>号）设立为省级经济开发区，核准面积5.7437km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，其中上游工业园2.6195km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，金桥新区3.1242km</w:t>
            </w:r>
            <w:r>
              <w:rPr>
                <w:rFonts w:hint="default"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主导产业为家具、服装、食品饮料，其中金桥新区位于蓬溪县金桥工业港范围内，主导产业为食品饮料。</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为符合《遂宁市城市总体规划</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2013~2030年</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》修编要求，园区2019年启动《蓬溪县金桥工业港规划修编</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暨四川蓬溪经济开发区</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金桥片区</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规划</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》修编工作，范围包含蓬溪县金桥工业港和四川蓬溪经济开发区的金桥新区。蓬溪县金桥工业港</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下称</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园区</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位于遂宁市主城区东南面，蓬溪县城西南面，东临高坪镇南溪村，南临涪江，西至涪江河堤沿岸，北至金桥乡金黄村</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因规划范围涉及基本农田，修编后面积缩减至17.97km</w:t>
            </w:r>
            <w:r>
              <w:rPr>
                <w:rFonts w:hint="default"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主导产业调整为食品饮料、机电制造、精细化工产业。</w:t>
            </w:r>
          </w:p>
          <w:p>
            <w:pPr>
              <w:pStyle w:val="29"/>
              <w:spacing w:line="360" w:lineRule="auto"/>
              <w:ind w:left="0" w:leftChars="0" w:firstLine="482" w:firstLineChars="200"/>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本项目</w:t>
            </w:r>
            <w:r>
              <w:rPr>
                <w:rFonts w:hint="eastAsia" w:ascii="Times New Roman" w:hAnsi="Times New Roman" w:eastAsia="宋体" w:cs="Times New Roman"/>
                <w:b/>
                <w:bCs/>
                <w:color w:val="auto"/>
                <w:kern w:val="2"/>
                <w:sz w:val="24"/>
                <w:szCs w:val="24"/>
                <w:lang w:val="en-US" w:eastAsia="zh-CN" w:bidi="ar-SA"/>
              </w:rPr>
              <w:t>主要从事超高纯度柔性石墨纸、高性能石墨导热膜及导电石墨烯粉体中试探索及技术验证工作，为石墨及碳素制品制造</w:t>
            </w: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属于</w:t>
            </w:r>
            <w:r>
              <w:rPr>
                <w:rFonts w:hint="default" w:ascii="Times New Roman" w:hAnsi="Times New Roman" w:eastAsia="宋体" w:cs="Times New Roman"/>
                <w:b/>
                <w:bCs/>
                <w:color w:val="auto"/>
                <w:kern w:val="2"/>
                <w:sz w:val="24"/>
                <w:szCs w:val="24"/>
                <w:lang w:val="en-US" w:eastAsia="zh-CN" w:bidi="ar-SA"/>
              </w:rPr>
              <w:t>非金属矿物制品业</w:t>
            </w:r>
            <w:r>
              <w:rPr>
                <w:rFonts w:hint="eastAsia" w:ascii="Times New Roman" w:hAnsi="Times New Roman" w:eastAsia="宋体" w:cs="Times New Roman"/>
                <w:b/>
                <w:bCs/>
                <w:color w:val="auto"/>
                <w:kern w:val="2"/>
                <w:sz w:val="24"/>
                <w:szCs w:val="24"/>
                <w:lang w:val="en-US" w:eastAsia="zh-CN" w:bidi="ar-SA"/>
              </w:rPr>
              <w:t>，不属于《蓬溪</w:t>
            </w:r>
            <w:r>
              <w:rPr>
                <w:rFonts w:hint="default" w:ascii="Times New Roman" w:hAnsi="Times New Roman" w:eastAsia="宋体" w:cs="Times New Roman"/>
                <w:b/>
                <w:bCs/>
                <w:color w:val="auto"/>
                <w:kern w:val="2"/>
                <w:sz w:val="24"/>
                <w:szCs w:val="24"/>
                <w:lang w:val="en-US" w:eastAsia="zh-CN" w:bidi="ar-SA"/>
              </w:rPr>
              <w:t>县金桥工业港规划修编（暨四川蓬溪经济开发区（金桥片区）规划</w:t>
            </w:r>
            <w:r>
              <w:rPr>
                <w:rFonts w:hint="eastAsia"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中</w:t>
            </w:r>
            <w:r>
              <w:rPr>
                <w:rFonts w:hint="eastAsia" w:ascii="Times New Roman" w:hAnsi="Times New Roman" w:eastAsia="宋体" w:cs="Times New Roman"/>
                <w:b/>
                <w:bCs/>
                <w:color w:val="auto"/>
                <w:kern w:val="2"/>
                <w:sz w:val="24"/>
                <w:szCs w:val="24"/>
                <w:lang w:val="en-US" w:eastAsia="zh-CN" w:bidi="ar-SA"/>
              </w:rPr>
              <w:t>禁止及限制类。同时，本项目取得四川蓬溪经济开发区管理委员会出具的入园函，同意其入园，因此本项目建设符合《蓬溪</w:t>
            </w:r>
            <w:r>
              <w:rPr>
                <w:rFonts w:hint="default" w:ascii="Times New Roman" w:hAnsi="Times New Roman" w:eastAsia="宋体" w:cs="Times New Roman"/>
                <w:b/>
                <w:bCs/>
                <w:color w:val="auto"/>
                <w:kern w:val="2"/>
                <w:sz w:val="24"/>
                <w:szCs w:val="24"/>
                <w:lang w:val="en-US" w:eastAsia="zh-CN" w:bidi="ar-SA"/>
              </w:rPr>
              <w:t>县金桥工业港规划修编（暨四川蓬溪经济开发区（金桥片区）规划</w:t>
            </w:r>
            <w:r>
              <w:rPr>
                <w:rFonts w:hint="eastAsia" w:ascii="Times New Roman" w:hAnsi="Times New Roman" w:eastAsia="宋体" w:cs="Times New Roman"/>
                <w:b/>
                <w:bCs/>
                <w:color w:val="auto"/>
                <w:kern w:val="2"/>
                <w:sz w:val="24"/>
                <w:szCs w:val="24"/>
                <w:lang w:val="en-US" w:eastAsia="zh-CN" w:bidi="ar-SA"/>
              </w:rPr>
              <w:t>》要求。</w:t>
            </w:r>
          </w:p>
          <w:p>
            <w:pPr>
              <w:pStyle w:val="29"/>
              <w:spacing w:line="360" w:lineRule="auto"/>
              <w:ind w:left="0" w:leftChars="0" w:firstLine="482" w:firstLineChars="200"/>
              <w:rPr>
                <w:rFonts w:hint="eastAsia" w:ascii="Times New Roman" w:hAnsi="Times New Roman" w:eastAsia="宋体" w:cs="Times New Roman"/>
                <w:b/>
                <w:color w:val="auto"/>
                <w:kern w:val="0"/>
                <w:sz w:val="24"/>
                <w:lang w:val="en-US" w:eastAsia="zh-CN"/>
              </w:rPr>
            </w:pPr>
            <w:r>
              <w:rPr>
                <w:rFonts w:hint="eastAsia" w:ascii="Times New Roman" w:hAnsi="Times New Roman" w:eastAsia="宋体" w:cs="Times New Roman"/>
                <w:b/>
                <w:color w:val="auto"/>
                <w:kern w:val="0"/>
                <w:sz w:val="24"/>
                <w:lang w:val="en-US" w:eastAsia="zh-CN"/>
              </w:rPr>
              <w:t>二、</w:t>
            </w:r>
            <w:r>
              <w:rPr>
                <w:rFonts w:ascii="Times New Roman" w:hAnsi="Times New Roman" w:eastAsia="宋体" w:cs="Times New Roman"/>
                <w:b/>
                <w:color w:val="auto"/>
                <w:kern w:val="0"/>
                <w:sz w:val="24"/>
              </w:rPr>
              <w:t>与</w:t>
            </w:r>
            <w:r>
              <w:rPr>
                <w:rFonts w:hint="default" w:ascii="Times New Roman" w:hAnsi="Times New Roman" w:eastAsia="宋体" w:cs="Times New Roman"/>
                <w:b/>
                <w:color w:val="auto"/>
                <w:kern w:val="0"/>
                <w:sz w:val="24"/>
                <w:lang w:val="en-US" w:eastAsia="zh-CN"/>
              </w:rPr>
              <w:t>《</w:t>
            </w:r>
            <w:r>
              <w:rPr>
                <w:rFonts w:hint="eastAsia" w:ascii="Times New Roman" w:hAnsi="Times New Roman" w:eastAsia="宋体" w:cs="Times New Roman"/>
                <w:b/>
                <w:color w:val="auto"/>
                <w:kern w:val="0"/>
                <w:sz w:val="24"/>
                <w:lang w:val="en-US" w:eastAsia="zh-CN"/>
              </w:rPr>
              <w:t>蓬溪</w:t>
            </w:r>
            <w:r>
              <w:rPr>
                <w:rFonts w:hint="default" w:ascii="Times New Roman" w:hAnsi="Times New Roman" w:eastAsia="宋体" w:cs="Times New Roman"/>
                <w:b/>
                <w:color w:val="auto"/>
                <w:kern w:val="0"/>
                <w:sz w:val="24"/>
                <w:lang w:val="en-US" w:eastAsia="zh-CN"/>
              </w:rPr>
              <w:t>县金桥工业港规划修编（暨四川蓬溪经济开发区（金桥片区）规划）环境影响评价报告书》</w:t>
            </w:r>
            <w:r>
              <w:rPr>
                <w:rFonts w:hint="eastAsia" w:ascii="Times New Roman" w:hAnsi="Times New Roman" w:eastAsia="宋体" w:cs="Times New Roman"/>
                <w:b/>
                <w:color w:val="auto"/>
                <w:kern w:val="0"/>
                <w:sz w:val="24"/>
                <w:lang w:val="en-US" w:eastAsia="zh-CN"/>
              </w:rPr>
              <w:t>及审查意见符合性分析</w:t>
            </w:r>
          </w:p>
          <w:p>
            <w:pPr>
              <w:pStyle w:val="29"/>
              <w:spacing w:line="360" w:lineRule="auto"/>
              <w:ind w:left="0" w:leftChars="0" w:firstLine="480" w:firstLineChars="200"/>
              <w:rPr>
                <w:b w:val="0"/>
                <w:bCs w:val="0"/>
                <w:color w:val="auto"/>
                <w:kern w:val="0"/>
                <w:sz w:val="24"/>
              </w:rPr>
            </w:pPr>
            <w:r>
              <w:rPr>
                <w:rFonts w:hint="eastAsia" w:ascii="Times New Roman" w:hAnsi="Times New Roman" w:eastAsia="宋体" w:cs="Times New Roman"/>
                <w:b w:val="0"/>
                <w:bCs w:val="0"/>
                <w:color w:val="auto"/>
                <w:kern w:val="0"/>
                <w:sz w:val="24"/>
                <w:lang w:val="en-US" w:eastAsia="zh-CN"/>
              </w:rPr>
              <w:t>根据《蓬溪</w:t>
            </w:r>
            <w:r>
              <w:rPr>
                <w:rFonts w:hint="default" w:ascii="Times New Roman" w:hAnsi="Times New Roman" w:eastAsia="宋体" w:cs="Times New Roman"/>
                <w:b w:val="0"/>
                <w:bCs w:val="0"/>
                <w:color w:val="auto"/>
                <w:kern w:val="0"/>
                <w:sz w:val="24"/>
                <w:lang w:val="en-US" w:eastAsia="zh-CN"/>
              </w:rPr>
              <w:t>县金桥工业港规划修编（暨四川蓬溪经济开发区（金桥片区）规划）环境影响评价报告书》</w:t>
            </w:r>
            <w:r>
              <w:rPr>
                <w:rFonts w:hint="eastAsia" w:ascii="Times New Roman" w:hAnsi="Times New Roman" w:eastAsia="宋体" w:cs="Times New Roman"/>
                <w:b w:val="0"/>
                <w:bCs w:val="0"/>
                <w:color w:val="auto"/>
                <w:kern w:val="0"/>
                <w:sz w:val="24"/>
                <w:lang w:val="en-US" w:eastAsia="zh-CN"/>
              </w:rPr>
              <w:t>及《蓬溪</w:t>
            </w:r>
            <w:r>
              <w:rPr>
                <w:rFonts w:hint="default" w:ascii="Times New Roman" w:hAnsi="Times New Roman" w:eastAsia="宋体" w:cs="Times New Roman"/>
                <w:b w:val="0"/>
                <w:bCs w:val="0"/>
                <w:color w:val="auto"/>
                <w:kern w:val="0"/>
                <w:sz w:val="24"/>
                <w:lang w:val="en-US" w:eastAsia="zh-CN"/>
              </w:rPr>
              <w:t>县金桥工业港规划修编（暨四川蓬溪经济开发区（金桥片区）规划）环境影响评价报告书</w:t>
            </w:r>
            <w:r>
              <w:rPr>
                <w:rFonts w:hint="eastAsia" w:ascii="Times New Roman" w:hAnsi="Times New Roman" w:eastAsia="宋体" w:cs="Times New Roman"/>
                <w:b w:val="0"/>
                <w:bCs w:val="0"/>
                <w:color w:val="auto"/>
                <w:kern w:val="0"/>
                <w:sz w:val="24"/>
                <w:lang w:val="en-US" w:eastAsia="zh-CN"/>
              </w:rPr>
              <w:t>的审查意见</w:t>
            </w:r>
            <w:r>
              <w:rPr>
                <w:rFonts w:hint="default" w:ascii="Times New Roman" w:hAnsi="Times New Roman" w:eastAsia="宋体" w:cs="Times New Roman"/>
                <w:b w:val="0"/>
                <w:bCs w:val="0"/>
                <w:color w:val="auto"/>
                <w:kern w:val="0"/>
                <w:sz w:val="24"/>
                <w:lang w:val="en-US" w:eastAsia="zh-CN"/>
              </w:rPr>
              <w:t>》</w:t>
            </w:r>
            <w:r>
              <w:rPr>
                <w:rFonts w:hint="eastAsia" w:ascii="Times New Roman" w:hAnsi="Times New Roman" w:eastAsia="宋体" w:cs="Times New Roman"/>
                <w:b w:val="0"/>
                <w:bCs w:val="0"/>
                <w:color w:val="auto"/>
                <w:kern w:val="0"/>
                <w:sz w:val="24"/>
                <w:lang w:val="en-US" w:eastAsia="zh-CN"/>
              </w:rPr>
              <w:t>（</w:t>
            </w:r>
            <w:r>
              <w:rPr>
                <w:rFonts w:hint="default" w:ascii="Times New Roman" w:hAnsi="Times New Roman" w:eastAsia="宋体" w:cs="Times New Roman"/>
                <w:b w:val="0"/>
                <w:bCs w:val="0"/>
                <w:color w:val="auto"/>
                <w:sz w:val="24"/>
                <w:szCs w:val="24"/>
                <w:lang w:val="en-US" w:eastAsia="zh-CN"/>
              </w:rPr>
              <w:t>川环建函〔20</w:t>
            </w:r>
            <w:r>
              <w:rPr>
                <w:rFonts w:hint="eastAsia" w:ascii="Times New Roman" w:hAnsi="Times New Roman" w:eastAsia="宋体" w:cs="Times New Roman"/>
                <w:b w:val="0"/>
                <w:bCs w:val="0"/>
                <w:color w:val="auto"/>
                <w:sz w:val="24"/>
                <w:szCs w:val="24"/>
                <w:lang w:val="en-US" w:eastAsia="zh-CN"/>
              </w:rPr>
              <w:t>19</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91</w:t>
            </w:r>
            <w:r>
              <w:rPr>
                <w:rFonts w:hint="default" w:ascii="Times New Roman" w:hAnsi="Times New Roman" w:eastAsia="宋体" w:cs="Times New Roman"/>
                <w:b w:val="0"/>
                <w:bCs w:val="0"/>
                <w:color w:val="auto"/>
                <w:sz w:val="24"/>
                <w:szCs w:val="24"/>
                <w:lang w:val="en-US" w:eastAsia="zh-CN"/>
              </w:rPr>
              <w:t>号</w:t>
            </w:r>
            <w:r>
              <w:rPr>
                <w:rFonts w:hint="eastAsia" w:ascii="Times New Roman" w:hAnsi="Times New Roman" w:eastAsia="宋体" w:cs="Times New Roman"/>
                <w:b w:val="0"/>
                <w:bCs w:val="0"/>
                <w:color w:val="auto"/>
                <w:kern w:val="0"/>
                <w:sz w:val="24"/>
                <w:lang w:val="en-US" w:eastAsia="zh-CN"/>
              </w:rPr>
              <w:t>），本项目与《蓬溪</w:t>
            </w:r>
            <w:r>
              <w:rPr>
                <w:rFonts w:hint="default" w:ascii="Times New Roman" w:hAnsi="Times New Roman" w:eastAsia="宋体" w:cs="Times New Roman"/>
                <w:b w:val="0"/>
                <w:bCs w:val="0"/>
                <w:color w:val="auto"/>
                <w:kern w:val="0"/>
                <w:sz w:val="24"/>
                <w:lang w:val="en-US" w:eastAsia="zh-CN"/>
              </w:rPr>
              <w:t>县金桥工业港规划修编（暨四川蓬溪经济开发区（金桥片区）规划）环境影响评价报告书》</w:t>
            </w:r>
            <w:r>
              <w:rPr>
                <w:rFonts w:hint="eastAsia" w:ascii="Times New Roman" w:hAnsi="Times New Roman" w:eastAsia="宋体" w:cs="Times New Roman"/>
                <w:b w:val="0"/>
                <w:bCs w:val="0"/>
                <w:color w:val="auto"/>
                <w:kern w:val="0"/>
                <w:sz w:val="24"/>
                <w:lang w:val="en-US" w:eastAsia="zh-CN"/>
              </w:rPr>
              <w:t>及审查意见符合性分析见下表。</w:t>
            </w:r>
          </w:p>
          <w:p>
            <w:pPr>
              <w:pStyle w:val="16"/>
              <w:spacing w:line="360" w:lineRule="auto"/>
              <w:jc w:val="center"/>
              <w:rPr>
                <w:rFonts w:ascii="Times New Roman" w:hAnsi="Times New Roman"/>
                <w:b/>
                <w:color w:val="auto"/>
                <w:sz w:val="21"/>
                <w:szCs w:val="21"/>
              </w:rPr>
            </w:pPr>
            <w:r>
              <w:rPr>
                <w:rFonts w:ascii="Times New Roman" w:hAnsi="Times New Roman"/>
                <w:b/>
                <w:color w:val="auto"/>
                <w:sz w:val="21"/>
                <w:szCs w:val="21"/>
              </w:rPr>
              <w:t>表1-</w:t>
            </w:r>
            <w:r>
              <w:rPr>
                <w:rFonts w:hint="eastAsia" w:ascii="Times New Roman" w:hAnsi="Times New Roman"/>
                <w:b/>
                <w:color w:val="auto"/>
                <w:sz w:val="21"/>
                <w:szCs w:val="21"/>
                <w:lang w:val="en-US" w:eastAsia="zh-CN"/>
              </w:rPr>
              <w:t>1</w:t>
            </w:r>
            <w:r>
              <w:rPr>
                <w:rFonts w:ascii="Times New Roman" w:hAnsi="Times New Roman"/>
                <w:b/>
                <w:color w:val="auto"/>
                <w:sz w:val="21"/>
                <w:szCs w:val="21"/>
              </w:rPr>
              <w:t xml:space="preserve"> </w:t>
            </w:r>
            <w:r>
              <w:rPr>
                <w:rFonts w:hint="eastAsia" w:ascii="Times New Roman" w:hAnsi="Times New Roman"/>
                <w:b/>
                <w:color w:val="auto"/>
                <w:sz w:val="21"/>
                <w:szCs w:val="21"/>
                <w:lang w:val="en-US" w:eastAsia="zh-CN"/>
              </w:rPr>
              <w:t>本项目</w:t>
            </w:r>
            <w:r>
              <w:rPr>
                <w:rFonts w:hint="eastAsia" w:ascii="Times New Roman" w:hAnsi="Times New Roman" w:eastAsia="宋体" w:cs="Times New Roman"/>
                <w:b/>
                <w:color w:val="auto"/>
                <w:kern w:val="0"/>
                <w:sz w:val="21"/>
                <w:szCs w:val="21"/>
              </w:rPr>
              <w:t>与</w:t>
            </w:r>
            <w:r>
              <w:rPr>
                <w:rFonts w:hint="eastAsia" w:ascii="Times New Roman" w:hAnsi="Times New Roman" w:eastAsia="宋体" w:cs="Times New Roman"/>
                <w:b/>
                <w:color w:val="auto"/>
                <w:kern w:val="0"/>
                <w:sz w:val="21"/>
                <w:szCs w:val="21"/>
                <w:lang w:val="en-US" w:eastAsia="zh-CN"/>
              </w:rPr>
              <w:t>《蓬溪</w:t>
            </w:r>
            <w:r>
              <w:rPr>
                <w:rFonts w:hint="default" w:ascii="Times New Roman" w:hAnsi="Times New Roman" w:eastAsia="宋体" w:cs="Times New Roman"/>
                <w:b/>
                <w:color w:val="auto"/>
                <w:kern w:val="0"/>
                <w:sz w:val="21"/>
                <w:szCs w:val="21"/>
                <w:lang w:val="en-US" w:eastAsia="zh-CN"/>
              </w:rPr>
              <w:t>县金桥工业港规划修编（暨四川蓬溪经济开发区（金桥片区）规划）环境影响评价报告书》</w:t>
            </w:r>
            <w:r>
              <w:rPr>
                <w:rFonts w:hint="eastAsia" w:ascii="Times New Roman" w:hAnsi="Times New Roman" w:eastAsia="宋体" w:cs="Times New Roman"/>
                <w:b/>
                <w:color w:val="auto"/>
                <w:kern w:val="0"/>
                <w:sz w:val="21"/>
                <w:szCs w:val="21"/>
                <w:lang w:val="en-US" w:eastAsia="zh-CN"/>
              </w:rPr>
              <w:t>及审查意见</w:t>
            </w:r>
            <w:r>
              <w:rPr>
                <w:rFonts w:hint="eastAsia" w:ascii="Times New Roman" w:hAnsi="Times New Roman" w:eastAsia="宋体" w:cs="Times New Roman"/>
                <w:b/>
                <w:color w:val="auto"/>
                <w:kern w:val="0"/>
                <w:sz w:val="21"/>
                <w:szCs w:val="21"/>
              </w:rPr>
              <w:t>符合性分析</w:t>
            </w:r>
          </w:p>
          <w:tbl>
            <w:tblPr>
              <w:tblStyle w:val="36"/>
              <w:tblW w:w="7616"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593"/>
              <w:gridCol w:w="3487"/>
              <w:gridCol w:w="2454"/>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435" w:type="dxa"/>
                  <w:shd w:val="clear" w:color="auto" w:fill="FFFFFF"/>
                  <w:noWrap w:val="0"/>
                  <w:vAlign w:val="center"/>
                </w:tcPr>
                <w:p>
                  <w:pPr>
                    <w:widowControl/>
                    <w:jc w:val="center"/>
                    <w:textAlignment w:val="center"/>
                    <w:rPr>
                      <w:rFonts w:eastAsia="宋体"/>
                      <w:b/>
                      <w:bCs/>
                      <w:color w:val="auto"/>
                      <w:kern w:val="0"/>
                      <w:szCs w:val="21"/>
                      <w:lang w:bidi="ar"/>
                    </w:rPr>
                  </w:pPr>
                  <w:r>
                    <w:rPr>
                      <w:rFonts w:eastAsia="宋体"/>
                      <w:b/>
                      <w:bCs/>
                      <w:color w:val="auto"/>
                      <w:kern w:val="0"/>
                      <w:szCs w:val="21"/>
                      <w:lang w:bidi="ar"/>
                    </w:rPr>
                    <w:t>序</w:t>
                  </w:r>
                </w:p>
                <w:p>
                  <w:pPr>
                    <w:widowControl/>
                    <w:jc w:val="center"/>
                    <w:textAlignment w:val="center"/>
                    <w:rPr>
                      <w:rFonts w:eastAsia="宋体"/>
                      <w:b/>
                      <w:bCs/>
                      <w:color w:val="auto"/>
                      <w:szCs w:val="21"/>
                    </w:rPr>
                  </w:pPr>
                  <w:r>
                    <w:rPr>
                      <w:rFonts w:eastAsia="宋体"/>
                      <w:b/>
                      <w:bCs/>
                      <w:color w:val="auto"/>
                      <w:kern w:val="0"/>
                      <w:szCs w:val="21"/>
                      <w:lang w:bidi="ar"/>
                    </w:rPr>
                    <w:t>号</w:t>
                  </w:r>
                </w:p>
              </w:tc>
              <w:tc>
                <w:tcPr>
                  <w:tcW w:w="4080" w:type="dxa"/>
                  <w:gridSpan w:val="2"/>
                  <w:shd w:val="clear" w:color="auto" w:fill="FFFFFF"/>
                  <w:noWrap w:val="0"/>
                  <w:vAlign w:val="center"/>
                </w:tcPr>
                <w:p>
                  <w:pPr>
                    <w:widowControl/>
                    <w:jc w:val="center"/>
                    <w:textAlignment w:val="center"/>
                    <w:rPr>
                      <w:rFonts w:eastAsia="宋体"/>
                      <w:b/>
                      <w:bCs/>
                      <w:color w:val="auto"/>
                      <w:szCs w:val="21"/>
                    </w:rPr>
                  </w:pPr>
                  <w:r>
                    <w:rPr>
                      <w:rFonts w:eastAsia="宋体"/>
                      <w:b/>
                      <w:bCs/>
                      <w:color w:val="auto"/>
                      <w:kern w:val="0"/>
                      <w:szCs w:val="21"/>
                      <w:lang w:bidi="ar"/>
                    </w:rPr>
                    <w:t>规划环评及审查意见要求</w:t>
                  </w:r>
                </w:p>
              </w:tc>
              <w:tc>
                <w:tcPr>
                  <w:tcW w:w="2454" w:type="dxa"/>
                  <w:shd w:val="clear" w:color="auto" w:fill="FFFFFF"/>
                  <w:noWrap w:val="0"/>
                  <w:vAlign w:val="center"/>
                </w:tcPr>
                <w:p>
                  <w:pPr>
                    <w:widowControl/>
                    <w:jc w:val="center"/>
                    <w:textAlignment w:val="center"/>
                    <w:rPr>
                      <w:rFonts w:eastAsia="宋体"/>
                      <w:b/>
                      <w:bCs/>
                      <w:color w:val="auto"/>
                      <w:szCs w:val="21"/>
                    </w:rPr>
                  </w:pPr>
                  <w:r>
                    <w:rPr>
                      <w:rFonts w:eastAsia="宋体"/>
                      <w:b/>
                      <w:bCs/>
                      <w:color w:val="auto"/>
                      <w:kern w:val="0"/>
                      <w:szCs w:val="21"/>
                      <w:lang w:bidi="ar"/>
                    </w:rPr>
                    <w:t>本项目情况</w:t>
                  </w:r>
                </w:p>
              </w:tc>
              <w:tc>
                <w:tcPr>
                  <w:tcW w:w="647" w:type="dxa"/>
                  <w:shd w:val="clear" w:color="auto" w:fill="FFFFFF"/>
                  <w:noWrap w:val="0"/>
                  <w:vAlign w:val="center"/>
                </w:tcPr>
                <w:p>
                  <w:pPr>
                    <w:widowControl/>
                    <w:jc w:val="center"/>
                    <w:textAlignment w:val="center"/>
                    <w:rPr>
                      <w:rFonts w:eastAsia="宋体"/>
                      <w:b/>
                      <w:bCs/>
                      <w:color w:val="auto"/>
                      <w:szCs w:val="21"/>
                    </w:rPr>
                  </w:pPr>
                  <w:r>
                    <w:rPr>
                      <w:rFonts w:eastAsia="宋体"/>
                      <w:b/>
                      <w:bCs/>
                      <w:color w:val="auto"/>
                      <w:kern w:val="0"/>
                      <w:szCs w:val="21"/>
                      <w:lang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1" w:hRule="atLeast"/>
              </w:trPr>
              <w:tc>
                <w:tcPr>
                  <w:tcW w:w="435" w:type="dxa"/>
                  <w:shd w:val="clear" w:color="auto" w:fill="FFFFFF"/>
                  <w:noWrap w:val="0"/>
                  <w:vAlign w:val="center"/>
                </w:tcPr>
                <w:p>
                  <w:pPr>
                    <w:widowControl/>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bidi="ar"/>
                    </w:rPr>
                    <w:t>1</w:t>
                  </w:r>
                </w:p>
              </w:tc>
              <w:tc>
                <w:tcPr>
                  <w:tcW w:w="593" w:type="dxa"/>
                  <w:shd w:val="clear" w:color="auto" w:fill="FFFFFF"/>
                  <w:noWrap w:val="0"/>
                  <w:vAlign w:val="center"/>
                </w:tcPr>
                <w:p>
                  <w:pPr>
                    <w:widowControl/>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bidi="ar"/>
                    </w:rPr>
                    <w:t>产业定位</w:t>
                  </w:r>
                </w:p>
              </w:tc>
              <w:tc>
                <w:tcPr>
                  <w:tcW w:w="3487" w:type="dxa"/>
                  <w:shd w:val="clear" w:color="auto" w:fill="FFFFFF"/>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val="en-US" w:eastAsia="zh-CN" w:bidi="ar"/>
                    </w:rPr>
                    <w:t>食品饮料、机电制造、精细化工</w:t>
                  </w:r>
                </w:p>
              </w:tc>
              <w:tc>
                <w:tcPr>
                  <w:tcW w:w="2454" w:type="dxa"/>
                  <w:shd w:val="clear" w:color="auto" w:fill="FFFFFF"/>
                  <w:noWrap w:val="0"/>
                  <w:vAlign w:val="center"/>
                </w:tcPr>
                <w:p>
                  <w:pPr>
                    <w:widowControl/>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2"/>
                      <w:sz w:val="21"/>
                      <w:szCs w:val="21"/>
                      <w:lang w:val="en-US" w:eastAsia="zh-CN" w:bidi="ar-SA"/>
                    </w:rPr>
                    <w:t>本项目</w:t>
                  </w:r>
                  <w:r>
                    <w:rPr>
                      <w:rFonts w:hint="eastAsia" w:ascii="Times New Roman" w:hAnsi="Times New Roman" w:eastAsia="宋体" w:cs="Times New Roman"/>
                      <w:b w:val="0"/>
                      <w:bCs w:val="0"/>
                      <w:color w:val="auto"/>
                      <w:kern w:val="2"/>
                      <w:sz w:val="21"/>
                      <w:szCs w:val="21"/>
                      <w:lang w:val="en-US" w:eastAsia="zh-CN" w:bidi="ar-SA"/>
                    </w:rPr>
                    <w:t>主要从事超高纯度柔性石墨纸、高性能石墨导热膜及导电石墨烯粉体中试探索及技术验证工作，为石墨及碳素制品制造</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属于</w:t>
                  </w:r>
                  <w:r>
                    <w:rPr>
                      <w:rFonts w:hint="default" w:ascii="Times New Roman" w:hAnsi="Times New Roman" w:eastAsia="宋体" w:cs="Times New Roman"/>
                      <w:b w:val="0"/>
                      <w:bCs w:val="0"/>
                      <w:color w:val="auto"/>
                      <w:kern w:val="2"/>
                      <w:sz w:val="21"/>
                      <w:szCs w:val="21"/>
                      <w:lang w:val="en-US" w:eastAsia="zh-CN" w:bidi="ar-SA"/>
                    </w:rPr>
                    <w:t>非金属矿物制品业，</w:t>
                  </w:r>
                  <w:r>
                    <w:rPr>
                      <w:rFonts w:hint="default" w:ascii="Times New Roman" w:hAnsi="Times New Roman" w:eastAsia="宋体" w:cs="Times New Roman"/>
                      <w:b w:val="0"/>
                      <w:bCs w:val="0"/>
                      <w:color w:val="auto"/>
                      <w:sz w:val="21"/>
                      <w:szCs w:val="21"/>
                      <w:lang w:eastAsia="zh-CN"/>
                    </w:rPr>
                    <w:t>与园区</w:t>
                  </w:r>
                  <w:r>
                    <w:rPr>
                      <w:rFonts w:hint="default" w:ascii="Times New Roman" w:hAnsi="Times New Roman" w:eastAsia="宋体" w:cs="Times New Roman"/>
                      <w:b w:val="0"/>
                      <w:bCs w:val="0"/>
                      <w:color w:val="auto"/>
                      <w:sz w:val="21"/>
                      <w:szCs w:val="21"/>
                    </w:rPr>
                    <w:t>主导发展</w:t>
                  </w:r>
                  <w:r>
                    <w:rPr>
                      <w:rFonts w:hint="default" w:ascii="Times New Roman" w:hAnsi="Times New Roman" w:eastAsia="宋体" w:cs="Times New Roman"/>
                      <w:b w:val="0"/>
                      <w:bCs w:val="0"/>
                      <w:color w:val="auto"/>
                      <w:sz w:val="21"/>
                      <w:szCs w:val="21"/>
                      <w:lang w:eastAsia="zh-CN"/>
                    </w:rPr>
                    <w:t>产业</w:t>
                  </w:r>
                  <w:r>
                    <w:rPr>
                      <w:rFonts w:hint="default" w:ascii="Times New Roman" w:hAnsi="Times New Roman" w:eastAsia="宋体" w:cs="Times New Roman"/>
                      <w:b w:val="0"/>
                      <w:bCs w:val="0"/>
                      <w:color w:val="auto"/>
                      <w:sz w:val="21"/>
                      <w:szCs w:val="21"/>
                      <w:lang w:val="en-US" w:eastAsia="zh-CN"/>
                    </w:rPr>
                    <w:t>不冲突</w:t>
                  </w:r>
                </w:p>
              </w:tc>
              <w:tc>
                <w:tcPr>
                  <w:tcW w:w="647" w:type="dxa"/>
                  <w:shd w:val="clear" w:color="auto" w:fill="FFFFFF"/>
                  <w:noWrap w:val="0"/>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1" w:hRule="atLeast"/>
              </w:trPr>
              <w:tc>
                <w:tcPr>
                  <w:tcW w:w="435" w:type="dxa"/>
                  <w:shd w:val="clear" w:color="auto" w:fill="FFFFFF"/>
                  <w:noWrap w:val="0"/>
                  <w:vAlign w:val="center"/>
                </w:tcPr>
                <w:p>
                  <w:pPr>
                    <w:widowControl/>
                    <w:jc w:val="center"/>
                    <w:textAlignment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w:t>
                  </w:r>
                </w:p>
              </w:tc>
              <w:tc>
                <w:tcPr>
                  <w:tcW w:w="593" w:type="dxa"/>
                  <w:shd w:val="clear" w:color="auto" w:fill="FFFFFF"/>
                  <w:noWrap w:val="0"/>
                  <w:vAlign w:val="center"/>
                </w:tcPr>
                <w:p>
                  <w:pPr>
                    <w:spacing w:line="240" w:lineRule="auto"/>
                    <w:ind w:firstLine="0" w:firstLineChars="0"/>
                    <w:jc w:val="center"/>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sz w:val="21"/>
                      <w:szCs w:val="21"/>
                    </w:rPr>
                    <w:t>生态环境准入</w:t>
                  </w:r>
                  <w:r>
                    <w:rPr>
                      <w:rFonts w:hint="default" w:ascii="Times New Roman" w:hAnsi="Times New Roman" w:eastAsia="宋体" w:cs="Times New Roman"/>
                      <w:b w:val="0"/>
                      <w:bCs w:val="0"/>
                      <w:color w:val="auto"/>
                      <w:sz w:val="21"/>
                      <w:szCs w:val="21"/>
                      <w:lang w:eastAsia="zh-CN"/>
                    </w:rPr>
                    <w:t>清单</w:t>
                  </w:r>
                </w:p>
              </w:tc>
              <w:tc>
                <w:tcPr>
                  <w:tcW w:w="3487" w:type="dxa"/>
                  <w:shd w:val="clear" w:color="auto" w:fill="FFFFFF"/>
                  <w:noWrap w:val="0"/>
                  <w:vAlign w:val="center"/>
                </w:tcPr>
                <w:p>
                  <w:pPr>
                    <w:spacing w:line="240" w:lineRule="auto"/>
                    <w:ind w:firstLine="0" w:firstLineChars="0"/>
                    <w:jc w:val="both"/>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eastAsia="zh-CN"/>
                    </w:rPr>
                    <w:t>）禁止引入不符合法律法规、有关政策及规划的项目；</w:t>
                  </w:r>
                </w:p>
                <w:p>
                  <w:pPr>
                    <w:spacing w:line="240" w:lineRule="auto"/>
                    <w:ind w:firstLine="0" w:firstLineChars="0"/>
                    <w:jc w:val="both"/>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eastAsia="zh-CN"/>
                    </w:rPr>
                    <w:t>）禁止引入不符合产业政策和准入条件的项目；</w:t>
                  </w:r>
                </w:p>
                <w:p>
                  <w:pPr>
                    <w:spacing w:line="240" w:lineRule="auto"/>
                    <w:ind w:firstLine="0" w:firstLineChars="0"/>
                    <w:jc w:val="both"/>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禁止引入主导产业以外的列入《环境保护综合名录（2017版）》中确定的“高污染、高环境风险”项目</w:t>
                  </w:r>
                  <w:r>
                    <w:rPr>
                      <w:rFonts w:hint="default" w:ascii="Times New Roman" w:hAnsi="Times New Roman" w:eastAsia="宋体" w:cs="Times New Roman"/>
                      <w:b w:val="0"/>
                      <w:bCs w:val="0"/>
                      <w:color w:val="auto"/>
                      <w:sz w:val="21"/>
                      <w:szCs w:val="21"/>
                      <w:lang w:eastAsia="zh-CN"/>
                    </w:rPr>
                    <w:t>；</w:t>
                  </w:r>
                </w:p>
                <w:p>
                  <w:pPr>
                    <w:spacing w:line="240" w:lineRule="auto"/>
                    <w:ind w:firstLine="0" w:firstLineChars="0"/>
                    <w:jc w:val="both"/>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禁止引入按照《建设项目环境风险评价技术导则》确定环境风险为Ⅳ级及以上的项目</w:t>
                  </w:r>
                </w:p>
              </w:tc>
              <w:tc>
                <w:tcPr>
                  <w:tcW w:w="2454" w:type="dxa"/>
                  <w:shd w:val="clear" w:color="auto" w:fill="FFFFFF"/>
                  <w:noWrap w:val="0"/>
                  <w:vAlign w:val="center"/>
                </w:tcPr>
                <w:p>
                  <w:pPr>
                    <w:widowControl/>
                    <w:jc w:val="both"/>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1</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2</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本项目属于《产业结构调整指导目录（20</w:t>
                  </w:r>
                  <w:r>
                    <w:rPr>
                      <w:rFonts w:hint="default" w:ascii="Times New Roman" w:hAnsi="Times New Roman" w:eastAsia="宋体" w:cs="Times New Roman"/>
                      <w:b w:val="0"/>
                      <w:bCs w:val="0"/>
                      <w:color w:val="auto"/>
                      <w:sz w:val="21"/>
                      <w:szCs w:val="21"/>
                      <w:lang w:val="en-US" w:eastAsia="zh-CN"/>
                    </w:rPr>
                    <w:t>24</w:t>
                  </w:r>
                  <w:r>
                    <w:rPr>
                      <w:rFonts w:hint="default" w:ascii="Times New Roman" w:hAnsi="Times New Roman" w:eastAsia="宋体" w:cs="Times New Roman"/>
                      <w:b w:val="0"/>
                      <w:bCs w:val="0"/>
                      <w:color w:val="auto"/>
                      <w:sz w:val="21"/>
                      <w:szCs w:val="21"/>
                      <w:lang w:eastAsia="zh-CN"/>
                    </w:rPr>
                    <w:t>年本）》中</w:t>
                  </w:r>
                  <w:r>
                    <w:rPr>
                      <w:rFonts w:hint="eastAsia" w:ascii="Times New Roman" w:hAnsi="Times New Roman" w:eastAsia="宋体" w:cs="Times New Roman"/>
                      <w:b w:val="0"/>
                      <w:bCs w:val="0"/>
                      <w:color w:val="auto"/>
                      <w:sz w:val="21"/>
                      <w:szCs w:val="21"/>
                      <w:lang w:val="en-US" w:eastAsia="zh-CN"/>
                    </w:rPr>
                    <w:t>鼓励类</w:t>
                  </w:r>
                  <w:r>
                    <w:rPr>
                      <w:rFonts w:hint="default" w:ascii="Times New Roman" w:hAnsi="Times New Roman" w:eastAsia="宋体" w:cs="Times New Roman"/>
                      <w:b w:val="0"/>
                      <w:bCs w:val="0"/>
                      <w:color w:val="auto"/>
                      <w:sz w:val="21"/>
                      <w:szCs w:val="21"/>
                      <w:lang w:eastAsia="zh-CN"/>
                    </w:rPr>
                    <w:t>项目，满足行业准入条件的项目，符合园区产业定位；</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3</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本项目不属于</w:t>
                  </w:r>
                  <w:r>
                    <w:rPr>
                      <w:rFonts w:hint="default" w:ascii="Times New Roman" w:hAnsi="Times New Roman" w:eastAsia="宋体" w:cs="Times New Roman"/>
                      <w:b w:val="0"/>
                      <w:bCs w:val="0"/>
                      <w:color w:val="auto"/>
                      <w:sz w:val="21"/>
                      <w:szCs w:val="21"/>
                      <w:lang w:val="en-US" w:eastAsia="zh-CN"/>
                    </w:rPr>
                    <w:t>主导产业以外的列入《环境保护综合名录（2017版）》中确定的“高污染、高环境风险”项目</w:t>
                  </w:r>
                  <w:r>
                    <w:rPr>
                      <w:rFonts w:hint="eastAsia" w:ascii="Times New Roman" w:hAnsi="Times New Roman" w:eastAsia="宋体" w:cs="Times New Roman"/>
                      <w:b w:val="0"/>
                      <w:bCs w:val="0"/>
                      <w:color w:val="auto"/>
                      <w:sz w:val="21"/>
                      <w:szCs w:val="21"/>
                      <w:lang w:val="en-US" w:eastAsia="zh-CN"/>
                    </w:rPr>
                    <w:t>；（4）本项目不属于</w:t>
                  </w:r>
                  <w:r>
                    <w:rPr>
                      <w:rFonts w:hint="default" w:ascii="Times New Roman" w:hAnsi="Times New Roman" w:eastAsia="宋体" w:cs="Times New Roman"/>
                      <w:b w:val="0"/>
                      <w:bCs w:val="0"/>
                      <w:color w:val="auto"/>
                      <w:sz w:val="21"/>
                      <w:szCs w:val="21"/>
                      <w:lang w:val="en-US" w:eastAsia="zh-CN"/>
                    </w:rPr>
                    <w:t>《建设项目环境风险评价技术导则》确定环境风险为Ⅳ级及以上的项目</w:t>
                  </w:r>
                </w:p>
              </w:tc>
              <w:tc>
                <w:tcPr>
                  <w:tcW w:w="647" w:type="dxa"/>
                  <w:shd w:val="clear" w:color="auto" w:fill="FFFFFF"/>
                  <w:noWrap w:val="0"/>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符合</w:t>
                  </w:r>
                </w:p>
              </w:tc>
            </w:tr>
          </w:tbl>
          <w:p>
            <w:pPr>
              <w:pStyle w:val="121"/>
              <w:spacing w:line="360" w:lineRule="auto"/>
              <w:ind w:firstLine="480" w:firstLineChars="200"/>
              <w:jc w:val="both"/>
              <w:rPr>
                <w:color w:val="auto"/>
                <w:kern w:val="0"/>
                <w:lang w:bidi="ar"/>
              </w:rPr>
            </w:pPr>
            <w:r>
              <w:rPr>
                <w:rFonts w:hint="default" w:ascii="Times New Roman" w:hAnsi="Times New Roman" w:eastAsia="宋体" w:cs="Times New Roman"/>
                <w:b w:val="0"/>
                <w:bCs w:val="0"/>
                <w:color w:val="auto"/>
                <w:kern w:val="2"/>
                <w:sz w:val="24"/>
                <w:szCs w:val="24"/>
                <w:lang w:val="en-US" w:eastAsia="zh-CN" w:bidi="ar-SA"/>
              </w:rPr>
              <w:t>本项目</w:t>
            </w:r>
            <w:r>
              <w:rPr>
                <w:rFonts w:hint="eastAsia" w:ascii="Times New Roman" w:hAnsi="Times New Roman" w:eastAsia="宋体" w:cs="Times New Roman"/>
                <w:b w:val="0"/>
                <w:bCs w:val="0"/>
                <w:color w:val="auto"/>
                <w:kern w:val="2"/>
                <w:sz w:val="24"/>
                <w:szCs w:val="24"/>
                <w:lang w:val="en-US" w:eastAsia="zh-CN" w:bidi="ar-SA"/>
              </w:rPr>
              <w:t>主要从事超高纯度柔性石墨纸、高性能石墨导热膜及导电石墨烯粉体中试探索及技术验证工作，为石墨及碳素制品制造</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属于</w:t>
            </w:r>
            <w:r>
              <w:rPr>
                <w:rFonts w:hint="default" w:ascii="Times New Roman" w:hAnsi="Times New Roman" w:eastAsia="宋体" w:cs="Times New Roman"/>
                <w:b w:val="0"/>
                <w:bCs w:val="0"/>
                <w:color w:val="auto"/>
                <w:kern w:val="2"/>
                <w:sz w:val="24"/>
                <w:szCs w:val="24"/>
                <w:lang w:val="en-US" w:eastAsia="zh-CN" w:bidi="ar-SA"/>
              </w:rPr>
              <w:t>非金属矿物制品业</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符合蓬溪县金桥工业港规划修编（暨四川蓬溪经济开发区（金桥片区）规划要求</w:t>
            </w:r>
            <w:r>
              <w:rPr>
                <w:rFonts w:hint="eastAsia" w:ascii="Times New Roman" w:hAnsi="Times New Roman" w:eastAsia="宋体" w:cs="Times New Roman"/>
                <w:b w:val="0"/>
                <w:bCs w:val="0"/>
                <w:color w:val="auto"/>
                <w:sz w:val="24"/>
                <w:lang w:val="en-US" w:eastAsia="zh-CN"/>
              </w:rPr>
              <w:t>，与</w:t>
            </w:r>
            <w:r>
              <w:rPr>
                <w:rFonts w:hint="default" w:ascii="Times New Roman" w:hAnsi="Times New Roman" w:eastAsia="宋体" w:cs="Times New Roman"/>
                <w:b w:val="0"/>
                <w:bCs w:val="0"/>
                <w:color w:val="auto"/>
                <w:sz w:val="24"/>
                <w:lang w:val="en-US" w:eastAsia="zh-CN"/>
              </w:rPr>
              <w:t>园区产业定位</w:t>
            </w:r>
            <w:r>
              <w:rPr>
                <w:rFonts w:hint="eastAsia" w:ascii="Times New Roman" w:hAnsi="Times New Roman" w:eastAsia="宋体" w:cs="Times New Roman"/>
                <w:b w:val="0"/>
                <w:bCs w:val="0"/>
                <w:color w:val="auto"/>
                <w:sz w:val="24"/>
                <w:lang w:val="en-US" w:eastAsia="zh-CN"/>
              </w:rPr>
              <w:t>不冲突，</w:t>
            </w:r>
            <w:r>
              <w:rPr>
                <w:rFonts w:hint="default" w:ascii="Times New Roman" w:hAnsi="Times New Roman" w:eastAsia="宋体" w:cs="Times New Roman"/>
                <w:b w:val="0"/>
                <w:bCs w:val="0"/>
                <w:color w:val="auto"/>
                <w:sz w:val="24"/>
                <w:lang w:val="en-US" w:eastAsia="zh-CN"/>
              </w:rPr>
              <w:t>符合</w:t>
            </w:r>
            <w:r>
              <w:rPr>
                <w:rFonts w:hint="eastAsia" w:ascii="Times New Roman" w:hAnsi="Times New Roman" w:eastAsia="宋体" w:cs="Times New Roman"/>
                <w:b w:val="0"/>
                <w:bCs w:val="0"/>
                <w:color w:val="auto"/>
                <w:sz w:val="24"/>
                <w:lang w:val="en-US" w:eastAsia="zh-CN"/>
              </w:rPr>
              <w:t>园区准入清单要求。</w:t>
            </w:r>
            <w:r>
              <w:rPr>
                <w:rFonts w:hint="default" w:ascii="Times New Roman" w:hAnsi="Times New Roman" w:eastAsia="宋体" w:cs="Times New Roman"/>
                <w:color w:val="auto"/>
                <w:sz w:val="24"/>
                <w:lang w:val="en-US" w:eastAsia="zh-CN"/>
              </w:rPr>
              <w:t>项目运营期产生主要污染物为废水、废气、噪声</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通过采取相关防治措施后能够实现达标排放。</w:t>
            </w:r>
            <w:r>
              <w:rPr>
                <w:rFonts w:hint="eastAsia" w:ascii="Times New Roman" w:hAnsi="Times New Roman" w:eastAsia="宋体" w:cs="Times New Roman"/>
                <w:color w:val="auto"/>
                <w:sz w:val="24"/>
                <w:lang w:val="en-US" w:eastAsia="zh-CN"/>
              </w:rPr>
              <w:t>同时，项目经四川蓬溪经济开发区管理委员会出具入园函，同意其入园。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454" w:hRule="atLeast"/>
          <w:jc w:val="center"/>
        </w:trPr>
        <w:tc>
          <w:tcPr>
            <w:tcW w:w="1147" w:type="dxa"/>
            <w:noWrap w:val="0"/>
            <w:vAlign w:val="center"/>
          </w:tcPr>
          <w:p>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 w:val="24"/>
              </w:rPr>
              <w:t>其他符合性分析</w:t>
            </w:r>
          </w:p>
        </w:tc>
        <w:tc>
          <w:tcPr>
            <w:tcW w:w="7723" w:type="dxa"/>
            <w:gridSpan w:val="5"/>
            <w:noWrap w:val="0"/>
            <w:vAlign w:val="center"/>
          </w:tcPr>
          <w:p>
            <w:pPr>
              <w:widowControl/>
              <w:spacing w:line="360" w:lineRule="auto"/>
              <w:ind w:firstLine="482" w:firstLineChars="200"/>
              <w:rPr>
                <w:color w:val="auto"/>
                <w:sz w:val="24"/>
              </w:rPr>
            </w:pPr>
            <w:r>
              <w:rPr>
                <w:b/>
                <w:bCs/>
                <w:color w:val="auto"/>
                <w:kern w:val="0"/>
                <w:sz w:val="24"/>
                <w:lang w:bidi="ar"/>
              </w:rPr>
              <w:t>1、产业政策符合性分析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（1）</w:t>
            </w:r>
            <w:r>
              <w:rPr>
                <w:rFonts w:hint="default" w:ascii="Times New Roman" w:hAnsi="Times New Roman" w:eastAsia="宋体" w:cs="Times New Roman"/>
                <w:b w:val="0"/>
                <w:bCs w:val="0"/>
                <w:color w:val="auto"/>
                <w:kern w:val="2"/>
                <w:sz w:val="24"/>
                <w:szCs w:val="24"/>
                <w:lang w:val="en-US" w:eastAsia="zh-CN" w:bidi="ar-SA"/>
              </w:rPr>
              <w:t>本项目</w:t>
            </w:r>
            <w:r>
              <w:rPr>
                <w:rFonts w:hint="eastAsia" w:ascii="Times New Roman" w:hAnsi="Times New Roman" w:eastAsia="宋体" w:cs="Times New Roman"/>
                <w:b w:val="0"/>
                <w:bCs w:val="0"/>
                <w:color w:val="auto"/>
                <w:kern w:val="2"/>
                <w:sz w:val="24"/>
                <w:szCs w:val="24"/>
                <w:lang w:val="en-US" w:eastAsia="zh-CN" w:bidi="ar-SA"/>
              </w:rPr>
              <w:t>主要从事超高纯度柔性石墨纸、高性能石墨导热膜及导电石墨烯粉体中试探索及技术验证工作，为石墨及碳素制品制造</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属于</w:t>
            </w:r>
            <w:r>
              <w:rPr>
                <w:rFonts w:hint="default" w:ascii="Times New Roman" w:hAnsi="Times New Roman" w:eastAsia="宋体" w:cs="Times New Roman"/>
                <w:b w:val="0"/>
                <w:bCs w:val="0"/>
                <w:color w:val="auto"/>
                <w:kern w:val="2"/>
                <w:sz w:val="24"/>
                <w:szCs w:val="24"/>
                <w:lang w:val="en-US" w:eastAsia="zh-CN" w:bidi="ar-SA"/>
              </w:rPr>
              <w:t>非金属矿物制品业</w:t>
            </w:r>
            <w:r>
              <w:rPr>
                <w:rFonts w:hint="default" w:ascii="Times New Roman" w:hAnsi="Times New Roman" w:eastAsia="宋体" w:cs="Times New Roman"/>
                <w:bCs/>
                <w:color w:val="auto"/>
                <w:kern w:val="2"/>
                <w:sz w:val="24"/>
                <w:szCs w:val="24"/>
                <w:lang w:val="en-US" w:eastAsia="zh-CN" w:bidi="ar-SA"/>
              </w:rPr>
              <w:t>，根据</w:t>
            </w:r>
            <w:r>
              <w:rPr>
                <w:rFonts w:hint="default" w:ascii="Times New Roman" w:hAnsi="Times New Roman" w:eastAsia="宋体" w:cs="Times New Roman"/>
                <w:b w:val="0"/>
                <w:bCs w:val="0"/>
                <w:color w:val="auto"/>
                <w:kern w:val="2"/>
                <w:sz w:val="24"/>
                <w:szCs w:val="24"/>
                <w:lang w:val="en-US" w:eastAsia="zh-CN" w:bidi="ar-SA"/>
              </w:rPr>
              <w:t>《国民经济行业分类》（GB/T 4754-2017）（2019修改），本项目属于“</w:t>
            </w:r>
            <w:r>
              <w:rPr>
                <w:rFonts w:hint="eastAsia" w:ascii="Times New Roman" w:hAnsi="Times New Roman" w:eastAsia="宋体" w:cs="Times New Roman"/>
                <w:b w:val="0"/>
                <w:bCs w:val="0"/>
                <w:color w:val="auto"/>
                <w:kern w:val="2"/>
                <w:sz w:val="24"/>
                <w:szCs w:val="24"/>
                <w:lang w:val="en-US" w:eastAsia="zh-CN" w:bidi="ar-SA"/>
              </w:rPr>
              <w:t>C3091石墨及碳素制品制造”。</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根据《产业结构调整指导目录（2024年本）》，本项目属于第一类“鼓励类”第“十二、建材”中的第7项“</w:t>
            </w:r>
            <w:r>
              <w:rPr>
                <w:rFonts w:hint="eastAsia" w:ascii="Times New Roman" w:hAnsi="Times New Roman" w:eastAsia="宋体" w:cs="Times New Roman"/>
                <w:b/>
                <w:bCs/>
                <w:color w:val="auto"/>
                <w:kern w:val="2"/>
                <w:sz w:val="24"/>
                <w:szCs w:val="24"/>
                <w:lang w:val="en-US" w:eastAsia="zh-CN" w:bidi="ar-SA"/>
              </w:rPr>
              <w:t>石墨烯材料</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氢燃料电池石墨双极板、高性能天然石墨负极材料、核级石墨生产及应用开发</w:t>
            </w:r>
            <w:r>
              <w:rPr>
                <w:rFonts w:hint="eastAsia" w:ascii="Times New Roman" w:hAnsi="Times New Roman" w:eastAsia="宋体" w:cs="Times New Roman"/>
                <w:b w:val="0"/>
                <w:bCs w:val="0"/>
                <w:color w:val="auto"/>
                <w:kern w:val="2"/>
                <w:sz w:val="24"/>
                <w:szCs w:val="24"/>
                <w:lang w:val="en-US" w:eastAsia="zh-CN" w:bidi="ar-SA"/>
              </w:rPr>
              <w:t>”。</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eastAsia" w:cs="Times New Roman"/>
                <w:b w:val="0"/>
                <w:bCs w:val="0"/>
                <w:color w:val="auto"/>
                <w:sz w:val="24"/>
                <w:szCs w:val="24"/>
                <w:lang w:val="en-US" w:eastAsia="zh-CN"/>
              </w:rPr>
              <w:t>本项目属于</w:t>
            </w:r>
            <w:r>
              <w:rPr>
                <w:rFonts w:hint="eastAsia" w:ascii="Times New Roman" w:hAnsi="Times New Roman" w:eastAsia="宋体" w:cs="Times New Roman"/>
                <w:bCs/>
                <w:color w:val="auto"/>
                <w:kern w:val="2"/>
                <w:sz w:val="24"/>
                <w:szCs w:val="24"/>
                <w:lang w:val="en-US" w:eastAsia="zh-CN" w:bidi="ar-SA"/>
              </w:rPr>
              <w:t>C3091石墨及碳素制品制造</w:t>
            </w:r>
            <w:r>
              <w:rPr>
                <w:rFonts w:hint="eastAsia" w:cs="Times New Roman"/>
                <w:b w:val="0"/>
                <w:bCs w:val="0"/>
                <w:color w:val="auto"/>
                <w:sz w:val="24"/>
                <w:szCs w:val="24"/>
                <w:lang w:val="en-US" w:eastAsia="zh-CN"/>
              </w:rPr>
              <w:t>；根据《四川省“两高”项目管理目录》（川发改环资函〔2024〕259号），本项目不属于四川省“两高”项目</w:t>
            </w:r>
            <w:r>
              <w:rPr>
                <w:rFonts w:hint="default" w:ascii="Times New Roman" w:hAnsi="Times New Roman" w:eastAsia="宋体" w:cs="Times New Roman"/>
                <w:color w:val="auto"/>
                <w:sz w:val="24"/>
                <w:szCs w:val="24"/>
                <w:lang w:val="en-US" w:eastAsia="zh-CN"/>
              </w:rPr>
              <w:t>。</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4"/>
                <w:lang w:val="en-US" w:eastAsia="zh-CN" w:bidi="ar"/>
              </w:rPr>
              <w:t>3）</w:t>
            </w:r>
            <w:r>
              <w:rPr>
                <w:rFonts w:ascii="Times New Roman" w:hAnsi="Times New Roman" w:eastAsia="宋体" w:cs="Times New Roman"/>
                <w:color w:val="auto"/>
                <w:kern w:val="0"/>
                <w:sz w:val="24"/>
                <w:szCs w:val="24"/>
                <w:lang w:bidi="ar"/>
              </w:rPr>
              <w:t>根据《企业投资项目核准和备案管理条例》、《四川省企业投资项目核准和备案管理办法》及相关规定，</w:t>
            </w:r>
            <w:r>
              <w:rPr>
                <w:rFonts w:hint="eastAsia" w:ascii="Times New Roman" w:hAnsi="Times New Roman" w:eastAsia="宋体" w:cs="Times New Roman"/>
                <w:color w:val="auto"/>
                <w:kern w:val="0"/>
                <w:sz w:val="24"/>
                <w:szCs w:val="24"/>
                <w:lang w:val="en-US" w:eastAsia="zh-CN" w:bidi="ar"/>
              </w:rPr>
              <w:t>四川翔展振华新材料科技有限公司</w:t>
            </w:r>
            <w:r>
              <w:rPr>
                <w:rFonts w:ascii="Times New Roman" w:hAnsi="Times New Roman" w:eastAsia="宋体" w:cs="Times New Roman"/>
                <w:color w:val="auto"/>
                <w:kern w:val="0"/>
                <w:sz w:val="24"/>
                <w:szCs w:val="24"/>
                <w:lang w:bidi="ar"/>
              </w:rPr>
              <w:t>“</w:t>
            </w:r>
            <w:r>
              <w:rPr>
                <w:rFonts w:hint="eastAsia" w:ascii="Times New Roman" w:hAnsi="Times New Roman" w:eastAsia="宋体" w:cs="Times New Roman"/>
                <w:color w:val="auto"/>
                <w:kern w:val="0"/>
                <w:sz w:val="24"/>
                <w:szCs w:val="24"/>
                <w:lang w:eastAsia="zh-CN" w:bidi="ar"/>
              </w:rPr>
              <w:t>翔展振华 5000 吨天然石墨深加工及应用制品生产项目一期项目</w:t>
            </w:r>
            <w:r>
              <w:rPr>
                <w:rFonts w:ascii="Times New Roman" w:hAnsi="Times New Roman" w:eastAsia="宋体" w:cs="Times New Roman"/>
                <w:color w:val="auto"/>
                <w:kern w:val="0"/>
                <w:sz w:val="24"/>
                <w:szCs w:val="24"/>
                <w:lang w:bidi="ar"/>
              </w:rPr>
              <w:t>”于202</w:t>
            </w:r>
            <w:r>
              <w:rPr>
                <w:rFonts w:hint="eastAsia" w:ascii="Times New Roman" w:hAnsi="Times New Roman" w:eastAsia="宋体" w:cs="Times New Roman"/>
                <w:color w:val="auto"/>
                <w:kern w:val="0"/>
                <w:sz w:val="24"/>
                <w:szCs w:val="24"/>
                <w:lang w:val="en-US" w:eastAsia="zh-CN" w:bidi="ar"/>
              </w:rPr>
              <w:t>5</w:t>
            </w:r>
            <w:r>
              <w:rPr>
                <w:rFonts w:ascii="Times New Roman" w:hAnsi="Times New Roman" w:eastAsia="宋体" w:cs="Times New Roman"/>
                <w:color w:val="auto"/>
                <w:kern w:val="0"/>
                <w:sz w:val="24"/>
                <w:szCs w:val="24"/>
                <w:lang w:bidi="ar"/>
              </w:rPr>
              <w:t>年</w:t>
            </w:r>
            <w:r>
              <w:rPr>
                <w:rFonts w:hint="eastAsia" w:ascii="Times New Roman" w:hAnsi="Times New Roman" w:eastAsia="宋体" w:cs="Times New Roman"/>
                <w:color w:val="auto"/>
                <w:kern w:val="0"/>
                <w:sz w:val="24"/>
                <w:szCs w:val="24"/>
                <w:lang w:val="en-US" w:eastAsia="zh-CN" w:bidi="ar"/>
              </w:rPr>
              <w:t>9</w:t>
            </w:r>
            <w:r>
              <w:rPr>
                <w:rFonts w:ascii="Times New Roman" w:hAnsi="Times New Roman" w:eastAsia="宋体" w:cs="Times New Roman"/>
                <w:color w:val="auto"/>
                <w:kern w:val="0"/>
                <w:sz w:val="24"/>
                <w:szCs w:val="24"/>
                <w:lang w:bidi="ar"/>
              </w:rPr>
              <w:t>月</w:t>
            </w:r>
            <w:r>
              <w:rPr>
                <w:rFonts w:hint="eastAsia" w:ascii="Times New Roman" w:hAnsi="Times New Roman" w:eastAsia="宋体" w:cs="Times New Roman"/>
                <w:color w:val="auto"/>
                <w:kern w:val="0"/>
                <w:sz w:val="24"/>
                <w:szCs w:val="24"/>
                <w:lang w:val="en-US" w:eastAsia="zh-CN" w:bidi="ar"/>
              </w:rPr>
              <w:t>22</w:t>
            </w:r>
            <w:r>
              <w:rPr>
                <w:rFonts w:ascii="Times New Roman" w:hAnsi="Times New Roman" w:eastAsia="宋体" w:cs="Times New Roman"/>
                <w:color w:val="auto"/>
                <w:kern w:val="0"/>
                <w:sz w:val="24"/>
                <w:szCs w:val="24"/>
                <w:lang w:bidi="ar"/>
              </w:rPr>
              <w:t>日取得了</w:t>
            </w:r>
            <w:r>
              <w:rPr>
                <w:rFonts w:hint="eastAsia" w:ascii="Times New Roman" w:hAnsi="Times New Roman" w:eastAsia="宋体" w:cs="Times New Roman"/>
                <w:color w:val="auto"/>
                <w:kern w:val="0"/>
                <w:sz w:val="24"/>
                <w:szCs w:val="24"/>
                <w:lang w:val="en-US" w:eastAsia="zh-CN" w:bidi="ar"/>
              </w:rPr>
              <w:t>蓬溪县行政审批局</w:t>
            </w:r>
            <w:r>
              <w:rPr>
                <w:rFonts w:ascii="Times New Roman" w:hAnsi="Times New Roman" w:eastAsia="宋体" w:cs="Times New Roman"/>
                <w:color w:val="auto"/>
                <w:kern w:val="0"/>
                <w:sz w:val="24"/>
                <w:szCs w:val="24"/>
                <w:lang w:bidi="ar"/>
              </w:rPr>
              <w:t>的备案</w:t>
            </w:r>
            <w:r>
              <w:rPr>
                <w:rFonts w:hint="eastAsia" w:ascii="Times New Roman" w:hAnsi="Times New Roman" w:eastAsia="宋体" w:cs="Times New Roman"/>
                <w:color w:val="auto"/>
                <w:kern w:val="0"/>
                <w:sz w:val="24"/>
                <w:szCs w:val="24"/>
                <w:lang w:bidi="ar"/>
              </w:rPr>
              <w:t>（备案号：</w:t>
            </w:r>
            <w:r>
              <w:rPr>
                <w:rFonts w:ascii="Times New Roman" w:hAnsi="Times New Roman" w:eastAsia="宋体" w:cs="Times New Roman"/>
                <w:color w:val="auto"/>
                <w:kern w:val="0"/>
                <w:sz w:val="24"/>
                <w:szCs w:val="24"/>
                <w:lang w:bidi="ar"/>
              </w:rPr>
              <w:t>川投资备</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2508-510921-99-01-909443</w:t>
            </w:r>
            <w:r>
              <w:rPr>
                <w:rFonts w:ascii="Times New Roman" w:hAnsi="Times New Roman" w:eastAsia="宋体" w:cs="Times New Roman"/>
                <w:color w:val="auto"/>
                <w:kern w:val="0"/>
                <w:sz w:val="24"/>
                <w:szCs w:val="24"/>
                <w:lang w:bidi="ar"/>
              </w:rPr>
              <w:t>】</w:t>
            </w:r>
            <w:r>
              <w:rPr>
                <w:rFonts w:hint="default" w:ascii="Times New Roman" w:hAnsi="Times New Roman" w:eastAsia="宋体" w:cs="Times New Roman"/>
                <w:color w:val="auto"/>
                <w:kern w:val="0"/>
                <w:sz w:val="24"/>
                <w:szCs w:val="24"/>
                <w:lang w:val="en-US" w:eastAsia="zh-CN" w:bidi="ar"/>
              </w:rPr>
              <w:t>FGQB-1106</w:t>
            </w:r>
            <w:r>
              <w:rPr>
                <w:rFonts w:hint="eastAsia" w:ascii="Times New Roman" w:hAnsi="Times New Roman" w:eastAsia="宋体" w:cs="Times New Roman"/>
                <w:color w:val="auto"/>
                <w:kern w:val="0"/>
                <w:sz w:val="24"/>
                <w:szCs w:val="24"/>
                <w:lang w:val="en-US" w:eastAsia="zh-CN" w:bidi="ar"/>
              </w:rPr>
              <w:t>号</w:t>
            </w:r>
            <w:r>
              <w:rPr>
                <w:rFonts w:hint="eastAsia" w:ascii="Times New Roman" w:hAnsi="Times New Roman" w:eastAsia="宋体" w:cs="Times New Roman"/>
                <w:color w:val="auto"/>
                <w:kern w:val="0"/>
                <w:sz w:val="24"/>
                <w:szCs w:val="24"/>
                <w:lang w:bidi="ar"/>
              </w:rPr>
              <w:t>）（见附件）。</w:t>
            </w:r>
          </w:p>
          <w:p>
            <w:pPr>
              <w:widowControl/>
              <w:spacing w:line="360" w:lineRule="auto"/>
              <w:ind w:firstLine="482" w:firstLineChars="200"/>
              <w:rPr>
                <w:b/>
                <w:bCs/>
                <w:color w:val="auto"/>
                <w:sz w:val="24"/>
              </w:rPr>
            </w:pPr>
            <w:r>
              <w:rPr>
                <w:b/>
                <w:bCs/>
                <w:color w:val="auto"/>
                <w:kern w:val="0"/>
                <w:sz w:val="24"/>
                <w:lang w:bidi="ar"/>
              </w:rPr>
              <w:t>因此，本项目的建设符合国家产业政策。</w:t>
            </w:r>
          </w:p>
          <w:p>
            <w:pPr>
              <w:widowControl/>
              <w:spacing w:line="360" w:lineRule="auto"/>
              <w:ind w:firstLine="482" w:firstLineChars="200"/>
              <w:jc w:val="left"/>
              <w:rPr>
                <w:color w:val="auto"/>
                <w:sz w:val="24"/>
              </w:rPr>
            </w:pPr>
            <w:r>
              <w:rPr>
                <w:b/>
                <w:bCs/>
                <w:color w:val="auto"/>
                <w:kern w:val="0"/>
                <w:sz w:val="24"/>
                <w:lang w:bidi="ar"/>
              </w:rPr>
              <w:t>2、土地利用符合性分析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本项目位于</w:t>
            </w:r>
            <w:r>
              <w:rPr>
                <w:rFonts w:hint="default" w:ascii="Times New Roman" w:hAnsi="Times New Roman" w:eastAsia="宋体" w:cs="Times New Roman"/>
                <w:bCs/>
                <w:color w:val="auto"/>
                <w:sz w:val="24"/>
                <w:szCs w:val="24"/>
                <w:lang w:val="en-US" w:eastAsia="zh-CN"/>
              </w:rPr>
              <w:t>四川省遂宁市蓬溪县金桥镇创业四支路</w:t>
            </w:r>
            <w:r>
              <w:rPr>
                <w:rFonts w:hint="eastAsia"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val="en-US" w:eastAsia="zh-CN"/>
              </w:rPr>
              <w:t>号</w:t>
            </w:r>
            <w:r>
              <w:rPr>
                <w:rFonts w:hint="eastAsia" w:ascii="Times New Roman" w:hAnsi="Times New Roman" w:eastAsia="宋体" w:cs="Times New Roman"/>
                <w:bCs/>
                <w:color w:val="auto"/>
                <w:sz w:val="24"/>
                <w:szCs w:val="24"/>
                <w:lang w:val="en-US" w:eastAsia="zh-CN"/>
              </w:rPr>
              <w:t>，根据《</w:t>
            </w:r>
            <w:r>
              <w:rPr>
                <w:rFonts w:hint="default" w:ascii="Times New Roman" w:hAnsi="Times New Roman" w:eastAsia="宋体" w:cs="Times New Roman"/>
                <w:bCs/>
                <w:color w:val="auto"/>
                <w:sz w:val="24"/>
                <w:szCs w:val="24"/>
                <w:lang w:val="en-US" w:eastAsia="zh-CN"/>
              </w:rPr>
              <w:t>蓬溪县金桥工业港规划修编（暨四川蓬溪经济开发区（金桥片区）</w:t>
            </w:r>
            <w:r>
              <w:rPr>
                <w:rFonts w:hint="eastAsia" w:ascii="Times New Roman" w:hAnsi="Times New Roman" w:eastAsia="宋体" w:cs="Times New Roman"/>
                <w:bCs/>
                <w:color w:val="auto"/>
                <w:sz w:val="24"/>
                <w:szCs w:val="24"/>
                <w:lang w:val="en-US" w:eastAsia="zh-CN"/>
              </w:rPr>
              <w:t>规划图》、《蓬溪县金桥镇城镇详细规划图》（国土空间用地规划图）及项目所在地块《建设用地规划许可证》（蓬规地字第510921202300001号）可知，本项目所在地块土地用途为工业用地。</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w:t>
            </w:r>
            <w:r>
              <w:rPr>
                <w:rFonts w:hint="eastAsia" w:ascii="Times New Roman" w:hAnsi="Times New Roman" w:eastAsia="宋体" w:cs="Times New Roman"/>
                <w:bCs/>
                <w:color w:val="auto"/>
                <w:sz w:val="24"/>
                <w:szCs w:val="24"/>
                <w:lang w:val="en-US" w:eastAsia="zh-CN"/>
              </w:rPr>
              <w:t>主要从事超高纯度柔性石墨纸、高性能石墨导热膜及导电石墨烯粉体中试探索及技术验证工作，为石墨及碳素制品制造</w:t>
            </w:r>
            <w:r>
              <w:rPr>
                <w:rFonts w:hint="default" w:ascii="Times New Roman" w:hAnsi="Times New Roman" w:eastAsia="宋体" w:cs="Times New Roman"/>
                <w:bCs/>
                <w:color w:val="auto"/>
                <w:sz w:val="24"/>
                <w:szCs w:val="24"/>
                <w:lang w:val="en-US" w:eastAsia="zh-CN"/>
              </w:rPr>
              <w:t>，因此符合土地利用规划</w:t>
            </w:r>
            <w:r>
              <w:rPr>
                <w:rFonts w:hint="eastAsia" w:ascii="Times New Roman" w:hAnsi="Times New Roman" w:eastAsia="宋体" w:cs="Times New Roman"/>
                <w:bCs/>
                <w:color w:val="auto"/>
                <w:sz w:val="24"/>
                <w:szCs w:val="24"/>
                <w:lang w:val="en-US" w:eastAsia="zh-CN"/>
              </w:rPr>
              <w:t>。</w:t>
            </w:r>
          </w:p>
          <w:p>
            <w:pPr>
              <w:autoSpaceDE w:val="0"/>
              <w:autoSpaceDN w:val="0"/>
              <w:adjustRightInd w:val="0"/>
              <w:spacing w:line="360" w:lineRule="auto"/>
              <w:ind w:firstLine="482" w:firstLineChars="200"/>
              <w:rPr>
                <w:rFonts w:hint="eastAsia"/>
                <w:b/>
                <w:color w:val="auto"/>
                <w:kern w:val="0"/>
                <w:sz w:val="24"/>
              </w:rPr>
            </w:pPr>
            <w:r>
              <w:rPr>
                <w:rFonts w:hint="eastAsia"/>
                <w:b/>
                <w:color w:val="auto"/>
                <w:kern w:val="0"/>
                <w:sz w:val="24"/>
                <w:lang w:val="en-US" w:eastAsia="zh-CN"/>
              </w:rPr>
              <w:t>3</w:t>
            </w:r>
            <w:r>
              <w:rPr>
                <w:rFonts w:hint="eastAsia"/>
                <w:b/>
                <w:color w:val="auto"/>
                <w:kern w:val="0"/>
                <w:sz w:val="24"/>
              </w:rPr>
              <w:t>、与“</w:t>
            </w:r>
            <w:r>
              <w:rPr>
                <w:rFonts w:hint="eastAsia" w:ascii="Times New Roman" w:hAnsi="Times New Roman" w:eastAsia="宋体" w:cs="Times New Roman"/>
                <w:b/>
                <w:color w:val="auto"/>
                <w:kern w:val="0"/>
                <w:sz w:val="24"/>
                <w:lang w:val="en-US" w:eastAsia="zh-CN"/>
              </w:rPr>
              <w:t>生态环境分区管控</w:t>
            </w:r>
            <w:r>
              <w:rPr>
                <w:rFonts w:hint="eastAsia"/>
                <w:b/>
                <w:color w:val="auto"/>
                <w:kern w:val="0"/>
                <w:sz w:val="24"/>
              </w:rPr>
              <w:t>”符合性分析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根据四川省生态环境厅《关于公布四川省生态环境分区管控动态更新成果（2023年版）的通知》（川环函</w:t>
            </w:r>
            <w:r>
              <w:rPr>
                <w:rFonts w:hint="eastAsia" w:ascii="Times New Roman" w:hAnsi="Times New Roman" w:eastAsia="宋体" w:cs="Times New Roman"/>
                <w:bCs/>
                <w:color w:val="auto"/>
                <w:sz w:val="24"/>
                <w:szCs w:val="24"/>
                <w:lang w:val="en-US" w:eastAsia="zh-CN"/>
              </w:rPr>
              <w:t>〔2024〕409号</w:t>
            </w:r>
            <w:r>
              <w:rPr>
                <w:rFonts w:hint="default" w:ascii="Times New Roman" w:hAnsi="Times New Roman" w:eastAsia="宋体" w:cs="Times New Roman"/>
                <w:bCs/>
                <w:color w:val="auto"/>
                <w:sz w:val="24"/>
                <w:szCs w:val="24"/>
                <w:lang w:val="en-US" w:eastAsia="zh-CN"/>
              </w:rPr>
              <w:t>）、《遂宁市2023年生态环境分区管控动态更新成果的通知》（遂环委〔2024〕2号），本项目与区域生态环境分区管控符合性分析如下：</w:t>
            </w:r>
          </w:p>
          <w:p>
            <w:pPr>
              <w:spacing w:line="360" w:lineRule="auto"/>
              <w:ind w:firstLine="482" w:firstLineChars="200"/>
              <w:rPr>
                <w:b/>
                <w:bCs/>
                <w:color w:val="auto"/>
                <w:kern w:val="21"/>
                <w:sz w:val="24"/>
                <w:szCs w:val="24"/>
              </w:rPr>
            </w:pPr>
            <w:r>
              <w:rPr>
                <w:b/>
                <w:bCs/>
                <w:color w:val="auto"/>
                <w:kern w:val="21"/>
                <w:sz w:val="24"/>
                <w:szCs w:val="24"/>
              </w:rPr>
              <w:t>（1）</w:t>
            </w:r>
            <w:r>
              <w:rPr>
                <w:rFonts w:hint="eastAsia"/>
                <w:b/>
                <w:color w:val="auto"/>
                <w:kern w:val="0"/>
                <w:sz w:val="24"/>
              </w:rPr>
              <w:t>与</w:t>
            </w:r>
            <w:r>
              <w:rPr>
                <w:rFonts w:hint="eastAsia"/>
                <w:b/>
                <w:color w:val="auto"/>
                <w:kern w:val="0"/>
                <w:sz w:val="24"/>
                <w:lang w:val="en-US" w:eastAsia="zh-CN"/>
              </w:rPr>
              <w:t>四川省</w:t>
            </w:r>
            <w:r>
              <w:rPr>
                <w:rFonts w:hint="eastAsia"/>
                <w:b/>
                <w:color w:val="auto"/>
                <w:kern w:val="0"/>
                <w:sz w:val="24"/>
              </w:rPr>
              <w:t>生态环境</w:t>
            </w:r>
            <w:r>
              <w:rPr>
                <w:rFonts w:hint="eastAsia"/>
                <w:b/>
                <w:color w:val="auto"/>
                <w:kern w:val="0"/>
                <w:sz w:val="24"/>
                <w:lang w:val="en-US" w:eastAsia="zh-CN"/>
              </w:rPr>
              <w:t>分区</w:t>
            </w:r>
            <w:r>
              <w:rPr>
                <w:rFonts w:hint="eastAsia"/>
                <w:b/>
                <w:color w:val="auto"/>
                <w:kern w:val="0"/>
                <w:sz w:val="24"/>
              </w:rPr>
              <w:t>管控要求符合性分析</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bCs/>
                <w:color w:val="auto"/>
                <w:sz w:val="24"/>
                <w:szCs w:val="24"/>
                <w:lang w:val="en-US" w:eastAsia="zh-CN"/>
              </w:rPr>
              <w:t>根据四川省生态环境厅《关于公布四川省生态环境分区管控动态更新成果（2023年版）的通知》（川环函</w:t>
            </w:r>
            <w:r>
              <w:rPr>
                <w:rFonts w:hint="eastAsia" w:ascii="Times New Roman" w:hAnsi="Times New Roman" w:eastAsia="宋体" w:cs="Times New Roman"/>
                <w:bCs/>
                <w:color w:val="auto"/>
                <w:sz w:val="24"/>
                <w:szCs w:val="24"/>
                <w:lang w:val="en-US" w:eastAsia="zh-CN"/>
              </w:rPr>
              <w:t>〔2024〕409号</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color w:val="auto"/>
                <w:sz w:val="24"/>
                <w:szCs w:val="24"/>
              </w:rPr>
              <w:t>。本项目位于</w:t>
            </w:r>
            <w:r>
              <w:rPr>
                <w:rFonts w:hint="default" w:ascii="Times New Roman" w:hAnsi="Times New Roman" w:eastAsia="宋体" w:cs="Times New Roman"/>
                <w:color w:val="auto"/>
                <w:sz w:val="24"/>
                <w:szCs w:val="24"/>
                <w:lang w:val="en-US" w:eastAsia="zh-CN"/>
              </w:rPr>
              <w:t>遂宁市蓬溪县金桥镇创业四支路</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号</w:t>
            </w:r>
            <w:r>
              <w:rPr>
                <w:rFonts w:hint="default" w:ascii="Times New Roman" w:hAnsi="Times New Roman" w:eastAsia="宋体" w:cs="Times New Roman"/>
                <w:color w:val="auto"/>
                <w:sz w:val="24"/>
                <w:szCs w:val="24"/>
              </w:rPr>
              <w:t>，所在区域属于成都平原经济区</w:t>
            </w:r>
            <w:r>
              <w:rPr>
                <w:rFonts w:hint="eastAsia" w:ascii="Times New Roman" w:hAnsi="Times New Roman" w:eastAsia="宋体" w:cs="Times New Roman"/>
                <w:color w:val="auto"/>
                <w:sz w:val="24"/>
                <w:szCs w:val="24"/>
                <w:lang w:eastAsia="zh-CN"/>
              </w:rPr>
              <w:t>。</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项目在四川省生态环境管控单元中的位置示意图如下：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21"/>
                <w:szCs w:val="21"/>
              </w:rPr>
            </w:pPr>
            <w:r>
              <w:rPr>
                <w:color w:val="auto"/>
              </w:rPr>
              <mc:AlternateContent>
                <mc:Choice Requires="wps">
                  <w:drawing>
                    <wp:anchor distT="0" distB="0" distL="114300" distR="114300" simplePos="0" relativeHeight="251661312" behindDoc="0" locked="0" layoutInCell="1" allowOverlap="1">
                      <wp:simplePos x="0" y="0"/>
                      <wp:positionH relativeFrom="column">
                        <wp:posOffset>2867660</wp:posOffset>
                      </wp:positionH>
                      <wp:positionV relativeFrom="paragraph">
                        <wp:posOffset>-1821180</wp:posOffset>
                      </wp:positionV>
                      <wp:extent cx="55245" cy="55245"/>
                      <wp:effectExtent l="13970" t="15875" r="26035" b="24130"/>
                      <wp:wrapNone/>
                      <wp:docPr id="25" name="自选图形 124"/>
                      <wp:cNvGraphicFramePr/>
                      <a:graphic xmlns:a="http://schemas.openxmlformats.org/drawingml/2006/main">
                        <a:graphicData uri="http://schemas.microsoft.com/office/word/2010/wordprocessingShape">
                          <wps:wsp>
                            <wps:cNvSpPr/>
                            <wps:spPr>
                              <a:xfrm>
                                <a:off x="0" y="0"/>
                                <a:ext cx="55245" cy="55245"/>
                              </a:xfrm>
                              <a:prstGeom prst="star5">
                                <a:avLst/>
                              </a:prstGeom>
                              <a:solidFill>
                                <a:srgbClr val="FF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124" o:spid="_x0000_s1026" style="position:absolute;left:0pt;margin-left:225.8pt;margin-top:-143.4pt;height:4.35pt;width:4.35pt;z-index:251661312;mso-width-relative:page;mso-height-relative:page;" fillcolor="#FF0000" filled="t" stroked="t" coordsize="55245,55245" o:gfxdata="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TZiAtsAAAANAQAADwAAAAAAAAABACAAAAAiAAAAZHJzL2Rvd25yZXYueG1sUEsBAhQA&#10;FAAAAAgAh07iQP9sxavvAQAA5QMAAA4AAAAAAAAAAQAgAAAAKgEAAGRycy9lMm9Eb2MueG1sUEsF&#10;BgAAAAAGAAYAWQEAAIsFAAAAAA==&#10;" path="m0,21101l21101,21101,27622,0,34143,21101,55244,21101,38173,34143,44694,55244,27622,42203,10550,55244,17071,34143xe">
                      <v:path o:connectlocs="27622,0;0,21101;10550,55244;44694,55244;55244,21101" o:connectangles="247,164,82,82,0"/>
                      <v:fill on="t" focussize="0,0"/>
                      <v:stroke color="#FF0000" joinstyle="miter"/>
                      <v:imagedata o:title=""/>
                      <o:lock v:ext="edit" aspectratio="f"/>
                    </v:shape>
                  </w:pict>
                </mc:Fallback>
              </mc:AlternateContent>
            </w:r>
            <w:r>
              <w:rPr>
                <w:color w:val="auto"/>
              </w:rPr>
              <mc:AlternateContent>
                <mc:Choice Requires="wps">
                  <w:drawing>
                    <wp:anchor distT="0" distB="0" distL="114300" distR="114300" simplePos="0" relativeHeight="251662336" behindDoc="0" locked="0" layoutInCell="1" allowOverlap="1">
                      <wp:simplePos x="0" y="0"/>
                      <wp:positionH relativeFrom="column">
                        <wp:posOffset>1456055</wp:posOffset>
                      </wp:positionH>
                      <wp:positionV relativeFrom="paragraph">
                        <wp:posOffset>-2822575</wp:posOffset>
                      </wp:positionV>
                      <wp:extent cx="916940" cy="278765"/>
                      <wp:effectExtent l="6350" t="6350" r="505460" b="743585"/>
                      <wp:wrapNone/>
                      <wp:docPr id="26" name="矩形标注 4"/>
                      <wp:cNvGraphicFramePr/>
                      <a:graphic xmlns:a="http://schemas.openxmlformats.org/drawingml/2006/main">
                        <a:graphicData uri="http://schemas.microsoft.com/office/word/2010/wordprocessingShape">
                          <wps:wsp>
                            <wps:cNvSpPr/>
                            <wps:spPr>
                              <a:xfrm>
                                <a:off x="0" y="0"/>
                                <a:ext cx="916940" cy="278765"/>
                              </a:xfrm>
                              <a:prstGeom prst="wedgeRectCallout">
                                <a:avLst>
                                  <a:gd name="adj1" fmla="val 100139"/>
                                  <a:gd name="adj2" fmla="val 302620"/>
                                </a:avLst>
                              </a:prstGeom>
                              <a:noFill/>
                              <a:ln w="12700" cap="flat" cmpd="sng">
                                <a:solidFill>
                                  <a:srgbClr val="000000"/>
                                </a:solidFill>
                                <a:prstDash val="solid"/>
                                <a:miter/>
                                <a:headEnd type="none" w="med" len="med"/>
                                <a:tailEnd type="none" w="med" len="med"/>
                              </a:ln>
                            </wps:spPr>
                            <wps:txbx>
                              <w:txbxContent>
                                <w:p>
                                  <w:pPr>
                                    <w:jc w:val="center"/>
                                    <w:rPr>
                                      <w:b/>
                                      <w:bCs/>
                                      <w:color w:val="0D0D0D"/>
                                      <w:szCs w:val="21"/>
                                    </w:rPr>
                                  </w:pPr>
                                  <w:r>
                                    <w:rPr>
                                      <w:rFonts w:hint="eastAsia"/>
                                      <w:b/>
                                      <w:bCs/>
                                      <w:color w:val="0D0D0D"/>
                                      <w:szCs w:val="21"/>
                                    </w:rPr>
                                    <w:t>本项目位置</w:t>
                                  </w:r>
                                </w:p>
                              </w:txbxContent>
                            </wps:txbx>
                            <wps:bodyPr wrap="square" anchor="ctr" anchorCtr="0" upright="1"/>
                          </wps:wsp>
                        </a:graphicData>
                      </a:graphic>
                    </wp:anchor>
                  </w:drawing>
                </mc:Choice>
                <mc:Fallback>
                  <w:pict>
                    <v:shape id="矩形标注 4" o:spid="_x0000_s1026" o:spt="61" type="#_x0000_t61" style="position:absolute;left:0pt;margin-left:114.65pt;margin-top:-222.25pt;height:21.95pt;width:72.2pt;z-index:251662336;v-text-anchor:middle;mso-width-relative:page;mso-height-relative:page;" filled="f" stroked="t" coordsize="21600,21600" o:gfxdata="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ODNrzaAAAADQEAAA8AAAAAAAAAAQAgAAAAIgAAAGRycy9kb3ducmV2Lnht&#10;bFBLAQIUABQAAAAIAIdO4kBAaH/YMAIAAEEEAAAOAAAAAAAAAAEAIAAAACkBAABkcnMvZTJvRG9j&#10;LnhtbFBLBQYAAAAABgAGAFkBAADLBQAAAAA=&#10;" adj="32430,76166">
                      <v:fill on="f" focussize="0,0"/>
                      <v:stroke weight="1pt" color="#000000" joinstyle="miter"/>
                      <v:imagedata o:title=""/>
                      <o:lock v:ext="edit" aspectratio="f"/>
                      <v:textbox>
                        <w:txbxContent>
                          <w:p>
                            <w:pPr>
                              <w:jc w:val="center"/>
                              <w:rPr>
                                <w:b/>
                                <w:bCs/>
                                <w:color w:val="0D0D0D"/>
                                <w:szCs w:val="21"/>
                              </w:rPr>
                            </w:pPr>
                            <w:r>
                              <w:rPr>
                                <w:rFonts w:hint="eastAsia"/>
                                <w:b/>
                                <w:bCs/>
                                <w:color w:val="0D0D0D"/>
                                <w:szCs w:val="21"/>
                              </w:rPr>
                              <w:t>本项目位置</w:t>
                            </w:r>
                          </w:p>
                        </w:txbxContent>
                      </v:textbox>
                    </v:shape>
                  </w:pict>
                </mc:Fallback>
              </mc:AlternateContent>
            </w:r>
            <w:r>
              <w:rPr>
                <w:rFonts w:hint="default" w:ascii="Times New Roman" w:hAnsi="Times New Roman" w:eastAsia="宋体" w:cs="Times New Roman"/>
                <w:color w:val="auto"/>
                <w:sz w:val="32"/>
                <w:szCs w:val="32"/>
                <w:highlight w:val="none"/>
              </w:rPr>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4931410" cy="3364865"/>
                  <wp:effectExtent l="0" t="0" r="2540" b="6985"/>
                  <wp:wrapThrough wrapText="bothSides">
                    <wp:wrapPolygon>
                      <wp:start x="21592" y="-2"/>
                      <wp:lineTo x="0" y="0"/>
                      <wp:lineTo x="0" y="21600"/>
                      <wp:lineTo x="21592" y="21602"/>
                      <wp:lineTo x="8" y="21602"/>
                      <wp:lineTo x="21600" y="21600"/>
                      <wp:lineTo x="21600" y="0"/>
                      <wp:lineTo x="8" y="-2"/>
                      <wp:lineTo x="21592" y="-2"/>
                    </wp:wrapPolygon>
                  </wp:wrapThrough>
                  <wp:docPr id="29" name="图片 156" descr="39环境管控单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6" descr="39环境管控单元图"/>
                          <pic:cNvPicPr preferRelativeResize="0">
                            <a:picLocks noChangeAspect="1"/>
                          </pic:cNvPicPr>
                        </pic:nvPicPr>
                        <pic:blipFill>
                          <a:blip r:embed="rId9"/>
                          <a:stretch>
                            <a:fillRect/>
                          </a:stretch>
                        </pic:blipFill>
                        <pic:spPr>
                          <a:xfrm>
                            <a:off x="0" y="0"/>
                            <a:ext cx="4931410" cy="3364865"/>
                          </a:xfrm>
                          <a:prstGeom prst="rect">
                            <a:avLst/>
                          </a:prstGeom>
                          <a:noFill/>
                          <a:ln>
                            <a:noFill/>
                          </a:ln>
                        </pic:spPr>
                      </pic:pic>
                    </a:graphicData>
                  </a:graphic>
                </wp:anchor>
              </w:drawing>
            </w:r>
            <w:r>
              <w:rPr>
                <w:b/>
                <w:color w:val="auto"/>
                <w:sz w:val="21"/>
                <w:szCs w:val="21"/>
              </w:rPr>
              <w:t xml:space="preserve">图1-1 </w:t>
            </w:r>
            <w:r>
              <w:rPr>
                <w:rFonts w:hint="eastAsia"/>
                <w:b/>
                <w:color w:val="auto"/>
                <w:sz w:val="21"/>
                <w:szCs w:val="21"/>
              </w:rPr>
              <w:t>本项目</w:t>
            </w:r>
            <w:r>
              <w:rPr>
                <w:rFonts w:hint="eastAsia" w:ascii="Times New Roman" w:hAnsi="Times New Roman" w:eastAsia="宋体" w:cs="Times New Roman"/>
                <w:b/>
                <w:bCs/>
                <w:color w:val="auto"/>
                <w:sz w:val="21"/>
                <w:szCs w:val="21"/>
                <w:lang w:val="en-US" w:eastAsia="zh-CN"/>
              </w:rPr>
              <w:t>与四川省环境管控单元分布图的位置关系</w:t>
            </w:r>
            <w:r>
              <w:rPr>
                <w:rFonts w:hint="eastAsia" w:ascii="Times New Roman" w:hAnsi="Times New Roman" w:cs="Times New Roman"/>
                <w:b/>
                <w:bCs/>
                <w:color w:val="auto"/>
                <w:sz w:val="21"/>
                <w:szCs w:val="21"/>
                <w:lang w:val="en-US" w:eastAsia="zh-CN"/>
              </w:rPr>
              <w:t>图</w:t>
            </w:r>
          </w:p>
          <w:p>
            <w:pPr>
              <w:numPr>
                <w:ilvl w:val="0"/>
                <w:numId w:val="0"/>
              </w:numPr>
              <w:bidi w:val="0"/>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项目与四川省</w:t>
            </w:r>
            <w:r>
              <w:rPr>
                <w:rFonts w:hint="eastAsia" w:ascii="Times New Roman" w:hAnsi="Times New Roman" w:eastAsia="宋体" w:cs="Times New Roman"/>
                <w:color w:val="auto"/>
                <w:sz w:val="24"/>
                <w:szCs w:val="24"/>
              </w:rPr>
              <w:t>生态环境</w:t>
            </w:r>
            <w:r>
              <w:rPr>
                <w:rFonts w:hint="eastAsia" w:ascii="Times New Roman" w:hAnsi="Times New Roman" w:eastAsia="宋体" w:cs="Times New Roman"/>
                <w:color w:val="auto"/>
                <w:sz w:val="24"/>
                <w:szCs w:val="24"/>
                <w:lang w:val="en-US" w:eastAsia="zh-CN"/>
              </w:rPr>
              <w:t>分区</w:t>
            </w:r>
            <w:r>
              <w:rPr>
                <w:rFonts w:hint="eastAsia" w:ascii="Times New Roman" w:hAnsi="Times New Roman" w:eastAsia="宋体" w:cs="Times New Roman"/>
                <w:color w:val="auto"/>
                <w:sz w:val="24"/>
                <w:szCs w:val="24"/>
              </w:rPr>
              <w:t>管控</w:t>
            </w:r>
            <w:r>
              <w:rPr>
                <w:rFonts w:hint="eastAsia" w:ascii="Times New Roman" w:hAnsi="Times New Roman" w:eastAsia="宋体" w:cs="Times New Roman"/>
                <w:color w:val="auto"/>
                <w:sz w:val="24"/>
                <w:szCs w:val="24"/>
                <w:lang w:val="en-US" w:eastAsia="zh-CN"/>
              </w:rPr>
              <w:t>符合性分析</w:t>
            </w:r>
            <w:r>
              <w:rPr>
                <w:rFonts w:hint="eastAsia" w:ascii="Times New Roman" w:hAnsi="Times New Roman" w:eastAsia="宋体" w:cs="Times New Roman"/>
                <w:color w:val="auto"/>
                <w:sz w:val="24"/>
                <w:szCs w:val="24"/>
              </w:rPr>
              <w:t>如下：</w:t>
            </w:r>
          </w:p>
          <w:p>
            <w:pPr>
              <w:pStyle w:val="7"/>
              <w:jc w:val="center"/>
              <w:rPr>
                <w:rFonts w:ascii="Times New Roman" w:hAnsi="Times New Roman" w:eastAsia="宋体"/>
                <w:b/>
                <w:bCs/>
                <w:color w:val="auto"/>
                <w:sz w:val="21"/>
                <w:szCs w:val="21"/>
              </w:rPr>
            </w:pPr>
            <w:r>
              <w:rPr>
                <w:rFonts w:ascii="Times New Roman" w:hAnsi="Times New Roman" w:eastAsia="宋体"/>
                <w:b/>
                <w:bCs/>
                <w:color w:val="auto"/>
                <w:sz w:val="21"/>
                <w:szCs w:val="21"/>
              </w:rPr>
              <w:t>表1-</w:t>
            </w:r>
            <w:r>
              <w:rPr>
                <w:rFonts w:hint="eastAsia" w:ascii="Times New Roman" w:hAnsi="Times New Roman" w:eastAsia="宋体"/>
                <w:b/>
                <w:bCs/>
                <w:color w:val="auto"/>
                <w:sz w:val="21"/>
                <w:szCs w:val="21"/>
                <w:lang w:val="en-US" w:eastAsia="zh-CN"/>
              </w:rPr>
              <w:t xml:space="preserve">2 </w:t>
            </w:r>
            <w:r>
              <w:rPr>
                <w:rFonts w:ascii="Times New Roman" w:hAnsi="Times New Roman" w:eastAsia="宋体"/>
                <w:b/>
                <w:bCs/>
                <w:color w:val="auto"/>
                <w:sz w:val="21"/>
                <w:szCs w:val="21"/>
              </w:rPr>
              <w:t>本项目与</w:t>
            </w:r>
            <w:r>
              <w:rPr>
                <w:rFonts w:hint="eastAsia" w:ascii="Times New Roman" w:hAnsi="Times New Roman" w:eastAsia="宋体"/>
                <w:b/>
                <w:bCs/>
                <w:color w:val="auto"/>
                <w:sz w:val="21"/>
                <w:szCs w:val="21"/>
                <w:lang w:val="en-US" w:eastAsia="zh-CN"/>
              </w:rPr>
              <w:t>四川省</w:t>
            </w:r>
            <w:r>
              <w:rPr>
                <w:rFonts w:hint="eastAsia" w:ascii="Times New Roman" w:hAnsi="Times New Roman" w:eastAsia="宋体"/>
                <w:b/>
                <w:bCs/>
                <w:color w:val="auto"/>
                <w:sz w:val="21"/>
                <w:szCs w:val="21"/>
              </w:rPr>
              <w:t>总体</w:t>
            </w:r>
            <w:r>
              <w:rPr>
                <w:rFonts w:ascii="Times New Roman" w:hAnsi="Times New Roman" w:eastAsia="宋体"/>
                <w:b/>
                <w:bCs/>
                <w:color w:val="auto"/>
                <w:sz w:val="21"/>
                <w:szCs w:val="21"/>
              </w:rPr>
              <w:t>生态环境管控要求符合性分析</w:t>
            </w:r>
          </w:p>
          <w:tbl>
            <w:tblPr>
              <w:tblStyle w:val="36"/>
              <w:tblW w:w="7538"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889"/>
              <w:gridCol w:w="3550"/>
              <w:gridCol w:w="2352"/>
              <w:gridCol w:w="7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67" w:hRule="atLeast"/>
                <w:tblHeader/>
                <w:jc w:val="center"/>
              </w:trPr>
              <w:tc>
                <w:tcPr>
                  <w:tcW w:w="889" w:type="dxa"/>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cs="Times New Roman"/>
                      <w:b/>
                      <w:bCs/>
                      <w:color w:val="auto"/>
                      <w:sz w:val="21"/>
                      <w:szCs w:val="21"/>
                    </w:rPr>
                  </w:pPr>
                  <w:r>
                    <w:rPr>
                      <w:rFonts w:cs="Times New Roman"/>
                      <w:b/>
                      <w:bCs/>
                      <w:color w:val="auto"/>
                      <w:sz w:val="21"/>
                      <w:szCs w:val="21"/>
                    </w:rPr>
                    <w:t>区域</w:t>
                  </w:r>
                </w:p>
              </w:tc>
              <w:tc>
                <w:tcPr>
                  <w:tcW w:w="3550" w:type="dxa"/>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cs="Times New Roman"/>
                      <w:b/>
                      <w:bCs/>
                      <w:color w:val="auto"/>
                      <w:sz w:val="21"/>
                      <w:szCs w:val="21"/>
                    </w:rPr>
                  </w:pPr>
                  <w:r>
                    <w:rPr>
                      <w:rFonts w:hint="eastAsia" w:cs="Times New Roman"/>
                      <w:b/>
                      <w:bCs/>
                      <w:color w:val="auto"/>
                      <w:sz w:val="21"/>
                      <w:szCs w:val="21"/>
                    </w:rPr>
                    <w:t>生态环境准入总体</w:t>
                  </w:r>
                  <w:r>
                    <w:rPr>
                      <w:rFonts w:cs="Times New Roman"/>
                      <w:b/>
                      <w:bCs/>
                      <w:color w:val="auto"/>
                      <w:sz w:val="21"/>
                      <w:szCs w:val="21"/>
                    </w:rPr>
                    <w:t>管控要求</w:t>
                  </w:r>
                </w:p>
              </w:tc>
              <w:tc>
                <w:tcPr>
                  <w:tcW w:w="2352" w:type="dxa"/>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cs="Times New Roman"/>
                      <w:b/>
                      <w:bCs/>
                      <w:color w:val="auto"/>
                      <w:sz w:val="21"/>
                      <w:szCs w:val="21"/>
                    </w:rPr>
                  </w:pPr>
                  <w:r>
                    <w:rPr>
                      <w:rFonts w:cs="Times New Roman"/>
                      <w:b/>
                      <w:bCs/>
                      <w:color w:val="auto"/>
                      <w:sz w:val="21"/>
                      <w:szCs w:val="21"/>
                    </w:rPr>
                    <w:t>本项目情况</w:t>
                  </w:r>
                </w:p>
              </w:tc>
              <w:tc>
                <w:tcPr>
                  <w:tcW w:w="747" w:type="dxa"/>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cs="Times New Roman"/>
                      <w:b/>
                      <w:bCs/>
                      <w:color w:val="auto"/>
                      <w:sz w:val="21"/>
                      <w:szCs w:val="21"/>
                    </w:rPr>
                  </w:pPr>
                  <w:r>
                    <w:rPr>
                      <w:rFonts w:cs="Times New Roman"/>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1046" w:hRule="atLeast"/>
                <w:jc w:val="center"/>
              </w:trPr>
              <w:tc>
                <w:tcPr>
                  <w:tcW w:w="889" w:type="dxa"/>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优先保护单元</w:t>
                  </w:r>
                </w:p>
              </w:tc>
              <w:tc>
                <w:tcPr>
                  <w:tcW w:w="3550" w:type="dxa"/>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优先保护单元中，应以生态环境保护优先为原则，严格执行相关</w:t>
                  </w:r>
                  <w:r>
                    <w:rPr>
                      <w:rFonts w:hint="eastAsia" w:ascii="Times New Roman" w:hAnsi="Times New Roman" w:eastAsia="宋体" w:cs="Times New Roman"/>
                      <w:color w:val="auto"/>
                      <w:sz w:val="21"/>
                      <w:szCs w:val="21"/>
                      <w:lang w:eastAsia="zh-CN"/>
                    </w:rPr>
                    <w:t>法律法规</w:t>
                  </w:r>
                  <w:r>
                    <w:rPr>
                      <w:rFonts w:hint="eastAsia" w:ascii="Times New Roman" w:hAnsi="Times New Roman" w:eastAsia="宋体" w:cs="Times New Roman"/>
                      <w:color w:val="auto"/>
                      <w:sz w:val="21"/>
                      <w:szCs w:val="21"/>
                    </w:rPr>
                    <w:t>要求，严守生态环境质量底线，确保生态环境功能不降低。</w:t>
                  </w:r>
                </w:p>
              </w:tc>
              <w:tc>
                <w:tcPr>
                  <w:tcW w:w="2352" w:type="dxa"/>
                  <w:vMerge w:val="restart"/>
                  <w:noWrap w:val="0"/>
                  <w:vAlign w:val="center"/>
                </w:tcPr>
                <w:p>
                  <w:pPr>
                    <w:pStyle w:val="94"/>
                    <w:keepNext w:val="0"/>
                    <w:keepLines w:val="0"/>
                    <w:pageBreakBefore w:val="0"/>
                    <w:widowControl/>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项目位于遂宁市蓬溪县环境综合管控单元工业重点管控单元（管控单元名称：四川蓬溪经济开发区（金桥片区），管控单元编号：ZH51092120003）</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rPr>
                    <w:t>通过采取合理有效的治理措施后，环境影响较小</w:t>
                  </w:r>
                </w:p>
              </w:tc>
              <w:tc>
                <w:tcPr>
                  <w:tcW w:w="747" w:type="dxa"/>
                  <w:vMerge w:val="restart"/>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rPr>
                  </w:pPr>
                  <w:r>
                    <w:rPr>
                      <w:rFonts w:hint="eastAsia"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1561" w:hRule="atLeast"/>
                <w:jc w:val="center"/>
              </w:trPr>
              <w:tc>
                <w:tcPr>
                  <w:tcW w:w="889" w:type="dxa"/>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重点管控单元</w:t>
                  </w:r>
                </w:p>
              </w:tc>
              <w:tc>
                <w:tcPr>
                  <w:tcW w:w="3550" w:type="dxa"/>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重点管控单元中，针对环境质量是否达标以及经济社会发展水平等因素制定差别化的生态环境准入要求。对环境质量不达标区域，提出污染物削减比例要求，对环境质量达标区域，提出允许排放量建议指标</w:t>
                  </w:r>
                </w:p>
              </w:tc>
              <w:tc>
                <w:tcPr>
                  <w:tcW w:w="2352" w:type="dxa"/>
                  <w:vMerge w:val="continue"/>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rPr>
                  </w:pPr>
                </w:p>
              </w:tc>
              <w:tc>
                <w:tcPr>
                  <w:tcW w:w="747" w:type="dxa"/>
                  <w:vMerge w:val="continue"/>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787" w:hRule="atLeast"/>
                <w:jc w:val="center"/>
              </w:trPr>
              <w:tc>
                <w:tcPr>
                  <w:tcW w:w="889" w:type="dxa"/>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一般管控单元</w:t>
                  </w:r>
                </w:p>
              </w:tc>
              <w:tc>
                <w:tcPr>
                  <w:tcW w:w="3550" w:type="dxa"/>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一般管控单元中，执行区域生态环境保护的基本要求。重点加强农业、生活等领域污染治理。</w:t>
                  </w:r>
                </w:p>
              </w:tc>
              <w:tc>
                <w:tcPr>
                  <w:tcW w:w="2352" w:type="dxa"/>
                  <w:vMerge w:val="continue"/>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rPr>
                  </w:pPr>
                </w:p>
              </w:tc>
              <w:tc>
                <w:tcPr>
                  <w:tcW w:w="747" w:type="dxa"/>
                  <w:vMerge w:val="continue"/>
                  <w:noWrap w:val="0"/>
                  <w:vAlign w:val="center"/>
                </w:tcPr>
                <w:p>
                  <w:pPr>
                    <w:pStyle w:val="94"/>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787" w:hRule="atLeast"/>
                <w:jc w:val="center"/>
              </w:trPr>
              <w:tc>
                <w:tcPr>
                  <w:tcW w:w="889" w:type="dxa"/>
                  <w:noWrap w:val="0"/>
                  <w:vAlign w:val="center"/>
                </w:tcPr>
                <w:p>
                  <w:pPr>
                    <w:pStyle w:val="94"/>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成都平原经济区</w:t>
                  </w:r>
                </w:p>
              </w:tc>
              <w:tc>
                <w:tcPr>
                  <w:tcW w:w="3550" w:type="dxa"/>
                  <w:noWrap w:val="0"/>
                  <w:vAlign w:val="center"/>
                </w:tcPr>
                <w:p>
                  <w:pPr>
                    <w:pStyle w:val="94"/>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①针对突出生态环境问题大力优化调整产业结构，实施最严格的环境准入要求。</w:t>
                  </w:r>
                </w:p>
                <w:p>
                  <w:pPr>
                    <w:pStyle w:val="94"/>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②加快地区生产总值（GDP）贡献小，污染排放强度大的产业（如建材、家具等产业）替代升级，结构优化。</w:t>
                  </w:r>
                </w:p>
                <w:p>
                  <w:pPr>
                    <w:pStyle w:val="94"/>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③对重点发展的电子信息、装备制造、先进材料、食品饮料、生物医药等产业提出最严格的环境准入要求。</w:t>
                  </w:r>
                </w:p>
                <w:p>
                  <w:pPr>
                    <w:pStyle w:val="94"/>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④岷江、沱江流域执行《四川省岷江、沱江流域水污染物排放标准》。</w:t>
                  </w:r>
                </w:p>
                <w:p>
                  <w:pPr>
                    <w:pStyle w:val="94"/>
                    <w:jc w:val="both"/>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⑤优化涉危险废物</w:t>
                  </w:r>
                  <w:r>
                    <w:rPr>
                      <w:rFonts w:hint="eastAsia" w:ascii="Times New Roman" w:hAnsi="Times New Roman" w:eastAsia="宋体" w:cs="Times New Roman"/>
                      <w:color w:val="auto"/>
                      <w:sz w:val="21"/>
                      <w:szCs w:val="21"/>
                      <w:lang w:eastAsia="zh-CN"/>
                    </w:rPr>
                    <w:t>和</w:t>
                  </w:r>
                  <w:r>
                    <w:rPr>
                      <w:rFonts w:hint="eastAsia" w:ascii="Times New Roman" w:hAnsi="Times New Roman" w:eastAsia="宋体" w:cs="Times New Roman"/>
                      <w:color w:val="auto"/>
                      <w:sz w:val="21"/>
                      <w:szCs w:val="21"/>
                    </w:rPr>
                    <w:t>危险化学品产业布局，严控环境风险，保障人居安全。</w:t>
                  </w:r>
                </w:p>
              </w:tc>
              <w:tc>
                <w:tcPr>
                  <w:tcW w:w="2352" w:type="dxa"/>
                  <w:noWrap w:val="0"/>
                  <w:vAlign w:val="center"/>
                </w:tcPr>
                <w:p>
                  <w:pPr>
                    <w:pStyle w:val="94"/>
                    <w:jc w:val="center"/>
                    <w:rPr>
                      <w:rFonts w:hint="eastAsia"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2"/>
                      <w:sz w:val="21"/>
                      <w:szCs w:val="21"/>
                      <w:lang w:val="en-US" w:eastAsia="zh-CN" w:bidi="ar-SA"/>
                    </w:rPr>
                    <w:t>本项目为石墨及碳素制品制造，属于非金属矿物制品业，</w:t>
                  </w:r>
                  <w:r>
                    <w:rPr>
                      <w:rFonts w:hint="eastAsia" w:ascii="Times New Roman" w:hAnsi="Times New Roman" w:eastAsia="宋体" w:cs="Times New Roman"/>
                      <w:color w:val="auto"/>
                      <w:sz w:val="21"/>
                      <w:szCs w:val="21"/>
                      <w:lang w:val="en-US" w:eastAsia="zh-CN"/>
                    </w:rPr>
                    <w:t>不属于</w:t>
                  </w:r>
                  <w:r>
                    <w:rPr>
                      <w:rFonts w:hint="eastAsia" w:ascii="Times New Roman" w:hAnsi="Times New Roman" w:eastAsia="宋体" w:cs="Times New Roman"/>
                      <w:color w:val="auto"/>
                      <w:sz w:val="21"/>
                      <w:szCs w:val="21"/>
                    </w:rPr>
                    <w:t>污染排放强度大的产业（如建材、家具等产业）</w:t>
                  </w:r>
                  <w:r>
                    <w:rPr>
                      <w:rFonts w:hint="eastAsia" w:ascii="Times New Roman" w:hAnsi="Times New Roman" w:eastAsia="宋体" w:cs="Times New Roman"/>
                      <w:color w:val="auto"/>
                      <w:sz w:val="21"/>
                      <w:szCs w:val="21"/>
                      <w:lang w:val="en-US" w:eastAsia="zh-CN"/>
                    </w:rPr>
                    <w:t>，对环境影响较小；项目运营期产生的废水主要为碱喷淋废水和生活污水，碱喷淋废水经酸碱中和预处理后，</w:t>
                  </w:r>
                  <w:r>
                    <w:rPr>
                      <w:rFonts w:hint="eastAsia" w:ascii="Times New Roman" w:hAnsi="Times New Roman" w:cs="Times New Roman"/>
                      <w:color w:val="auto"/>
                      <w:sz w:val="21"/>
                      <w:szCs w:val="21"/>
                      <w:lang w:val="en-US" w:eastAsia="zh-CN"/>
                    </w:rPr>
                    <w:t>和</w:t>
                  </w:r>
                  <w:r>
                    <w:rPr>
                      <w:rFonts w:hint="eastAsia" w:ascii="Times New Roman" w:hAnsi="Times New Roman" w:eastAsia="宋体" w:cs="Times New Roman"/>
                      <w:color w:val="auto"/>
                      <w:sz w:val="21"/>
                      <w:szCs w:val="21"/>
                      <w:lang w:val="en-US" w:eastAsia="zh-CN"/>
                    </w:rPr>
                    <w:t>生活污水一起排入四川翔丰华新能源材料有限公司已建4#预处理池处理后排入园区污水管网，符合成都平原经济区总体生态环境管控要求。</w:t>
                  </w:r>
                </w:p>
              </w:tc>
              <w:tc>
                <w:tcPr>
                  <w:tcW w:w="747" w:type="dxa"/>
                  <w:noWrap w:val="0"/>
                  <w:vAlign w:val="center"/>
                </w:tcPr>
                <w:p>
                  <w:pPr>
                    <w:pStyle w:val="94"/>
                    <w:jc w:val="center"/>
                    <w:rPr>
                      <w:rFonts w:hint="eastAsia" w:cs="Times New Roman"/>
                      <w:color w:val="auto"/>
                      <w:sz w:val="21"/>
                      <w:szCs w:val="21"/>
                    </w:rPr>
                  </w:pPr>
                  <w:r>
                    <w:rPr>
                      <w:rFonts w:hint="eastAsia" w:cs="Times New Roman"/>
                      <w:color w:val="auto"/>
                      <w:sz w:val="21"/>
                      <w:szCs w:val="21"/>
                    </w:rPr>
                    <w:t>符合</w:t>
                  </w:r>
                </w:p>
              </w:tc>
            </w:tr>
          </w:tbl>
          <w:p>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b/>
                <w:bCs/>
                <w:color w:val="auto"/>
                <w:sz w:val="24"/>
                <w:szCs w:val="24"/>
                <w:lang w:val="en-US"/>
              </w:rPr>
            </w:pPr>
            <w:r>
              <w:rPr>
                <w:b/>
                <w:bCs/>
                <w:color w:val="auto"/>
                <w:sz w:val="24"/>
                <w:szCs w:val="24"/>
              </w:rPr>
              <w:t>（2）</w:t>
            </w:r>
            <w:r>
              <w:rPr>
                <w:rFonts w:hint="default" w:ascii="Times New Roman" w:hAnsi="Times New Roman" w:eastAsia="宋体" w:cs="Times New Roman"/>
                <w:b/>
                <w:bCs/>
                <w:color w:val="auto"/>
                <w:kern w:val="0"/>
                <w:sz w:val="24"/>
                <w:szCs w:val="20"/>
                <w:lang w:val="en-US" w:eastAsia="zh-CN" w:bidi="ar-SA"/>
              </w:rPr>
              <w:t>项目所在环境管控单元</w:t>
            </w:r>
            <w:r>
              <w:rPr>
                <w:rFonts w:hint="eastAsia" w:ascii="Times New Roman" w:hAnsi="Times New Roman" w:eastAsia="宋体" w:cs="Times New Roman"/>
                <w:b/>
                <w:bCs/>
                <w:color w:val="auto"/>
                <w:kern w:val="0"/>
                <w:sz w:val="24"/>
                <w:szCs w:val="20"/>
                <w:lang w:val="en-US" w:eastAsia="zh-CN" w:bidi="ar-SA"/>
              </w:rPr>
              <w:t>符合性分析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根据《</w:t>
            </w:r>
            <w:r>
              <w:rPr>
                <w:rFonts w:hint="eastAsia" w:ascii="Times New Roman" w:hAnsi="Times New Roman" w:eastAsia="宋体" w:cs="Times New Roman"/>
                <w:color w:val="auto"/>
                <w:kern w:val="0"/>
                <w:sz w:val="24"/>
                <w:szCs w:val="20"/>
                <w:lang w:val="en-US" w:eastAsia="zh-CN" w:bidi="ar-SA"/>
              </w:rPr>
              <w:t>遂宁市生态环境保护委员会关于印发遂宁市2023年生态环境分区管控动态更新成果的通知</w:t>
            </w:r>
            <w:r>
              <w:rPr>
                <w:rFonts w:hint="default" w:ascii="Times New Roman" w:hAnsi="Times New Roman" w:eastAsia="宋体" w:cs="Times New Roman"/>
                <w:color w:val="auto"/>
                <w:kern w:val="0"/>
                <w:sz w:val="24"/>
                <w:szCs w:val="20"/>
                <w:lang w:val="en-US" w:eastAsia="zh-CN" w:bidi="ar-SA"/>
              </w:rPr>
              <w:t>》（遂</w:t>
            </w:r>
            <w:r>
              <w:rPr>
                <w:rFonts w:hint="eastAsia" w:ascii="Times New Roman" w:hAnsi="Times New Roman" w:eastAsia="宋体" w:cs="Times New Roman"/>
                <w:color w:val="auto"/>
                <w:kern w:val="0"/>
                <w:sz w:val="24"/>
                <w:szCs w:val="20"/>
                <w:lang w:val="en-US" w:eastAsia="zh-CN" w:bidi="ar-SA"/>
              </w:rPr>
              <w:t>环委</w:t>
            </w:r>
            <w:r>
              <w:rPr>
                <w:rFonts w:hint="default" w:ascii="Times New Roman" w:hAnsi="Times New Roman" w:eastAsia="宋体" w:cs="Times New Roman"/>
                <w:color w:val="auto"/>
                <w:kern w:val="0"/>
                <w:sz w:val="24"/>
                <w:szCs w:val="20"/>
                <w:lang w:val="en-US" w:eastAsia="zh-CN" w:bidi="ar-SA"/>
              </w:rPr>
              <w:t>〔2024〕2号）以及《</w:t>
            </w:r>
            <w:r>
              <w:rPr>
                <w:rFonts w:hint="eastAsia" w:ascii="Times New Roman" w:hAnsi="Times New Roman" w:eastAsia="宋体" w:cs="Times New Roman"/>
                <w:color w:val="auto"/>
                <w:kern w:val="0"/>
                <w:sz w:val="24"/>
                <w:szCs w:val="20"/>
                <w:lang w:val="en-US" w:eastAsia="zh-CN" w:bidi="ar-SA"/>
              </w:rPr>
              <w:t>遂宁市生态环境管控单元分布图</w:t>
            </w:r>
            <w:r>
              <w:rPr>
                <w:rFonts w:hint="default" w:ascii="Times New Roman" w:hAnsi="Times New Roman" w:eastAsia="宋体" w:cs="Times New Roman"/>
                <w:color w:val="auto"/>
                <w:kern w:val="0"/>
                <w:sz w:val="24"/>
                <w:szCs w:val="20"/>
                <w:lang w:val="en-US" w:eastAsia="zh-CN" w:bidi="ar-SA"/>
              </w:rPr>
              <w:t>》，遂宁市</w:t>
            </w:r>
            <w:r>
              <w:rPr>
                <w:rFonts w:hint="eastAsia" w:ascii="Times New Roman" w:hAnsi="Times New Roman" w:eastAsia="宋体" w:cs="Times New Roman"/>
                <w:color w:val="auto"/>
                <w:kern w:val="0"/>
                <w:sz w:val="24"/>
                <w:szCs w:val="20"/>
                <w:lang w:val="en-US" w:eastAsia="zh-CN" w:bidi="ar-SA"/>
              </w:rPr>
              <w:t>全市划分优先保护、重点管控、一般管控三大类共</w:t>
            </w:r>
            <w:r>
              <w:rPr>
                <w:rFonts w:hint="default" w:ascii="Times New Roman" w:hAnsi="Times New Roman" w:eastAsia="宋体" w:cs="Times New Roman"/>
                <w:color w:val="auto"/>
                <w:kern w:val="0"/>
                <w:sz w:val="24"/>
                <w:szCs w:val="20"/>
                <w:lang w:val="en-US" w:eastAsia="zh-CN" w:bidi="ar-SA"/>
              </w:rPr>
              <w:t>47</w:t>
            </w:r>
            <w:r>
              <w:rPr>
                <w:rFonts w:hint="eastAsia" w:ascii="Times New Roman" w:hAnsi="Times New Roman" w:eastAsia="宋体" w:cs="Times New Roman"/>
                <w:color w:val="auto"/>
                <w:kern w:val="0"/>
                <w:sz w:val="24"/>
                <w:szCs w:val="20"/>
                <w:lang w:val="en-US" w:eastAsia="zh-CN" w:bidi="ar-SA"/>
              </w:rPr>
              <w:t>个环境管控单元</w:t>
            </w:r>
            <w:r>
              <w:rPr>
                <w:rFonts w:hint="default" w:ascii="Times New Roman" w:hAnsi="Times New Roman" w:eastAsia="宋体" w:cs="Times New Roman"/>
                <w:color w:val="auto"/>
                <w:kern w:val="0"/>
                <w:sz w:val="24"/>
                <w:szCs w:val="20"/>
                <w:lang w:val="en-US" w:eastAsia="zh-CN" w:bidi="ar-SA"/>
              </w:rPr>
              <w:t>。其中优先保护单元19个，重点管控单元26个，一般管控单元2个。</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color w:val="auto"/>
                <w:sz w:val="24"/>
                <w:szCs w:val="24"/>
              </w:rPr>
              <w:t>本项目位于</w:t>
            </w:r>
            <w:r>
              <w:rPr>
                <w:rFonts w:hint="eastAsia"/>
                <w:color w:val="auto"/>
                <w:sz w:val="24"/>
                <w:szCs w:val="24"/>
                <w:lang w:val="en-US" w:eastAsia="zh-CN"/>
              </w:rPr>
              <w:t>工业</w:t>
            </w:r>
            <w:r>
              <w:rPr>
                <w:color w:val="auto"/>
                <w:sz w:val="24"/>
                <w:szCs w:val="24"/>
              </w:rPr>
              <w:t>重点管控单元，与</w:t>
            </w:r>
            <w:r>
              <w:rPr>
                <w:rFonts w:hint="eastAsia"/>
                <w:color w:val="auto"/>
                <w:sz w:val="24"/>
                <w:szCs w:val="24"/>
                <w:lang w:val="en-US" w:eastAsia="zh-CN"/>
              </w:rPr>
              <w:t>遂宁</w:t>
            </w:r>
            <w:r>
              <w:rPr>
                <w:color w:val="auto"/>
                <w:sz w:val="24"/>
                <w:szCs w:val="24"/>
              </w:rPr>
              <w:t>市环境管控单元位置关系如下：</w:t>
            </w:r>
          </w:p>
          <w:p>
            <w:pPr>
              <w:widowControl/>
              <w:adjustRightInd w:val="0"/>
              <w:snapToGrid w:val="0"/>
              <w:spacing w:line="360" w:lineRule="auto"/>
              <w:jc w:val="center"/>
              <w:rPr>
                <w:rFonts w:hint="eastAsia"/>
                <w:bCs/>
                <w:color w:val="auto"/>
                <w:szCs w:val="21"/>
              </w:rPr>
            </w:pPr>
            <w:r>
              <w:rPr>
                <w:color w:val="auto"/>
              </w:rPr>
              <mc:AlternateContent>
                <mc:Choice Requires="wps">
                  <w:drawing>
                    <wp:anchor distT="0" distB="0" distL="114300" distR="114300" simplePos="0" relativeHeight="251664384" behindDoc="0" locked="0" layoutInCell="1" allowOverlap="1">
                      <wp:simplePos x="0" y="0"/>
                      <wp:positionH relativeFrom="column">
                        <wp:posOffset>1048385</wp:posOffset>
                      </wp:positionH>
                      <wp:positionV relativeFrom="paragraph">
                        <wp:posOffset>1337945</wp:posOffset>
                      </wp:positionV>
                      <wp:extent cx="916940" cy="278765"/>
                      <wp:effectExtent l="6350" t="6350" r="715010" b="819785"/>
                      <wp:wrapNone/>
                      <wp:docPr id="28" name="矩形标注 4"/>
                      <wp:cNvGraphicFramePr/>
                      <a:graphic xmlns:a="http://schemas.openxmlformats.org/drawingml/2006/main">
                        <a:graphicData uri="http://schemas.microsoft.com/office/word/2010/wordprocessingShape">
                          <wps:wsp>
                            <wps:cNvSpPr/>
                            <wps:spPr>
                              <a:xfrm>
                                <a:off x="0" y="0"/>
                                <a:ext cx="916940" cy="278765"/>
                              </a:xfrm>
                              <a:prstGeom prst="wedgeRectCallout">
                                <a:avLst>
                                  <a:gd name="adj1" fmla="val 122921"/>
                                  <a:gd name="adj2" fmla="val 330412"/>
                                </a:avLst>
                              </a:prstGeom>
                              <a:noFill/>
                              <a:ln w="12700" cap="flat" cmpd="sng">
                                <a:solidFill>
                                  <a:srgbClr val="FF0000"/>
                                </a:solidFill>
                                <a:prstDash val="solid"/>
                                <a:miter/>
                                <a:headEnd type="none" w="med" len="med"/>
                                <a:tailEnd type="none" w="med" len="med"/>
                              </a:ln>
                            </wps:spPr>
                            <wps:txbx>
                              <w:txbxContent>
                                <w:p>
                                  <w:pPr>
                                    <w:jc w:val="center"/>
                                    <w:rPr>
                                      <w:b/>
                                      <w:bCs/>
                                      <w:color w:val="0D0D0D"/>
                                      <w:szCs w:val="21"/>
                                    </w:rPr>
                                  </w:pPr>
                                  <w:r>
                                    <w:rPr>
                                      <w:rFonts w:hint="eastAsia"/>
                                      <w:b/>
                                      <w:bCs/>
                                      <w:color w:val="0D0D0D"/>
                                      <w:szCs w:val="21"/>
                                    </w:rPr>
                                    <w:t>本项目位置</w:t>
                                  </w:r>
                                </w:p>
                              </w:txbxContent>
                            </wps:txbx>
                            <wps:bodyPr wrap="square" anchor="ctr" anchorCtr="0" upright="1"/>
                          </wps:wsp>
                        </a:graphicData>
                      </a:graphic>
                    </wp:anchor>
                  </w:drawing>
                </mc:Choice>
                <mc:Fallback>
                  <w:pict>
                    <v:shape id="矩形标注 4" o:spid="_x0000_s1026" o:spt="61" type="#_x0000_t61" style="position:absolute;left:0pt;margin-left:82.55pt;margin-top:105.35pt;height:21.95pt;width:72.2pt;z-index:251664384;v-text-anchor:middle;mso-width-relative:page;mso-height-relative:page;" filled="f" stroked="t" coordsize="21600,21600" o:gfxdata="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AZpV2AAAAAsBAAAPAAAAAAAAAAEAIAAAACIAAABkcnMvZG93bnJldi54bWxQ&#10;SwECFAAUAAAACACHTuJAlsDFrTACAABBBAAADgAAAAAAAAABACAAAAAnAQAAZHJzL2Uyb0RvYy54&#10;bWxQSwUGAAAAAAYABgBZAQAAyQUAAAAA&#10;" adj="37351,82169">
                      <v:fill on="f" focussize="0,0"/>
                      <v:stroke weight="1pt" color="#FF0000" joinstyle="miter"/>
                      <v:imagedata o:title=""/>
                      <o:lock v:ext="edit" aspectratio="f"/>
                      <v:textbox>
                        <w:txbxContent>
                          <w:p>
                            <w:pPr>
                              <w:jc w:val="center"/>
                              <w:rPr>
                                <w:b/>
                                <w:bCs/>
                                <w:color w:val="0D0D0D"/>
                                <w:szCs w:val="21"/>
                              </w:rPr>
                            </w:pPr>
                            <w:r>
                              <w:rPr>
                                <w:rFonts w:hint="eastAsia"/>
                                <w:b/>
                                <w:bCs/>
                                <w:color w:val="0D0D0D"/>
                                <w:szCs w:val="21"/>
                              </w:rPr>
                              <w:t>本项目位置</w:t>
                            </w:r>
                          </w:p>
                        </w:txbxContent>
                      </v:textbox>
                    </v:shape>
                  </w:pict>
                </mc:Fallback>
              </mc:AlternateContent>
            </w:r>
            <w:r>
              <w:rPr>
                <w:color w:val="auto"/>
              </w:rPr>
              <mc:AlternateContent>
                <mc:Choice Requires="wps">
                  <w:drawing>
                    <wp:anchor distT="0" distB="0" distL="114300" distR="114300" simplePos="0" relativeHeight="251663360" behindDoc="0" locked="0" layoutInCell="1" allowOverlap="1">
                      <wp:simplePos x="0" y="0"/>
                      <wp:positionH relativeFrom="column">
                        <wp:posOffset>2641600</wp:posOffset>
                      </wp:positionH>
                      <wp:positionV relativeFrom="paragraph">
                        <wp:posOffset>2404110</wp:posOffset>
                      </wp:positionV>
                      <wp:extent cx="76200" cy="76200"/>
                      <wp:effectExtent l="13970" t="15875" r="24130" b="22225"/>
                      <wp:wrapNone/>
                      <wp:docPr id="27" name="自选图形 126"/>
                      <wp:cNvGraphicFramePr/>
                      <a:graphic xmlns:a="http://schemas.openxmlformats.org/drawingml/2006/main">
                        <a:graphicData uri="http://schemas.microsoft.com/office/word/2010/wordprocessingShape">
                          <wps:wsp>
                            <wps:cNvSpPr/>
                            <wps:spPr>
                              <a:xfrm>
                                <a:off x="0" y="0"/>
                                <a:ext cx="76200" cy="76200"/>
                              </a:xfrm>
                              <a:prstGeom prst="star5">
                                <a:avLst/>
                              </a:prstGeom>
                              <a:solidFill>
                                <a:srgbClr val="FF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126" o:spid="_x0000_s1026" style="position:absolute;left:0pt;margin-left:208pt;margin-top:189.3pt;height:6pt;width:6pt;z-index:251663360;mso-width-relative:page;mso-height-relative:page;" fillcolor="#FF0000" filled="t" stroked="t" coordsize="76200,76200" o:gfxdata="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t/e5tkAAAALAQAADwAAAAAAAAABACAAAAAiAAAAZHJzL2Rvd25yZXYueG1sUEsBAhQA&#10;FAAAAAgAh07iQAAxJT3xAQAA5QMAAA4AAAAAAAAAAQAgAAAAKAEAAGRycy9lMm9Eb2MueG1sUEsF&#10;BgAAAAAGAAYAWQEAAIsFAAAAAA==&#10;" path="m0,29105l29105,29105,38100,0,47094,29105,76199,29105,52652,47093,61647,76199,38100,58211,14552,76199,23547,47093xe">
                      <v:path o:connectlocs="38100,0;0,29105;14552,76199;61647,76199;76199,29105" o:connectangles="247,164,82,82,0"/>
                      <v:fill on="t" focussize="0,0"/>
                      <v:stroke color="#FF0000" joinstyle="miter"/>
                      <v:imagedata o:title=""/>
                      <o:lock v:ext="edit" aspectratio="f"/>
                    </v:shape>
                  </w:pict>
                </mc:Fallback>
              </mc:AlternateContent>
            </w:r>
            <w:r>
              <w:rPr>
                <w:color w:val="auto"/>
              </w:rPr>
              <w:drawing>
                <wp:inline distT="0" distB="0" distL="114300" distR="114300">
                  <wp:extent cx="4813935" cy="3395345"/>
                  <wp:effectExtent l="0" t="0" r="5715" b="14605"/>
                  <wp:docPr id="30"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5"/>
                          <pic:cNvPicPr>
                            <a:picLocks noChangeAspect="1"/>
                          </pic:cNvPicPr>
                        </pic:nvPicPr>
                        <pic:blipFill>
                          <a:blip r:embed="rId10"/>
                          <a:stretch>
                            <a:fillRect/>
                          </a:stretch>
                        </pic:blipFill>
                        <pic:spPr>
                          <a:xfrm>
                            <a:off x="0" y="0"/>
                            <a:ext cx="4813935" cy="33953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center"/>
              <w:textAlignment w:val="auto"/>
              <w:rPr>
                <w:b/>
                <w:color w:val="auto"/>
                <w:sz w:val="21"/>
                <w:szCs w:val="21"/>
              </w:rPr>
            </w:pPr>
            <w:r>
              <w:rPr>
                <w:b/>
                <w:color w:val="auto"/>
                <w:sz w:val="21"/>
                <w:szCs w:val="21"/>
              </w:rPr>
              <w:t xml:space="preserve">图1-2 </w:t>
            </w:r>
            <w:r>
              <w:rPr>
                <w:rFonts w:hint="eastAsia"/>
                <w:b/>
                <w:color w:val="auto"/>
                <w:sz w:val="21"/>
                <w:szCs w:val="21"/>
              </w:rPr>
              <w:t>本项目</w:t>
            </w:r>
            <w:r>
              <w:rPr>
                <w:rFonts w:hint="eastAsia" w:ascii="Times New Roman" w:hAnsi="Times New Roman" w:eastAsia="宋体" w:cs="Times New Roman"/>
                <w:b/>
                <w:color w:val="auto"/>
                <w:sz w:val="21"/>
                <w:szCs w:val="21"/>
              </w:rPr>
              <w:t>与</w:t>
            </w:r>
            <w:r>
              <w:rPr>
                <w:rFonts w:hint="eastAsia" w:ascii="Times New Roman" w:hAnsi="Times New Roman" w:eastAsia="宋体" w:cs="Times New Roman"/>
                <w:b/>
                <w:color w:val="auto"/>
                <w:sz w:val="21"/>
                <w:szCs w:val="21"/>
                <w:lang w:val="en-US" w:eastAsia="zh-CN"/>
              </w:rPr>
              <w:t>遂宁</w:t>
            </w:r>
            <w:r>
              <w:rPr>
                <w:rFonts w:ascii="Times New Roman" w:hAnsi="Times New Roman" w:eastAsia="宋体" w:cs="Times New Roman"/>
                <w:b/>
                <w:color w:val="auto"/>
                <w:sz w:val="21"/>
                <w:szCs w:val="21"/>
              </w:rPr>
              <w:t>市环境</w:t>
            </w:r>
            <w:r>
              <w:rPr>
                <w:b/>
                <w:color w:val="auto"/>
                <w:sz w:val="21"/>
                <w:szCs w:val="21"/>
              </w:rPr>
              <w:t>管控单元分布</w:t>
            </w:r>
            <w:r>
              <w:rPr>
                <w:rFonts w:hint="eastAsia"/>
                <w:b/>
                <w:color w:val="auto"/>
                <w:sz w:val="21"/>
                <w:szCs w:val="21"/>
              </w:rPr>
              <w:t>的位置关系</w:t>
            </w:r>
            <w:r>
              <w:rPr>
                <w:b/>
                <w:color w:val="auto"/>
                <w:sz w:val="21"/>
                <w:szCs w:val="21"/>
              </w:rPr>
              <w:t>图</w:t>
            </w:r>
          </w:p>
          <w:p>
            <w:pPr>
              <w:keepNext w:val="0"/>
              <w:keepLines w:val="0"/>
              <w:widowControl w:val="0"/>
              <w:suppressLineNumbers w:val="0"/>
              <w:snapToGrid w:val="0"/>
              <w:spacing w:before="6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0"/>
                <w:lang w:val="en-US" w:eastAsia="zh-CN" w:bidi="ar-SA"/>
              </w:rPr>
            </w:pPr>
            <w:r>
              <w:rPr>
                <w:rFonts w:hint="default" w:ascii="Times New Roman" w:hAnsi="Times New Roman" w:eastAsia="宋体" w:cs="Times New Roman"/>
                <w:color w:val="auto"/>
                <w:kern w:val="0"/>
                <w:sz w:val="24"/>
                <w:szCs w:val="20"/>
                <w:lang w:val="en-US" w:eastAsia="zh-CN" w:bidi="ar-SA"/>
              </w:rPr>
              <w:t>根据</w:t>
            </w:r>
            <w:r>
              <w:rPr>
                <w:rFonts w:hint="eastAsia" w:ascii="Times New Roman" w:hAnsi="Times New Roman" w:eastAsia="宋体" w:cs="Times New Roman"/>
                <w:color w:val="auto"/>
                <w:kern w:val="0"/>
                <w:sz w:val="24"/>
                <w:szCs w:val="20"/>
                <w:lang w:val="en-US" w:eastAsia="zh-CN" w:bidi="ar-SA"/>
              </w:rPr>
              <w:t>遂宁市</w:t>
            </w:r>
            <w:r>
              <w:rPr>
                <w:rFonts w:hint="default" w:ascii="Times New Roman" w:hAnsi="Times New Roman" w:eastAsia="宋体" w:cs="Times New Roman"/>
                <w:color w:val="auto"/>
                <w:kern w:val="0"/>
                <w:sz w:val="24"/>
                <w:szCs w:val="20"/>
                <w:lang w:val="en-US" w:eastAsia="zh-CN" w:bidi="ar-SA"/>
              </w:rPr>
              <w:t>综合环境管控单元分布图，</w:t>
            </w:r>
            <w:r>
              <w:rPr>
                <w:rFonts w:hint="eastAsia" w:ascii="Times New Roman" w:hAnsi="Times New Roman" w:eastAsia="宋体" w:cs="Times New Roman"/>
                <w:color w:val="auto"/>
                <w:kern w:val="0"/>
                <w:sz w:val="24"/>
                <w:szCs w:val="20"/>
                <w:lang w:val="en-US" w:eastAsia="zh-CN" w:bidi="ar-SA"/>
              </w:rPr>
              <w:t>本项目涉及工业重点管控单元</w:t>
            </w:r>
            <w:r>
              <w:rPr>
                <w:rFonts w:hint="default" w:ascii="Times New Roman" w:hAnsi="Times New Roman" w:eastAsia="宋体" w:cs="Times New Roman"/>
                <w:color w:val="auto"/>
                <w:kern w:val="0"/>
                <w:sz w:val="24"/>
                <w:szCs w:val="20"/>
                <w:lang w:val="en-US" w:eastAsia="zh-CN" w:bidi="ar-SA"/>
              </w:rPr>
              <w:t>。</w:t>
            </w:r>
            <w:r>
              <w:rPr>
                <w:rFonts w:hint="eastAsia" w:ascii="Times New Roman" w:hAnsi="Times New Roman" w:eastAsia="宋体" w:cs="Times New Roman"/>
                <w:color w:val="auto"/>
                <w:kern w:val="0"/>
                <w:sz w:val="24"/>
                <w:szCs w:val="20"/>
                <w:lang w:val="en-US" w:eastAsia="zh-CN" w:bidi="ar-SA"/>
              </w:rPr>
              <w:t>具体分析如下：</w:t>
            </w:r>
          </w:p>
          <w:p>
            <w:pPr>
              <w:keepNext w:val="0"/>
              <w:keepLines w:val="0"/>
              <w:pageBreakBefore w:val="0"/>
              <w:widowControl w:val="0"/>
              <w:suppressLineNumbers w:val="0"/>
              <w:kinsoku/>
              <w:wordWrap/>
              <w:overflowPunct/>
              <w:topLinePunct w:val="0"/>
              <w:autoSpaceDE/>
              <w:autoSpaceDN/>
              <w:bidi w:val="0"/>
              <w:adjustRightInd/>
              <w:snapToGrid w:val="0"/>
              <w:spacing w:before="6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表1-</w:t>
            </w:r>
            <w:r>
              <w:rPr>
                <w:rFonts w:hint="eastAsia" w:ascii="Times New Roman" w:hAnsi="Times New Roman" w:eastAsia="宋体"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 xml:space="preserve"> 项目</w:t>
            </w:r>
            <w:r>
              <w:rPr>
                <w:rFonts w:hint="eastAsia" w:ascii="Times New Roman" w:hAnsi="Times New Roman" w:eastAsia="宋体" w:cs="Times New Roman"/>
                <w:b/>
                <w:bCs/>
                <w:color w:val="auto"/>
                <w:kern w:val="0"/>
                <w:sz w:val="21"/>
                <w:szCs w:val="21"/>
                <w:lang w:val="en-US" w:eastAsia="zh-CN" w:bidi="ar-SA"/>
              </w:rPr>
              <w:t>与遂宁市生态环境分区管控要求符合性</w:t>
            </w:r>
            <w:r>
              <w:rPr>
                <w:rFonts w:hint="default" w:ascii="Times New Roman" w:hAnsi="Times New Roman" w:eastAsia="宋体" w:cs="Times New Roman"/>
                <w:b/>
                <w:bCs/>
                <w:color w:val="auto"/>
                <w:kern w:val="0"/>
                <w:sz w:val="21"/>
                <w:szCs w:val="21"/>
                <w:lang w:val="en-US" w:eastAsia="zh-CN" w:bidi="ar-SA"/>
              </w:rPr>
              <w:t>分析表</w:t>
            </w:r>
          </w:p>
          <w:tbl>
            <w:tblPr>
              <w:tblStyle w:val="37"/>
              <w:tblW w:w="75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3509"/>
              <w:gridCol w:w="2338"/>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0" w:type="dxa"/>
                  <w:noWrap w:val="0"/>
                  <w:vAlign w:val="center"/>
                </w:tcPr>
                <w:p>
                  <w:pPr>
                    <w:keepNext w:val="0"/>
                    <w:keepLines w:val="0"/>
                    <w:widowControl/>
                    <w:suppressLineNumbers w:val="0"/>
                    <w:spacing w:before="0" w:beforeAutospacing="0" w:after="0" w:afterAutospacing="0" w:line="240" w:lineRule="auto"/>
                    <w:ind w:left="-118" w:leftChars="-56" w:right="-99" w:rightChars="-47"/>
                    <w:jc w:val="center"/>
                    <w:rPr>
                      <w:rFonts w:hint="default" w:ascii="Times New Roman" w:hAnsi="Times New Roman" w:eastAsia="宋体" w:cs="Times New Roman"/>
                      <w:b/>
                      <w:bCs w:val="0"/>
                      <w:color w:val="auto"/>
                      <w:kern w:val="0"/>
                      <w:sz w:val="21"/>
                      <w:szCs w:val="21"/>
                      <w:vertAlign w:val="baseline"/>
                    </w:rPr>
                  </w:pPr>
                  <w:r>
                    <w:rPr>
                      <w:rFonts w:hint="eastAsia" w:ascii="Times New Roman" w:hAnsi="Times New Roman" w:eastAsia="宋体" w:cs="Times New Roman"/>
                      <w:b/>
                      <w:bCs w:val="0"/>
                      <w:color w:val="auto"/>
                      <w:kern w:val="0"/>
                      <w:sz w:val="21"/>
                      <w:szCs w:val="21"/>
                    </w:rPr>
                    <w:t>行政区划</w:t>
                  </w:r>
                </w:p>
              </w:tc>
              <w:tc>
                <w:tcPr>
                  <w:tcW w:w="3509" w:type="dxa"/>
                  <w:noWrap w:val="0"/>
                  <w:vAlign w:val="center"/>
                </w:tcPr>
                <w:p>
                  <w:pPr>
                    <w:keepNext w:val="0"/>
                    <w:keepLines w:val="0"/>
                    <w:widowControl/>
                    <w:suppressLineNumbers w:val="0"/>
                    <w:spacing w:before="0" w:beforeAutospacing="0" w:after="0" w:afterAutospacing="0" w:line="240" w:lineRule="auto"/>
                    <w:ind w:left="-88" w:leftChars="-42" w:right="-84" w:rightChars="-40"/>
                    <w:jc w:val="center"/>
                    <w:rPr>
                      <w:rFonts w:hint="default" w:ascii="Times New Roman" w:hAnsi="Times New Roman" w:eastAsia="宋体" w:cs="Times New Roman"/>
                      <w:b/>
                      <w:bCs w:val="0"/>
                      <w:color w:val="auto"/>
                      <w:kern w:val="0"/>
                      <w:sz w:val="21"/>
                      <w:szCs w:val="21"/>
                      <w:vertAlign w:val="baseline"/>
                    </w:rPr>
                  </w:pPr>
                  <w:r>
                    <w:rPr>
                      <w:rFonts w:hint="eastAsia" w:ascii="Times New Roman" w:hAnsi="Times New Roman" w:eastAsia="宋体" w:cs="Times New Roman"/>
                      <w:b/>
                      <w:bCs w:val="0"/>
                      <w:color w:val="auto"/>
                      <w:kern w:val="0"/>
                      <w:sz w:val="21"/>
                      <w:szCs w:val="21"/>
                    </w:rPr>
                    <w:t>生态环境管控要求</w:t>
                  </w:r>
                </w:p>
              </w:tc>
              <w:tc>
                <w:tcPr>
                  <w:tcW w:w="2338" w:type="dxa"/>
                  <w:noWrap w:val="0"/>
                  <w:vAlign w:val="center"/>
                </w:tcPr>
                <w:p>
                  <w:pPr>
                    <w:keepNext w:val="0"/>
                    <w:keepLines w:val="0"/>
                    <w:widowControl/>
                    <w:suppressLineNumbers w:val="0"/>
                    <w:spacing w:before="0" w:beforeAutospacing="0" w:after="0" w:afterAutospacing="0" w:line="240" w:lineRule="auto"/>
                    <w:ind w:left="-128" w:leftChars="-61" w:right="-107" w:rightChars="-51"/>
                    <w:jc w:val="center"/>
                    <w:rPr>
                      <w:rFonts w:hint="default" w:ascii="Times New Roman" w:hAnsi="Times New Roman" w:eastAsia="宋体" w:cs="Times New Roman"/>
                      <w:b/>
                      <w:bCs w:val="0"/>
                      <w:color w:val="auto"/>
                      <w:kern w:val="0"/>
                      <w:sz w:val="21"/>
                      <w:szCs w:val="21"/>
                      <w:vertAlign w:val="baseline"/>
                    </w:rPr>
                  </w:pPr>
                  <w:r>
                    <w:rPr>
                      <w:rFonts w:hint="eastAsia" w:ascii="Times New Roman" w:hAnsi="Times New Roman" w:eastAsia="宋体" w:cs="Times New Roman"/>
                      <w:b/>
                      <w:bCs w:val="0"/>
                      <w:color w:val="auto"/>
                      <w:kern w:val="0"/>
                      <w:sz w:val="21"/>
                      <w:szCs w:val="21"/>
                    </w:rPr>
                    <w:t>本项目情况</w:t>
                  </w:r>
                </w:p>
              </w:tc>
              <w:tc>
                <w:tcPr>
                  <w:tcW w:w="871" w:type="dxa"/>
                  <w:noWrap w:val="0"/>
                  <w:vAlign w:val="center"/>
                </w:tcPr>
                <w:p>
                  <w:pPr>
                    <w:keepNext w:val="0"/>
                    <w:keepLines w:val="0"/>
                    <w:widowControl/>
                    <w:suppressLineNumbers w:val="0"/>
                    <w:spacing w:before="0" w:beforeAutospacing="0" w:after="0" w:afterAutospacing="0" w:line="240" w:lineRule="auto"/>
                    <w:ind w:left="-122" w:leftChars="-58" w:right="-107" w:rightChars="-51"/>
                    <w:jc w:val="center"/>
                    <w:rPr>
                      <w:rFonts w:hint="default" w:ascii="Times New Roman" w:hAnsi="Times New Roman" w:eastAsia="宋体" w:cs="Times New Roman"/>
                      <w:b/>
                      <w:bCs w:val="0"/>
                      <w:color w:val="auto"/>
                      <w:kern w:val="0"/>
                      <w:sz w:val="21"/>
                      <w:szCs w:val="21"/>
                      <w:vertAlign w:val="baseline"/>
                    </w:rPr>
                  </w:pPr>
                  <w:r>
                    <w:rPr>
                      <w:rFonts w:hint="eastAsia" w:ascii="Times New Roman" w:hAnsi="Times New Roman" w:eastAsia="宋体" w:cs="Times New Roman"/>
                      <w:b/>
                      <w:bCs w:val="0"/>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6" w:hRule="atLeast"/>
                <w:jc w:val="center"/>
              </w:trPr>
              <w:tc>
                <w:tcPr>
                  <w:tcW w:w="88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遂宁市</w:t>
                  </w:r>
                </w:p>
              </w:tc>
              <w:tc>
                <w:tcPr>
                  <w:tcW w:w="3509"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pPr>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（2）锂电产业中锂离子电池行业引入，参考执行其行业资源环境绩效指标准入要求；</w:t>
                  </w:r>
                </w:p>
                <w:p>
                  <w:pPr>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（3）全市大气污染物排放执行《四川省生态环境厅关于执行大气污染物特别排放限值的公告》相关要求；</w:t>
                  </w:r>
                </w:p>
                <w:p>
                  <w:pPr>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（4）强化沿江化工企业与园区的污染治理与风险管控，细化突发环境事件风险管控措施，严控流域</w:t>
                  </w:r>
                  <w:r>
                    <w:rPr>
                      <w:rFonts w:hint="eastAsia" w:cs="Times New Roman"/>
                      <w:color w:val="auto"/>
                      <w:kern w:val="2"/>
                      <w:sz w:val="21"/>
                      <w:szCs w:val="21"/>
                      <w:lang w:val="en-US" w:eastAsia="zh-CN" w:bidi="ar-SA"/>
                    </w:rPr>
                    <w:t>性</w:t>
                  </w:r>
                  <w:r>
                    <w:rPr>
                      <w:rFonts w:hint="eastAsia" w:ascii="Times New Roman" w:hAnsi="Times New Roman" w:eastAsia="宋体" w:cs="Times New Roman"/>
                      <w:color w:val="auto"/>
                      <w:kern w:val="2"/>
                      <w:sz w:val="21"/>
                      <w:szCs w:val="21"/>
                      <w:lang w:val="en-US" w:eastAsia="zh-CN" w:bidi="ar-SA"/>
                    </w:rPr>
                    <w:t>环境风险;严格落实《生态环境部水利部关于建立跨省流域上下游突发水污染事件联防联控机制的指导意见》；</w:t>
                  </w:r>
                </w:p>
                <w:p>
                  <w:pPr>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（5）优化中心城区园区布局；</w:t>
                  </w:r>
                </w:p>
                <w:p>
                  <w:pPr>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（6）深化成都平原、川东北地区大气污染联防联控工作机制，加强川渝地区联防联控。强化重污染天气区域应急联动机制，深化区域重污染天气联合应对。</w:t>
                  </w:r>
                </w:p>
              </w:tc>
              <w:tc>
                <w:tcPr>
                  <w:tcW w:w="2338"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lang w:val="en-US" w:eastAsia="zh-CN" w:bidi="ar-SA"/>
                    </w:rPr>
                    <w:t>（1）（2）</w:t>
                  </w:r>
                  <w:r>
                    <w:rPr>
                      <w:rFonts w:hint="default" w:ascii="Times New Roman" w:hAnsi="Times New Roman" w:eastAsia="宋体" w:cs="Times New Roman"/>
                      <w:b w:val="0"/>
                      <w:bCs w:val="0"/>
                      <w:color w:val="auto"/>
                      <w:kern w:val="2"/>
                      <w:sz w:val="21"/>
                      <w:szCs w:val="21"/>
                      <w:lang w:val="en-US" w:eastAsia="zh-CN" w:bidi="ar-SA"/>
                    </w:rPr>
                    <w:t>本项目为石墨及碳素制品制造，</w:t>
                  </w:r>
                  <w:r>
                    <w:rPr>
                      <w:rFonts w:hint="default" w:ascii="Times New Roman" w:hAnsi="Times New Roman" w:eastAsia="宋体" w:cs="Times New Roman"/>
                      <w:color w:val="auto"/>
                      <w:kern w:val="2"/>
                      <w:sz w:val="21"/>
                      <w:szCs w:val="21"/>
                      <w:lang w:val="en-US" w:eastAsia="zh-CN" w:bidi="ar-SA"/>
                    </w:rPr>
                    <w:t>不涉及重点重金属排放，不属于电池行业；（3）本项目产生的大气污染物经治理后可以做到达标排放（4）</w:t>
                  </w:r>
                  <w:r>
                    <w:rPr>
                      <w:rStyle w:val="39"/>
                      <w:rFonts w:hint="default" w:ascii="Times New Roman" w:hAnsi="Times New Roman" w:eastAsia="宋体" w:cs="Times New Roman"/>
                      <w:color w:val="auto"/>
                      <w:kern w:val="2"/>
                      <w:sz w:val="21"/>
                      <w:szCs w:val="21"/>
                      <w:lang w:val="en-US" w:eastAsia="zh-CN" w:bidi="ar-SA"/>
                    </w:rPr>
                    <w:t>本项目</w:t>
                  </w:r>
                  <w:r>
                    <w:rPr>
                      <w:rFonts w:hint="eastAsia" w:ascii="Times New Roman" w:hAnsi="Times New Roman" w:eastAsia="宋体" w:cs="Times New Roman"/>
                      <w:color w:val="auto"/>
                      <w:sz w:val="21"/>
                      <w:szCs w:val="21"/>
                      <w:lang w:val="en-US" w:eastAsia="zh-CN"/>
                    </w:rPr>
                    <w:t>产生的碱喷淋废水经酸碱中和预处理后，</w:t>
                  </w:r>
                  <w:r>
                    <w:rPr>
                      <w:rFonts w:hint="eastAsia" w:cs="Times New Roman"/>
                      <w:color w:val="auto"/>
                      <w:sz w:val="21"/>
                      <w:szCs w:val="21"/>
                      <w:lang w:val="en-US" w:eastAsia="zh-CN"/>
                    </w:rPr>
                    <w:t>和</w:t>
                  </w:r>
                  <w:r>
                    <w:rPr>
                      <w:rFonts w:hint="eastAsia" w:ascii="Times New Roman" w:hAnsi="Times New Roman" w:eastAsia="宋体" w:cs="Times New Roman"/>
                      <w:color w:val="auto"/>
                      <w:sz w:val="21"/>
                      <w:szCs w:val="21"/>
                      <w:lang w:val="en-US" w:eastAsia="zh-CN"/>
                    </w:rPr>
                    <w:t>生活污水一起排入四川翔丰华新能源材料有限公司已建4#预处理池处理后排入园区污水管网</w:t>
                  </w:r>
                  <w:r>
                    <w:rPr>
                      <w:rStyle w:val="39"/>
                      <w:rFonts w:hint="default" w:ascii="Times New Roman" w:hAnsi="Times New Roman" w:eastAsia="宋体" w:cs="Times New Roman"/>
                      <w:color w:val="auto"/>
                      <w:kern w:val="2"/>
                      <w:sz w:val="21"/>
                      <w:szCs w:val="21"/>
                      <w:lang w:val="en-US" w:eastAsia="zh-CN" w:bidi="ar-SA"/>
                    </w:rPr>
                    <w:t>，项目所在区域不涉及饮用水水源和其他特殊水体；（5）（6）本</w:t>
                  </w:r>
                  <w:r>
                    <w:rPr>
                      <w:rFonts w:hint="default" w:ascii="Times New Roman" w:hAnsi="Times New Roman" w:eastAsia="宋体" w:cs="Times New Roman"/>
                      <w:color w:val="auto"/>
                      <w:sz w:val="21"/>
                      <w:szCs w:val="21"/>
                      <w:lang w:val="en-US" w:eastAsia="zh-CN"/>
                    </w:rPr>
                    <w:t>项目符合</w:t>
                  </w:r>
                  <w:r>
                    <w:rPr>
                      <w:rFonts w:hint="default" w:ascii="Times New Roman" w:hAnsi="Times New Roman" w:eastAsia="宋体" w:cs="Times New Roman"/>
                      <w:color w:val="auto"/>
                      <w:lang w:val="en-US" w:eastAsia="zh-CN"/>
                    </w:rPr>
                    <w:t>遂宁市总</w:t>
                  </w:r>
                  <w:r>
                    <w:rPr>
                      <w:rFonts w:hint="eastAsia" w:ascii="Times New Roman" w:hAnsi="Times New Roman" w:eastAsia="宋体" w:cs="Times New Roman"/>
                      <w:color w:val="auto"/>
                      <w:lang w:val="en-US" w:eastAsia="zh-CN"/>
                    </w:rPr>
                    <w:t>体生态环境管控要求</w:t>
                  </w:r>
                </w:p>
              </w:tc>
              <w:tc>
                <w:tcPr>
                  <w:tcW w:w="871"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3" w:hRule="atLeast"/>
                <w:jc w:val="center"/>
              </w:trPr>
              <w:tc>
                <w:tcPr>
                  <w:tcW w:w="880"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蓬溪县</w:t>
                  </w:r>
                </w:p>
              </w:tc>
              <w:tc>
                <w:tcPr>
                  <w:tcW w:w="3509" w:type="dxa"/>
                  <w:noWrap w:val="0"/>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（1）实施化肥、农药使用“零增长”行动。加大农作物秸秆禁烧及综合利用力度；</w:t>
                  </w:r>
                </w:p>
                <w:p>
                  <w:pPr>
                    <w:keepNext w:val="0"/>
                    <w:keepLines w:val="0"/>
                    <w:widowControl/>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（2）加快完善城乡生态环境保护设施建设；</w:t>
                  </w:r>
                </w:p>
                <w:p>
                  <w:pPr>
                    <w:keepNext w:val="0"/>
                    <w:keepLines w:val="0"/>
                    <w:widowControl/>
                    <w:suppressLineNumbers w:val="0"/>
                    <w:adjustRightInd w:val="0"/>
                    <w:snapToGrid w:val="0"/>
                    <w:spacing w:before="0" w:beforeAutospacing="0" w:after="0" w:afterAutospacing="0" w:line="240" w:lineRule="auto"/>
                    <w:ind w:left="0" w:right="0" w:firstLine="0" w:firstLineChars="0"/>
                    <w:jc w:val="left"/>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（3）保障下游河流的生态用水需求，有效推动河流水质持续改善。</w:t>
                  </w:r>
                </w:p>
              </w:tc>
              <w:tc>
                <w:tcPr>
                  <w:tcW w:w="2338"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lang w:val="en-US" w:eastAsia="zh-CN" w:bidi="ar-SA"/>
                    </w:rPr>
                    <w:t>（1）</w:t>
                  </w:r>
                  <w:r>
                    <w:rPr>
                      <w:rFonts w:hint="default" w:ascii="Times New Roman" w:hAnsi="Times New Roman" w:eastAsia="宋体" w:cs="Times New Roman"/>
                      <w:b w:val="0"/>
                      <w:bCs w:val="0"/>
                      <w:color w:val="auto"/>
                      <w:kern w:val="2"/>
                      <w:sz w:val="21"/>
                      <w:szCs w:val="21"/>
                      <w:lang w:val="en-US" w:eastAsia="zh-CN" w:bidi="ar-SA"/>
                    </w:rPr>
                    <w:t>本项目为石墨及碳素制品制造，</w:t>
                  </w:r>
                  <w:r>
                    <w:rPr>
                      <w:rFonts w:hint="default" w:ascii="Times New Roman" w:hAnsi="Times New Roman" w:eastAsia="宋体" w:cs="Times New Roman"/>
                      <w:color w:val="auto"/>
                      <w:kern w:val="2"/>
                      <w:sz w:val="21"/>
                      <w:szCs w:val="21"/>
                      <w:lang w:val="en-US" w:eastAsia="zh-CN" w:bidi="ar-SA"/>
                    </w:rPr>
                    <w:t>不涉及</w:t>
                  </w:r>
                  <w:r>
                    <w:rPr>
                      <w:rFonts w:hint="eastAsia" w:ascii="Times New Roman" w:hAnsi="Times New Roman" w:eastAsia="宋体" w:cs="Times New Roman"/>
                      <w:color w:val="auto"/>
                      <w:kern w:val="2"/>
                      <w:sz w:val="21"/>
                      <w:szCs w:val="21"/>
                      <w:lang w:val="en-US" w:eastAsia="zh-CN" w:bidi="ar-SA"/>
                    </w:rPr>
                    <w:t>化肥、农药使用；（2）本项目不属于</w:t>
                  </w:r>
                  <w:r>
                    <w:rPr>
                      <w:rFonts w:hint="default" w:ascii="Times New Roman" w:hAnsi="Times New Roman" w:eastAsia="宋体" w:cs="Times New Roman"/>
                      <w:color w:val="auto"/>
                    </w:rPr>
                    <w:t>城乡生态环境保护设施建设</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Style w:val="39"/>
                      <w:rFonts w:hint="default" w:ascii="Times New Roman" w:hAnsi="Times New Roman" w:eastAsia="宋体" w:cs="Times New Roman"/>
                      <w:color w:val="auto"/>
                      <w:kern w:val="2"/>
                      <w:sz w:val="21"/>
                      <w:szCs w:val="21"/>
                      <w:lang w:val="en-US" w:eastAsia="zh-CN" w:bidi="ar-SA"/>
                    </w:rPr>
                    <w:t>本项目</w:t>
                  </w:r>
                  <w:r>
                    <w:rPr>
                      <w:rFonts w:hint="eastAsia" w:ascii="Times New Roman" w:hAnsi="Times New Roman" w:eastAsia="宋体" w:cs="Times New Roman"/>
                      <w:color w:val="auto"/>
                      <w:sz w:val="21"/>
                      <w:szCs w:val="21"/>
                      <w:lang w:val="en-US" w:eastAsia="zh-CN"/>
                    </w:rPr>
                    <w:t>产生的碱喷淋废水经酸碱中和预处理后，</w:t>
                  </w:r>
                  <w:r>
                    <w:rPr>
                      <w:rFonts w:hint="eastAsia" w:cs="Times New Roman"/>
                      <w:color w:val="auto"/>
                      <w:sz w:val="21"/>
                      <w:szCs w:val="21"/>
                      <w:lang w:val="en-US" w:eastAsia="zh-CN"/>
                    </w:rPr>
                    <w:t>和</w:t>
                  </w:r>
                  <w:r>
                    <w:rPr>
                      <w:rFonts w:hint="eastAsia" w:ascii="Times New Roman" w:hAnsi="Times New Roman" w:eastAsia="宋体" w:cs="Times New Roman"/>
                      <w:color w:val="auto"/>
                      <w:sz w:val="21"/>
                      <w:szCs w:val="21"/>
                      <w:lang w:val="en-US" w:eastAsia="zh-CN"/>
                    </w:rPr>
                    <w:t>生活污水一起排入四川翔丰华新能源材料有限公司已建4#预处理池处理后排入园区污水管网</w:t>
                  </w:r>
                  <w:r>
                    <w:rPr>
                      <w:rStyle w:val="39"/>
                      <w:rFonts w:hint="default" w:ascii="Times New Roman" w:hAnsi="Times New Roman" w:eastAsia="宋体" w:cs="Times New Roman"/>
                      <w:color w:val="auto"/>
                      <w:kern w:val="2"/>
                      <w:sz w:val="21"/>
                      <w:szCs w:val="21"/>
                      <w:lang w:val="en-US" w:eastAsia="zh-CN" w:bidi="ar-SA"/>
                    </w:rPr>
                    <w:t>，项目所在区域不涉及饮用水水源和其他特殊水体</w:t>
                  </w:r>
                </w:p>
              </w:tc>
              <w:tc>
                <w:tcPr>
                  <w:tcW w:w="871" w:type="dxa"/>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bl>
          <w:p>
            <w:pPr>
              <w:keepNext w:val="0"/>
              <w:keepLines w:val="0"/>
              <w:pageBreakBefore w:val="0"/>
              <w:kinsoku/>
              <w:wordWrap/>
              <w:overflowPunct/>
              <w:topLinePunct w:val="0"/>
              <w:autoSpaceDE/>
              <w:autoSpaceDN/>
              <w:bidi w:val="0"/>
              <w:spacing w:line="360" w:lineRule="auto"/>
              <w:ind w:firstLine="482"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b/>
                <w:bCs/>
                <w:color w:val="auto"/>
                <w:kern w:val="0"/>
                <w:sz w:val="24"/>
                <w:szCs w:val="20"/>
                <w:lang w:val="en-US" w:eastAsia="zh-CN" w:bidi="ar-SA"/>
              </w:rPr>
              <w:t>（3）项目与生态环境分区管控单元符合性分析</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1"/>
                <w:sz w:val="24"/>
                <w:szCs w:val="24"/>
                <w:lang w:val="en-US" w:eastAsia="zh-CN"/>
              </w:rPr>
            </w:pPr>
            <w:r>
              <w:rPr>
                <w:rFonts w:ascii="Times New Roman" w:hAnsi="Times New Roman" w:eastAsia="宋体" w:cs="Times New Roman"/>
                <w:color w:val="auto"/>
                <w:sz w:val="24"/>
                <w:szCs w:val="24"/>
              </w:rPr>
              <w:t>本项目位于</w:t>
            </w:r>
            <w:r>
              <w:rPr>
                <w:rFonts w:hint="eastAsia" w:ascii="Times New Roman" w:hAnsi="Times New Roman" w:eastAsia="宋体" w:cs="Times New Roman"/>
                <w:color w:val="auto"/>
                <w:sz w:val="24"/>
                <w:szCs w:val="24"/>
                <w:lang w:eastAsia="zh-CN"/>
              </w:rPr>
              <w:t>四川省遂宁市蓬溪县金桥镇创业四支路1号</w:t>
            </w:r>
            <w:r>
              <w:rPr>
                <w:rFonts w:hint="eastAsia" w:ascii="Times New Roman" w:hAnsi="Times New Roman" w:eastAsia="宋体" w:cs="Times New Roman"/>
                <w:color w:val="auto"/>
                <w:sz w:val="24"/>
                <w:szCs w:val="24"/>
                <w:lang w:val="en-US" w:eastAsia="zh-CN"/>
              </w:rPr>
              <w:t>，</w:t>
            </w:r>
            <w:r>
              <w:rPr>
                <w:rFonts w:ascii="Times New Roman" w:hAnsi="Times New Roman" w:eastAsia="宋体" w:cs="Times New Roman"/>
                <w:color w:val="auto"/>
                <w:kern w:val="21"/>
                <w:sz w:val="24"/>
                <w:szCs w:val="24"/>
              </w:rPr>
              <w:t>位于</w:t>
            </w:r>
            <w:r>
              <w:rPr>
                <w:rFonts w:hint="eastAsia" w:ascii="Times New Roman" w:hAnsi="Times New Roman" w:eastAsia="宋体" w:cs="Times New Roman"/>
                <w:color w:val="auto"/>
                <w:kern w:val="21"/>
                <w:sz w:val="24"/>
                <w:szCs w:val="24"/>
                <w:lang w:eastAsia="zh-CN"/>
              </w:rPr>
              <w:t>四川蓬溪经济开发区（金桥片</w:t>
            </w:r>
            <w:r>
              <w:rPr>
                <w:rFonts w:hint="eastAsia" w:ascii="Times New Roman" w:hAnsi="Times New Roman" w:eastAsia="宋体" w:cs="Times New Roman"/>
                <w:color w:val="auto"/>
                <w:kern w:val="21"/>
                <w:sz w:val="24"/>
                <w:szCs w:val="24"/>
                <w:lang w:val="en-US" w:eastAsia="zh-CN"/>
              </w:rPr>
              <w:t>区</w:t>
            </w:r>
            <w:r>
              <w:rPr>
                <w:rFonts w:hint="eastAsia" w:ascii="Times New Roman" w:hAnsi="Times New Roman" w:eastAsia="宋体" w:cs="Times New Roman"/>
                <w:color w:val="auto"/>
                <w:kern w:val="21"/>
                <w:sz w:val="24"/>
                <w:szCs w:val="24"/>
                <w:lang w:eastAsia="zh-CN"/>
              </w:rPr>
              <w:t>）</w:t>
            </w:r>
            <w:r>
              <w:rPr>
                <w:rFonts w:ascii="Times New Roman" w:hAnsi="Times New Roman" w:eastAsia="宋体" w:cs="Times New Roman"/>
                <w:color w:val="auto"/>
                <w:kern w:val="21"/>
                <w:sz w:val="24"/>
                <w:szCs w:val="24"/>
              </w:rPr>
              <w:t>（管控单元名称：</w:t>
            </w:r>
            <w:r>
              <w:rPr>
                <w:rFonts w:hint="eastAsia" w:ascii="Times New Roman" w:hAnsi="Times New Roman" w:eastAsia="宋体" w:cs="Times New Roman"/>
                <w:color w:val="auto"/>
                <w:kern w:val="21"/>
                <w:sz w:val="24"/>
                <w:szCs w:val="24"/>
                <w:lang w:eastAsia="zh-CN"/>
              </w:rPr>
              <w:t>四川蓬溪经济开发区（金桥片</w:t>
            </w:r>
            <w:r>
              <w:rPr>
                <w:rFonts w:hint="eastAsia" w:ascii="Times New Roman" w:hAnsi="Times New Roman" w:eastAsia="宋体" w:cs="Times New Roman"/>
                <w:color w:val="auto"/>
                <w:kern w:val="21"/>
                <w:sz w:val="24"/>
                <w:szCs w:val="24"/>
                <w:lang w:val="en-US" w:eastAsia="zh-CN"/>
              </w:rPr>
              <w:t>区</w:t>
            </w:r>
            <w:r>
              <w:rPr>
                <w:rFonts w:hint="eastAsia" w:ascii="Times New Roman" w:hAnsi="Times New Roman" w:eastAsia="宋体" w:cs="Times New Roman"/>
                <w:color w:val="auto"/>
                <w:kern w:val="21"/>
                <w:sz w:val="24"/>
                <w:szCs w:val="24"/>
                <w:lang w:eastAsia="zh-CN"/>
              </w:rPr>
              <w:t>）</w:t>
            </w:r>
            <w:r>
              <w:rPr>
                <w:rFonts w:hint="default" w:ascii="Times New Roman" w:hAnsi="Times New Roman" w:eastAsia="宋体" w:cs="Times New Roman"/>
                <w:color w:val="auto"/>
                <w:kern w:val="21"/>
                <w:sz w:val="24"/>
                <w:szCs w:val="24"/>
              </w:rPr>
              <w:t>，管控单元编号：ZH51092120003</w:t>
            </w:r>
            <w:r>
              <w:rPr>
                <w:rFonts w:ascii="Times New Roman" w:hAnsi="Times New Roman" w:eastAsia="宋体" w:cs="Times New Roman"/>
                <w:color w:val="auto"/>
                <w:kern w:val="21"/>
                <w:sz w:val="24"/>
                <w:szCs w:val="24"/>
              </w:rPr>
              <w:t>），经</w:t>
            </w:r>
            <w:r>
              <w:rPr>
                <w:color w:val="auto"/>
                <w:kern w:val="21"/>
                <w:sz w:val="24"/>
                <w:szCs w:val="24"/>
              </w:rPr>
              <w:t>四川政务服务中心—“生态环境</w:t>
            </w:r>
            <w:r>
              <w:rPr>
                <w:rFonts w:hint="default" w:ascii="Times New Roman" w:hAnsi="Times New Roman" w:eastAsia="宋体" w:cs="Times New Roman"/>
                <w:color w:val="auto"/>
                <w:kern w:val="21"/>
                <w:sz w:val="24"/>
                <w:szCs w:val="24"/>
              </w:rPr>
              <w:t>分区管控符合性分析”平台查询，项目所在区域涉及的管控单元如下。</w:t>
            </w:r>
            <w:r>
              <w:rPr>
                <w:rFonts w:hint="eastAsia" w:ascii="Times New Roman" w:hAnsi="Times New Roman" w:eastAsia="宋体" w:cs="Times New Roman"/>
                <w:color w:val="auto"/>
                <w:kern w:val="21"/>
                <w:sz w:val="24"/>
                <w:szCs w:val="24"/>
                <w:lang w:val="en-US" w:eastAsia="zh-CN"/>
              </w:rPr>
              <w:t>项目</w:t>
            </w:r>
            <w:r>
              <w:rPr>
                <w:rFonts w:hint="default" w:ascii="Times New Roman" w:hAnsi="Times New Roman" w:eastAsia="宋体" w:cs="Times New Roman"/>
                <w:color w:val="auto"/>
                <w:kern w:val="21"/>
                <w:sz w:val="24"/>
                <w:szCs w:val="24"/>
                <w:lang w:val="en-US" w:eastAsia="zh-CN"/>
              </w:rPr>
              <w:t>位置与生态环境</w:t>
            </w:r>
            <w:r>
              <w:rPr>
                <w:rFonts w:hint="eastAsia" w:ascii="Times New Roman" w:hAnsi="Times New Roman" w:eastAsia="宋体" w:cs="Times New Roman"/>
                <w:color w:val="auto"/>
                <w:kern w:val="21"/>
                <w:sz w:val="24"/>
                <w:szCs w:val="24"/>
                <w:lang w:val="en-US" w:eastAsia="zh-CN"/>
              </w:rPr>
              <w:t>管控单元的位置关系如下：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21"/>
                <w:sz w:val="24"/>
                <w:szCs w:val="24"/>
                <w:lang w:val="en-US" w:eastAsia="zh-CN"/>
              </w:rPr>
            </w:pPr>
            <w:r>
              <w:rPr>
                <w:color w:val="auto"/>
              </w:rPr>
              <w:drawing>
                <wp:inline distT="0" distB="0" distL="114300" distR="114300">
                  <wp:extent cx="3286125" cy="3836035"/>
                  <wp:effectExtent l="0" t="0" r="9525" b="12065"/>
                  <wp:docPr id="31"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8"/>
                          <pic:cNvPicPr>
                            <a:picLocks noChangeAspect="1"/>
                          </pic:cNvPicPr>
                        </pic:nvPicPr>
                        <pic:blipFill>
                          <a:blip r:embed="rId11"/>
                          <a:stretch>
                            <a:fillRect/>
                          </a:stretch>
                        </pic:blipFill>
                        <pic:spPr>
                          <a:xfrm>
                            <a:off x="0" y="0"/>
                            <a:ext cx="3286125" cy="38360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kern w:val="21"/>
                <w:sz w:val="24"/>
                <w:szCs w:val="24"/>
                <w:lang w:val="en-US" w:eastAsia="zh-CN"/>
              </w:rPr>
            </w:pPr>
            <w:r>
              <w:rPr>
                <w:rFonts w:hint="default" w:ascii="Times New Roman" w:hAnsi="Times New Roman" w:eastAsia="宋体" w:cs="Times New Roman"/>
                <w:color w:val="auto"/>
                <w:kern w:val="21"/>
                <w:sz w:val="24"/>
                <w:szCs w:val="24"/>
                <w:lang w:val="en-US" w:eastAsia="zh-CN"/>
              </w:rPr>
              <w:drawing>
                <wp:inline distT="0" distB="0" distL="114300" distR="114300">
                  <wp:extent cx="4787900" cy="2153285"/>
                  <wp:effectExtent l="0" t="0" r="12700" b="18415"/>
                  <wp:docPr id="32" name="图片 206"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6" descr="地图"/>
                          <pic:cNvPicPr>
                            <a:picLocks noChangeAspect="1"/>
                          </pic:cNvPicPr>
                        </pic:nvPicPr>
                        <pic:blipFill>
                          <a:blip r:embed="rId12"/>
                          <a:stretch>
                            <a:fillRect/>
                          </a:stretch>
                        </pic:blipFill>
                        <pic:spPr>
                          <a:xfrm>
                            <a:off x="0" y="0"/>
                            <a:ext cx="4787900" cy="215328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color w:val="auto"/>
                <w:kern w:val="21"/>
                <w:sz w:val="24"/>
                <w:szCs w:val="24"/>
                <w:lang w:val="en-US" w:eastAsia="zh-CN"/>
              </w:rPr>
            </w:pPr>
            <w:r>
              <w:rPr>
                <w:rFonts w:hint="default" w:ascii="Times New Roman" w:hAnsi="Times New Roman" w:eastAsia="宋体" w:cs="Times New Roman"/>
                <w:color w:val="auto"/>
                <w:kern w:val="21"/>
                <w:sz w:val="24"/>
                <w:szCs w:val="24"/>
                <w:lang w:val="en-US" w:eastAsia="zh-CN"/>
              </w:rPr>
              <w:t>该项目</w:t>
            </w:r>
            <w:r>
              <w:rPr>
                <w:rFonts w:hint="eastAsia" w:ascii="Times New Roman" w:hAnsi="Times New Roman" w:eastAsia="宋体" w:cs="Times New Roman"/>
                <w:color w:val="auto"/>
                <w:kern w:val="21"/>
                <w:sz w:val="24"/>
                <w:szCs w:val="24"/>
                <w:lang w:val="en-US" w:eastAsia="zh-CN"/>
              </w:rPr>
              <w:t>涉及的生态环境管控单元有1个</w:t>
            </w:r>
            <w:r>
              <w:rPr>
                <w:rFonts w:hint="default" w:ascii="Times New Roman" w:hAnsi="Times New Roman" w:eastAsia="宋体" w:cs="Times New Roman"/>
                <w:color w:val="auto"/>
                <w:kern w:val="21"/>
                <w:sz w:val="24"/>
                <w:szCs w:val="24"/>
                <w:lang w:val="en-US" w:eastAsia="zh-CN"/>
              </w:rPr>
              <w:t>，详见</w:t>
            </w:r>
            <w:r>
              <w:rPr>
                <w:rFonts w:hint="eastAsia" w:ascii="Times New Roman" w:hAnsi="Times New Roman" w:eastAsia="宋体" w:cs="Times New Roman"/>
                <w:color w:val="auto"/>
                <w:kern w:val="21"/>
                <w:sz w:val="24"/>
                <w:szCs w:val="24"/>
                <w:lang w:val="en-US" w:eastAsia="zh-CN"/>
              </w:rPr>
              <w:t>下表。</w:t>
            </w:r>
          </w:p>
          <w:p>
            <w:pPr>
              <w:pStyle w:val="175"/>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eastAsia"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 xml:space="preserve"> 项目涉</w:t>
            </w:r>
            <w:r>
              <w:rPr>
                <w:rFonts w:hint="default" w:ascii="Times New Roman" w:hAnsi="Times New Roman" w:eastAsia="宋体" w:cs="Times New Roman"/>
                <w:b/>
                <w:bCs/>
                <w:color w:val="auto"/>
                <w:sz w:val="21"/>
                <w:szCs w:val="21"/>
              </w:rPr>
              <w:t>及的</w:t>
            </w:r>
            <w:r>
              <w:rPr>
                <w:rFonts w:hint="default" w:ascii="Times New Roman" w:hAnsi="Times New Roman" w:eastAsia="宋体" w:cs="Times New Roman"/>
                <w:b/>
                <w:bCs/>
                <w:color w:val="auto"/>
                <w:sz w:val="21"/>
                <w:szCs w:val="21"/>
                <w:lang w:val="en-US" w:eastAsia="zh-CN"/>
              </w:rPr>
              <w:t>生态环境管控单元情</w:t>
            </w:r>
            <w:r>
              <w:rPr>
                <w:rFonts w:hint="default" w:ascii="Times New Roman" w:hAnsi="Times New Roman" w:cs="Times New Roman"/>
                <w:b/>
                <w:bCs/>
                <w:color w:val="auto"/>
                <w:sz w:val="21"/>
                <w:szCs w:val="21"/>
              </w:rPr>
              <w:t>况表</w:t>
            </w:r>
          </w:p>
          <w:tbl>
            <w:tblPr>
              <w:tblStyle w:val="36"/>
              <w:tblW w:w="75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700"/>
              <w:gridCol w:w="2220"/>
              <w:gridCol w:w="2265"/>
              <w:gridCol w:w="930"/>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trHeight w:val="340" w:hRule="atLeast"/>
                <w:tblHeader/>
                <w:jc w:val="center"/>
              </w:trPr>
              <w:tc>
                <w:tcPr>
                  <w:tcW w:w="700" w:type="dxa"/>
                  <w:noWrap w:val="0"/>
                  <w:vAlign w:val="center"/>
                </w:tcPr>
                <w:p>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2220" w:type="dxa"/>
                  <w:noWrap w:val="0"/>
                  <w:vAlign w:val="center"/>
                </w:tcPr>
                <w:p>
                  <w:pPr>
                    <w:widowControl/>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lang w:val="en-US" w:eastAsia="zh-CN"/>
                    </w:rPr>
                    <w:t>涉及环境管控单元名称</w:t>
                  </w:r>
                </w:p>
              </w:tc>
              <w:tc>
                <w:tcPr>
                  <w:tcW w:w="2265" w:type="dxa"/>
                  <w:noWrap w:val="0"/>
                  <w:vAlign w:val="center"/>
                </w:tcPr>
                <w:p>
                  <w:pPr>
                    <w:widowControl/>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lang w:val="en-US" w:eastAsia="zh-CN"/>
                    </w:rPr>
                    <w:t>涉及环境管控单元编码</w:t>
                  </w:r>
                </w:p>
              </w:tc>
              <w:tc>
                <w:tcPr>
                  <w:tcW w:w="930" w:type="dxa"/>
                  <w:noWrap w:val="0"/>
                  <w:vAlign w:val="center"/>
                </w:tcPr>
                <w:p>
                  <w:pPr>
                    <w:widowControl/>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行政区划</w:t>
                  </w:r>
                </w:p>
              </w:tc>
              <w:tc>
                <w:tcPr>
                  <w:tcW w:w="1455" w:type="dxa"/>
                  <w:noWrap w:val="0"/>
                  <w:vAlign w:val="center"/>
                </w:tcPr>
                <w:p>
                  <w:pPr>
                    <w:widowControl/>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lang w:val="en-US" w:eastAsia="zh-CN"/>
                    </w:rPr>
                    <w:t>环境管控单元类型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cantSplit/>
                <w:trHeight w:val="340" w:hRule="atLeast"/>
                <w:tblHeader/>
                <w:jc w:val="center"/>
              </w:trPr>
              <w:tc>
                <w:tcPr>
                  <w:tcW w:w="700" w:type="dxa"/>
                  <w:noWrap w:val="0"/>
                  <w:vAlign w:val="center"/>
                </w:tcPr>
                <w:p>
                  <w:pPr>
                    <w:pStyle w:val="159"/>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2220" w:type="dxa"/>
                  <w:noWrap w:val="0"/>
                  <w:vAlign w:val="center"/>
                </w:tcPr>
                <w:p>
                  <w:pPr>
                    <w:pStyle w:val="159"/>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1"/>
                      <w:sz w:val="21"/>
                      <w:szCs w:val="21"/>
                    </w:rPr>
                    <w:t>ZH51092120003</w:t>
                  </w:r>
                </w:p>
              </w:tc>
              <w:tc>
                <w:tcPr>
                  <w:tcW w:w="2265" w:type="dxa"/>
                  <w:noWrap w:val="0"/>
                  <w:vAlign w:val="center"/>
                </w:tcPr>
                <w:p>
                  <w:pPr>
                    <w:pStyle w:val="159"/>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1"/>
                      <w:sz w:val="21"/>
                      <w:szCs w:val="21"/>
                      <w:lang w:eastAsia="zh-CN"/>
                    </w:rPr>
                    <w:t>四川蓬溪经济开发区（金桥片</w:t>
                  </w:r>
                  <w:r>
                    <w:rPr>
                      <w:rFonts w:hint="eastAsia" w:ascii="Times New Roman" w:hAnsi="Times New Roman" w:eastAsia="宋体" w:cs="Times New Roman"/>
                      <w:color w:val="auto"/>
                      <w:kern w:val="21"/>
                      <w:sz w:val="21"/>
                      <w:szCs w:val="21"/>
                      <w:lang w:val="en-US" w:eastAsia="zh-CN"/>
                    </w:rPr>
                    <w:t>区</w:t>
                  </w:r>
                  <w:r>
                    <w:rPr>
                      <w:rFonts w:hint="eastAsia" w:ascii="Times New Roman" w:hAnsi="Times New Roman" w:eastAsia="宋体" w:cs="Times New Roman"/>
                      <w:color w:val="auto"/>
                      <w:kern w:val="21"/>
                      <w:sz w:val="21"/>
                      <w:szCs w:val="21"/>
                      <w:lang w:eastAsia="zh-CN"/>
                    </w:rPr>
                    <w:t>）</w:t>
                  </w:r>
                </w:p>
              </w:tc>
              <w:tc>
                <w:tcPr>
                  <w:tcW w:w="930" w:type="dxa"/>
                  <w:noWrap w:val="0"/>
                  <w:vAlign w:val="center"/>
                </w:tcPr>
                <w:p>
                  <w:pPr>
                    <w:pStyle w:val="159"/>
                    <w:widowControl/>
                    <w:spacing w:line="240" w:lineRule="auto"/>
                    <w:ind w:firstLine="0" w:firstLineChars="0"/>
                    <w:jc w:val="center"/>
                    <w:rPr>
                      <w:rFonts w:hint="default" w:ascii="Times New Roman" w:hAnsi="Times New Roman" w:eastAsia="宋体" w:cs="Times New Roman"/>
                      <w:color w:val="auto"/>
                      <w:sz w:val="21"/>
                      <w:szCs w:val="21"/>
                      <w:lang w:val="en-US" w:eastAsia="zh-CN"/>
                    </w:rPr>
                  </w:pPr>
                  <w:r>
                    <w:rPr>
                      <w:rStyle w:val="39"/>
                      <w:rFonts w:hint="eastAsia" w:ascii="Times New Roman" w:hAnsi="Times New Roman" w:eastAsia="宋体" w:cs="Times New Roman"/>
                      <w:color w:val="auto"/>
                      <w:kern w:val="2"/>
                      <w:sz w:val="21"/>
                      <w:szCs w:val="21"/>
                      <w:lang w:val="en-US" w:eastAsia="zh-CN" w:bidi="ar-SA"/>
                    </w:rPr>
                    <w:t>遂宁</w:t>
                  </w:r>
                  <w:r>
                    <w:rPr>
                      <w:rStyle w:val="39"/>
                      <w:rFonts w:hint="default" w:ascii="Times New Roman" w:hAnsi="Times New Roman" w:eastAsia="宋体" w:cs="Times New Roman"/>
                      <w:color w:val="auto"/>
                      <w:kern w:val="2"/>
                      <w:sz w:val="21"/>
                      <w:szCs w:val="21"/>
                      <w:lang w:val="en-US" w:eastAsia="zh-CN" w:bidi="ar-SA"/>
                    </w:rPr>
                    <w:t>市</w:t>
                  </w:r>
                </w:p>
              </w:tc>
              <w:tc>
                <w:tcPr>
                  <w:tcW w:w="1455"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Style w:val="39"/>
                      <w:rFonts w:hint="default" w:ascii="Times New Roman" w:hAnsi="Times New Roman" w:eastAsia="宋体" w:cs="Times New Roman"/>
                      <w:color w:val="auto"/>
                      <w:kern w:val="2"/>
                      <w:sz w:val="21"/>
                      <w:szCs w:val="21"/>
                      <w:lang w:val="en-US" w:eastAsia="zh-CN" w:bidi="ar-SA"/>
                    </w:rPr>
                    <w:t>重点管控单元</w:t>
                  </w:r>
                </w:p>
              </w:tc>
            </w:tr>
          </w:tbl>
          <w:p>
            <w:pPr>
              <w:widowControl/>
              <w:spacing w:line="360" w:lineRule="auto"/>
              <w:ind w:firstLine="480" w:firstLineChars="200"/>
              <w:jc w:val="left"/>
              <w:rPr>
                <w:rFonts w:hint="eastAsia" w:ascii="Times New Roman" w:hAnsi="Times New Roman" w:eastAsia="宋体" w:cs="Times New Roman"/>
                <w:color w:val="auto"/>
                <w:kern w:val="21"/>
                <w:sz w:val="24"/>
                <w:szCs w:val="24"/>
                <w:lang w:val="en-US" w:eastAsia="zh-CN"/>
              </w:rPr>
            </w:pPr>
            <w:r>
              <w:rPr>
                <w:rFonts w:hint="default" w:ascii="Times New Roman" w:hAnsi="Times New Roman" w:eastAsia="宋体" w:cs="Times New Roman"/>
                <w:color w:val="auto"/>
                <w:kern w:val="21"/>
                <w:sz w:val="24"/>
                <w:szCs w:val="24"/>
                <w:lang w:val="en-US" w:eastAsia="zh-CN"/>
              </w:rPr>
              <w:t>该项目涉及的环境要素管控分区有6个，详见</w:t>
            </w:r>
            <w:r>
              <w:rPr>
                <w:rFonts w:hint="eastAsia" w:ascii="Times New Roman" w:hAnsi="Times New Roman" w:eastAsia="宋体" w:cs="Times New Roman"/>
                <w:color w:val="auto"/>
                <w:kern w:val="21"/>
                <w:sz w:val="24"/>
                <w:szCs w:val="24"/>
                <w:lang w:val="en-US" w:eastAsia="zh-CN"/>
              </w:rPr>
              <w:t>下表。</w:t>
            </w:r>
          </w:p>
          <w:p>
            <w:pPr>
              <w:pStyle w:val="175"/>
              <w:spacing w:line="360" w:lineRule="auto"/>
              <w:jc w:val="center"/>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rPr>
              <w:t>表1-</w:t>
            </w: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 xml:space="preserve"> 项目涉</w:t>
            </w:r>
            <w:r>
              <w:rPr>
                <w:rFonts w:hint="default" w:ascii="Times New Roman" w:hAnsi="Times New Roman" w:eastAsia="宋体" w:cs="Times New Roman"/>
                <w:b/>
                <w:bCs/>
                <w:color w:val="auto"/>
                <w:sz w:val="21"/>
                <w:szCs w:val="21"/>
              </w:rPr>
              <w:t>及的</w:t>
            </w:r>
            <w:r>
              <w:rPr>
                <w:rFonts w:hint="default" w:ascii="Times New Roman" w:hAnsi="Times New Roman" w:eastAsia="宋体" w:cs="Times New Roman"/>
                <w:b/>
                <w:bCs/>
                <w:color w:val="auto"/>
                <w:sz w:val="21"/>
                <w:szCs w:val="21"/>
                <w:lang w:val="en-US" w:eastAsia="zh-CN"/>
              </w:rPr>
              <w:t>环境要素管控分区情</w:t>
            </w:r>
            <w:r>
              <w:rPr>
                <w:rFonts w:hint="default" w:ascii="Times New Roman" w:hAnsi="Times New Roman" w:eastAsia="宋体" w:cs="Times New Roman"/>
                <w:b/>
                <w:bCs/>
                <w:color w:val="auto"/>
                <w:sz w:val="21"/>
                <w:szCs w:val="21"/>
              </w:rPr>
              <w:t>况表</w:t>
            </w:r>
          </w:p>
          <w:tbl>
            <w:tblPr>
              <w:tblStyle w:val="36"/>
              <w:tblW w:w="7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815"/>
              <w:gridCol w:w="1251"/>
              <w:gridCol w:w="1251"/>
              <w:gridCol w:w="1038"/>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687" w:type="dxa"/>
                  <w:noWrap w:val="0"/>
                  <w:vAlign w:val="center"/>
                </w:tcPr>
                <w:p>
                  <w:pPr>
                    <w:widowControl/>
                    <w:jc w:val="center"/>
                    <w:rPr>
                      <w:rFonts w:hint="default" w:ascii="Times New Roman" w:hAnsi="Times New Roman" w:eastAsia="宋体" w:cs="Times New Roman"/>
                      <w:b/>
                      <w:bCs/>
                      <w:color w:val="auto"/>
                      <w:kern w:val="0"/>
                      <w:sz w:val="21"/>
                      <w:szCs w:val="21"/>
                      <w:vertAlign w:val="baseline"/>
                    </w:rPr>
                  </w:pPr>
                  <w:r>
                    <w:rPr>
                      <w:rFonts w:hint="default" w:ascii="Times New Roman" w:hAnsi="Times New Roman" w:eastAsia="宋体" w:cs="Times New Roman"/>
                      <w:b/>
                      <w:bCs/>
                      <w:color w:val="auto"/>
                      <w:kern w:val="0"/>
                      <w:sz w:val="21"/>
                      <w:szCs w:val="21"/>
                    </w:rPr>
                    <w:t>序号</w:t>
                  </w:r>
                </w:p>
              </w:tc>
              <w:tc>
                <w:tcPr>
                  <w:tcW w:w="1815" w:type="dxa"/>
                  <w:noWrap w:val="0"/>
                  <w:vAlign w:val="center"/>
                </w:tcPr>
                <w:p>
                  <w:pPr>
                    <w:widowControl/>
                    <w:jc w:val="center"/>
                    <w:rPr>
                      <w:rFonts w:hint="default" w:ascii="Times New Roman" w:hAnsi="Times New Roman" w:eastAsia="宋体" w:cs="Times New Roman"/>
                      <w:b/>
                      <w:bCs/>
                      <w:color w:val="auto"/>
                      <w:kern w:val="0"/>
                      <w:sz w:val="21"/>
                      <w:szCs w:val="21"/>
                      <w:vertAlign w:val="baseline"/>
                    </w:rPr>
                  </w:pPr>
                  <w:r>
                    <w:rPr>
                      <w:rFonts w:ascii="Times New Roman" w:hAnsi="Times New Roman" w:eastAsia="宋体" w:cs="Times New Roman"/>
                      <w:b/>
                      <w:bCs/>
                      <w:color w:val="auto"/>
                      <w:kern w:val="0"/>
                      <w:sz w:val="21"/>
                      <w:szCs w:val="21"/>
                      <w:lang w:val="en-US" w:eastAsia="zh-CN" w:bidi="ar"/>
                    </w:rPr>
                    <w:t>涉及环境要素管控分区名称</w:t>
                  </w:r>
                </w:p>
              </w:tc>
              <w:tc>
                <w:tcPr>
                  <w:tcW w:w="1251" w:type="dxa"/>
                  <w:noWrap w:val="0"/>
                  <w:vAlign w:val="center"/>
                </w:tcPr>
                <w:p>
                  <w:pPr>
                    <w:keepNext w:val="0"/>
                    <w:keepLines w:val="0"/>
                    <w:widowControl/>
                    <w:suppressLineNumbers w:val="0"/>
                    <w:jc w:val="center"/>
                    <w:rPr>
                      <w:rFonts w:ascii="Times New Roman" w:hAnsi="Times New Roman" w:eastAsia="宋体" w:cs="Times New Roman"/>
                      <w:b/>
                      <w:bCs/>
                      <w:color w:val="auto"/>
                      <w:kern w:val="0"/>
                      <w:szCs w:val="21"/>
                    </w:rPr>
                  </w:pPr>
                  <w:r>
                    <w:rPr>
                      <w:rFonts w:ascii="Times New Roman" w:hAnsi="Times New Roman" w:eastAsia="宋体" w:cs="Times New Roman"/>
                      <w:b/>
                      <w:bCs/>
                      <w:color w:val="auto"/>
                      <w:kern w:val="0"/>
                      <w:sz w:val="21"/>
                      <w:szCs w:val="21"/>
                      <w:lang w:val="en-US" w:eastAsia="zh-CN" w:bidi="ar"/>
                    </w:rPr>
                    <w:t>涉及环境要素管控</w:t>
                  </w:r>
                </w:p>
                <w:p>
                  <w:pPr>
                    <w:widowControl/>
                    <w:jc w:val="center"/>
                    <w:rPr>
                      <w:rFonts w:hint="default" w:ascii="Times New Roman" w:hAnsi="Times New Roman" w:eastAsia="宋体" w:cs="Times New Roman"/>
                      <w:b/>
                      <w:bCs/>
                      <w:color w:val="auto"/>
                      <w:kern w:val="0"/>
                      <w:sz w:val="21"/>
                      <w:szCs w:val="21"/>
                      <w:vertAlign w:val="baseline"/>
                    </w:rPr>
                  </w:pPr>
                  <w:r>
                    <w:rPr>
                      <w:rFonts w:hint="default" w:ascii="Times New Roman" w:hAnsi="Times New Roman" w:eastAsia="宋体" w:cs="Times New Roman"/>
                      <w:b/>
                      <w:bCs/>
                      <w:color w:val="auto"/>
                      <w:kern w:val="0"/>
                      <w:sz w:val="21"/>
                      <w:szCs w:val="21"/>
                      <w:lang w:val="en-US" w:eastAsia="zh-CN" w:bidi="ar"/>
                    </w:rPr>
                    <w:t>分区编码</w:t>
                  </w:r>
                </w:p>
              </w:tc>
              <w:tc>
                <w:tcPr>
                  <w:tcW w:w="1251" w:type="dxa"/>
                  <w:noWrap w:val="0"/>
                  <w:vAlign w:val="center"/>
                </w:tcPr>
                <w:p>
                  <w:pPr>
                    <w:widowControl/>
                    <w:jc w:val="center"/>
                    <w:rPr>
                      <w:rFonts w:hint="default" w:ascii="Times New Roman" w:hAnsi="Times New Roman" w:eastAsia="宋体" w:cs="Times New Roman"/>
                      <w:b/>
                      <w:bCs/>
                      <w:color w:val="auto"/>
                      <w:kern w:val="0"/>
                      <w:sz w:val="21"/>
                      <w:szCs w:val="21"/>
                      <w:vertAlign w:val="baseline"/>
                    </w:rPr>
                  </w:pPr>
                  <w:r>
                    <w:rPr>
                      <w:rFonts w:hint="default" w:ascii="Times New Roman" w:hAnsi="Times New Roman" w:eastAsia="宋体" w:cs="Times New Roman"/>
                      <w:b/>
                      <w:bCs/>
                      <w:color w:val="auto"/>
                      <w:kern w:val="0"/>
                      <w:sz w:val="21"/>
                      <w:szCs w:val="21"/>
                      <w:lang w:val="en-US" w:eastAsia="zh-CN"/>
                    </w:rPr>
                    <w:t>行政区划</w:t>
                  </w:r>
                </w:p>
              </w:tc>
              <w:tc>
                <w:tcPr>
                  <w:tcW w:w="1038" w:type="dxa"/>
                  <w:noWrap w:val="0"/>
                  <w:vAlign w:val="center"/>
                </w:tcPr>
                <w:p>
                  <w:pPr>
                    <w:widowControl/>
                    <w:jc w:val="center"/>
                    <w:rPr>
                      <w:rFonts w:hint="default" w:ascii="Times New Roman" w:hAnsi="Times New Roman" w:eastAsia="宋体" w:cs="Times New Roman"/>
                      <w:b/>
                      <w:bCs/>
                      <w:color w:val="auto"/>
                      <w:kern w:val="0"/>
                      <w:sz w:val="21"/>
                      <w:szCs w:val="21"/>
                      <w:vertAlign w:val="baseline"/>
                    </w:rPr>
                  </w:pPr>
                  <w:r>
                    <w:rPr>
                      <w:rFonts w:ascii="Times New Roman" w:hAnsi="Times New Roman" w:eastAsia="宋体" w:cs="Times New Roman"/>
                      <w:b/>
                      <w:bCs/>
                      <w:color w:val="auto"/>
                      <w:kern w:val="0"/>
                      <w:sz w:val="21"/>
                      <w:szCs w:val="21"/>
                      <w:lang w:val="en-US" w:eastAsia="zh-CN" w:bidi="ar"/>
                    </w:rPr>
                    <w:t>环境要素类型</w:t>
                  </w:r>
                </w:p>
              </w:tc>
              <w:tc>
                <w:tcPr>
                  <w:tcW w:w="1465" w:type="dxa"/>
                  <w:noWrap w:val="0"/>
                  <w:vAlign w:val="center"/>
                </w:tcPr>
                <w:p>
                  <w:pPr>
                    <w:widowControl/>
                    <w:jc w:val="center"/>
                    <w:rPr>
                      <w:rFonts w:hint="default" w:ascii="Times New Roman" w:hAnsi="Times New Roman" w:eastAsia="宋体" w:cs="Times New Roman"/>
                      <w:b/>
                      <w:bCs/>
                      <w:color w:val="auto"/>
                      <w:kern w:val="0"/>
                      <w:sz w:val="21"/>
                      <w:szCs w:val="21"/>
                      <w:vertAlign w:val="baseline"/>
                      <w:lang w:val="en-US"/>
                    </w:rPr>
                  </w:pPr>
                  <w:r>
                    <w:rPr>
                      <w:rFonts w:hint="eastAsia" w:cs="Times New Roman"/>
                      <w:b/>
                      <w:bCs/>
                      <w:color w:val="auto"/>
                      <w:kern w:val="0"/>
                      <w:sz w:val="21"/>
                      <w:szCs w:val="21"/>
                      <w:lang w:val="en-US" w:eastAsia="zh-CN" w:bidi="ar"/>
                    </w:rPr>
                    <w:t>详细分类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noWrap w:val="0"/>
                  <w:vAlign w:val="center"/>
                </w:tcPr>
                <w:p>
                  <w:pPr>
                    <w:pStyle w:val="159"/>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1815" w:type="dxa"/>
                  <w:noWrap w:val="0"/>
                  <w:vAlign w:val="center"/>
                </w:tcPr>
                <w:p>
                  <w:pPr>
                    <w:pStyle w:val="159"/>
                    <w:spacing w:line="240" w:lineRule="auto"/>
                    <w:ind w:firstLine="0" w:firstLineChars="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蓬溪县其他区域</w:t>
                  </w:r>
                </w:p>
              </w:tc>
              <w:tc>
                <w:tcPr>
                  <w:tcW w:w="1251" w:type="dxa"/>
                  <w:noWrap w:val="0"/>
                  <w:vAlign w:val="center"/>
                </w:tcPr>
                <w:p>
                  <w:pPr>
                    <w:pStyle w:val="159"/>
                    <w:spacing w:line="240" w:lineRule="auto"/>
                    <w:ind w:firstLine="0" w:firstLineChars="0"/>
                    <w:jc w:val="center"/>
                    <w:rPr>
                      <w:rFonts w:hint="eastAsia" w:ascii="Times New Roman" w:hAnsi="Times New Roman" w:eastAsia="宋体" w:cs="Times New Roman"/>
                      <w:b w:val="0"/>
                      <w:bCs w:val="0"/>
                      <w:color w:val="auto"/>
                      <w:kern w:val="0"/>
                      <w:sz w:val="21"/>
                      <w:szCs w:val="21"/>
                      <w:vertAlign w:val="baseline"/>
                      <w:lang w:val="en-US"/>
                    </w:rPr>
                  </w:pPr>
                  <w:r>
                    <w:rPr>
                      <w:rFonts w:hint="eastAsia" w:ascii="Times New Roman" w:hAnsi="Times New Roman" w:eastAsia="宋体" w:cs="Times New Roman"/>
                      <w:color w:val="auto"/>
                      <w:kern w:val="0"/>
                      <w:sz w:val="21"/>
                      <w:szCs w:val="21"/>
                      <w:lang w:val="en-US" w:eastAsia="zh-CN" w:bidi="ar-SA"/>
                    </w:rPr>
                    <w:t>YS5109213110001</w:t>
                  </w:r>
                </w:p>
              </w:tc>
              <w:tc>
                <w:tcPr>
                  <w:tcW w:w="1251"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遂宁市</w:t>
                  </w:r>
                </w:p>
              </w:tc>
              <w:tc>
                <w:tcPr>
                  <w:tcW w:w="1038"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生态</w:t>
                  </w:r>
                </w:p>
              </w:tc>
              <w:tc>
                <w:tcPr>
                  <w:tcW w:w="1465"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noWrap w:val="0"/>
                  <w:vAlign w:val="center"/>
                </w:tcPr>
                <w:p>
                  <w:pPr>
                    <w:pStyle w:val="159"/>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1815" w:type="dxa"/>
                  <w:noWrap w:val="0"/>
                  <w:vAlign w:val="center"/>
                </w:tcPr>
                <w:p>
                  <w:pPr>
                    <w:pStyle w:val="159"/>
                    <w:spacing w:line="240" w:lineRule="auto"/>
                    <w:ind w:firstLine="0" w:firstLineChars="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涪江-蓬溪县-玉溪-控制单元</w:t>
                  </w:r>
                </w:p>
              </w:tc>
              <w:tc>
                <w:tcPr>
                  <w:tcW w:w="1251" w:type="dxa"/>
                  <w:noWrap w:val="0"/>
                  <w:vAlign w:val="center"/>
                </w:tcPr>
                <w:p>
                  <w:pPr>
                    <w:pStyle w:val="159"/>
                    <w:spacing w:line="240" w:lineRule="auto"/>
                    <w:ind w:firstLine="0" w:firstLineChars="0"/>
                    <w:jc w:val="center"/>
                    <w:rPr>
                      <w:rFonts w:hint="eastAsia" w:ascii="Times New Roman" w:hAnsi="Times New Roman" w:eastAsia="宋体" w:cs="Times New Roman"/>
                      <w:b w:val="0"/>
                      <w:bCs w:val="0"/>
                      <w:color w:val="auto"/>
                      <w:kern w:val="0"/>
                      <w:sz w:val="21"/>
                      <w:szCs w:val="21"/>
                      <w:vertAlign w:val="baseline"/>
                      <w:lang w:val="en-US"/>
                    </w:rPr>
                  </w:pPr>
                  <w:r>
                    <w:rPr>
                      <w:rFonts w:hint="eastAsia" w:ascii="Times New Roman" w:hAnsi="Times New Roman" w:eastAsia="宋体" w:cs="Times New Roman"/>
                      <w:color w:val="auto"/>
                      <w:kern w:val="0"/>
                      <w:sz w:val="21"/>
                      <w:szCs w:val="21"/>
                      <w:lang w:val="en-US" w:eastAsia="zh-CN" w:bidi="ar-SA"/>
                    </w:rPr>
                    <w:t>YS5109212210003</w:t>
                  </w:r>
                </w:p>
              </w:tc>
              <w:tc>
                <w:tcPr>
                  <w:tcW w:w="1251"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遂宁市</w:t>
                  </w:r>
                </w:p>
              </w:tc>
              <w:tc>
                <w:tcPr>
                  <w:tcW w:w="1038"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水</w:t>
                  </w:r>
                </w:p>
              </w:tc>
              <w:tc>
                <w:tcPr>
                  <w:tcW w:w="1465" w:type="dxa"/>
                  <w:noWrap w:val="0"/>
                  <w:vAlign w:val="center"/>
                </w:tcPr>
                <w:p>
                  <w:pPr>
                    <w:widowControl/>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noWrap w:val="0"/>
                  <w:vAlign w:val="center"/>
                </w:tcPr>
                <w:p>
                  <w:pPr>
                    <w:pStyle w:val="159"/>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1815" w:type="dxa"/>
                  <w:noWrap w:val="0"/>
                  <w:vAlign w:val="center"/>
                </w:tcPr>
                <w:p>
                  <w:pPr>
                    <w:pStyle w:val="159"/>
                    <w:spacing w:line="240" w:lineRule="auto"/>
                    <w:ind w:firstLine="0" w:firstLineChars="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21"/>
                      <w:sz w:val="21"/>
                      <w:szCs w:val="21"/>
                      <w:lang w:eastAsia="zh-CN"/>
                    </w:rPr>
                    <w:t>四川蓬溪经济开发区（金桥片</w:t>
                  </w:r>
                  <w:r>
                    <w:rPr>
                      <w:rFonts w:hint="eastAsia" w:ascii="Times New Roman" w:hAnsi="Times New Roman" w:eastAsia="宋体" w:cs="Times New Roman"/>
                      <w:color w:val="auto"/>
                      <w:kern w:val="21"/>
                      <w:sz w:val="21"/>
                      <w:szCs w:val="21"/>
                      <w:lang w:val="en-US" w:eastAsia="zh-CN"/>
                    </w:rPr>
                    <w:t>区</w:t>
                  </w:r>
                  <w:r>
                    <w:rPr>
                      <w:rFonts w:hint="eastAsia" w:ascii="Times New Roman" w:hAnsi="Times New Roman" w:eastAsia="宋体" w:cs="Times New Roman"/>
                      <w:color w:val="auto"/>
                      <w:kern w:val="21"/>
                      <w:sz w:val="21"/>
                      <w:szCs w:val="21"/>
                      <w:lang w:eastAsia="zh-CN"/>
                    </w:rPr>
                    <w:t>）</w:t>
                  </w:r>
                </w:p>
              </w:tc>
              <w:tc>
                <w:tcPr>
                  <w:tcW w:w="1251" w:type="dxa"/>
                  <w:noWrap w:val="0"/>
                  <w:vAlign w:val="center"/>
                </w:tcPr>
                <w:p>
                  <w:pPr>
                    <w:pStyle w:val="159"/>
                    <w:spacing w:line="240" w:lineRule="auto"/>
                    <w:ind w:firstLine="0" w:firstLineChars="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YS5109212310002</w:t>
                  </w:r>
                </w:p>
              </w:tc>
              <w:tc>
                <w:tcPr>
                  <w:tcW w:w="1251"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遂宁市</w:t>
                  </w:r>
                </w:p>
              </w:tc>
              <w:tc>
                <w:tcPr>
                  <w:tcW w:w="1038"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大气</w:t>
                  </w:r>
                </w:p>
              </w:tc>
              <w:tc>
                <w:tcPr>
                  <w:tcW w:w="1465" w:type="dxa"/>
                  <w:noWrap w:val="0"/>
                  <w:vAlign w:val="center"/>
                </w:tcPr>
                <w:p>
                  <w:pPr>
                    <w:widowControl/>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b w:val="0"/>
                      <w:bCs w:val="0"/>
                      <w:color w:val="auto"/>
                      <w:kern w:val="0"/>
                      <w:sz w:val="21"/>
                      <w:szCs w:val="21"/>
                      <w:vertAlign w:val="baseline"/>
                      <w:lang w:val="en-US" w:eastAsia="zh-CN"/>
                    </w:rPr>
                    <w:t>大气</w:t>
                  </w:r>
                  <w:r>
                    <w:rPr>
                      <w:rFonts w:hint="eastAsia" w:ascii="Times New Roman" w:hAnsi="Times New Roman" w:eastAsia="宋体" w:cs="Times New Roman"/>
                      <w:color w:val="auto"/>
                      <w:kern w:val="0"/>
                      <w:sz w:val="21"/>
                      <w:szCs w:val="21"/>
                      <w:lang w:val="en-US" w:eastAsia="zh-CN" w:bidi="ar-SA"/>
                    </w:rPr>
                    <w:t>环境高排放重点管控区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noWrap w:val="0"/>
                  <w:vAlign w:val="center"/>
                </w:tcPr>
                <w:p>
                  <w:pPr>
                    <w:pStyle w:val="159"/>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1815" w:type="dxa"/>
                  <w:noWrap w:val="0"/>
                  <w:vAlign w:val="center"/>
                </w:tcPr>
                <w:p>
                  <w:pPr>
                    <w:pStyle w:val="159"/>
                    <w:spacing w:line="240" w:lineRule="auto"/>
                    <w:ind w:firstLine="0" w:firstLineChars="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21"/>
                      <w:sz w:val="21"/>
                      <w:szCs w:val="21"/>
                      <w:lang w:eastAsia="zh-CN"/>
                    </w:rPr>
                    <w:t>四川蓬溪经济开发区（金桥</w:t>
                  </w:r>
                  <w:r>
                    <w:rPr>
                      <w:rFonts w:hint="eastAsia" w:ascii="Times New Roman" w:hAnsi="Times New Roman" w:eastAsia="宋体" w:cs="Times New Roman"/>
                      <w:color w:val="auto"/>
                      <w:kern w:val="21"/>
                      <w:sz w:val="21"/>
                      <w:szCs w:val="21"/>
                      <w:lang w:val="en-US" w:eastAsia="zh-CN"/>
                    </w:rPr>
                    <w:t>新区</w:t>
                  </w:r>
                  <w:r>
                    <w:rPr>
                      <w:rFonts w:hint="eastAsia" w:ascii="Times New Roman" w:hAnsi="Times New Roman" w:eastAsia="宋体" w:cs="Times New Roman"/>
                      <w:color w:val="auto"/>
                      <w:kern w:val="21"/>
                      <w:sz w:val="21"/>
                      <w:szCs w:val="21"/>
                      <w:lang w:eastAsia="zh-CN"/>
                    </w:rPr>
                    <w:t>）</w:t>
                  </w:r>
                </w:p>
              </w:tc>
              <w:tc>
                <w:tcPr>
                  <w:tcW w:w="1251" w:type="dxa"/>
                  <w:noWrap w:val="0"/>
                  <w:vAlign w:val="center"/>
                </w:tcPr>
                <w:p>
                  <w:pPr>
                    <w:pStyle w:val="159"/>
                    <w:spacing w:line="240" w:lineRule="auto"/>
                    <w:ind w:firstLine="0" w:firstLineChars="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YS5109212540003</w:t>
                  </w:r>
                </w:p>
              </w:tc>
              <w:tc>
                <w:tcPr>
                  <w:tcW w:w="1251"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遂宁市</w:t>
                  </w:r>
                </w:p>
              </w:tc>
              <w:tc>
                <w:tcPr>
                  <w:tcW w:w="1038"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lang w:val="en-US" w:eastAsia="zh-CN"/>
                    </w:rPr>
                  </w:pPr>
                  <w:r>
                    <w:rPr>
                      <w:rFonts w:hint="eastAsia" w:ascii="Times New Roman" w:hAnsi="Times New Roman" w:eastAsia="宋体" w:cs="Times New Roman"/>
                      <w:b w:val="0"/>
                      <w:bCs w:val="0"/>
                      <w:color w:val="auto"/>
                      <w:kern w:val="0"/>
                      <w:sz w:val="21"/>
                      <w:szCs w:val="21"/>
                      <w:vertAlign w:val="baseline"/>
                      <w:lang w:val="en-US" w:eastAsia="zh-CN"/>
                    </w:rPr>
                    <w:t>自然资源</w:t>
                  </w:r>
                </w:p>
              </w:tc>
              <w:tc>
                <w:tcPr>
                  <w:tcW w:w="1465" w:type="dxa"/>
                  <w:noWrap w:val="0"/>
                  <w:vAlign w:val="center"/>
                </w:tcPr>
                <w:p>
                  <w:pPr>
                    <w:widowControl/>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高污染燃料禁燃区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noWrap w:val="0"/>
                  <w:vAlign w:val="center"/>
                </w:tcPr>
                <w:p>
                  <w:pPr>
                    <w:pStyle w:val="159"/>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p>
              </w:tc>
              <w:tc>
                <w:tcPr>
                  <w:tcW w:w="1815" w:type="dxa"/>
                  <w:noWrap w:val="0"/>
                  <w:vAlign w:val="center"/>
                </w:tcPr>
                <w:p>
                  <w:pPr>
                    <w:pStyle w:val="159"/>
                    <w:spacing w:line="240" w:lineRule="auto"/>
                    <w:ind w:firstLine="0" w:firstLineChars="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蓬溪县自然资源重点管控区</w:t>
                  </w:r>
                </w:p>
              </w:tc>
              <w:tc>
                <w:tcPr>
                  <w:tcW w:w="1251" w:type="dxa"/>
                  <w:noWrap w:val="0"/>
                  <w:vAlign w:val="center"/>
                </w:tcPr>
                <w:p>
                  <w:pPr>
                    <w:pStyle w:val="159"/>
                    <w:spacing w:line="240" w:lineRule="auto"/>
                    <w:ind w:firstLine="0" w:firstLineChars="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YS5109212550001</w:t>
                  </w:r>
                </w:p>
              </w:tc>
              <w:tc>
                <w:tcPr>
                  <w:tcW w:w="1251"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遂宁市</w:t>
                  </w:r>
                </w:p>
              </w:tc>
              <w:tc>
                <w:tcPr>
                  <w:tcW w:w="1038"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b w:val="0"/>
                      <w:bCs w:val="0"/>
                      <w:color w:val="auto"/>
                      <w:kern w:val="0"/>
                      <w:sz w:val="21"/>
                      <w:szCs w:val="21"/>
                      <w:vertAlign w:val="baseline"/>
                      <w:lang w:val="en-US" w:eastAsia="zh-CN"/>
                    </w:rPr>
                    <w:t>自然资源</w:t>
                  </w:r>
                </w:p>
              </w:tc>
              <w:tc>
                <w:tcPr>
                  <w:tcW w:w="1465" w:type="dxa"/>
                  <w:noWrap w:val="0"/>
                  <w:vAlign w:val="center"/>
                </w:tcPr>
                <w:p>
                  <w:pPr>
                    <w:widowControl/>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自然资源重点管控区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noWrap w:val="0"/>
                  <w:vAlign w:val="center"/>
                </w:tcPr>
                <w:p>
                  <w:pPr>
                    <w:pStyle w:val="159"/>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p>
              </w:tc>
              <w:tc>
                <w:tcPr>
                  <w:tcW w:w="1815" w:type="dxa"/>
                  <w:noWrap w:val="0"/>
                  <w:vAlign w:val="center"/>
                </w:tcPr>
                <w:p>
                  <w:pPr>
                    <w:pStyle w:val="159"/>
                    <w:spacing w:line="240" w:lineRule="auto"/>
                    <w:ind w:firstLine="0" w:firstLineChars="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蓬溪县城镇开发边界</w:t>
                  </w:r>
                </w:p>
              </w:tc>
              <w:tc>
                <w:tcPr>
                  <w:tcW w:w="1251" w:type="dxa"/>
                  <w:noWrap w:val="0"/>
                  <w:vAlign w:val="center"/>
                </w:tcPr>
                <w:p>
                  <w:pPr>
                    <w:pStyle w:val="159"/>
                    <w:spacing w:line="240" w:lineRule="auto"/>
                    <w:ind w:firstLine="0" w:firstLineChars="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YS5109212530001</w:t>
                  </w:r>
                </w:p>
              </w:tc>
              <w:tc>
                <w:tcPr>
                  <w:tcW w:w="1251"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遂宁市</w:t>
                  </w:r>
                </w:p>
              </w:tc>
              <w:tc>
                <w:tcPr>
                  <w:tcW w:w="1038" w:type="dxa"/>
                  <w:noWrap w:val="0"/>
                  <w:vAlign w:val="center"/>
                </w:tcPr>
                <w:p>
                  <w:pPr>
                    <w:pStyle w:val="175"/>
                    <w:spacing w:line="240" w:lineRule="auto"/>
                    <w:ind w:firstLine="0"/>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b w:val="0"/>
                      <w:bCs w:val="0"/>
                      <w:color w:val="auto"/>
                      <w:kern w:val="0"/>
                      <w:sz w:val="21"/>
                      <w:szCs w:val="21"/>
                      <w:vertAlign w:val="baseline"/>
                      <w:lang w:val="en-US" w:eastAsia="zh-CN"/>
                    </w:rPr>
                    <w:t>自然资源</w:t>
                  </w:r>
                </w:p>
              </w:tc>
              <w:tc>
                <w:tcPr>
                  <w:tcW w:w="1465" w:type="dxa"/>
                  <w:noWrap w:val="0"/>
                  <w:vAlign w:val="center"/>
                </w:tcPr>
                <w:p>
                  <w:pPr>
                    <w:widowControl/>
                    <w:jc w:val="center"/>
                    <w:rPr>
                      <w:rFonts w:hint="eastAsia" w:ascii="Times New Roman" w:hAnsi="Times New Roman" w:eastAsia="宋体" w:cs="Times New Roman"/>
                      <w:b w:val="0"/>
                      <w:bCs w:val="0"/>
                      <w:color w:val="auto"/>
                      <w:kern w:val="0"/>
                      <w:sz w:val="21"/>
                      <w:szCs w:val="21"/>
                      <w:vertAlign w:val="baseline"/>
                    </w:rPr>
                  </w:pPr>
                  <w:r>
                    <w:rPr>
                      <w:rFonts w:hint="eastAsia" w:ascii="Times New Roman" w:hAnsi="Times New Roman" w:eastAsia="宋体" w:cs="Times New Roman"/>
                      <w:color w:val="auto"/>
                      <w:kern w:val="0"/>
                      <w:sz w:val="21"/>
                      <w:szCs w:val="21"/>
                      <w:lang w:val="en-US" w:eastAsia="zh-CN" w:bidi="ar-SA"/>
                    </w:rPr>
                    <w:t>土地资源重点管控区</w:t>
                  </w:r>
                </w:p>
              </w:tc>
            </w:tr>
          </w:tbl>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1"/>
                <w:sz w:val="24"/>
                <w:szCs w:val="24"/>
                <w:lang w:val="en-US" w:eastAsia="zh-CN"/>
              </w:rPr>
              <w:t>根据查询可知，本项目所在地涉及</w:t>
            </w:r>
            <w:r>
              <w:rPr>
                <w:rFonts w:hint="eastAsia" w:ascii="Times New Roman" w:hAnsi="Times New Roman" w:eastAsia="宋体" w:cs="Times New Roman"/>
                <w:color w:val="auto"/>
                <w:kern w:val="21"/>
                <w:sz w:val="24"/>
                <w:szCs w:val="24"/>
                <w:lang w:val="en-US" w:eastAsia="zh-CN"/>
              </w:rPr>
              <w:t>四川蓬溪经济开发区（金桥片区）</w:t>
            </w:r>
            <w:r>
              <w:rPr>
                <w:rFonts w:hint="default" w:ascii="Times New Roman" w:hAnsi="Times New Roman" w:eastAsia="宋体" w:cs="Times New Roman"/>
                <w:color w:val="auto"/>
                <w:kern w:val="21"/>
                <w:sz w:val="24"/>
                <w:szCs w:val="24"/>
                <w:lang w:val="en-US" w:eastAsia="zh-CN"/>
              </w:rPr>
              <w:t>重点管控单元。</w:t>
            </w:r>
            <w:r>
              <w:rPr>
                <w:rFonts w:hint="eastAsia" w:ascii="Times New Roman" w:hAnsi="Times New Roman" w:eastAsia="宋体" w:cs="Times New Roman"/>
                <w:color w:val="auto"/>
                <w:sz w:val="24"/>
                <w:szCs w:val="24"/>
              </w:rPr>
              <w:t>本项目与</w:t>
            </w:r>
            <w:r>
              <w:rPr>
                <w:rFonts w:hint="eastAsia" w:ascii="Times New Roman" w:hAnsi="Times New Roman" w:eastAsia="宋体" w:cs="Times New Roman"/>
                <w:color w:val="auto"/>
                <w:kern w:val="21"/>
                <w:sz w:val="24"/>
                <w:szCs w:val="24"/>
                <w:lang w:val="en-US" w:eastAsia="zh-CN"/>
              </w:rPr>
              <w:t>四川蓬溪经济开发区（金桥片区）</w:t>
            </w:r>
            <w:r>
              <w:rPr>
                <w:rFonts w:hint="default" w:ascii="Times New Roman" w:hAnsi="Times New Roman" w:eastAsia="宋体" w:cs="Times New Roman"/>
                <w:color w:val="auto"/>
                <w:kern w:val="21"/>
                <w:sz w:val="24"/>
                <w:szCs w:val="24"/>
                <w:lang w:val="en-US" w:eastAsia="zh-CN"/>
              </w:rPr>
              <w:t>重点管控单元</w:t>
            </w:r>
            <w:r>
              <w:rPr>
                <w:rFonts w:hint="eastAsia" w:ascii="Times New Roman" w:hAnsi="Times New Roman" w:eastAsia="宋体" w:cs="Times New Roman"/>
                <w:color w:val="auto"/>
                <w:sz w:val="24"/>
                <w:szCs w:val="24"/>
              </w:rPr>
              <w:t>普适性清单管控要求符合性分析如下：</w:t>
            </w:r>
          </w:p>
          <w:p>
            <w:pPr>
              <w:widowControl/>
              <w:spacing w:line="360" w:lineRule="auto"/>
              <w:jc w:val="center"/>
              <w:rPr>
                <w:rFonts w:ascii="Times New Roman" w:hAnsi="Times New Roman" w:eastAsia="宋体" w:cs="Times New Roman"/>
                <w:b/>
                <w:color w:val="auto"/>
                <w:kern w:val="0"/>
                <w:szCs w:val="21"/>
              </w:rPr>
            </w:pPr>
            <w:r>
              <w:rPr>
                <w:b/>
                <w:bCs/>
                <w:color w:val="auto"/>
                <w:szCs w:val="21"/>
              </w:rPr>
              <w:t>表1-</w:t>
            </w:r>
            <w:r>
              <w:rPr>
                <w:rFonts w:hint="eastAsia"/>
                <w:b/>
                <w:bCs/>
                <w:color w:val="auto"/>
                <w:szCs w:val="21"/>
                <w:lang w:val="en-US" w:eastAsia="zh-CN"/>
              </w:rPr>
              <w:t>5</w:t>
            </w:r>
            <w:r>
              <w:rPr>
                <w:b/>
                <w:bCs/>
                <w:color w:val="auto"/>
                <w:szCs w:val="21"/>
              </w:rPr>
              <w:t xml:space="preserve"> </w:t>
            </w:r>
            <w:r>
              <w:rPr>
                <w:b/>
                <w:color w:val="auto"/>
                <w:kern w:val="0"/>
                <w:szCs w:val="21"/>
              </w:rPr>
              <w:t>本项目</w:t>
            </w:r>
            <w:r>
              <w:rPr>
                <w:rFonts w:hint="default" w:ascii="Times New Roman" w:hAnsi="Times New Roman" w:eastAsia="宋体" w:cs="Times New Roman"/>
                <w:b/>
                <w:color w:val="auto"/>
                <w:kern w:val="0"/>
                <w:szCs w:val="21"/>
              </w:rPr>
              <w:t>与</w:t>
            </w:r>
            <w:r>
              <w:rPr>
                <w:rFonts w:hint="eastAsia" w:ascii="Times New Roman" w:hAnsi="Times New Roman" w:eastAsia="宋体" w:cs="Times New Roman"/>
                <w:b/>
                <w:color w:val="auto"/>
                <w:kern w:val="0"/>
                <w:szCs w:val="21"/>
                <w:lang w:val="en-US" w:eastAsia="zh-CN"/>
              </w:rPr>
              <w:t>四川蓬溪经济开发区（金桥片区）</w:t>
            </w:r>
            <w:r>
              <w:rPr>
                <w:rFonts w:hint="default" w:ascii="Times New Roman" w:hAnsi="Times New Roman" w:eastAsia="宋体" w:cs="Times New Roman"/>
                <w:b/>
                <w:color w:val="auto"/>
                <w:kern w:val="0"/>
                <w:szCs w:val="21"/>
                <w:lang w:val="en-US" w:eastAsia="zh-CN"/>
              </w:rPr>
              <w:t>重点管控单元</w:t>
            </w:r>
            <w:r>
              <w:rPr>
                <w:rFonts w:hint="eastAsia" w:ascii="Times New Roman" w:hAnsi="Times New Roman" w:eastAsia="宋体" w:cs="Times New Roman"/>
                <w:b/>
                <w:color w:val="auto"/>
                <w:kern w:val="0"/>
                <w:szCs w:val="21"/>
              </w:rPr>
              <w:t>普适性清单管控要求</w:t>
            </w:r>
            <w:r>
              <w:rPr>
                <w:rFonts w:ascii="Times New Roman" w:hAnsi="Times New Roman" w:eastAsia="宋体" w:cs="Times New Roman"/>
                <w:b/>
                <w:color w:val="auto"/>
                <w:kern w:val="0"/>
                <w:szCs w:val="21"/>
              </w:rPr>
              <w:t>符合性分析</w:t>
            </w:r>
          </w:p>
          <w:tbl>
            <w:tblPr>
              <w:tblStyle w:val="36"/>
              <w:tblW w:w="7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
              <w:gridCol w:w="439"/>
              <w:gridCol w:w="315"/>
              <w:gridCol w:w="661"/>
              <w:gridCol w:w="3537"/>
              <w:gridCol w:w="1863"/>
              <w:gridCol w:w="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8" w:type="dxa"/>
                  <w:gridSpan w:val="4"/>
                  <w:noWrap w:val="0"/>
                  <w:vAlign w:val="center"/>
                </w:tcPr>
                <w:p>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管控类型</w:t>
                  </w:r>
                </w:p>
              </w:tc>
              <w:tc>
                <w:tcPr>
                  <w:tcW w:w="3537" w:type="dxa"/>
                  <w:vMerge w:val="restart"/>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对应管控要求</w:t>
                  </w:r>
                </w:p>
              </w:tc>
              <w:tc>
                <w:tcPr>
                  <w:tcW w:w="1863" w:type="dxa"/>
                  <w:vMerge w:val="restart"/>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本项目对应情况介绍</w:t>
                  </w:r>
                </w:p>
              </w:tc>
              <w:tc>
                <w:tcPr>
                  <w:tcW w:w="379" w:type="dxa"/>
                  <w:vMerge w:val="restart"/>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3" w:type="dxa"/>
                  <w:noWrap w:val="0"/>
                  <w:vAlign w:val="center"/>
                </w:tcPr>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编码</w:t>
                  </w:r>
                </w:p>
              </w:tc>
              <w:tc>
                <w:tcPr>
                  <w:tcW w:w="439" w:type="dxa"/>
                  <w:noWrap w:val="0"/>
                  <w:vAlign w:val="center"/>
                </w:tcPr>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名称</w:t>
                  </w:r>
                </w:p>
              </w:tc>
              <w:tc>
                <w:tcPr>
                  <w:tcW w:w="976" w:type="dxa"/>
                  <w:gridSpan w:val="2"/>
                  <w:noWrap w:val="0"/>
                  <w:vAlign w:val="center"/>
                </w:tcPr>
                <w:p>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分类</w:t>
                  </w:r>
                </w:p>
              </w:tc>
              <w:tc>
                <w:tcPr>
                  <w:tcW w:w="3537" w:type="dxa"/>
                  <w:vMerge w:val="continue"/>
                  <w:noWrap w:val="0"/>
                  <w:vAlign w:val="top"/>
                </w:tcPr>
                <w:p>
                  <w:pPr>
                    <w:widowControl/>
                    <w:jc w:val="center"/>
                    <w:rPr>
                      <w:rFonts w:hint="default" w:ascii="Times New Roman" w:hAnsi="Times New Roman" w:cs="Times New Roman"/>
                      <w:b/>
                      <w:color w:val="auto"/>
                      <w:kern w:val="0"/>
                      <w:szCs w:val="21"/>
                    </w:rPr>
                  </w:pPr>
                </w:p>
              </w:tc>
              <w:tc>
                <w:tcPr>
                  <w:tcW w:w="1863" w:type="dxa"/>
                  <w:vMerge w:val="continue"/>
                  <w:noWrap w:val="0"/>
                  <w:vAlign w:val="center"/>
                </w:tcPr>
                <w:p>
                  <w:pPr>
                    <w:widowControl/>
                    <w:jc w:val="center"/>
                    <w:rPr>
                      <w:rFonts w:hint="default" w:ascii="Times New Roman" w:hAnsi="Times New Roman" w:cs="Times New Roman"/>
                      <w:b/>
                      <w:color w:val="auto"/>
                      <w:kern w:val="0"/>
                      <w:szCs w:val="21"/>
                    </w:rPr>
                  </w:pPr>
                </w:p>
              </w:tc>
              <w:tc>
                <w:tcPr>
                  <w:tcW w:w="379" w:type="dxa"/>
                  <w:vMerge w:val="continue"/>
                  <w:noWrap w:val="0"/>
                  <w:vAlign w:val="center"/>
                </w:tcPr>
                <w:p>
                  <w:pPr>
                    <w:widowControl/>
                    <w:jc w:val="center"/>
                    <w:rPr>
                      <w:rFonts w:hint="default" w:ascii="Times New Roman" w:hAnsi="Times New Roman" w:cs="Times New Roman"/>
                      <w:b/>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3" w:type="dxa"/>
                  <w:vMerge w:val="restart"/>
                  <w:noWrap w:val="0"/>
                  <w:vAlign w:val="center"/>
                </w:tcPr>
                <w:p>
                  <w:pPr>
                    <w:pStyle w:val="144"/>
                    <w:widowControl/>
                    <w:spacing w:line="240" w:lineRule="auto"/>
                    <w:ind w:firstLine="0" w:firstLineChars="0"/>
                    <w:jc w:val="left"/>
                    <w:rPr>
                      <w:rFonts w:hint="default" w:ascii="Times New Roman" w:hAnsi="Times New Roman" w:cs="Times New Roman"/>
                      <w:color w:val="auto"/>
                      <w:sz w:val="21"/>
                    </w:rPr>
                  </w:pPr>
                  <w:r>
                    <w:rPr>
                      <w:rFonts w:hint="default" w:ascii="Times New Roman" w:hAnsi="Times New Roman" w:eastAsia="宋体" w:cs="Times New Roman"/>
                      <w:color w:val="auto"/>
                      <w:kern w:val="21"/>
                      <w:sz w:val="21"/>
                      <w:szCs w:val="21"/>
                    </w:rPr>
                    <w:t>ZH51092120003</w:t>
                  </w:r>
                </w:p>
              </w:tc>
              <w:tc>
                <w:tcPr>
                  <w:tcW w:w="439" w:type="dxa"/>
                  <w:vMerge w:val="restart"/>
                  <w:noWrap w:val="0"/>
                  <w:vAlign w:val="center"/>
                </w:tcPr>
                <w:p>
                  <w:pPr>
                    <w:pStyle w:val="144"/>
                    <w:widowControl/>
                    <w:spacing w:line="240" w:lineRule="auto"/>
                    <w:ind w:firstLine="0" w:firstLineChars="0"/>
                    <w:jc w:val="left"/>
                    <w:rPr>
                      <w:rFonts w:hint="default" w:ascii="Times New Roman" w:hAnsi="Times New Roman" w:cs="Times New Roman"/>
                      <w:color w:val="auto"/>
                      <w:sz w:val="21"/>
                    </w:rPr>
                  </w:pPr>
                  <w:r>
                    <w:rPr>
                      <w:rFonts w:hint="eastAsia" w:ascii="Times New Roman" w:hAnsi="Times New Roman" w:eastAsia="宋体" w:cs="Times New Roman"/>
                      <w:color w:val="auto"/>
                      <w:kern w:val="21"/>
                      <w:sz w:val="21"/>
                      <w:szCs w:val="21"/>
                      <w:lang w:eastAsia="zh-CN"/>
                    </w:rPr>
                    <w:t>四川蓬溪经济开发区（金桥片</w:t>
                  </w:r>
                  <w:r>
                    <w:rPr>
                      <w:rFonts w:hint="eastAsia" w:ascii="Times New Roman" w:hAnsi="Times New Roman" w:eastAsia="宋体" w:cs="Times New Roman"/>
                      <w:color w:val="auto"/>
                      <w:kern w:val="21"/>
                      <w:sz w:val="21"/>
                      <w:szCs w:val="21"/>
                      <w:lang w:val="en-US" w:eastAsia="zh-CN"/>
                    </w:rPr>
                    <w:t>区</w:t>
                  </w:r>
                  <w:r>
                    <w:rPr>
                      <w:rFonts w:hint="eastAsia" w:ascii="Times New Roman" w:hAnsi="Times New Roman" w:eastAsia="宋体" w:cs="Times New Roman"/>
                      <w:color w:val="auto"/>
                      <w:kern w:val="21"/>
                      <w:sz w:val="21"/>
                      <w:szCs w:val="21"/>
                      <w:lang w:eastAsia="zh-CN"/>
                    </w:rPr>
                    <w:t>）</w:t>
                  </w:r>
                </w:p>
              </w:tc>
              <w:tc>
                <w:tcPr>
                  <w:tcW w:w="315" w:type="dxa"/>
                  <w:vMerge w:val="restart"/>
                  <w:noWrap w:val="0"/>
                  <w:vAlign w:val="center"/>
                </w:tcPr>
                <w:p>
                  <w:pPr>
                    <w:widowControl/>
                    <w:jc w:val="center"/>
                    <w:rPr>
                      <w:rFonts w:hint="default" w:ascii="Times New Roman" w:hAnsi="Times New Roman" w:cs="Times New Roman"/>
                      <w:b/>
                      <w:color w:val="auto"/>
                      <w:kern w:val="0"/>
                      <w:szCs w:val="21"/>
                      <w:lang w:val="en-US"/>
                    </w:rPr>
                  </w:pPr>
                  <w:r>
                    <w:rPr>
                      <w:rFonts w:hint="default" w:ascii="Times New Roman" w:hAnsi="Times New Roman" w:cs="Times New Roman"/>
                      <w:color w:val="auto"/>
                      <w:kern w:val="0"/>
                      <w:sz w:val="21"/>
                      <w:szCs w:val="21"/>
                      <w:lang w:val="en-US" w:eastAsia="zh-CN" w:bidi="ar"/>
                    </w:rPr>
                    <w:t>遂宁市普适性清</w:t>
                  </w:r>
                  <w:r>
                    <w:rPr>
                      <w:rFonts w:hint="eastAsia" w:ascii="Times New Roman" w:hAnsi="Times New Roman" w:cs="Times New Roman"/>
                      <w:color w:val="auto"/>
                      <w:kern w:val="0"/>
                      <w:sz w:val="21"/>
                      <w:szCs w:val="21"/>
                      <w:lang w:val="en-US" w:eastAsia="zh-CN" w:bidi="ar"/>
                    </w:rPr>
                    <w:t>单</w:t>
                  </w:r>
                </w:p>
              </w:tc>
              <w:tc>
                <w:tcPr>
                  <w:tcW w:w="661" w:type="dxa"/>
                  <w:noWrap w:val="0"/>
                  <w:vAlign w:val="center"/>
                </w:tcPr>
                <w:p>
                  <w:pPr>
                    <w:widowControl/>
                    <w:jc w:val="center"/>
                    <w:rPr>
                      <w:rFonts w:hint="default" w:ascii="Times New Roman" w:hAnsi="Times New Roman" w:cs="Times New Roman"/>
                      <w:b/>
                      <w:color w:val="auto"/>
                      <w:kern w:val="0"/>
                      <w:szCs w:val="21"/>
                    </w:rPr>
                  </w:pPr>
                  <w:r>
                    <w:rPr>
                      <w:rFonts w:hint="default" w:ascii="Times New Roman" w:hAnsi="Times New Roman" w:cs="Times New Roman"/>
                      <w:color w:val="auto"/>
                      <w:szCs w:val="21"/>
                    </w:rPr>
                    <w:t>空间布局约束</w:t>
                  </w:r>
                </w:p>
              </w:tc>
              <w:tc>
                <w:tcPr>
                  <w:tcW w:w="3537" w:type="dxa"/>
                  <w:noWrap w:val="0"/>
                  <w:vAlign w:val="top"/>
                </w:tcPr>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禁止开发建设活动的要求</w:t>
                  </w:r>
                </w:p>
                <w:p>
                  <w:pPr>
                    <w:keepNext w:val="0"/>
                    <w:keepLines w:val="0"/>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1.禁止引入不符合园区用地性质</w:t>
                  </w:r>
                  <w:r>
                    <w:rPr>
                      <w:rFonts w:hint="eastAsia" w:cs="Times New Roman"/>
                      <w:color w:val="auto"/>
                      <w:sz w:val="21"/>
                      <w:szCs w:val="21"/>
                      <w:lang w:val="en-US" w:eastAsia="zh-CN"/>
                    </w:rPr>
                    <w:t>和</w:t>
                  </w:r>
                  <w:r>
                    <w:rPr>
                      <w:rFonts w:hint="default" w:ascii="Times New Roman" w:hAnsi="Times New Roman" w:eastAsia="宋体" w:cs="Times New Roman"/>
                      <w:color w:val="auto"/>
                      <w:sz w:val="21"/>
                      <w:szCs w:val="21"/>
                    </w:rPr>
                    <w:t>产业规划的工业企业。</w:t>
                  </w:r>
                </w:p>
                <w:p>
                  <w:pPr>
                    <w:keepNext w:val="0"/>
                    <w:keepLines w:val="0"/>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2.禁止在长江干支流、重要湖泊岸线一公里范围内新建、扩建化工园区和化工项目。</w:t>
                  </w:r>
                </w:p>
                <w:p>
                  <w:pPr>
                    <w:keepNext w:val="0"/>
                    <w:keepLines w:val="0"/>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3.禁止在长江流域河湖管理范围内倾倒、填埋、堆放、弃置、处理固体废物。</w:t>
                  </w:r>
                </w:p>
                <w:p>
                  <w:pPr>
                    <w:pStyle w:val="144"/>
                    <w:widowControl/>
                    <w:shd w:val="clear" w:color="auto" w:fill="FFFFFF"/>
                    <w:spacing w:line="240" w:lineRule="auto"/>
                    <w:ind w:firstLine="0" w:firstLineChars="0"/>
                    <w:jc w:val="both"/>
                    <w:rPr>
                      <w:rStyle w:val="39"/>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4.未通过认定的化工园区，不得新建、改扩建化工项目（安全、环保、节能和智能化改造项目除外），按属地原则依法依规妥善做好未通过认定化工园区及园内企业的转型、关闭、处置及监管工作</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限制开发建设活动的要求</w:t>
                  </w:r>
                </w:p>
                <w:p>
                  <w:pPr>
                    <w:keepNext w:val="0"/>
                    <w:keepLines w:val="0"/>
                    <w:suppressLineNumbers w:val="0"/>
                    <w:spacing w:before="0" w:beforeAutospacing="0" w:after="0" w:afterAutospacing="0" w:line="240" w:lineRule="auto"/>
                    <w:ind w:left="0" w:right="0"/>
                    <w:jc w:val="both"/>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1.严控新建、扩建“两高”项目，对现存企业执行最严格排放标准和总量控制要求。</w:t>
                  </w:r>
                </w:p>
                <w:p>
                  <w:pPr>
                    <w:pStyle w:val="144"/>
                    <w:widowControl/>
                    <w:shd w:val="clear" w:color="auto" w:fill="FFFFFF"/>
                    <w:spacing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2.长江干流及主要支流1公里范围内，严控新建石油化工、煤化工、涉磷、造纸、印染、制革等项目</w:t>
                  </w:r>
                </w:p>
                <w:p>
                  <w:pPr>
                    <w:pStyle w:val="144"/>
                    <w:widowControl/>
                    <w:shd w:val="clear" w:color="auto" w:fill="FFFFFF"/>
                    <w:spacing w:line="240" w:lineRule="auto"/>
                    <w:ind w:firstLine="0" w:firstLineChars="0"/>
                    <w:jc w:val="both"/>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允许开发建设活动的要求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不符合空间布局要求活动的退出要求</w:t>
                  </w:r>
                </w:p>
                <w:p>
                  <w:pPr>
                    <w:pStyle w:val="144"/>
                    <w:widowControl/>
                    <w:shd w:val="clear" w:color="auto" w:fill="FFFFFF"/>
                    <w:spacing w:line="240" w:lineRule="auto"/>
                    <w:ind w:firstLine="0" w:firstLineChars="0"/>
                    <w:jc w:val="both"/>
                    <w:rPr>
                      <w:rStyle w:val="39"/>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现有属于禁止引入产业门类的企业，应按相关规定限期整</w:t>
                  </w:r>
                  <w:r>
                    <w:rPr>
                      <w:rFonts w:hint="eastAsia" w:eastAsia="宋体" w:cs="Times New Roman"/>
                      <w:color w:val="auto"/>
                      <w:sz w:val="21"/>
                      <w:szCs w:val="21"/>
                      <w:lang w:val="en-US" w:eastAsia="zh-CN"/>
                    </w:rPr>
                    <w:t>改</w:t>
                  </w:r>
                  <w:r>
                    <w:rPr>
                      <w:rFonts w:hint="default" w:ascii="Times New Roman" w:hAnsi="Times New Roman" w:eastAsia="宋体" w:cs="Times New Roman"/>
                      <w:color w:val="auto"/>
                      <w:sz w:val="21"/>
                      <w:szCs w:val="21"/>
                      <w:lang w:val="en-US" w:eastAsia="zh-CN"/>
                    </w:rPr>
                    <w:t>或退出</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其他空间布局约束要求</w:t>
                  </w:r>
                </w:p>
                <w:p>
                  <w:pPr>
                    <w:pStyle w:val="144"/>
                    <w:spacing w:line="240" w:lineRule="auto"/>
                    <w:ind w:firstLine="0" w:firstLineChars="0"/>
                    <w:rPr>
                      <w:rFonts w:hint="default" w:ascii="Times New Roman" w:hAnsi="Times New Roman" w:eastAsia="宋体" w:cs="Times New Roman"/>
                      <w:b/>
                      <w:color w:val="auto"/>
                      <w:kern w:val="0"/>
                      <w:sz w:val="21"/>
                    </w:rPr>
                  </w:pPr>
                  <w:r>
                    <w:rPr>
                      <w:rStyle w:val="39"/>
                      <w:rFonts w:hint="default" w:ascii="Times New Roman" w:hAnsi="Times New Roman" w:eastAsia="宋体" w:cs="Times New Roman"/>
                      <w:color w:val="auto"/>
                      <w:kern w:val="2"/>
                      <w:sz w:val="21"/>
                      <w:szCs w:val="21"/>
                      <w:lang w:val="en-US" w:eastAsia="zh-CN" w:bidi="ar-SA"/>
                    </w:rPr>
                    <w:t>/</w:t>
                  </w:r>
                </w:p>
              </w:tc>
              <w:tc>
                <w:tcPr>
                  <w:tcW w:w="1863" w:type="dxa"/>
                  <w:noWrap w:val="0"/>
                  <w:vAlign w:val="center"/>
                </w:tcPr>
                <w:p>
                  <w:pPr>
                    <w:widowControl/>
                    <w:jc w:val="center"/>
                    <w:rPr>
                      <w:rFonts w:hint="eastAsia" w:eastAsia="宋体"/>
                      <w:color w:val="auto"/>
                      <w:kern w:val="0"/>
                      <w:szCs w:val="21"/>
                      <w:lang w:val="en-US" w:eastAsia="zh-CN"/>
                    </w:rPr>
                  </w:pPr>
                  <w:r>
                    <w:rPr>
                      <w:rFonts w:hint="default" w:ascii="Times New Roman" w:hAnsi="Times New Roman" w:eastAsia="宋体" w:cs="Times New Roman"/>
                      <w:b w:val="0"/>
                      <w:bCs w:val="0"/>
                      <w:color w:val="auto"/>
                      <w:kern w:val="2"/>
                      <w:sz w:val="21"/>
                      <w:szCs w:val="21"/>
                      <w:lang w:val="en-US" w:eastAsia="zh-CN" w:bidi="ar-SA"/>
                    </w:rPr>
                    <w:t>本项目为石墨及碳素制品制造，属于非金属矿物制品业，</w:t>
                  </w:r>
                  <w:r>
                    <w:rPr>
                      <w:rFonts w:hint="default" w:ascii="Times New Roman" w:hAnsi="Times New Roman" w:eastAsia="宋体" w:cs="Times New Roman"/>
                      <w:b w:val="0"/>
                      <w:bCs w:val="0"/>
                      <w:color w:val="auto"/>
                      <w:sz w:val="21"/>
                      <w:szCs w:val="21"/>
                      <w:lang w:eastAsia="zh-CN"/>
                    </w:rPr>
                    <w:t>与园区</w:t>
                  </w:r>
                  <w:r>
                    <w:rPr>
                      <w:rFonts w:hint="default" w:ascii="Times New Roman" w:hAnsi="Times New Roman" w:eastAsia="宋体" w:cs="Times New Roman"/>
                      <w:b w:val="0"/>
                      <w:bCs w:val="0"/>
                      <w:color w:val="auto"/>
                      <w:sz w:val="21"/>
                      <w:szCs w:val="21"/>
                    </w:rPr>
                    <w:t>主导发展</w:t>
                  </w:r>
                  <w:r>
                    <w:rPr>
                      <w:rFonts w:hint="default" w:ascii="Times New Roman" w:hAnsi="Times New Roman" w:eastAsia="宋体" w:cs="Times New Roman"/>
                      <w:b w:val="0"/>
                      <w:bCs w:val="0"/>
                      <w:color w:val="auto"/>
                      <w:sz w:val="21"/>
                      <w:szCs w:val="21"/>
                      <w:lang w:eastAsia="zh-CN"/>
                    </w:rPr>
                    <w:t>产业</w:t>
                  </w:r>
                  <w:r>
                    <w:rPr>
                      <w:rFonts w:hint="default" w:ascii="Times New Roman" w:hAnsi="Times New Roman" w:eastAsia="宋体" w:cs="Times New Roman"/>
                      <w:b w:val="0"/>
                      <w:bCs w:val="0"/>
                      <w:color w:val="auto"/>
                      <w:sz w:val="21"/>
                      <w:szCs w:val="21"/>
                      <w:lang w:val="en-US" w:eastAsia="zh-CN"/>
                    </w:rPr>
                    <w:t>不冲突</w:t>
                  </w:r>
                  <w:r>
                    <w:rPr>
                      <w:rFonts w:hint="eastAsia" w:ascii="Times New Roman" w:hAnsi="Times New Roman" w:eastAsia="宋体" w:cs="Times New Roman"/>
                      <w:b w:val="0"/>
                      <w:bCs w:val="0"/>
                      <w:color w:val="auto"/>
                      <w:sz w:val="21"/>
                      <w:szCs w:val="21"/>
                      <w:lang w:val="en-US" w:eastAsia="zh-CN"/>
                    </w:rPr>
                    <w:t>；本项目不属于</w:t>
                  </w:r>
                  <w:r>
                    <w:rPr>
                      <w:rFonts w:hint="default" w:ascii="Times New Roman" w:hAnsi="Times New Roman" w:eastAsia="宋体" w:cs="Times New Roman"/>
                      <w:color w:val="auto"/>
                      <w:sz w:val="21"/>
                      <w:szCs w:val="21"/>
                    </w:rPr>
                    <w:t>化工项目</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kern w:val="0"/>
                      <w:sz w:val="21"/>
                      <w:szCs w:val="21"/>
                      <w:lang w:bidi="ar"/>
                    </w:rPr>
                    <w:t>本项目</w:t>
                  </w:r>
                  <w:r>
                    <w:rPr>
                      <w:rFonts w:hint="default" w:ascii="Times New Roman" w:hAnsi="Times New Roman" w:cs="Times New Roman"/>
                      <w:color w:val="auto"/>
                      <w:kern w:val="0"/>
                      <w:sz w:val="21"/>
                      <w:szCs w:val="21"/>
                      <w:lang w:val="en-US" w:eastAsia="zh-CN" w:bidi="ar"/>
                    </w:rPr>
                    <w:t>不属于两高项目，与最近地表水体</w:t>
                  </w:r>
                  <w:r>
                    <w:rPr>
                      <w:rStyle w:val="39"/>
                      <w:rFonts w:hint="eastAsia" w:ascii="宋体" w:hAnsi="宋体" w:eastAsia="宋体" w:cs="Times New Roman"/>
                      <w:color w:val="auto"/>
                      <w:kern w:val="2"/>
                      <w:sz w:val="21"/>
                      <w:szCs w:val="21"/>
                      <w:lang w:val="en-US" w:eastAsia="zh-CN" w:bidi="ar-SA"/>
                    </w:rPr>
                    <w:t>项目位于涪江北侧一公里以外</w:t>
                  </w:r>
                  <w:r>
                    <w:rPr>
                      <w:rFonts w:hint="default" w:ascii="Times New Roman" w:hAnsi="Times New Roman" w:cs="Times New Roman"/>
                      <w:color w:val="auto"/>
                      <w:kern w:val="0"/>
                      <w:sz w:val="21"/>
                      <w:szCs w:val="21"/>
                      <w:lang w:val="en-US" w:eastAsia="zh-CN" w:bidi="ar"/>
                    </w:rPr>
                    <w:t>距离为</w:t>
                  </w:r>
                  <w:r>
                    <w:rPr>
                      <w:rFonts w:hint="eastAsia" w:ascii="Times New Roman" w:hAnsi="Times New Roman" w:cs="Times New Roman"/>
                      <w:color w:val="auto"/>
                      <w:kern w:val="0"/>
                      <w:sz w:val="21"/>
                      <w:szCs w:val="21"/>
                      <w:lang w:val="en-US" w:eastAsia="zh-CN" w:bidi="ar"/>
                    </w:rPr>
                    <w:t>1.97</w:t>
                  </w:r>
                  <w:r>
                    <w:rPr>
                      <w:rFonts w:hint="default" w:ascii="Times New Roman" w:hAnsi="Times New Roman" w:cs="Times New Roman"/>
                      <w:color w:val="auto"/>
                      <w:kern w:val="0"/>
                      <w:sz w:val="21"/>
                      <w:szCs w:val="21"/>
                      <w:lang w:val="en-US" w:eastAsia="zh-CN" w:bidi="ar"/>
                    </w:rPr>
                    <w:t>km，不在</w:t>
                  </w:r>
                  <w:r>
                    <w:rPr>
                      <w:rFonts w:hint="default" w:ascii="Times New Roman" w:hAnsi="Times New Roman" w:eastAsia="宋体" w:cs="Times New Roman"/>
                      <w:color w:val="auto"/>
                      <w:sz w:val="21"/>
                      <w:szCs w:val="21"/>
                    </w:rPr>
                    <w:t>长江干支流、重要湖泊岸线一公里范围内</w:t>
                  </w:r>
                  <w:r>
                    <w:rPr>
                      <w:rFonts w:hint="eastAsia" w:ascii="Times New Roman" w:hAnsi="Times New Roman" w:eastAsia="宋体" w:cs="Times New Roman"/>
                      <w:color w:val="auto"/>
                      <w:sz w:val="21"/>
                      <w:szCs w:val="21"/>
                      <w:lang w:eastAsia="zh-CN"/>
                    </w:rPr>
                    <w:t>；</w:t>
                  </w:r>
                  <w:r>
                    <w:rPr>
                      <w:rFonts w:hint="default" w:ascii="Times New Roman" w:hAnsi="Times New Roman" w:cs="Times New Roman"/>
                      <w:color w:val="auto"/>
                      <w:kern w:val="0"/>
                      <w:sz w:val="21"/>
                      <w:szCs w:val="21"/>
                      <w:lang w:bidi="ar"/>
                    </w:rPr>
                    <w:t>本项目</w:t>
                  </w:r>
                  <w:r>
                    <w:rPr>
                      <w:rFonts w:hint="default" w:ascii="Times New Roman" w:hAnsi="Times New Roman" w:cs="Times New Roman"/>
                      <w:color w:val="auto"/>
                      <w:kern w:val="0"/>
                      <w:sz w:val="21"/>
                      <w:szCs w:val="21"/>
                      <w:lang w:val="en-US" w:eastAsia="zh-CN" w:bidi="ar"/>
                    </w:rPr>
                    <w:t>不属于禁止</w:t>
                  </w:r>
                  <w:r>
                    <w:rPr>
                      <w:rFonts w:hint="default" w:ascii="Times New Roman" w:hAnsi="Times New Roman" w:eastAsia="宋体" w:cs="Times New Roman"/>
                      <w:color w:val="auto"/>
                      <w:sz w:val="21"/>
                      <w:szCs w:val="21"/>
                      <w:lang w:val="en-US" w:eastAsia="zh-CN"/>
                    </w:rPr>
                    <w:t>引入产业门类的企业</w:t>
                  </w:r>
                </w:p>
              </w:tc>
              <w:tc>
                <w:tcPr>
                  <w:tcW w:w="379" w:type="dxa"/>
                  <w:noWrap w:val="0"/>
                  <w:vAlign w:val="center"/>
                </w:tcPr>
                <w:p>
                  <w:pPr>
                    <w:widowControl/>
                    <w:jc w:val="center"/>
                    <w:rPr>
                      <w:color w:val="auto"/>
                      <w:kern w:val="0"/>
                      <w:szCs w:val="21"/>
                    </w:rPr>
                  </w:pPr>
                  <w:r>
                    <w:rPr>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5" w:hRule="atLeast"/>
              </w:trPr>
              <w:tc>
                <w:tcPr>
                  <w:tcW w:w="343" w:type="dxa"/>
                  <w:vMerge w:val="continue"/>
                  <w:noWrap w:val="0"/>
                  <w:vAlign w:val="center"/>
                </w:tcPr>
                <w:p>
                  <w:pPr>
                    <w:widowControl/>
                    <w:jc w:val="center"/>
                    <w:rPr>
                      <w:rFonts w:hint="default" w:ascii="Times New Roman" w:hAnsi="Times New Roman" w:cs="Times New Roman"/>
                      <w:b/>
                      <w:color w:val="auto"/>
                      <w:kern w:val="0"/>
                      <w:szCs w:val="21"/>
                    </w:rPr>
                  </w:pPr>
                </w:p>
              </w:tc>
              <w:tc>
                <w:tcPr>
                  <w:tcW w:w="439" w:type="dxa"/>
                  <w:vMerge w:val="continue"/>
                  <w:noWrap w:val="0"/>
                  <w:vAlign w:val="center"/>
                </w:tcPr>
                <w:p>
                  <w:pPr>
                    <w:widowControl/>
                    <w:jc w:val="center"/>
                    <w:rPr>
                      <w:rFonts w:hint="default" w:ascii="Times New Roman" w:hAnsi="Times New Roman" w:cs="Times New Roman"/>
                      <w:b/>
                      <w:color w:val="auto"/>
                      <w:kern w:val="0"/>
                      <w:szCs w:val="21"/>
                    </w:rPr>
                  </w:pPr>
                </w:p>
              </w:tc>
              <w:tc>
                <w:tcPr>
                  <w:tcW w:w="315" w:type="dxa"/>
                  <w:vMerge w:val="continue"/>
                  <w:noWrap w:val="0"/>
                  <w:vAlign w:val="center"/>
                </w:tcPr>
                <w:p>
                  <w:pPr>
                    <w:widowControl/>
                    <w:jc w:val="center"/>
                    <w:rPr>
                      <w:rFonts w:hint="default" w:ascii="Times New Roman" w:hAnsi="Times New Roman" w:cs="Times New Roman"/>
                      <w:b/>
                      <w:color w:val="auto"/>
                      <w:kern w:val="0"/>
                      <w:szCs w:val="21"/>
                    </w:rPr>
                  </w:pPr>
                </w:p>
              </w:tc>
              <w:tc>
                <w:tcPr>
                  <w:tcW w:w="661" w:type="dxa"/>
                  <w:vMerge w:val="restart"/>
                  <w:noWrap w:val="0"/>
                  <w:vAlign w:val="center"/>
                </w:tcPr>
                <w:p>
                  <w:pPr>
                    <w:pStyle w:val="144"/>
                    <w:spacing w:line="240" w:lineRule="auto"/>
                    <w:ind w:firstLine="0" w:firstLineChars="0"/>
                    <w:jc w:val="center"/>
                    <w:rPr>
                      <w:rFonts w:hint="default" w:ascii="Times New Roman" w:hAnsi="Times New Roman" w:eastAsia="宋体" w:cs="Times New Roman"/>
                      <w:b/>
                      <w:color w:val="auto"/>
                      <w:kern w:val="0"/>
                      <w:sz w:val="21"/>
                    </w:rPr>
                  </w:pPr>
                  <w:r>
                    <w:rPr>
                      <w:rFonts w:hint="default" w:ascii="Times New Roman" w:hAnsi="Times New Roman" w:eastAsia="宋体" w:cs="Times New Roman"/>
                      <w:color w:val="auto"/>
                      <w:kern w:val="0"/>
                      <w:sz w:val="21"/>
                    </w:rPr>
                    <w:t>污染物排放管控</w:t>
                  </w:r>
                </w:p>
              </w:tc>
              <w:tc>
                <w:tcPr>
                  <w:tcW w:w="3537" w:type="dxa"/>
                  <w:noWrap w:val="0"/>
                  <w:vAlign w:val="top"/>
                </w:tcPr>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现有源提标升级改造</w:t>
                  </w:r>
                </w:p>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lang w:bidi="ar"/>
                    </w:rPr>
                  </w:pPr>
                  <w:r>
                    <w:rPr>
                      <w:rFonts w:hint="default" w:ascii="Times New Roman" w:hAnsi="Times New Roman" w:cs="Times New Roman"/>
                      <w:color w:val="auto"/>
                      <w:kern w:val="0"/>
                      <w:sz w:val="21"/>
                      <w:szCs w:val="21"/>
                      <w:lang w:bidi="ar"/>
                    </w:rPr>
                    <w:t>1.污</w:t>
                  </w:r>
                  <w:r>
                    <w:rPr>
                      <w:rFonts w:hint="default" w:ascii="Times New Roman" w:hAnsi="Times New Roman" w:eastAsia="宋体" w:cs="Times New Roman"/>
                      <w:color w:val="auto"/>
                      <w:kern w:val="0"/>
                      <w:sz w:val="21"/>
                      <w:szCs w:val="21"/>
                      <w:lang w:bidi="ar"/>
                    </w:rPr>
                    <w:t>水收集处理率达100%。</w:t>
                  </w:r>
                </w:p>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2.园区污水处理厂</w:t>
                  </w:r>
                  <w:r>
                    <w:rPr>
                      <w:rFonts w:hint="eastAsia" w:ascii="Times New Roman" w:hAnsi="Times New Roman" w:eastAsia="宋体" w:cs="Times New Roman"/>
                      <w:color w:val="auto"/>
                      <w:kern w:val="0"/>
                      <w:sz w:val="21"/>
                      <w:szCs w:val="21"/>
                      <w:lang w:eastAsia="zh-CN" w:bidi="ar"/>
                    </w:rPr>
                    <w:t>达到</w:t>
                  </w:r>
                  <w:r>
                    <w:rPr>
                      <w:rFonts w:hint="default" w:ascii="Times New Roman" w:hAnsi="Times New Roman" w:eastAsia="宋体" w:cs="Times New Roman"/>
                      <w:color w:val="auto"/>
                      <w:kern w:val="0"/>
                      <w:sz w:val="21"/>
                      <w:szCs w:val="21"/>
                      <w:lang w:bidi="ar"/>
                    </w:rPr>
                    <w:t>《城镇污水处理厂污染物排放标准》一级A标</w:t>
                  </w:r>
                  <w:r>
                    <w:rPr>
                      <w:rFonts w:hint="eastAsia" w:cs="Times New Roman"/>
                      <w:color w:val="auto"/>
                      <w:kern w:val="0"/>
                      <w:sz w:val="21"/>
                      <w:szCs w:val="21"/>
                      <w:lang w:val="en-US" w:eastAsia="zh-CN" w:bidi="ar"/>
                    </w:rPr>
                    <w:t>准</w:t>
                  </w:r>
                  <w:r>
                    <w:rPr>
                      <w:rFonts w:hint="default" w:ascii="Times New Roman" w:hAnsi="Times New Roman" w:eastAsia="宋体" w:cs="Times New Roman"/>
                      <w:color w:val="auto"/>
                      <w:kern w:val="0"/>
                      <w:sz w:val="21"/>
                      <w:szCs w:val="21"/>
                      <w:lang w:bidi="ar"/>
                    </w:rPr>
                    <w:t>或更高标准。</w:t>
                  </w:r>
                </w:p>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3.加快推进危险化学品生产企业搬迁改造工程。</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r>
                    <w:rPr>
                      <w:rStyle w:val="39"/>
                      <w:rFonts w:hint="default"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新增源等量或倍量替代</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新增源排放标准限值</w:t>
                  </w:r>
                </w:p>
                <w:p>
                  <w:pPr>
                    <w:pStyle w:val="144"/>
                    <w:widowControl/>
                    <w:shd w:val="clear" w:color="auto" w:fill="FFFFFF"/>
                    <w:spacing w:line="240" w:lineRule="auto"/>
                    <w:ind w:firstLine="0" w:firstLineChars="0"/>
                    <w:jc w:val="left"/>
                    <w:rPr>
                      <w:rFonts w:hint="default" w:ascii="Times New Roman" w:hAnsi="Times New Roman" w:eastAsia="宋体" w:cs="Times New Roman"/>
                      <w:color w:val="auto"/>
                      <w:sz w:val="21"/>
                      <w:szCs w:val="21"/>
                    </w:rPr>
                  </w:pPr>
                  <w:r>
                    <w:rPr>
                      <w:rStyle w:val="39"/>
                      <w:rFonts w:hint="default"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污染物排放绩效水平准入要求</w:t>
                  </w:r>
                </w:p>
                <w:p>
                  <w:pPr>
                    <w:pStyle w:val="144"/>
                    <w:widowControl/>
                    <w:shd w:val="clear" w:color="auto" w:fill="FFFFFF"/>
                    <w:spacing w:line="240" w:lineRule="auto"/>
                    <w:ind w:firstLine="0" w:firstLineChars="0"/>
                    <w:jc w:val="left"/>
                    <w:rPr>
                      <w:rFonts w:hint="default" w:ascii="Times New Roman" w:hAnsi="Times New Roman" w:eastAsia="宋体" w:cs="Times New Roman"/>
                      <w:color w:val="auto"/>
                      <w:kern w:val="0"/>
                      <w:sz w:val="21"/>
                    </w:rPr>
                  </w:pPr>
                  <w:r>
                    <w:rPr>
                      <w:rStyle w:val="39"/>
                      <w:rFonts w:hint="default" w:ascii="Times New Roman" w:hAnsi="Times New Roman" w:eastAsia="宋体" w:cs="Times New Roman"/>
                      <w:color w:val="auto"/>
                      <w:kern w:val="2"/>
                      <w:sz w:val="21"/>
                      <w:szCs w:val="21"/>
                      <w:lang w:val="en-US" w:eastAsia="zh-CN" w:bidi="ar-SA"/>
                    </w:rPr>
                    <w:t>/</w:t>
                  </w:r>
                </w:p>
              </w:tc>
              <w:tc>
                <w:tcPr>
                  <w:tcW w:w="1863" w:type="dxa"/>
                  <w:noWrap w:val="0"/>
                  <w:vAlign w:val="center"/>
                </w:tcPr>
                <w:p>
                  <w:pPr>
                    <w:widowControl/>
                    <w:jc w:val="center"/>
                    <w:rPr>
                      <w:rFonts w:hint="eastAsia" w:eastAsia="宋体"/>
                      <w:b/>
                      <w:color w:val="auto"/>
                      <w:kern w:val="0"/>
                      <w:szCs w:val="21"/>
                      <w:lang w:val="en-US" w:eastAsia="zh-CN"/>
                    </w:rPr>
                  </w:pPr>
                  <w:r>
                    <w:rPr>
                      <w:rFonts w:hint="default" w:ascii="Times New Roman" w:hAnsi="Times New Roman" w:cs="Times New Roman"/>
                      <w:color w:val="auto"/>
                      <w:kern w:val="0"/>
                      <w:sz w:val="21"/>
                      <w:szCs w:val="21"/>
                      <w:lang w:bidi="ar"/>
                    </w:rPr>
                    <w:t>本项目</w:t>
                  </w:r>
                  <w:r>
                    <w:rPr>
                      <w:rFonts w:hint="eastAsia" w:ascii="Times New Roman" w:hAnsi="Times New Roman" w:cs="Times New Roman"/>
                      <w:color w:val="auto"/>
                      <w:kern w:val="0"/>
                      <w:sz w:val="21"/>
                      <w:szCs w:val="21"/>
                      <w:lang w:val="en-US" w:eastAsia="zh-CN" w:bidi="ar"/>
                    </w:rPr>
                    <w:t>所在厂区采取</w:t>
                  </w:r>
                  <w:r>
                    <w:rPr>
                      <w:rFonts w:hint="default" w:ascii="Times New Roman" w:hAnsi="Times New Roman" w:cs="Times New Roman"/>
                      <w:color w:val="auto"/>
                      <w:kern w:val="0"/>
                      <w:sz w:val="21"/>
                      <w:szCs w:val="21"/>
                      <w:lang w:bidi="ar"/>
                    </w:rPr>
                    <w:t>雨污分流，</w:t>
                  </w:r>
                  <w:r>
                    <w:rPr>
                      <w:rFonts w:hint="eastAsia" w:ascii="Times New Roman" w:hAnsi="Times New Roman" w:eastAsia="宋体" w:cs="Times New Roman"/>
                      <w:color w:val="auto"/>
                      <w:sz w:val="21"/>
                      <w:szCs w:val="21"/>
                      <w:lang w:val="en-US" w:eastAsia="zh-CN"/>
                    </w:rPr>
                    <w:t>产生的碱喷淋废水经酸碱中和预处理后，</w:t>
                  </w:r>
                  <w:r>
                    <w:rPr>
                      <w:rFonts w:hint="eastAsia" w:cs="Times New Roman"/>
                      <w:color w:val="auto"/>
                      <w:sz w:val="21"/>
                      <w:szCs w:val="21"/>
                      <w:lang w:val="en-US" w:eastAsia="zh-CN"/>
                    </w:rPr>
                    <w:t>和</w:t>
                  </w:r>
                  <w:r>
                    <w:rPr>
                      <w:rFonts w:hint="eastAsia" w:ascii="Times New Roman" w:hAnsi="Times New Roman" w:eastAsia="宋体" w:cs="Times New Roman"/>
                      <w:color w:val="auto"/>
                      <w:sz w:val="21"/>
                      <w:szCs w:val="21"/>
                      <w:lang w:val="en-US" w:eastAsia="zh-CN"/>
                    </w:rPr>
                    <w:t>生活污水一起排入四川翔丰华新能源材料有限公司已建4#预处理池处理</w:t>
                  </w:r>
                  <w:r>
                    <w:rPr>
                      <w:rFonts w:hint="default" w:ascii="Times New Roman" w:hAnsi="Times New Roman" w:cs="Times New Roman"/>
                      <w:color w:val="auto"/>
                      <w:kern w:val="0"/>
                      <w:sz w:val="21"/>
                      <w:szCs w:val="21"/>
                      <w:lang w:bidi="ar"/>
                    </w:rPr>
                    <w:t>达</w:t>
                  </w:r>
                  <w:r>
                    <w:rPr>
                      <w:rFonts w:hint="eastAsia" w:ascii="Times New Roman" w:hAnsi="Times New Roman" w:cs="Times New Roman"/>
                      <w:color w:val="auto"/>
                      <w:kern w:val="0"/>
                      <w:sz w:val="21"/>
                      <w:szCs w:val="21"/>
                      <w:lang w:val="en-US" w:eastAsia="zh-CN" w:bidi="ar"/>
                    </w:rPr>
                    <w:t>到</w:t>
                  </w:r>
                  <w:r>
                    <w:rPr>
                      <w:rFonts w:hint="default" w:ascii="Times New Roman" w:hAnsi="Times New Roman" w:cs="Times New Roman"/>
                      <w:color w:val="auto"/>
                      <w:kern w:val="0"/>
                      <w:sz w:val="21"/>
                      <w:szCs w:val="21"/>
                      <w:lang w:bidi="ar"/>
                    </w:rPr>
                    <w:t>《污水综合排放标准》三级标准后</w:t>
                  </w:r>
                  <w:r>
                    <w:rPr>
                      <w:rFonts w:hint="eastAsia" w:ascii="Times New Roman" w:hAnsi="Times New Roman" w:eastAsia="宋体" w:cs="Times New Roman"/>
                      <w:color w:val="auto"/>
                      <w:sz w:val="21"/>
                      <w:szCs w:val="21"/>
                      <w:lang w:val="en-US" w:eastAsia="zh-CN"/>
                    </w:rPr>
                    <w:t>排入园区污水管网</w:t>
                  </w:r>
                  <w:r>
                    <w:rPr>
                      <w:rFonts w:ascii="Times New Roman" w:hAnsi="Times New Roman" w:eastAsia="宋体" w:cs="Times New Roman"/>
                      <w:color w:val="auto"/>
                      <w:sz w:val="21"/>
                      <w:szCs w:val="21"/>
                    </w:rPr>
                    <w:t>，再经污水管网排入</w:t>
                  </w:r>
                  <w:r>
                    <w:rPr>
                      <w:rFonts w:hint="eastAsia" w:ascii="Times New Roman" w:hAnsi="Times New Roman" w:eastAsia="宋体" w:cs="Times New Roman"/>
                      <w:color w:val="auto"/>
                      <w:sz w:val="21"/>
                      <w:szCs w:val="21"/>
                      <w:lang w:eastAsia="zh-CN"/>
                    </w:rPr>
                    <w:t>遂宁金桥新区城市污水处理厂</w:t>
                  </w:r>
                  <w:r>
                    <w:rPr>
                      <w:rFonts w:ascii="Times New Roman" w:hAnsi="Times New Roman" w:eastAsia="宋体" w:cs="Times New Roman"/>
                      <w:color w:val="auto"/>
                      <w:sz w:val="21"/>
                      <w:szCs w:val="21"/>
                    </w:rPr>
                    <w:t>集中处理</w:t>
                  </w:r>
                  <w:r>
                    <w:rPr>
                      <w:rFonts w:hint="eastAsia" w:ascii="Times New Roman" w:hAnsi="Times New Roman" w:eastAsia="宋体" w:cs="Times New Roman"/>
                      <w:color w:val="auto"/>
                      <w:sz w:val="21"/>
                      <w:szCs w:val="21"/>
                      <w:lang w:eastAsia="zh-CN"/>
                    </w:rPr>
                    <w:t>达到</w:t>
                  </w:r>
                  <w:r>
                    <w:rPr>
                      <w:rFonts w:hint="eastAsia" w:ascii="Times New Roman" w:hAnsi="Times New Roman" w:eastAsia="宋体" w:cs="Times New Roman"/>
                      <w:color w:val="auto"/>
                      <w:sz w:val="21"/>
                      <w:szCs w:val="21"/>
                      <w:lang w:val="en-US" w:eastAsia="zh-CN"/>
                    </w:rPr>
                    <w:t>《城镇污水处理厂污染物排放标准》（</w:t>
                  </w:r>
                  <w:r>
                    <w:rPr>
                      <w:rFonts w:hint="default" w:ascii="Times New Roman" w:hAnsi="Times New Roman" w:eastAsia="宋体" w:cs="Times New Roman"/>
                      <w:color w:val="auto"/>
                      <w:sz w:val="21"/>
                      <w:szCs w:val="21"/>
                      <w:lang w:val="en-US" w:eastAsia="zh-CN"/>
                    </w:rPr>
                    <w:t>GB18918-2002</w:t>
                  </w:r>
                  <w:r>
                    <w:rPr>
                      <w:rFonts w:hint="eastAsia" w:ascii="Times New Roman" w:hAnsi="Times New Roman" w:eastAsia="宋体" w:cs="Times New Roman"/>
                      <w:color w:val="auto"/>
                      <w:sz w:val="21"/>
                      <w:szCs w:val="21"/>
                      <w:lang w:val="en-US" w:eastAsia="zh-CN"/>
                    </w:rPr>
                    <w:t>）一级</w:t>
                  </w:r>
                  <w:r>
                    <w:rPr>
                      <w:rFonts w:hint="default" w:ascii="Times New Roman" w:hAnsi="Times New Roman" w:eastAsia="宋体" w:cs="Times New Roman"/>
                      <w:color w:val="auto"/>
                      <w:sz w:val="21"/>
                      <w:szCs w:val="21"/>
                      <w:lang w:val="en-US" w:eastAsia="zh-CN"/>
                    </w:rPr>
                    <w:t>A</w:t>
                  </w:r>
                  <w:r>
                    <w:rPr>
                      <w:rFonts w:hint="eastAsia" w:ascii="Times New Roman" w:hAnsi="Times New Roman" w:eastAsia="宋体" w:cs="Times New Roman"/>
                      <w:color w:val="auto"/>
                      <w:sz w:val="21"/>
                      <w:szCs w:val="21"/>
                      <w:lang w:val="en-US" w:eastAsia="zh-CN"/>
                    </w:rPr>
                    <w:t>标准</w:t>
                  </w:r>
                  <w:r>
                    <w:rPr>
                      <w:rFonts w:ascii="Times New Roman" w:hAnsi="Times New Roman" w:eastAsia="宋体" w:cs="Times New Roman"/>
                      <w:color w:val="auto"/>
                      <w:sz w:val="21"/>
                      <w:szCs w:val="21"/>
                    </w:rPr>
                    <w:t>后排入</w:t>
                  </w:r>
                  <w:r>
                    <w:rPr>
                      <w:rFonts w:hint="default" w:ascii="Times New Roman" w:hAnsi="Times New Roman" w:eastAsia="宋体" w:cs="Times New Roman"/>
                      <w:color w:val="auto"/>
                      <w:sz w:val="21"/>
                      <w:szCs w:val="21"/>
                    </w:rPr>
                    <w:t>涪江</w:t>
                  </w:r>
                </w:p>
              </w:tc>
              <w:tc>
                <w:tcPr>
                  <w:tcW w:w="379" w:type="dxa"/>
                  <w:noWrap w:val="0"/>
                  <w:vAlign w:val="center"/>
                </w:tcPr>
                <w:p>
                  <w:pPr>
                    <w:widowControl/>
                    <w:jc w:val="center"/>
                    <w:rPr>
                      <w:b/>
                      <w:color w:val="auto"/>
                      <w:kern w:val="0"/>
                      <w:szCs w:val="21"/>
                    </w:rPr>
                  </w:pPr>
                  <w:r>
                    <w:rPr>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trPr>
              <w:tc>
                <w:tcPr>
                  <w:tcW w:w="343" w:type="dxa"/>
                  <w:vMerge w:val="continue"/>
                  <w:noWrap w:val="0"/>
                  <w:vAlign w:val="center"/>
                </w:tcPr>
                <w:p>
                  <w:pPr>
                    <w:widowControl/>
                    <w:jc w:val="center"/>
                    <w:rPr>
                      <w:color w:val="auto"/>
                    </w:rPr>
                  </w:pPr>
                </w:p>
              </w:tc>
              <w:tc>
                <w:tcPr>
                  <w:tcW w:w="439" w:type="dxa"/>
                  <w:vMerge w:val="continue"/>
                  <w:noWrap w:val="0"/>
                  <w:vAlign w:val="center"/>
                </w:tcPr>
                <w:p>
                  <w:pPr>
                    <w:widowControl/>
                    <w:jc w:val="center"/>
                    <w:rPr>
                      <w:color w:val="auto"/>
                    </w:rPr>
                  </w:pPr>
                </w:p>
              </w:tc>
              <w:tc>
                <w:tcPr>
                  <w:tcW w:w="315" w:type="dxa"/>
                  <w:vMerge w:val="continue"/>
                  <w:noWrap w:val="0"/>
                  <w:vAlign w:val="center"/>
                </w:tcPr>
                <w:p>
                  <w:pPr>
                    <w:widowControl/>
                    <w:jc w:val="center"/>
                    <w:rPr>
                      <w:color w:val="auto"/>
                    </w:rPr>
                  </w:pPr>
                </w:p>
              </w:tc>
              <w:tc>
                <w:tcPr>
                  <w:tcW w:w="661" w:type="dxa"/>
                  <w:vMerge w:val="continue"/>
                  <w:noWrap w:val="0"/>
                  <w:vAlign w:val="center"/>
                </w:tcPr>
                <w:p>
                  <w:pPr>
                    <w:widowControl/>
                    <w:jc w:val="center"/>
                    <w:rPr>
                      <w:color w:val="auto"/>
                    </w:rPr>
                  </w:pPr>
                </w:p>
              </w:tc>
              <w:tc>
                <w:tcPr>
                  <w:tcW w:w="3537" w:type="dxa"/>
                  <w:noWrap w:val="0"/>
                  <w:vAlign w:val="top"/>
                </w:tcPr>
                <w:p>
                  <w:pPr>
                    <w:pStyle w:val="144"/>
                    <w:widowControl/>
                    <w:numPr>
                      <w:ilvl w:val="0"/>
                      <w:numId w:val="0"/>
                    </w:numPr>
                    <w:shd w:val="clear" w:color="auto" w:fill="FFFFFF"/>
                    <w:spacing w:line="240" w:lineRule="auto"/>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其他污染物排放管控要求</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1.新增源等量或倍量替代：（1）上一年度</w:t>
                  </w:r>
                  <w:r>
                    <w:rPr>
                      <w:rFonts w:hint="default" w:ascii="Times New Roman" w:hAnsi="Times New Roman" w:eastAsia="宋体" w:cs="Times New Roman"/>
                      <w:color w:val="auto"/>
                      <w:sz w:val="21"/>
                      <w:szCs w:val="21"/>
                    </w:rPr>
                    <w:t>水环境质量未完成目标的，新建排放水污染</w:t>
                  </w:r>
                  <w:r>
                    <w:rPr>
                      <w:rFonts w:hint="eastAsia" w:cs="Times New Roman"/>
                      <w:color w:val="auto"/>
                      <w:sz w:val="21"/>
                      <w:szCs w:val="21"/>
                      <w:lang w:val="en-US" w:eastAsia="zh-CN"/>
                    </w:rPr>
                    <w:t>物</w:t>
                  </w:r>
                  <w:r>
                    <w:rPr>
                      <w:rFonts w:hint="default" w:ascii="Times New Roman" w:hAnsi="Times New Roman" w:eastAsia="宋体" w:cs="Times New Roman"/>
                      <w:color w:val="auto"/>
                      <w:sz w:val="21"/>
                      <w:szCs w:val="21"/>
                    </w:rPr>
                    <w:t>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、NOx、VOCs和工业烟粉尘的项目实施现役源2倍削减量替代，其中射洪市执行1.5倍削减量替代。</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4.化工园区应按照分类收集，分质处理的要求，配备专业化工生产废水集中处理设施（独立建设或依托骨干企业）及专管或明管输送的配套管网，化工生产废水纳管率达到100%。入河排污口设置应符合相关规定。</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6.白酒行业参考执行更新后的四川省白酒行业资源环境绩效指标要求。</w:t>
                  </w:r>
                </w:p>
                <w:p>
                  <w:pPr>
                    <w:widowControl/>
                    <w:jc w:val="both"/>
                    <w:rPr>
                      <w:color w:val="auto"/>
                    </w:rPr>
                  </w:pPr>
                  <w:r>
                    <w:rPr>
                      <w:rFonts w:hint="default" w:ascii="Times New Roman" w:hAnsi="Times New Roman" w:eastAsia="宋体" w:cs="Times New Roman"/>
                      <w:color w:val="auto"/>
                      <w:sz w:val="21"/>
                      <w:szCs w:val="21"/>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863" w:type="dxa"/>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废水进入园区污水处理厂，废水总量控制指标不为新增指标，计入污水处理厂总量控制指标；</w:t>
                  </w:r>
                  <w:r>
                    <w:rPr>
                      <w:rFonts w:hint="eastAsia" w:ascii="Times New Roman" w:hAnsi="Times New Roman" w:cs="Times New Roman"/>
                      <w:color w:val="auto"/>
                      <w:sz w:val="21"/>
                      <w:szCs w:val="21"/>
                      <w:lang w:val="en-US" w:eastAsia="zh-CN"/>
                    </w:rPr>
                    <w:t>本</w:t>
                  </w:r>
                  <w:r>
                    <w:rPr>
                      <w:rFonts w:hint="default" w:ascii="Times New Roman" w:hAnsi="Times New Roman" w:cs="Times New Roman"/>
                      <w:color w:val="auto"/>
                      <w:sz w:val="21"/>
                      <w:szCs w:val="21"/>
                      <w:lang w:val="en-US" w:eastAsia="zh-CN"/>
                    </w:rPr>
                    <w:t>项目废气总量控制指标</w:t>
                  </w:r>
                  <w:r>
                    <w:rPr>
                      <w:rFonts w:hint="default" w:ascii="Times New Roman" w:hAnsi="Times New Roman" w:eastAsia="宋体" w:cs="Times New Roman"/>
                      <w:color w:val="auto"/>
                      <w:sz w:val="21"/>
                      <w:szCs w:val="21"/>
                    </w:rPr>
                    <w:t>NOx</w:t>
                  </w:r>
                  <w:r>
                    <w:rPr>
                      <w:rFonts w:hint="default" w:ascii="Times New Roman" w:hAnsi="Times New Roman" w:cs="Times New Roman"/>
                      <w:color w:val="auto"/>
                      <w:sz w:val="21"/>
                      <w:szCs w:val="21"/>
                      <w:lang w:val="en-US" w:eastAsia="zh-CN"/>
                    </w:rPr>
                    <w:t>实施现役源2倍削减量替代；</w:t>
                  </w:r>
                </w:p>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z w:val="21"/>
                      <w:szCs w:val="21"/>
                      <w:lang w:val="en-US" w:eastAsia="zh-CN"/>
                    </w:rPr>
                    <w:t>2.本项目</w:t>
                  </w:r>
                  <w:r>
                    <w:rPr>
                      <w:rFonts w:hint="eastAsia" w:ascii="Times New Roman" w:hAnsi="Times New Roman" w:cs="Times New Roman"/>
                      <w:color w:val="auto"/>
                      <w:sz w:val="21"/>
                      <w:szCs w:val="21"/>
                      <w:lang w:val="en-US" w:eastAsia="zh-CN"/>
                    </w:rPr>
                    <w:t>涉及膨化炉、产生的</w:t>
                  </w:r>
                  <w:r>
                    <w:rPr>
                      <w:rFonts w:hint="default" w:ascii="Times New Roman" w:hAnsi="Times New Roman" w:eastAsia="宋体" w:cs="Times New Roman"/>
                      <w:color w:val="auto"/>
                      <w:kern w:val="0"/>
                      <w:sz w:val="21"/>
                      <w:szCs w:val="21"/>
                      <w:lang w:val="en-US" w:eastAsia="zh-CN" w:bidi="ar"/>
                    </w:rPr>
                    <w:t>天然气燃烧废气有组织排放执行《工业炉窑大气污染物排放</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center"/>
                    <w:rPr>
                      <w:rFonts w:hint="default" w:ascii="Times New Roman" w:hAnsi="Times New Roman"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标准》（GB9078-1996）表2中“非金属加热炉”二级标准以及《四川省印发工业窑炉大气污染综合治理实施清单》中的标准限值</w:t>
                  </w:r>
                  <w:r>
                    <w:rPr>
                      <w:rFonts w:hint="default" w:ascii="Times New Roman" w:hAnsi="Times New Roman" w:cs="Times New Roman"/>
                      <w:color w:val="auto"/>
                      <w:sz w:val="21"/>
                      <w:szCs w:val="21"/>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项目污染排放指标满足《四川省省级生态工业园区指标》综合类生态工业园区要求</w:t>
                  </w:r>
                  <w:r>
                    <w:rPr>
                      <w:rFonts w:hint="default" w:ascii="Times New Roman" w:hAnsi="Times New Roman" w:cs="Times New Roman"/>
                      <w:color w:val="auto"/>
                      <w:sz w:val="21"/>
                      <w:szCs w:val="21"/>
                      <w:lang w:eastAsia="zh-CN"/>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val="en-US" w:eastAsia="zh-CN"/>
                    </w:rPr>
                    <w:t>4</w:t>
                  </w:r>
                  <w:r>
                    <w:rPr>
                      <w:rFonts w:hint="default" w:ascii="Times New Roman" w:hAnsi="Times New Roman" w:eastAsia="宋体" w:cs="Times New Roman"/>
                      <w:color w:val="auto"/>
                      <w:sz w:val="21"/>
                      <w:szCs w:val="21"/>
                      <w:lang w:val="en-US" w:eastAsia="zh-CN"/>
                    </w:rPr>
                    <w:t>.项目不设置入河排污口，排入园区污水管网；</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5.项目不涉及重点重金属排放；</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6.项目不属于白酒行业；</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color w:val="auto"/>
                      <w:sz w:val="21"/>
                      <w:szCs w:val="21"/>
                      <w:lang w:val="en-US" w:eastAsia="zh-CN"/>
                    </w:rPr>
                    <w:t>7.项目不产生VOCs</w:t>
                  </w:r>
                </w:p>
              </w:tc>
              <w:tc>
                <w:tcPr>
                  <w:tcW w:w="379" w:type="dxa"/>
                  <w:noWrap w:val="0"/>
                  <w:vAlign w:val="center"/>
                </w:tcPr>
                <w:p>
                  <w:pPr>
                    <w:keepNext w:val="0"/>
                    <w:keepLines w:val="0"/>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343" w:type="dxa"/>
                  <w:vMerge w:val="continue"/>
                  <w:noWrap w:val="0"/>
                  <w:vAlign w:val="center"/>
                </w:tcPr>
                <w:p>
                  <w:pPr>
                    <w:widowControl/>
                    <w:jc w:val="center"/>
                    <w:rPr>
                      <w:b/>
                      <w:color w:val="auto"/>
                      <w:kern w:val="0"/>
                      <w:szCs w:val="21"/>
                    </w:rPr>
                  </w:pPr>
                </w:p>
              </w:tc>
              <w:tc>
                <w:tcPr>
                  <w:tcW w:w="439" w:type="dxa"/>
                  <w:vMerge w:val="continue"/>
                  <w:noWrap w:val="0"/>
                  <w:vAlign w:val="center"/>
                </w:tcPr>
                <w:p>
                  <w:pPr>
                    <w:widowControl/>
                    <w:jc w:val="center"/>
                    <w:rPr>
                      <w:b/>
                      <w:color w:val="auto"/>
                      <w:kern w:val="0"/>
                      <w:szCs w:val="21"/>
                    </w:rPr>
                  </w:pPr>
                </w:p>
              </w:tc>
              <w:tc>
                <w:tcPr>
                  <w:tcW w:w="315" w:type="dxa"/>
                  <w:vMerge w:val="continue"/>
                  <w:noWrap w:val="0"/>
                  <w:vAlign w:val="center"/>
                </w:tcPr>
                <w:p>
                  <w:pPr>
                    <w:widowControl/>
                    <w:jc w:val="center"/>
                    <w:rPr>
                      <w:b/>
                      <w:color w:val="auto"/>
                      <w:kern w:val="0"/>
                      <w:szCs w:val="21"/>
                    </w:rPr>
                  </w:pPr>
                </w:p>
              </w:tc>
              <w:tc>
                <w:tcPr>
                  <w:tcW w:w="661" w:type="dxa"/>
                  <w:vMerge w:val="restart"/>
                  <w:noWrap w:val="0"/>
                  <w:vAlign w:val="center"/>
                </w:tcPr>
                <w:p>
                  <w:pPr>
                    <w:widowControl/>
                    <w:jc w:val="center"/>
                    <w:rPr>
                      <w:color w:val="auto"/>
                      <w:kern w:val="0"/>
                      <w:szCs w:val="21"/>
                    </w:rPr>
                  </w:pPr>
                  <w:r>
                    <w:rPr>
                      <w:color w:val="auto"/>
                      <w:kern w:val="0"/>
                      <w:szCs w:val="21"/>
                    </w:rPr>
                    <w:t>环境风险防控</w:t>
                  </w:r>
                </w:p>
              </w:tc>
              <w:tc>
                <w:tcPr>
                  <w:tcW w:w="3537" w:type="dxa"/>
                  <w:noWrap w:val="0"/>
                  <w:vAlign w:val="top"/>
                </w:tcPr>
                <w:p>
                  <w:pPr>
                    <w:widowControl/>
                    <w:jc w:val="left"/>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联防联控要求</w:t>
                  </w:r>
                </w:p>
                <w:p>
                  <w:pPr>
                    <w:widowControl/>
                    <w:jc w:val="left"/>
                    <w:rPr>
                      <w:rFonts w:hint="default" w:ascii="Times New Roman" w:hAnsi="Times New Roman" w:cs="Times New Roman"/>
                      <w:b/>
                      <w:bCs/>
                      <w:color w:val="auto"/>
                      <w:sz w:val="21"/>
                      <w:szCs w:val="21"/>
                      <w:lang w:val="en-US" w:eastAsia="zh-CN"/>
                    </w:rPr>
                  </w:pPr>
                  <w:r>
                    <w:rPr>
                      <w:rStyle w:val="39"/>
                      <w:rFonts w:hint="default" w:ascii="Times New Roman" w:hAnsi="Times New Roman" w:eastAsia="宋体" w:cs="Times New Roman"/>
                      <w:color w:val="auto"/>
                      <w:kern w:val="0"/>
                      <w:sz w:val="21"/>
                      <w:szCs w:val="21"/>
                      <w:lang w:val="en-US" w:eastAsia="zh-CN" w:bidi="ar-SA"/>
                    </w:rPr>
                    <w:t>加强成都平原经济区信息共享和联动合作，协力推进产业和能源结构优化调整，加强大气污染源头防控，加强潼遂合作</w:t>
                  </w:r>
                </w:p>
              </w:tc>
              <w:tc>
                <w:tcPr>
                  <w:tcW w:w="1863" w:type="dxa"/>
                  <w:noWrap w:val="0"/>
                  <w:vAlign w:val="center"/>
                </w:tcPr>
                <w:p>
                  <w:pPr>
                    <w:widowControl/>
                    <w:jc w:val="center"/>
                    <w:rPr>
                      <w:rStyle w:val="39"/>
                      <w:rFonts w:hint="default" w:ascii="Times New Roman" w:hAnsi="Times New Roman" w:eastAsia="宋体" w:cs="Times New Roman"/>
                      <w:color w:val="auto"/>
                      <w:kern w:val="2"/>
                      <w:sz w:val="21"/>
                      <w:szCs w:val="21"/>
                      <w:lang w:val="en-US" w:eastAsia="zh-CN" w:bidi="ar-SA"/>
                    </w:rPr>
                  </w:pPr>
                  <w:r>
                    <w:rPr>
                      <w:rStyle w:val="39"/>
                      <w:rFonts w:hint="eastAsia" w:ascii="Times New Roman" w:hAnsi="Times New Roman" w:eastAsia="宋体" w:cs="Times New Roman"/>
                      <w:color w:val="auto"/>
                      <w:kern w:val="2"/>
                      <w:sz w:val="21"/>
                      <w:szCs w:val="21"/>
                      <w:lang w:val="en-US" w:eastAsia="zh-CN" w:bidi="ar-SA"/>
                    </w:rPr>
                    <w:t>/</w:t>
                  </w:r>
                </w:p>
              </w:tc>
              <w:tc>
                <w:tcPr>
                  <w:tcW w:w="379" w:type="dxa"/>
                  <w:noWrap w:val="0"/>
                  <w:vAlign w:val="center"/>
                </w:tcPr>
                <w:p>
                  <w:pPr>
                    <w:widowControl/>
                    <w:jc w:val="center"/>
                    <w:rPr>
                      <w:rFonts w:hint="eastAsia" w:eastAsia="宋体"/>
                      <w:color w:val="auto"/>
                      <w:kern w:val="0"/>
                      <w:szCs w:val="21"/>
                      <w:lang w:eastAsia="zh-CN"/>
                    </w:rPr>
                  </w:pPr>
                  <w:r>
                    <w:rPr>
                      <w:rFonts w:hint="eastAsia"/>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343" w:type="dxa"/>
                  <w:vMerge w:val="continue"/>
                  <w:noWrap w:val="0"/>
                  <w:vAlign w:val="center"/>
                </w:tcPr>
                <w:p>
                  <w:pPr>
                    <w:widowControl/>
                    <w:jc w:val="center"/>
                    <w:rPr>
                      <w:b/>
                      <w:color w:val="auto"/>
                      <w:kern w:val="0"/>
                      <w:szCs w:val="21"/>
                    </w:rPr>
                  </w:pPr>
                </w:p>
              </w:tc>
              <w:tc>
                <w:tcPr>
                  <w:tcW w:w="439" w:type="dxa"/>
                  <w:vMerge w:val="continue"/>
                  <w:noWrap w:val="0"/>
                  <w:vAlign w:val="center"/>
                </w:tcPr>
                <w:p>
                  <w:pPr>
                    <w:widowControl/>
                    <w:jc w:val="center"/>
                    <w:rPr>
                      <w:b/>
                      <w:color w:val="auto"/>
                      <w:kern w:val="0"/>
                      <w:szCs w:val="21"/>
                    </w:rPr>
                  </w:pPr>
                </w:p>
              </w:tc>
              <w:tc>
                <w:tcPr>
                  <w:tcW w:w="315" w:type="dxa"/>
                  <w:vMerge w:val="continue"/>
                  <w:noWrap w:val="0"/>
                  <w:vAlign w:val="center"/>
                </w:tcPr>
                <w:p>
                  <w:pPr>
                    <w:widowControl/>
                    <w:jc w:val="center"/>
                    <w:rPr>
                      <w:b/>
                      <w:color w:val="auto"/>
                      <w:kern w:val="0"/>
                      <w:szCs w:val="21"/>
                    </w:rPr>
                  </w:pPr>
                </w:p>
              </w:tc>
              <w:tc>
                <w:tcPr>
                  <w:tcW w:w="661" w:type="dxa"/>
                  <w:vMerge w:val="continue"/>
                  <w:noWrap w:val="0"/>
                  <w:vAlign w:val="center"/>
                </w:tcPr>
                <w:p>
                  <w:pPr>
                    <w:widowControl/>
                    <w:jc w:val="center"/>
                    <w:rPr>
                      <w:color w:val="auto"/>
                      <w:kern w:val="0"/>
                      <w:szCs w:val="21"/>
                    </w:rPr>
                  </w:pPr>
                </w:p>
              </w:tc>
              <w:tc>
                <w:tcPr>
                  <w:tcW w:w="3537" w:type="dxa"/>
                  <w:noWrap w:val="0"/>
                  <w:vAlign w:val="top"/>
                </w:tcPr>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严格管控类农用地管控要求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安全利用类农用地管控要求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污染地块管控要求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园区环境风险防控要求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企业环境风险防控要求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其他环境风险防控要求</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1.企业环境风险防控要求：涉及有毒有害、易燃易爆物质的新建、改扩建项目，严控准入要求。</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pPr>
                    <w:widowControl/>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 w:val="21"/>
                      <w:szCs w:val="21"/>
                    </w:rPr>
                    <w:t>3.用地环境风险防控要求：化工、电镀等行业企业拆除生产设施设备、构筑物和污染治理设施，要事先制定残留污染物清理和安全处置方案，要严格按照有关规定实施安全处理处置，防范拆除活动污染土壤。</w:t>
                  </w:r>
                </w:p>
              </w:tc>
              <w:tc>
                <w:tcPr>
                  <w:tcW w:w="1863" w:type="dxa"/>
                  <w:noWrap w:val="0"/>
                  <w:vAlign w:val="center"/>
                </w:tcPr>
                <w:p>
                  <w:pPr>
                    <w:widowControl/>
                    <w:jc w:val="center"/>
                    <w:rPr>
                      <w:color w:val="auto"/>
                      <w:szCs w:val="21"/>
                    </w:rPr>
                  </w:pPr>
                  <w:r>
                    <w:rPr>
                      <w:rFonts w:hint="default" w:ascii="Times New Roman" w:hAnsi="Times New Roman" w:cs="Times New Roman"/>
                      <w:color w:val="auto"/>
                      <w:kern w:val="0"/>
                      <w:sz w:val="21"/>
                      <w:szCs w:val="21"/>
                      <w:lang w:bidi="ar"/>
                    </w:rPr>
                    <w:t>项目风险潜势为I级，</w:t>
                  </w:r>
                  <w:r>
                    <w:rPr>
                      <w:rFonts w:hint="default" w:ascii="Times New Roman" w:hAnsi="Times New Roman" w:cs="Times New Roman"/>
                      <w:color w:val="auto"/>
                      <w:sz w:val="21"/>
                      <w:szCs w:val="21"/>
                    </w:rPr>
                    <w:t>在落实</w:t>
                  </w:r>
                  <w:r>
                    <w:rPr>
                      <w:rFonts w:hint="default" w:ascii="Times New Roman" w:hAnsi="Times New Roman" w:cs="Times New Roman"/>
                      <w:color w:val="auto"/>
                      <w:sz w:val="21"/>
                      <w:szCs w:val="21"/>
                      <w:lang w:eastAsia="zh-CN"/>
                    </w:rPr>
                    <w:t>各项</w:t>
                  </w:r>
                  <w:r>
                    <w:rPr>
                      <w:rFonts w:hint="default" w:ascii="Times New Roman" w:hAnsi="Times New Roman" w:cs="Times New Roman"/>
                      <w:color w:val="auto"/>
                      <w:sz w:val="21"/>
                      <w:szCs w:val="21"/>
                    </w:rPr>
                    <w:t>防范措施后，环境风险可控</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kern w:val="0"/>
                      <w:sz w:val="21"/>
                      <w:szCs w:val="21"/>
                      <w:lang w:bidi="ar"/>
                    </w:rPr>
                    <w:t>本项目厂区-园区-政府建立三级</w:t>
                  </w:r>
                  <w:r>
                    <w:rPr>
                      <w:rFonts w:hint="default" w:ascii="Times New Roman" w:hAnsi="Times New Roman" w:cs="Times New Roman"/>
                      <w:color w:val="auto"/>
                      <w:sz w:val="21"/>
                      <w:szCs w:val="21"/>
                    </w:rPr>
                    <w:t>环境风险防控体系</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项目拆除生产设施设备</w:t>
                  </w:r>
                  <w:r>
                    <w:rPr>
                      <w:rFonts w:hint="default" w:ascii="Times New Roman" w:hAnsi="Times New Roman" w:cs="Times New Roman"/>
                      <w:color w:val="auto"/>
                      <w:sz w:val="21"/>
                      <w:szCs w:val="21"/>
                    </w:rPr>
                    <w:t>、构筑物和污染治理设施</w:t>
                  </w:r>
                  <w:r>
                    <w:rPr>
                      <w:rFonts w:hint="default" w:ascii="Times New Roman" w:hAnsi="Times New Roman" w:cs="Times New Roman"/>
                      <w:color w:val="auto"/>
                      <w:sz w:val="21"/>
                      <w:szCs w:val="21"/>
                      <w:lang w:val="en-US" w:eastAsia="zh-CN"/>
                    </w:rPr>
                    <w:t>需按照规定进行安全处置</w:t>
                  </w:r>
                </w:p>
              </w:tc>
              <w:tc>
                <w:tcPr>
                  <w:tcW w:w="379" w:type="dxa"/>
                  <w:noWrap w:val="0"/>
                  <w:vAlign w:val="center"/>
                </w:tcPr>
                <w:p>
                  <w:pPr>
                    <w:widowControl/>
                    <w:jc w:val="center"/>
                    <w:rPr>
                      <w:color w:val="auto"/>
                      <w:kern w:val="0"/>
                      <w:szCs w:val="21"/>
                    </w:rPr>
                  </w:pPr>
                  <w:r>
                    <w:rPr>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9" w:hRule="atLeast"/>
              </w:trPr>
              <w:tc>
                <w:tcPr>
                  <w:tcW w:w="343" w:type="dxa"/>
                  <w:vMerge w:val="continue"/>
                  <w:noWrap w:val="0"/>
                  <w:vAlign w:val="center"/>
                </w:tcPr>
                <w:p>
                  <w:pPr>
                    <w:widowControl/>
                    <w:jc w:val="center"/>
                    <w:rPr>
                      <w:b/>
                      <w:color w:val="auto"/>
                      <w:kern w:val="0"/>
                      <w:szCs w:val="21"/>
                    </w:rPr>
                  </w:pPr>
                </w:p>
              </w:tc>
              <w:tc>
                <w:tcPr>
                  <w:tcW w:w="439" w:type="dxa"/>
                  <w:vMerge w:val="continue"/>
                  <w:noWrap w:val="0"/>
                  <w:vAlign w:val="center"/>
                </w:tcPr>
                <w:p>
                  <w:pPr>
                    <w:widowControl/>
                    <w:jc w:val="center"/>
                    <w:rPr>
                      <w:b/>
                      <w:color w:val="auto"/>
                      <w:kern w:val="0"/>
                      <w:szCs w:val="21"/>
                    </w:rPr>
                  </w:pPr>
                </w:p>
              </w:tc>
              <w:tc>
                <w:tcPr>
                  <w:tcW w:w="315" w:type="dxa"/>
                  <w:vMerge w:val="continue"/>
                  <w:noWrap w:val="0"/>
                  <w:vAlign w:val="center"/>
                </w:tcPr>
                <w:p>
                  <w:pPr>
                    <w:widowControl/>
                    <w:jc w:val="center"/>
                    <w:rPr>
                      <w:b/>
                      <w:color w:val="auto"/>
                      <w:kern w:val="0"/>
                      <w:szCs w:val="21"/>
                    </w:rPr>
                  </w:pPr>
                </w:p>
              </w:tc>
              <w:tc>
                <w:tcPr>
                  <w:tcW w:w="661" w:type="dxa"/>
                  <w:noWrap w:val="0"/>
                  <w:vAlign w:val="center"/>
                </w:tcPr>
                <w:p>
                  <w:pPr>
                    <w:widowControl/>
                    <w:jc w:val="center"/>
                    <w:rPr>
                      <w:color w:val="auto"/>
                      <w:kern w:val="0"/>
                      <w:szCs w:val="21"/>
                    </w:rPr>
                  </w:pPr>
                  <w:r>
                    <w:rPr>
                      <w:color w:val="auto"/>
                      <w:kern w:val="0"/>
                      <w:szCs w:val="21"/>
                    </w:rPr>
                    <w:t>资源开发利用效率要求</w:t>
                  </w:r>
                </w:p>
              </w:tc>
              <w:tc>
                <w:tcPr>
                  <w:tcW w:w="3537" w:type="dxa"/>
                  <w:noWrap w:val="0"/>
                  <w:vAlign w:val="top"/>
                </w:tcPr>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水资源利用效率要求</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1.到2025年，万元工业增加值用水量下降到32.0m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/万元，重复利用率提高到84%；</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2.至2030年，万元工业增加值用水量进一步减少为28.0m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/万元，重复利用率提高到85%；</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3.新、改扩建项目水耗指标满足《四川省省级生态工业园区指标》综合类生态工业园区要求</w:t>
                  </w:r>
                  <w:r>
                    <w:rPr>
                      <w:rStyle w:val="39"/>
                      <w:rFonts w:hint="default"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地下水开采要求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0"/>
                      <w:sz w:val="21"/>
                      <w:szCs w:val="21"/>
                      <w:lang w:val="en-US" w:eastAsia="zh-CN" w:bidi="ar-SA"/>
                    </w:rPr>
                    <w:t>全面建设节水型社会，达到合理高效用水。</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能源利用效率要求</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1.扩大高污染燃料禁燃区范围，在市、县（区）、镇（乡）建成区全面实施“煤改气”“煤改电”。</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2.新、改扩建项目能耗指标满足《四川省省级生态工业园区指标》综合类生态工业园区要求。</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3.实施新建项目与煤炭消费总量控制挂钩机制，耗煤建设项目实行煤炭消耗等量减量替代。</w:t>
                  </w:r>
                </w:p>
                <w:p>
                  <w:pPr>
                    <w:keepNext w:val="0"/>
                    <w:keepLines w:val="0"/>
                    <w:suppressLineNumbers w:val="0"/>
                    <w:spacing w:before="0" w:beforeAutospacing="0" w:after="0" w:afterAutospacing="0" w:line="240" w:lineRule="auto"/>
                    <w:ind w:left="0" w:right="0"/>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4.提高煤炭利用效率和天然气利用占比，工业领域有序推进“煤改电”和“煤改气”。</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5.到2030年，能源消费总量控制在1000万吨标准煤以内。</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其他资源利用效率要求</w:t>
                  </w:r>
                </w:p>
                <w:p>
                  <w:pPr>
                    <w:pStyle w:val="144"/>
                    <w:spacing w:line="240" w:lineRule="auto"/>
                    <w:ind w:firstLine="0" w:firstLineChars="0"/>
                    <w:rPr>
                      <w:rFonts w:hint="default" w:ascii="Times New Roman" w:hAnsi="Times New Roman" w:eastAsia="宋体" w:cs="Times New Roman"/>
                      <w:color w:val="auto"/>
                      <w:kern w:val="0"/>
                      <w:sz w:val="21"/>
                    </w:rPr>
                  </w:pPr>
                  <w:r>
                    <w:rPr>
                      <w:rStyle w:val="39"/>
                      <w:rFonts w:hint="default" w:ascii="Times New Roman" w:hAnsi="Times New Roman" w:eastAsia="宋体" w:cs="Times New Roman"/>
                      <w:color w:val="auto"/>
                      <w:kern w:val="2"/>
                      <w:sz w:val="21"/>
                      <w:szCs w:val="21"/>
                      <w:lang w:val="en-US" w:eastAsia="zh-CN" w:bidi="ar-SA"/>
                    </w:rPr>
                    <w:t>/</w:t>
                  </w:r>
                </w:p>
              </w:tc>
              <w:tc>
                <w:tcPr>
                  <w:tcW w:w="1863" w:type="dxa"/>
                  <w:noWrap w:val="0"/>
                  <w:vAlign w:val="center"/>
                </w:tcPr>
                <w:p>
                  <w:pPr>
                    <w:widowControl/>
                    <w:jc w:val="center"/>
                    <w:rPr>
                      <w:rFonts w:hint="eastAsia" w:eastAsia="宋体"/>
                      <w:color w:val="auto"/>
                      <w:kern w:val="0"/>
                      <w:szCs w:val="21"/>
                      <w:lang w:val="en-US" w:eastAsia="zh-CN" w:bidi="ar"/>
                    </w:rPr>
                  </w:pPr>
                  <w:r>
                    <w:rPr>
                      <w:rFonts w:hint="eastAsia" w:ascii="Times New Roman" w:hAnsi="Times New Roman" w:cs="Times New Roman"/>
                      <w:color w:val="auto"/>
                      <w:sz w:val="21"/>
                      <w:szCs w:val="21"/>
                      <w:lang w:val="en-US" w:eastAsia="zh-CN"/>
                    </w:rPr>
                    <w:t>本</w:t>
                  </w: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水耗指标</w:t>
                  </w:r>
                  <w:r>
                    <w:rPr>
                      <w:rFonts w:hint="eastAsia" w:ascii="Times New Roman" w:hAnsi="Times New Roman" w:cs="Times New Roman"/>
                      <w:color w:val="auto"/>
                      <w:sz w:val="21"/>
                      <w:szCs w:val="21"/>
                      <w:lang w:val="en-US" w:eastAsia="zh-CN"/>
                    </w:rPr>
                    <w:t>0.569</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/万元，</w:t>
                  </w:r>
                  <w:r>
                    <w:rPr>
                      <w:rFonts w:hint="default" w:ascii="Times New Roman" w:hAnsi="Times New Roman" w:cs="Times New Roman"/>
                      <w:color w:val="auto"/>
                      <w:sz w:val="21"/>
                      <w:szCs w:val="21"/>
                    </w:rPr>
                    <w:t>满足《四川省省级生态工业园区指标》综合类生态工业园区≤</w:t>
                  </w:r>
                  <w:r>
                    <w:rPr>
                      <w:rFonts w:hint="default" w:ascii="Times New Roman" w:hAnsi="Times New Roman" w:cs="Times New Roman"/>
                      <w:color w:val="auto"/>
                      <w:sz w:val="21"/>
                      <w:szCs w:val="21"/>
                      <w:lang w:val="en-US" w:eastAsia="zh-CN"/>
                    </w:rPr>
                    <w:t>12m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/万元</w:t>
                  </w:r>
                  <w:r>
                    <w:rPr>
                      <w:rFonts w:hint="default" w:ascii="Times New Roman" w:hAnsi="Times New Roman" w:cs="Times New Roman"/>
                      <w:color w:val="auto"/>
                      <w:sz w:val="21"/>
                      <w:szCs w:val="21"/>
                    </w:rPr>
                    <w:t>要求</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本项目</w:t>
                  </w:r>
                  <w:r>
                    <w:rPr>
                      <w:rFonts w:hint="default" w:ascii="Times New Roman" w:hAnsi="Times New Roman" w:cs="Times New Roman"/>
                      <w:color w:val="auto"/>
                      <w:sz w:val="21"/>
                      <w:szCs w:val="21"/>
                      <w:lang w:val="en-US" w:eastAsia="zh-CN"/>
                    </w:rPr>
                    <w:t>不开采地下水，由园区统一供水</w:t>
                  </w:r>
                  <w:r>
                    <w:rPr>
                      <w:rFonts w:hint="eastAsia" w:ascii="Times New Roman" w:hAnsi="Times New Roman" w:cs="Times New Roman"/>
                      <w:color w:val="auto"/>
                      <w:sz w:val="21"/>
                      <w:szCs w:val="21"/>
                      <w:lang w:val="en-US" w:eastAsia="zh-CN"/>
                    </w:rPr>
                    <w:t>；本项目不使用煤；本</w:t>
                  </w:r>
                  <w:r>
                    <w:rPr>
                      <w:rFonts w:hint="default" w:ascii="Times New Roman" w:hAnsi="Times New Roman" w:cs="Times New Roman"/>
                      <w:color w:val="auto"/>
                      <w:kern w:val="0"/>
                      <w:sz w:val="21"/>
                      <w:szCs w:val="21"/>
                      <w:lang w:val="en-US" w:eastAsia="zh-CN" w:bidi="ar"/>
                    </w:rPr>
                    <w:t>项目不使用高污染燃料，能源为</w:t>
                  </w:r>
                  <w:r>
                    <w:rPr>
                      <w:rFonts w:hint="eastAsia" w:ascii="Times New Roman" w:hAnsi="Times New Roman" w:cs="Times New Roman"/>
                      <w:color w:val="auto"/>
                      <w:kern w:val="0"/>
                      <w:sz w:val="21"/>
                      <w:szCs w:val="21"/>
                      <w:lang w:val="en-US" w:eastAsia="zh-CN" w:bidi="ar"/>
                    </w:rPr>
                    <w:t>天然气、</w:t>
                  </w:r>
                  <w:r>
                    <w:rPr>
                      <w:rFonts w:hint="default" w:ascii="Times New Roman" w:hAnsi="Times New Roman" w:cs="Times New Roman"/>
                      <w:color w:val="auto"/>
                      <w:kern w:val="0"/>
                      <w:sz w:val="21"/>
                      <w:szCs w:val="21"/>
                      <w:lang w:val="en-US" w:eastAsia="zh-CN" w:bidi="ar"/>
                    </w:rPr>
                    <w:t>电能</w:t>
                  </w:r>
                </w:p>
              </w:tc>
              <w:tc>
                <w:tcPr>
                  <w:tcW w:w="379" w:type="dxa"/>
                  <w:noWrap w:val="0"/>
                  <w:vAlign w:val="center"/>
                </w:tcPr>
                <w:p>
                  <w:pPr>
                    <w:widowControl/>
                    <w:jc w:val="center"/>
                    <w:rPr>
                      <w:color w:val="auto"/>
                      <w:kern w:val="0"/>
                      <w:szCs w:val="21"/>
                    </w:rPr>
                  </w:pPr>
                  <w:r>
                    <w:rPr>
                      <w:color w:val="auto"/>
                      <w:kern w:val="0"/>
                      <w:szCs w:val="21"/>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rPr>
            </w:pPr>
            <w:r>
              <w:rPr>
                <w:rFonts w:hint="eastAsia"/>
                <w:color w:val="auto"/>
                <w:sz w:val="24"/>
                <w:szCs w:val="24"/>
              </w:rPr>
              <w:t>本项目</w:t>
            </w:r>
            <w:r>
              <w:rPr>
                <w:rFonts w:hint="eastAsia" w:ascii="Times New Roman" w:hAnsi="Times New Roman" w:eastAsia="宋体" w:cs="Times New Roman"/>
                <w:color w:val="auto"/>
                <w:sz w:val="24"/>
                <w:szCs w:val="24"/>
              </w:rPr>
              <w:t>与</w:t>
            </w:r>
            <w:r>
              <w:rPr>
                <w:rFonts w:hint="eastAsia" w:ascii="Times New Roman" w:hAnsi="Times New Roman" w:eastAsia="宋体" w:cs="Times New Roman"/>
                <w:color w:val="auto"/>
                <w:kern w:val="21"/>
                <w:sz w:val="24"/>
                <w:szCs w:val="24"/>
                <w:lang w:val="en-US" w:eastAsia="zh-CN"/>
              </w:rPr>
              <w:t>四川蓬溪经济开发区（金桥片区）</w:t>
            </w:r>
            <w:r>
              <w:rPr>
                <w:rFonts w:hint="default" w:ascii="Times New Roman" w:hAnsi="Times New Roman" w:eastAsia="宋体" w:cs="Times New Roman"/>
                <w:color w:val="auto"/>
                <w:kern w:val="21"/>
                <w:sz w:val="24"/>
                <w:szCs w:val="24"/>
                <w:lang w:val="en-US" w:eastAsia="zh-CN"/>
              </w:rPr>
              <w:t>重点管控单元</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单元特性管控要求</w:t>
            </w:r>
            <w:r>
              <w:rPr>
                <w:rFonts w:hint="eastAsia" w:ascii="Times New Roman" w:hAnsi="Times New Roman" w:eastAsia="宋体" w:cs="Times New Roman"/>
                <w:color w:val="auto"/>
                <w:sz w:val="24"/>
                <w:szCs w:val="24"/>
              </w:rPr>
              <w:t>）要求符合性分析如下：</w:t>
            </w:r>
          </w:p>
          <w:p>
            <w:pPr>
              <w:pStyle w:val="32"/>
              <w:adjustRightInd w:val="0"/>
              <w:snapToGrid w:val="0"/>
              <w:spacing w:before="0" w:beforeAutospacing="0" w:after="0" w:afterAutospacing="0" w:line="360" w:lineRule="auto"/>
              <w:jc w:val="center"/>
              <w:outlineLvl w:val="0"/>
              <w:rPr>
                <w:rFonts w:ascii="Times New Roman" w:hAnsi="Times New Roman" w:cs="Times New Roman"/>
                <w:b/>
                <w:bCs/>
                <w:color w:val="auto"/>
                <w:sz w:val="21"/>
                <w:szCs w:val="21"/>
              </w:rPr>
            </w:pPr>
            <w:r>
              <w:rPr>
                <w:rFonts w:ascii="Times New Roman" w:hAnsi="Times New Roman"/>
                <w:b/>
                <w:color w:val="auto"/>
                <w:sz w:val="21"/>
                <w:szCs w:val="21"/>
              </w:rPr>
              <w:t>表1-</w:t>
            </w:r>
            <w:r>
              <w:rPr>
                <w:rFonts w:hint="eastAsia" w:ascii="Times New Roman" w:hAnsi="Times New Roman"/>
                <w:b/>
                <w:color w:val="auto"/>
                <w:sz w:val="21"/>
                <w:szCs w:val="21"/>
                <w:lang w:val="en-US" w:eastAsia="zh-CN"/>
              </w:rPr>
              <w:t>6</w:t>
            </w:r>
            <w:r>
              <w:rPr>
                <w:rFonts w:ascii="Times New Roman" w:hAnsi="Times New Roman"/>
                <w:b/>
                <w:color w:val="auto"/>
                <w:sz w:val="21"/>
                <w:szCs w:val="21"/>
              </w:rPr>
              <w:t xml:space="preserve"> 本项</w:t>
            </w:r>
            <w:r>
              <w:rPr>
                <w:rFonts w:ascii="Times New Roman" w:hAnsi="Times New Roman" w:eastAsia="宋体" w:cs="Times New Roman"/>
                <w:b/>
                <w:color w:val="auto"/>
                <w:sz w:val="21"/>
                <w:szCs w:val="21"/>
              </w:rPr>
              <w:t>目与</w:t>
            </w:r>
            <w:r>
              <w:rPr>
                <w:rFonts w:hint="eastAsia" w:ascii="Times New Roman" w:hAnsi="Times New Roman" w:eastAsia="宋体" w:cs="Times New Roman"/>
                <w:b/>
                <w:color w:val="auto"/>
                <w:sz w:val="21"/>
                <w:szCs w:val="21"/>
                <w:lang w:val="en-US" w:eastAsia="zh-CN"/>
              </w:rPr>
              <w:t>四川蓬溪经济开发区（金桥片区）</w:t>
            </w:r>
            <w:r>
              <w:rPr>
                <w:rFonts w:hint="default" w:ascii="Times New Roman" w:hAnsi="Times New Roman" w:eastAsia="宋体" w:cs="Times New Roman"/>
                <w:b/>
                <w:color w:val="auto"/>
                <w:sz w:val="21"/>
                <w:szCs w:val="21"/>
                <w:lang w:val="en-US" w:eastAsia="zh-CN"/>
              </w:rPr>
              <w:t>重点管控单元</w:t>
            </w:r>
            <w:r>
              <w:rPr>
                <w:rFonts w:hint="eastAsia" w:ascii="Times New Roman" w:hAnsi="Times New Roman" w:eastAsia="宋体" w:cs="Times New Roman"/>
                <w:b/>
                <w:color w:val="auto"/>
                <w:sz w:val="21"/>
                <w:szCs w:val="21"/>
                <w:lang w:eastAsia="zh-CN"/>
              </w:rPr>
              <w:t>（单元特性管控要求）符合性分</w:t>
            </w:r>
            <w:r>
              <w:rPr>
                <w:rFonts w:ascii="Times New Roman" w:hAnsi="Times New Roman" w:eastAsia="宋体" w:cs="Times New Roman"/>
                <w:b/>
                <w:color w:val="auto"/>
                <w:sz w:val="21"/>
                <w:szCs w:val="21"/>
              </w:rPr>
              <w:t>析</w:t>
            </w:r>
          </w:p>
          <w:tbl>
            <w:tblPr>
              <w:tblStyle w:val="36"/>
              <w:tblW w:w="7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
              <w:gridCol w:w="439"/>
              <w:gridCol w:w="315"/>
              <w:gridCol w:w="661"/>
              <w:gridCol w:w="3537"/>
              <w:gridCol w:w="1863"/>
              <w:gridCol w:w="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58" w:type="dxa"/>
                  <w:gridSpan w:val="4"/>
                  <w:noWrap w:val="0"/>
                  <w:vAlign w:val="center"/>
                </w:tcPr>
                <w:p>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管控类型</w:t>
                  </w:r>
                </w:p>
              </w:tc>
              <w:tc>
                <w:tcPr>
                  <w:tcW w:w="3537" w:type="dxa"/>
                  <w:vMerge w:val="restart"/>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对应管控要求</w:t>
                  </w:r>
                </w:p>
              </w:tc>
              <w:tc>
                <w:tcPr>
                  <w:tcW w:w="1863" w:type="dxa"/>
                  <w:vMerge w:val="restart"/>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本项目对应情况介绍</w:t>
                  </w:r>
                </w:p>
              </w:tc>
              <w:tc>
                <w:tcPr>
                  <w:tcW w:w="379" w:type="dxa"/>
                  <w:vMerge w:val="restart"/>
                  <w:noWrap w:val="0"/>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3" w:type="dxa"/>
                  <w:noWrap w:val="0"/>
                  <w:vAlign w:val="center"/>
                </w:tcPr>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编码</w:t>
                  </w:r>
                </w:p>
              </w:tc>
              <w:tc>
                <w:tcPr>
                  <w:tcW w:w="439" w:type="dxa"/>
                  <w:noWrap w:val="0"/>
                  <w:vAlign w:val="center"/>
                </w:tcPr>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名称</w:t>
                  </w:r>
                </w:p>
              </w:tc>
              <w:tc>
                <w:tcPr>
                  <w:tcW w:w="976" w:type="dxa"/>
                  <w:gridSpan w:val="2"/>
                  <w:noWrap w:val="0"/>
                  <w:vAlign w:val="center"/>
                </w:tcPr>
                <w:p>
                  <w:pPr>
                    <w:widowControl/>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分类</w:t>
                  </w:r>
                </w:p>
              </w:tc>
              <w:tc>
                <w:tcPr>
                  <w:tcW w:w="3537" w:type="dxa"/>
                  <w:vMerge w:val="continue"/>
                  <w:noWrap w:val="0"/>
                  <w:vAlign w:val="top"/>
                </w:tcPr>
                <w:p>
                  <w:pPr>
                    <w:widowControl/>
                    <w:jc w:val="center"/>
                    <w:rPr>
                      <w:rFonts w:hint="default" w:ascii="Times New Roman" w:hAnsi="Times New Roman" w:cs="Times New Roman"/>
                      <w:b/>
                      <w:color w:val="auto"/>
                      <w:kern w:val="0"/>
                      <w:szCs w:val="21"/>
                    </w:rPr>
                  </w:pPr>
                </w:p>
              </w:tc>
              <w:tc>
                <w:tcPr>
                  <w:tcW w:w="1863" w:type="dxa"/>
                  <w:vMerge w:val="continue"/>
                  <w:noWrap w:val="0"/>
                  <w:vAlign w:val="center"/>
                </w:tcPr>
                <w:p>
                  <w:pPr>
                    <w:widowControl/>
                    <w:jc w:val="center"/>
                    <w:rPr>
                      <w:rFonts w:hint="default" w:ascii="Times New Roman" w:hAnsi="Times New Roman" w:cs="Times New Roman"/>
                      <w:b/>
                      <w:color w:val="auto"/>
                      <w:kern w:val="0"/>
                      <w:szCs w:val="21"/>
                    </w:rPr>
                  </w:pPr>
                </w:p>
              </w:tc>
              <w:tc>
                <w:tcPr>
                  <w:tcW w:w="379" w:type="dxa"/>
                  <w:vMerge w:val="continue"/>
                  <w:noWrap w:val="0"/>
                  <w:vAlign w:val="center"/>
                </w:tcPr>
                <w:p>
                  <w:pPr>
                    <w:widowControl/>
                    <w:jc w:val="center"/>
                    <w:rPr>
                      <w:rFonts w:hint="default" w:ascii="Times New Roman" w:hAnsi="Times New Roman" w:cs="Times New Roman"/>
                      <w:b/>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3" w:type="dxa"/>
                  <w:vMerge w:val="restart"/>
                  <w:noWrap w:val="0"/>
                  <w:vAlign w:val="center"/>
                </w:tcPr>
                <w:p>
                  <w:pPr>
                    <w:pStyle w:val="144"/>
                    <w:widowControl/>
                    <w:spacing w:line="240" w:lineRule="auto"/>
                    <w:ind w:firstLine="0" w:firstLineChars="0"/>
                    <w:jc w:val="left"/>
                    <w:rPr>
                      <w:rFonts w:hint="default" w:ascii="Times New Roman" w:hAnsi="Times New Roman" w:cs="Times New Roman"/>
                      <w:color w:val="auto"/>
                      <w:sz w:val="21"/>
                    </w:rPr>
                  </w:pPr>
                  <w:r>
                    <w:rPr>
                      <w:rFonts w:hint="default" w:ascii="Times New Roman" w:hAnsi="Times New Roman" w:eastAsia="宋体" w:cs="Times New Roman"/>
                      <w:color w:val="auto"/>
                      <w:kern w:val="21"/>
                      <w:sz w:val="21"/>
                      <w:szCs w:val="21"/>
                    </w:rPr>
                    <w:t>ZH51092120003</w:t>
                  </w:r>
                </w:p>
              </w:tc>
              <w:tc>
                <w:tcPr>
                  <w:tcW w:w="439" w:type="dxa"/>
                  <w:vMerge w:val="restart"/>
                  <w:noWrap w:val="0"/>
                  <w:vAlign w:val="center"/>
                </w:tcPr>
                <w:p>
                  <w:pPr>
                    <w:pStyle w:val="144"/>
                    <w:widowControl/>
                    <w:spacing w:line="240" w:lineRule="auto"/>
                    <w:ind w:firstLine="0" w:firstLineChars="0"/>
                    <w:jc w:val="left"/>
                    <w:rPr>
                      <w:rFonts w:hint="default" w:ascii="Times New Roman" w:hAnsi="Times New Roman" w:cs="Times New Roman"/>
                      <w:color w:val="auto"/>
                      <w:sz w:val="21"/>
                    </w:rPr>
                  </w:pPr>
                  <w:r>
                    <w:rPr>
                      <w:rFonts w:hint="eastAsia" w:ascii="Times New Roman" w:hAnsi="Times New Roman" w:eastAsia="宋体" w:cs="Times New Roman"/>
                      <w:color w:val="auto"/>
                      <w:kern w:val="21"/>
                      <w:sz w:val="21"/>
                      <w:szCs w:val="21"/>
                      <w:lang w:eastAsia="zh-CN"/>
                    </w:rPr>
                    <w:t>四川蓬溪经济开发区（金桥片</w:t>
                  </w:r>
                  <w:r>
                    <w:rPr>
                      <w:rFonts w:hint="eastAsia" w:ascii="Times New Roman" w:hAnsi="Times New Roman" w:eastAsia="宋体" w:cs="Times New Roman"/>
                      <w:color w:val="auto"/>
                      <w:kern w:val="21"/>
                      <w:sz w:val="21"/>
                      <w:szCs w:val="21"/>
                      <w:lang w:val="en-US" w:eastAsia="zh-CN"/>
                    </w:rPr>
                    <w:t>区</w:t>
                  </w:r>
                  <w:r>
                    <w:rPr>
                      <w:rFonts w:hint="eastAsia" w:ascii="Times New Roman" w:hAnsi="Times New Roman" w:eastAsia="宋体" w:cs="Times New Roman"/>
                      <w:color w:val="auto"/>
                      <w:kern w:val="21"/>
                      <w:sz w:val="21"/>
                      <w:szCs w:val="21"/>
                      <w:lang w:eastAsia="zh-CN"/>
                    </w:rPr>
                    <w:t>）</w:t>
                  </w:r>
                </w:p>
              </w:tc>
              <w:tc>
                <w:tcPr>
                  <w:tcW w:w="315" w:type="dxa"/>
                  <w:vMerge w:val="restart"/>
                  <w:noWrap w:val="0"/>
                  <w:vAlign w:val="center"/>
                </w:tcPr>
                <w:p>
                  <w:pPr>
                    <w:widowControl/>
                    <w:jc w:val="center"/>
                    <w:rPr>
                      <w:rFonts w:hint="default" w:ascii="Times New Roman" w:hAnsi="Times New Roman" w:cs="Times New Roman"/>
                      <w:b/>
                      <w:color w:val="auto"/>
                      <w:kern w:val="0"/>
                      <w:szCs w:val="21"/>
                    </w:rPr>
                  </w:pPr>
                  <w:r>
                    <w:rPr>
                      <w:rFonts w:hint="default" w:ascii="Times New Roman" w:hAnsi="Times New Roman" w:cs="Times New Roman"/>
                      <w:color w:val="auto"/>
                      <w:szCs w:val="21"/>
                      <w:lang w:eastAsia="zh-CN"/>
                    </w:rPr>
                    <w:t>单元特性管控要求</w:t>
                  </w:r>
                </w:p>
              </w:tc>
              <w:tc>
                <w:tcPr>
                  <w:tcW w:w="661" w:type="dxa"/>
                  <w:noWrap w:val="0"/>
                  <w:vAlign w:val="center"/>
                </w:tcPr>
                <w:p>
                  <w:pPr>
                    <w:widowControl/>
                    <w:jc w:val="center"/>
                    <w:rPr>
                      <w:rFonts w:hint="default" w:ascii="Times New Roman" w:hAnsi="Times New Roman" w:cs="Times New Roman"/>
                      <w:b/>
                      <w:color w:val="auto"/>
                      <w:kern w:val="0"/>
                      <w:szCs w:val="21"/>
                    </w:rPr>
                  </w:pPr>
                  <w:r>
                    <w:rPr>
                      <w:rFonts w:hint="default" w:ascii="Times New Roman" w:hAnsi="Times New Roman" w:cs="Times New Roman"/>
                      <w:color w:val="auto"/>
                      <w:szCs w:val="21"/>
                    </w:rPr>
                    <w:t>空间布局约束</w:t>
                  </w:r>
                </w:p>
              </w:tc>
              <w:tc>
                <w:tcPr>
                  <w:tcW w:w="3537" w:type="dxa"/>
                  <w:noWrap w:val="0"/>
                  <w:vAlign w:val="top"/>
                </w:tcPr>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禁止开发建设活动的要求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1.</w:t>
                  </w:r>
                  <w:r>
                    <w:rPr>
                      <w:rStyle w:val="39"/>
                      <w:rFonts w:hint="eastAsia" w:ascii="Times New Roman" w:hAnsi="Times New Roman" w:eastAsia="宋体" w:cs="Times New Roman"/>
                      <w:color w:val="auto"/>
                      <w:kern w:val="2"/>
                      <w:sz w:val="21"/>
                      <w:szCs w:val="21"/>
                      <w:lang w:val="en-US" w:eastAsia="zh-CN" w:bidi="ar-SA"/>
                    </w:rPr>
                    <w:t>禁止</w:t>
                  </w:r>
                  <w:r>
                    <w:rPr>
                      <w:rStyle w:val="39"/>
                      <w:rFonts w:hint="default" w:ascii="Times New Roman" w:hAnsi="Times New Roman" w:eastAsia="宋体" w:cs="Times New Roman"/>
                      <w:color w:val="auto"/>
                      <w:kern w:val="2"/>
                      <w:sz w:val="21"/>
                      <w:szCs w:val="21"/>
                      <w:lang w:val="en-US" w:eastAsia="zh-CN" w:bidi="ar-SA"/>
                    </w:rPr>
                    <w:t>建设专业</w:t>
                  </w:r>
                  <w:r>
                    <w:rPr>
                      <w:rStyle w:val="39"/>
                      <w:rFonts w:hint="eastAsia" w:ascii="Times New Roman" w:hAnsi="Times New Roman" w:eastAsia="宋体" w:cs="Times New Roman"/>
                      <w:color w:val="auto"/>
                      <w:kern w:val="2"/>
                      <w:sz w:val="21"/>
                      <w:szCs w:val="21"/>
                      <w:lang w:val="en-US" w:eastAsia="zh-CN" w:bidi="ar-SA"/>
                    </w:rPr>
                    <w:t>电镀厂。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2</w:t>
                  </w:r>
                  <w:r>
                    <w:rPr>
                      <w:rStyle w:val="39"/>
                      <w:rFonts w:hint="eastAsia" w:ascii="Times New Roman" w:hAnsi="Times New Roman" w:eastAsia="宋体" w:cs="Times New Roman"/>
                      <w:color w:val="auto"/>
                      <w:kern w:val="2"/>
                      <w:sz w:val="21"/>
                      <w:szCs w:val="21"/>
                      <w:lang w:val="en-US" w:eastAsia="zh-CN" w:bidi="ar-SA"/>
                    </w:rPr>
                    <w:t>.禁止引入《环境保护综合目录（2017版）》确定的</w:t>
                  </w:r>
                  <w:r>
                    <w:rPr>
                      <w:rStyle w:val="39"/>
                      <w:rFonts w:hint="default" w:ascii="Times New Roman" w:hAnsi="Times New Roman" w:eastAsia="宋体" w:cs="Times New Roman"/>
                      <w:color w:val="auto"/>
                      <w:kern w:val="2"/>
                      <w:sz w:val="21"/>
                      <w:szCs w:val="21"/>
                      <w:lang w:val="en-US" w:eastAsia="zh-CN" w:bidi="ar-SA"/>
                    </w:rPr>
                    <w:t>“高污染、高环境风险”产</w:t>
                  </w:r>
                  <w:r>
                    <w:rPr>
                      <w:rStyle w:val="39"/>
                      <w:rFonts w:hint="eastAsia" w:ascii="Times New Roman" w:hAnsi="Times New Roman" w:eastAsia="宋体" w:cs="Times New Roman"/>
                      <w:color w:val="auto"/>
                      <w:kern w:val="2"/>
                      <w:sz w:val="21"/>
                      <w:szCs w:val="21"/>
                      <w:lang w:val="en-US" w:eastAsia="zh-CN" w:bidi="ar-SA"/>
                    </w:rPr>
                    <w:t>品项目。</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3.禁止引入按照</w:t>
                  </w:r>
                  <w:r>
                    <w:rPr>
                      <w:rStyle w:val="39"/>
                      <w:rFonts w:hint="eastAsia" w:ascii="Times New Roman" w:hAnsi="Times New Roman" w:eastAsia="宋体" w:cs="Times New Roman"/>
                      <w:color w:val="auto"/>
                      <w:kern w:val="2"/>
                      <w:sz w:val="21"/>
                      <w:szCs w:val="21"/>
                      <w:lang w:val="en-US" w:eastAsia="zh-CN" w:bidi="ar-SA"/>
                    </w:rPr>
                    <w:t>《</w:t>
                  </w:r>
                  <w:r>
                    <w:rPr>
                      <w:rStyle w:val="39"/>
                      <w:rFonts w:hint="default" w:ascii="Times New Roman" w:hAnsi="Times New Roman" w:eastAsia="宋体" w:cs="Times New Roman"/>
                      <w:color w:val="auto"/>
                      <w:kern w:val="2"/>
                      <w:sz w:val="21"/>
                      <w:szCs w:val="21"/>
                      <w:lang w:val="en-US" w:eastAsia="zh-CN" w:bidi="ar-SA"/>
                    </w:rPr>
                    <w:t>建设项目环境风险评价技术导则》确定为环境风险潜势Ⅳ级及以</w:t>
                  </w:r>
                  <w:r>
                    <w:rPr>
                      <w:rStyle w:val="39"/>
                      <w:rFonts w:hint="eastAsia" w:ascii="Times New Roman" w:hAnsi="Times New Roman" w:eastAsia="宋体" w:cs="Times New Roman"/>
                      <w:color w:val="auto"/>
                      <w:kern w:val="2"/>
                      <w:sz w:val="21"/>
                      <w:szCs w:val="21"/>
                      <w:lang w:val="en-US" w:eastAsia="zh-CN" w:bidi="ar-SA"/>
                    </w:rPr>
                    <w:t>上的项目。</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4</w:t>
                  </w:r>
                  <w:r>
                    <w:rPr>
                      <w:rStyle w:val="39"/>
                      <w:rFonts w:hint="eastAsia" w:ascii="Times New Roman" w:hAnsi="Times New Roman" w:eastAsia="宋体" w:cs="Times New Roman"/>
                      <w:color w:val="auto"/>
                      <w:kern w:val="2"/>
                      <w:sz w:val="21"/>
                      <w:szCs w:val="21"/>
                      <w:lang w:val="en-US" w:eastAsia="zh-CN" w:bidi="ar-SA"/>
                    </w:rPr>
                    <w:t>.禁止</w:t>
                  </w:r>
                  <w:r>
                    <w:rPr>
                      <w:rStyle w:val="39"/>
                      <w:rFonts w:hint="default" w:ascii="Times New Roman" w:hAnsi="Times New Roman" w:eastAsia="宋体" w:cs="Times New Roman"/>
                      <w:color w:val="auto"/>
                      <w:kern w:val="2"/>
                      <w:sz w:val="21"/>
                      <w:szCs w:val="21"/>
                      <w:lang w:val="en-US" w:eastAsia="zh-CN" w:bidi="ar-SA"/>
                    </w:rPr>
                    <w:t>引入与</w:t>
                  </w:r>
                  <w:r>
                    <w:rPr>
                      <w:rStyle w:val="39"/>
                      <w:rFonts w:hint="eastAsia" w:ascii="Times New Roman" w:hAnsi="Times New Roman" w:eastAsia="宋体" w:cs="Times New Roman"/>
                      <w:color w:val="auto"/>
                      <w:kern w:val="2"/>
                      <w:sz w:val="21"/>
                      <w:szCs w:val="21"/>
                      <w:lang w:val="en-US" w:eastAsia="zh-CN" w:bidi="ar-SA"/>
                    </w:rPr>
                    <w:t>周边生活空间冲突，</w:t>
                  </w:r>
                  <w:r>
                    <w:rPr>
                      <w:rStyle w:val="39"/>
                      <w:rFonts w:hint="default" w:ascii="Times New Roman" w:hAnsi="Times New Roman" w:eastAsia="宋体" w:cs="Times New Roman"/>
                      <w:color w:val="auto"/>
                      <w:kern w:val="2"/>
                      <w:sz w:val="21"/>
                      <w:szCs w:val="21"/>
                      <w:lang w:val="en-US" w:eastAsia="zh-CN" w:bidi="ar-SA"/>
                    </w:rPr>
                    <w:t>或经环保论证与周边企业、规划用地等环境不</w:t>
                  </w:r>
                  <w:r>
                    <w:rPr>
                      <w:rStyle w:val="39"/>
                      <w:rFonts w:hint="eastAsia" w:ascii="Times New Roman" w:hAnsi="Times New Roman" w:eastAsia="宋体" w:cs="Times New Roman"/>
                      <w:color w:val="auto"/>
                      <w:kern w:val="2"/>
                      <w:sz w:val="21"/>
                      <w:szCs w:val="21"/>
                      <w:lang w:val="en-US" w:eastAsia="zh-CN" w:bidi="ar-SA"/>
                    </w:rPr>
                    <w:t>相容。</w:t>
                  </w:r>
                </w:p>
                <w:p>
                  <w:pPr>
                    <w:pStyle w:val="144"/>
                    <w:widowControl/>
                    <w:shd w:val="clear" w:color="auto" w:fill="FFFFFF"/>
                    <w:spacing w:line="240" w:lineRule="auto"/>
                    <w:ind w:firstLine="0" w:firstLineChars="0"/>
                    <w:jc w:val="left"/>
                    <w:rPr>
                      <w:rStyle w:val="39"/>
                      <w:rFonts w:hint="eastAsia" w:ascii="Times New Roman" w:hAnsi="Times New Roman" w:eastAsia="宋体" w:cs="Times New Roman"/>
                      <w:color w:val="auto"/>
                      <w:kern w:val="2"/>
                      <w:sz w:val="21"/>
                      <w:szCs w:val="21"/>
                      <w:lang w:val="en-US" w:eastAsia="zh-CN" w:bidi="ar-SA"/>
                    </w:rPr>
                  </w:pPr>
                  <w:r>
                    <w:rPr>
                      <w:rStyle w:val="39"/>
                      <w:rFonts w:hint="eastAsia" w:ascii="Times New Roman" w:hAnsi="Times New Roman" w:eastAsia="宋体" w:cs="Times New Roman"/>
                      <w:color w:val="auto"/>
                      <w:kern w:val="2"/>
                      <w:sz w:val="21"/>
                      <w:szCs w:val="21"/>
                      <w:lang w:val="en-US" w:eastAsia="zh-CN" w:bidi="ar-SA"/>
                    </w:rPr>
                    <w:t>5.</w:t>
                  </w:r>
                  <w:r>
                    <w:rPr>
                      <w:rStyle w:val="39"/>
                      <w:rFonts w:hint="default" w:ascii="Times New Roman" w:hAnsi="Times New Roman" w:eastAsia="宋体" w:cs="Times New Roman"/>
                      <w:color w:val="auto"/>
                      <w:kern w:val="2"/>
                      <w:sz w:val="21"/>
                      <w:szCs w:val="21"/>
                      <w:lang w:val="en-US" w:eastAsia="zh-CN" w:bidi="ar-SA"/>
                    </w:rPr>
                    <w:t>其他参照遂宁市总体准入要求-工业重点管控单元”</w:t>
                  </w:r>
                  <w:r>
                    <w:rPr>
                      <w:rStyle w:val="39"/>
                      <w:rFonts w:hint="eastAsia"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限制开发建设活动的要求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1.在符合四川省及遂宁市</w:t>
                  </w:r>
                  <w:r>
                    <w:rPr>
                      <w:rStyle w:val="39"/>
                      <w:rFonts w:hint="eastAsia" w:ascii="Times New Roman" w:hAnsi="Times New Roman" w:eastAsia="宋体" w:cs="Times New Roman"/>
                      <w:color w:val="auto"/>
                      <w:kern w:val="2"/>
                      <w:sz w:val="21"/>
                      <w:szCs w:val="21"/>
                      <w:lang w:val="en-US" w:eastAsia="zh-CN" w:bidi="ar-SA"/>
                    </w:rPr>
                    <w:t>“十三五”</w:t>
                  </w:r>
                  <w:r>
                    <w:rPr>
                      <w:rStyle w:val="39"/>
                      <w:rFonts w:hint="default" w:ascii="Times New Roman" w:hAnsi="Times New Roman" w:eastAsia="宋体" w:cs="Times New Roman"/>
                      <w:color w:val="auto"/>
                      <w:kern w:val="2"/>
                      <w:sz w:val="21"/>
                      <w:szCs w:val="21"/>
                      <w:lang w:val="en-US" w:eastAsia="zh-CN" w:bidi="ar-SA"/>
                    </w:rPr>
                    <w:t>重金属污染防治方案，满足区域重金属污染物总量控制的前提下，对企业配套的电镀生产不</w:t>
                  </w:r>
                  <w:r>
                    <w:rPr>
                      <w:rStyle w:val="39"/>
                      <w:rFonts w:hint="eastAsia" w:eastAsia="宋体" w:cs="Times New Roman"/>
                      <w:color w:val="auto"/>
                      <w:kern w:val="2"/>
                      <w:sz w:val="21"/>
                      <w:szCs w:val="21"/>
                      <w:lang w:val="en-US" w:eastAsia="zh-CN" w:bidi="ar-SA"/>
                    </w:rPr>
                    <w:t>做</w:t>
                  </w:r>
                  <w:r>
                    <w:rPr>
                      <w:rStyle w:val="39"/>
                      <w:rFonts w:hint="default" w:ascii="Times New Roman" w:hAnsi="Times New Roman" w:eastAsia="宋体" w:cs="Times New Roman"/>
                      <w:color w:val="auto"/>
                      <w:kern w:val="2"/>
                      <w:sz w:val="21"/>
                      <w:szCs w:val="21"/>
                      <w:lang w:val="en-US" w:eastAsia="zh-CN" w:bidi="ar-SA"/>
                    </w:rPr>
                    <w:t>限制</w:t>
                  </w:r>
                  <w:r>
                    <w:rPr>
                      <w:rStyle w:val="39"/>
                      <w:rFonts w:hint="eastAsia" w:ascii="Times New Roman" w:hAnsi="Times New Roman" w:eastAsia="宋体" w:cs="Times New Roman"/>
                      <w:color w:val="auto"/>
                      <w:kern w:val="2"/>
                      <w:sz w:val="21"/>
                      <w:szCs w:val="21"/>
                      <w:lang w:val="en-US" w:eastAsia="zh-CN" w:bidi="ar-SA"/>
                    </w:rPr>
                    <w:t>。</w:t>
                  </w:r>
                  <w:r>
                    <w:rPr>
                      <w:rStyle w:val="39"/>
                      <w:rFonts w:hint="default" w:ascii="Times New Roman" w:hAnsi="Times New Roman" w:eastAsia="宋体" w:cs="Times New Roman"/>
                      <w:color w:val="auto"/>
                      <w:kern w:val="2"/>
                      <w:sz w:val="21"/>
                      <w:szCs w:val="21"/>
                      <w:lang w:val="en-US" w:eastAsia="zh-CN" w:bidi="ar-SA"/>
                    </w:rPr>
                    <w:t>对电镀等表面处理工序应采取严格有效的环保治理措施，确保废水、废气等污染</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物经处理后达到电镀污染物排放标准，并满足《清洁生产标准一电镀行业》二级标准及以上的要求。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2</w:t>
                  </w:r>
                  <w:r>
                    <w:rPr>
                      <w:rStyle w:val="39"/>
                      <w:rFonts w:hint="eastAsia" w:ascii="Times New Roman" w:hAnsi="Times New Roman" w:eastAsia="宋体" w:cs="Times New Roman"/>
                      <w:color w:val="auto"/>
                      <w:kern w:val="2"/>
                      <w:sz w:val="21"/>
                      <w:szCs w:val="21"/>
                      <w:lang w:val="en-US" w:eastAsia="zh-CN" w:bidi="ar-SA"/>
                    </w:rPr>
                    <w:t>.工业</w:t>
                  </w:r>
                  <w:r>
                    <w:rPr>
                      <w:rStyle w:val="39"/>
                      <w:rFonts w:hint="default" w:ascii="Times New Roman" w:hAnsi="Times New Roman" w:eastAsia="宋体" w:cs="Times New Roman"/>
                      <w:color w:val="auto"/>
                      <w:kern w:val="2"/>
                      <w:sz w:val="21"/>
                      <w:szCs w:val="21"/>
                      <w:lang w:val="en-US" w:eastAsia="zh-CN" w:bidi="ar-SA"/>
                    </w:rPr>
                    <w:t>用地与居住用地之间应设置不小于50m的隔离带。</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3其他参照遂宁市总体准入要求-工业重点管控单元。</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允许开发建设活动的要求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不符合空间布局要求活动的退出要求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其他空间布局约束要求</w:t>
                  </w:r>
                </w:p>
                <w:p>
                  <w:pPr>
                    <w:pStyle w:val="144"/>
                    <w:spacing w:line="240" w:lineRule="auto"/>
                    <w:ind w:firstLine="0" w:firstLineChars="0"/>
                    <w:rPr>
                      <w:rFonts w:hint="default" w:ascii="Times New Roman" w:hAnsi="Times New Roman" w:eastAsia="宋体" w:cs="Times New Roman"/>
                      <w:b/>
                      <w:color w:val="auto"/>
                      <w:kern w:val="0"/>
                      <w:sz w:val="21"/>
                    </w:rPr>
                  </w:pPr>
                  <w:r>
                    <w:rPr>
                      <w:rStyle w:val="39"/>
                      <w:rFonts w:hint="default" w:ascii="Times New Roman" w:hAnsi="Times New Roman" w:eastAsia="宋体" w:cs="Times New Roman"/>
                      <w:color w:val="auto"/>
                      <w:kern w:val="2"/>
                      <w:sz w:val="21"/>
                      <w:szCs w:val="21"/>
                      <w:lang w:val="en-US" w:eastAsia="zh-CN" w:bidi="ar-SA"/>
                    </w:rPr>
                    <w:t>/</w:t>
                  </w:r>
                </w:p>
              </w:tc>
              <w:tc>
                <w:tcPr>
                  <w:tcW w:w="1863" w:type="dxa"/>
                  <w:noWrap w:val="0"/>
                  <w:vAlign w:val="center"/>
                </w:tcPr>
                <w:p>
                  <w:pPr>
                    <w:widowControl/>
                    <w:jc w:val="center"/>
                    <w:rPr>
                      <w:rFonts w:hint="default"/>
                      <w:color w:val="auto"/>
                      <w:kern w:val="0"/>
                      <w:szCs w:val="21"/>
                      <w:lang w:val="en-US"/>
                    </w:rPr>
                  </w:pPr>
                  <w:r>
                    <w:rPr>
                      <w:rFonts w:hint="default" w:ascii="Times New Roman" w:hAnsi="Times New Roman" w:eastAsia="宋体" w:cs="Times New Roman"/>
                      <w:b w:val="0"/>
                      <w:bCs w:val="0"/>
                      <w:color w:val="auto"/>
                      <w:kern w:val="2"/>
                      <w:sz w:val="21"/>
                      <w:szCs w:val="21"/>
                      <w:lang w:val="en-US" w:eastAsia="zh-CN" w:bidi="ar-SA"/>
                    </w:rPr>
                    <w:t>本项目为石墨及碳素制品制造，属于非金属矿物制品业，</w:t>
                  </w:r>
                  <w:r>
                    <w:rPr>
                      <w:rFonts w:hint="eastAsia" w:ascii="Times New Roman" w:hAnsi="Times New Roman" w:eastAsia="宋体" w:cs="Times New Roman"/>
                      <w:b w:val="0"/>
                      <w:bCs w:val="0"/>
                      <w:color w:val="auto"/>
                      <w:kern w:val="2"/>
                      <w:sz w:val="21"/>
                      <w:szCs w:val="21"/>
                      <w:lang w:val="en-US" w:eastAsia="zh-CN" w:bidi="ar-SA"/>
                    </w:rPr>
                    <w:t>不属于电镀行业，不涉及重金属排放；本项目不属于</w:t>
                  </w:r>
                  <w:r>
                    <w:rPr>
                      <w:rStyle w:val="39"/>
                      <w:rFonts w:hint="eastAsia" w:ascii="Times New Roman" w:hAnsi="Times New Roman" w:eastAsia="宋体" w:cs="Times New Roman"/>
                      <w:color w:val="auto"/>
                      <w:kern w:val="2"/>
                      <w:sz w:val="21"/>
                      <w:szCs w:val="21"/>
                      <w:lang w:val="en-US" w:eastAsia="zh-CN" w:bidi="ar-SA"/>
                    </w:rPr>
                    <w:t>《环境保护综合目录（2017版）》确定的</w:t>
                  </w:r>
                  <w:r>
                    <w:rPr>
                      <w:rStyle w:val="39"/>
                      <w:rFonts w:hint="default" w:ascii="Times New Roman" w:hAnsi="Times New Roman" w:eastAsia="宋体" w:cs="Times New Roman"/>
                      <w:color w:val="auto"/>
                      <w:kern w:val="2"/>
                      <w:sz w:val="21"/>
                      <w:szCs w:val="21"/>
                      <w:lang w:val="en-US" w:eastAsia="zh-CN" w:bidi="ar-SA"/>
                    </w:rPr>
                    <w:t>“高污染、高环境风险”产</w:t>
                  </w:r>
                  <w:r>
                    <w:rPr>
                      <w:rStyle w:val="39"/>
                      <w:rFonts w:hint="eastAsia" w:ascii="Times New Roman" w:hAnsi="Times New Roman" w:eastAsia="宋体" w:cs="Times New Roman"/>
                      <w:color w:val="auto"/>
                      <w:kern w:val="2"/>
                      <w:sz w:val="21"/>
                      <w:szCs w:val="21"/>
                      <w:lang w:val="en-US" w:eastAsia="zh-CN" w:bidi="ar-SA"/>
                    </w:rPr>
                    <w:t>品项目；本项目不属于《</w:t>
                  </w:r>
                  <w:r>
                    <w:rPr>
                      <w:rStyle w:val="39"/>
                      <w:rFonts w:hint="default" w:ascii="Times New Roman" w:hAnsi="Times New Roman" w:eastAsia="宋体" w:cs="Times New Roman"/>
                      <w:color w:val="auto"/>
                      <w:kern w:val="2"/>
                      <w:sz w:val="21"/>
                      <w:szCs w:val="21"/>
                      <w:lang w:val="en-US" w:eastAsia="zh-CN" w:bidi="ar-SA"/>
                    </w:rPr>
                    <w:t>建设项目环境风险评价技术导则》确定为环境风险潜势Ⅳ级及以</w:t>
                  </w:r>
                  <w:r>
                    <w:rPr>
                      <w:rStyle w:val="39"/>
                      <w:rFonts w:hint="eastAsia" w:ascii="Times New Roman" w:hAnsi="Times New Roman" w:eastAsia="宋体" w:cs="Times New Roman"/>
                      <w:color w:val="auto"/>
                      <w:kern w:val="2"/>
                      <w:sz w:val="21"/>
                      <w:szCs w:val="21"/>
                      <w:lang w:val="en-US" w:eastAsia="zh-CN" w:bidi="ar-SA"/>
                    </w:rPr>
                    <w:t>上的项目；本项目不与周边生活空间冲突，与</w:t>
                  </w:r>
                  <w:r>
                    <w:rPr>
                      <w:rStyle w:val="39"/>
                      <w:rFonts w:hint="default" w:ascii="Times New Roman" w:hAnsi="Times New Roman" w:eastAsia="宋体" w:cs="Times New Roman"/>
                      <w:color w:val="auto"/>
                      <w:kern w:val="2"/>
                      <w:sz w:val="21"/>
                      <w:szCs w:val="21"/>
                      <w:lang w:val="en-US" w:eastAsia="zh-CN" w:bidi="ar-SA"/>
                    </w:rPr>
                    <w:t>周边企业、规划用地等环境</w:t>
                  </w:r>
                  <w:r>
                    <w:rPr>
                      <w:rStyle w:val="39"/>
                      <w:rFonts w:hint="eastAsia" w:ascii="Times New Roman" w:hAnsi="Times New Roman" w:eastAsia="宋体" w:cs="Times New Roman"/>
                      <w:color w:val="auto"/>
                      <w:kern w:val="2"/>
                      <w:sz w:val="21"/>
                      <w:szCs w:val="21"/>
                      <w:lang w:val="en-US" w:eastAsia="zh-CN" w:bidi="ar-SA"/>
                    </w:rPr>
                    <w:t>相容；本项目500m范围内无</w:t>
                  </w:r>
                  <w:r>
                    <w:rPr>
                      <w:rStyle w:val="39"/>
                      <w:rFonts w:hint="default" w:ascii="Times New Roman" w:hAnsi="Times New Roman" w:eastAsia="宋体" w:cs="Times New Roman"/>
                      <w:color w:val="auto"/>
                      <w:kern w:val="2"/>
                      <w:sz w:val="21"/>
                      <w:szCs w:val="21"/>
                      <w:lang w:val="en-US" w:eastAsia="zh-CN" w:bidi="ar-SA"/>
                    </w:rPr>
                    <w:t>居住用地</w:t>
                  </w:r>
                </w:p>
              </w:tc>
              <w:tc>
                <w:tcPr>
                  <w:tcW w:w="379" w:type="dxa"/>
                  <w:noWrap w:val="0"/>
                  <w:vAlign w:val="center"/>
                </w:tcPr>
                <w:p>
                  <w:pPr>
                    <w:widowControl/>
                    <w:jc w:val="center"/>
                    <w:rPr>
                      <w:color w:val="auto"/>
                      <w:kern w:val="0"/>
                      <w:szCs w:val="21"/>
                    </w:rPr>
                  </w:pPr>
                  <w:r>
                    <w:rPr>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43" w:type="dxa"/>
                  <w:vMerge w:val="continue"/>
                  <w:noWrap w:val="0"/>
                  <w:vAlign w:val="center"/>
                </w:tcPr>
                <w:p>
                  <w:pPr>
                    <w:widowControl/>
                    <w:jc w:val="center"/>
                    <w:rPr>
                      <w:rFonts w:hint="default" w:ascii="Times New Roman" w:hAnsi="Times New Roman" w:cs="Times New Roman"/>
                      <w:b/>
                      <w:color w:val="auto"/>
                      <w:kern w:val="0"/>
                      <w:szCs w:val="21"/>
                    </w:rPr>
                  </w:pPr>
                </w:p>
              </w:tc>
              <w:tc>
                <w:tcPr>
                  <w:tcW w:w="439" w:type="dxa"/>
                  <w:vMerge w:val="continue"/>
                  <w:noWrap w:val="0"/>
                  <w:vAlign w:val="center"/>
                </w:tcPr>
                <w:p>
                  <w:pPr>
                    <w:widowControl/>
                    <w:jc w:val="center"/>
                    <w:rPr>
                      <w:rFonts w:hint="default" w:ascii="Times New Roman" w:hAnsi="Times New Roman" w:cs="Times New Roman"/>
                      <w:b/>
                      <w:color w:val="auto"/>
                      <w:kern w:val="0"/>
                      <w:szCs w:val="21"/>
                    </w:rPr>
                  </w:pPr>
                </w:p>
              </w:tc>
              <w:tc>
                <w:tcPr>
                  <w:tcW w:w="315" w:type="dxa"/>
                  <w:vMerge w:val="continue"/>
                  <w:noWrap w:val="0"/>
                  <w:vAlign w:val="center"/>
                </w:tcPr>
                <w:p>
                  <w:pPr>
                    <w:widowControl/>
                    <w:jc w:val="center"/>
                    <w:rPr>
                      <w:rFonts w:hint="default" w:ascii="Times New Roman" w:hAnsi="Times New Roman" w:cs="Times New Roman"/>
                      <w:b/>
                      <w:color w:val="auto"/>
                      <w:kern w:val="0"/>
                      <w:szCs w:val="21"/>
                    </w:rPr>
                  </w:pPr>
                </w:p>
              </w:tc>
              <w:tc>
                <w:tcPr>
                  <w:tcW w:w="661" w:type="dxa"/>
                  <w:noWrap w:val="0"/>
                  <w:vAlign w:val="center"/>
                </w:tcPr>
                <w:p>
                  <w:pPr>
                    <w:pStyle w:val="144"/>
                    <w:spacing w:line="240" w:lineRule="auto"/>
                    <w:ind w:firstLine="0" w:firstLineChars="0"/>
                    <w:jc w:val="center"/>
                    <w:rPr>
                      <w:rFonts w:hint="default" w:ascii="Times New Roman" w:hAnsi="Times New Roman" w:eastAsia="宋体" w:cs="Times New Roman"/>
                      <w:b/>
                      <w:color w:val="auto"/>
                      <w:kern w:val="0"/>
                      <w:sz w:val="21"/>
                    </w:rPr>
                  </w:pPr>
                  <w:r>
                    <w:rPr>
                      <w:rFonts w:hint="default" w:ascii="Times New Roman" w:hAnsi="Times New Roman" w:eastAsia="宋体" w:cs="Times New Roman"/>
                      <w:color w:val="auto"/>
                      <w:kern w:val="0"/>
                      <w:sz w:val="21"/>
                    </w:rPr>
                    <w:t>污染物排放管控</w:t>
                  </w:r>
                </w:p>
              </w:tc>
              <w:tc>
                <w:tcPr>
                  <w:tcW w:w="3537" w:type="dxa"/>
                  <w:noWrap w:val="0"/>
                  <w:vAlign w:val="top"/>
                </w:tcPr>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现有源提标升级改造</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新增源等量或倍量替代</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新增源排放标准限值</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l</w:t>
                  </w:r>
                  <w:r>
                    <w:rPr>
                      <w:rStyle w:val="39"/>
                      <w:rFonts w:hint="eastAsia" w:ascii="Times New Roman" w:hAnsi="Times New Roman" w:eastAsia="宋体" w:cs="Times New Roman"/>
                      <w:color w:val="auto"/>
                      <w:kern w:val="2"/>
                      <w:sz w:val="21"/>
                      <w:szCs w:val="21"/>
                      <w:lang w:val="en-US" w:eastAsia="zh-CN" w:bidi="ar-SA"/>
                    </w:rPr>
                    <w:t>项目</w:t>
                  </w:r>
                  <w:r>
                    <w:rPr>
                      <w:rStyle w:val="39"/>
                      <w:rFonts w:hint="default" w:ascii="Times New Roman" w:hAnsi="Times New Roman" w:eastAsia="宋体" w:cs="Times New Roman"/>
                      <w:color w:val="auto"/>
                      <w:kern w:val="2"/>
                      <w:sz w:val="21"/>
                      <w:szCs w:val="21"/>
                      <w:lang w:val="en-US" w:eastAsia="zh-CN" w:bidi="ar-SA"/>
                    </w:rPr>
                    <w:t>产生的生产废水</w:t>
                  </w:r>
                  <w:r>
                    <w:rPr>
                      <w:rStyle w:val="39"/>
                      <w:rFonts w:hint="eastAsia" w:ascii="Times New Roman" w:hAnsi="Times New Roman" w:eastAsia="宋体" w:cs="Times New Roman"/>
                      <w:color w:val="auto"/>
                      <w:kern w:val="2"/>
                      <w:sz w:val="21"/>
                      <w:szCs w:val="21"/>
                      <w:lang w:val="en-US" w:eastAsia="zh-CN" w:bidi="ar-SA"/>
                    </w:rPr>
                    <w:t>由</w:t>
                  </w:r>
                  <w:r>
                    <w:rPr>
                      <w:rStyle w:val="39"/>
                      <w:rFonts w:hint="default" w:ascii="Times New Roman" w:hAnsi="Times New Roman" w:eastAsia="宋体" w:cs="Times New Roman"/>
                      <w:color w:val="auto"/>
                      <w:kern w:val="2"/>
                      <w:sz w:val="21"/>
                      <w:szCs w:val="21"/>
                      <w:lang w:val="en-US" w:eastAsia="zh-CN" w:bidi="ar-SA"/>
                    </w:rPr>
                    <w:t>企业自行处理达到《污水综合排放标准》三级或相应的行业排放标准后排入污水处理</w:t>
                  </w:r>
                  <w:r>
                    <w:rPr>
                      <w:rStyle w:val="39"/>
                      <w:rFonts w:hint="eastAsia" w:ascii="Times New Roman" w:hAnsi="Times New Roman" w:eastAsia="宋体" w:cs="Times New Roman"/>
                      <w:color w:val="auto"/>
                      <w:kern w:val="2"/>
                      <w:sz w:val="21"/>
                      <w:szCs w:val="21"/>
                      <w:lang w:val="en-US" w:eastAsia="zh-CN" w:bidi="ar-SA"/>
                    </w:rPr>
                    <w:t>厂</w:t>
                  </w:r>
                  <w:r>
                    <w:rPr>
                      <w:rStyle w:val="39"/>
                      <w:rFonts w:hint="default" w:ascii="Times New Roman" w:hAnsi="Times New Roman" w:eastAsia="宋体" w:cs="Times New Roman"/>
                      <w:color w:val="auto"/>
                      <w:kern w:val="2"/>
                      <w:sz w:val="21"/>
                      <w:szCs w:val="21"/>
                      <w:lang w:val="en-US" w:eastAsia="zh-CN" w:bidi="ar-SA"/>
                    </w:rPr>
                    <w:t>处理</w:t>
                  </w:r>
                  <w:r>
                    <w:rPr>
                      <w:rStyle w:val="39"/>
                      <w:rFonts w:hint="eastAsia" w:ascii="Times New Roman" w:hAnsi="Times New Roman" w:eastAsia="宋体" w:cs="Times New Roman"/>
                      <w:color w:val="auto"/>
                      <w:kern w:val="2"/>
                      <w:sz w:val="21"/>
                      <w:szCs w:val="21"/>
                      <w:lang w:val="en-US" w:eastAsia="zh-CN" w:bidi="ar-SA"/>
                    </w:rPr>
                    <w:t>达到</w:t>
                  </w:r>
                  <w:r>
                    <w:rPr>
                      <w:rStyle w:val="39"/>
                      <w:rFonts w:hint="default" w:ascii="Times New Roman" w:hAnsi="Times New Roman" w:eastAsia="宋体" w:cs="Times New Roman"/>
                      <w:color w:val="auto"/>
                      <w:kern w:val="2"/>
                      <w:sz w:val="21"/>
                      <w:szCs w:val="21"/>
                      <w:lang w:val="en-US" w:eastAsia="zh-CN" w:bidi="ar-SA"/>
                    </w:rPr>
                    <w:t>《城镇污水处理厂污染</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物排放标准》一级A标</w:t>
                  </w:r>
                  <w:r>
                    <w:rPr>
                      <w:rStyle w:val="39"/>
                      <w:rFonts w:hint="eastAsia" w:eastAsia="宋体" w:cs="Times New Roman"/>
                      <w:color w:val="auto"/>
                      <w:kern w:val="2"/>
                      <w:sz w:val="21"/>
                      <w:szCs w:val="21"/>
                      <w:lang w:val="en-US" w:eastAsia="zh-CN" w:bidi="ar-SA"/>
                    </w:rPr>
                    <w:t>准</w:t>
                  </w:r>
                  <w:r>
                    <w:rPr>
                      <w:rStyle w:val="39"/>
                      <w:rFonts w:hint="default" w:ascii="Times New Roman" w:hAnsi="Times New Roman" w:eastAsia="宋体" w:cs="Times New Roman"/>
                      <w:color w:val="auto"/>
                      <w:kern w:val="2"/>
                      <w:sz w:val="21"/>
                      <w:szCs w:val="21"/>
                      <w:lang w:val="en-US" w:eastAsia="zh-CN" w:bidi="ar-SA"/>
                    </w:rPr>
                    <w:t>或更严格标准后排放。</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2.重点行业VOCs治理要求；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（1）化工项目实施挥发性有机物综</w:t>
                  </w:r>
                  <w:r>
                    <w:rPr>
                      <w:rStyle w:val="39"/>
                      <w:rFonts w:hint="eastAsia" w:ascii="Times New Roman" w:hAnsi="Times New Roman" w:eastAsia="宋体" w:cs="Times New Roman"/>
                      <w:color w:val="auto"/>
                      <w:kern w:val="2"/>
                      <w:sz w:val="21"/>
                      <w:szCs w:val="21"/>
                      <w:lang w:val="en-US" w:eastAsia="zh-CN" w:bidi="ar-SA"/>
                    </w:rPr>
                    <w:t>合</w:t>
                  </w:r>
                  <w:r>
                    <w:rPr>
                      <w:rStyle w:val="39"/>
                      <w:rFonts w:hint="default" w:ascii="Times New Roman" w:hAnsi="Times New Roman" w:eastAsia="宋体" w:cs="Times New Roman"/>
                      <w:color w:val="auto"/>
                      <w:kern w:val="2"/>
                      <w:sz w:val="21"/>
                      <w:szCs w:val="21"/>
                      <w:lang w:val="en-US" w:eastAsia="zh-CN" w:bidi="ar-SA"/>
                    </w:rPr>
                    <w:t>整治，兼顾解决恶臭、有毒有害等环境问题；推广低VOCs含量、低反</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应活性的原辅材料和产品。</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（2）工程机械制造行业，推广使用高固体分，粉末涂料，喷漆与烘干废气不得采用单一、低效的方式进行处理</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eastAsia" w:ascii="Times New Roman" w:hAnsi="Times New Roman" w:eastAsia="宋体" w:cs="Times New Roman"/>
                      <w:color w:val="auto"/>
                      <w:kern w:val="2"/>
                      <w:sz w:val="21"/>
                      <w:szCs w:val="21"/>
                      <w:lang w:val="en-US" w:eastAsia="zh-CN" w:bidi="ar-SA"/>
                    </w:rPr>
                    <w:t>（3）</w:t>
                  </w:r>
                  <w:r>
                    <w:rPr>
                      <w:rStyle w:val="39"/>
                      <w:rFonts w:hint="default" w:ascii="Times New Roman" w:hAnsi="Times New Roman" w:eastAsia="宋体" w:cs="Times New Roman"/>
                      <w:color w:val="auto"/>
                      <w:kern w:val="2"/>
                      <w:sz w:val="21"/>
                      <w:szCs w:val="21"/>
                      <w:lang w:val="en-US" w:eastAsia="zh-CN" w:bidi="ar-SA"/>
                    </w:rPr>
                    <w:t>全面执行《挥发性有机物无组织排放控制标准》。</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3.其他参照遂宁市总体准入要求-工业重点管控单元</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污染物排放绩效水平准入要求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参照遂宁市总体准入要求-工业重点管控单元</w:t>
                  </w:r>
                  <w:r>
                    <w:rPr>
                      <w:rStyle w:val="39"/>
                      <w:rFonts w:hint="eastAsia"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其他污染物排放管控要求</w:t>
                  </w:r>
                </w:p>
                <w:p>
                  <w:pPr>
                    <w:pStyle w:val="144"/>
                    <w:spacing w:line="240" w:lineRule="auto"/>
                    <w:ind w:firstLine="0" w:firstLineChars="0"/>
                    <w:rPr>
                      <w:rFonts w:hint="default" w:ascii="Times New Roman" w:hAnsi="Times New Roman" w:eastAsia="宋体" w:cs="Times New Roman"/>
                      <w:color w:val="auto"/>
                      <w:kern w:val="0"/>
                      <w:sz w:val="21"/>
                    </w:rPr>
                  </w:pPr>
                  <w:r>
                    <w:rPr>
                      <w:rStyle w:val="39"/>
                      <w:rFonts w:hint="default" w:ascii="Times New Roman" w:hAnsi="Times New Roman" w:eastAsia="宋体" w:cs="Times New Roman"/>
                      <w:color w:val="auto"/>
                      <w:kern w:val="2"/>
                      <w:sz w:val="21"/>
                      <w:szCs w:val="21"/>
                      <w:lang w:val="en-US" w:eastAsia="zh-CN" w:bidi="ar-SA"/>
                    </w:rPr>
                    <w:t>/</w:t>
                  </w:r>
                </w:p>
              </w:tc>
              <w:tc>
                <w:tcPr>
                  <w:tcW w:w="1863" w:type="dxa"/>
                  <w:noWrap w:val="0"/>
                  <w:vAlign w:val="center"/>
                </w:tcPr>
                <w:p>
                  <w:pPr>
                    <w:widowControl/>
                    <w:jc w:val="center"/>
                    <w:rPr>
                      <w:rFonts w:hint="default"/>
                      <w:b/>
                      <w:color w:val="auto"/>
                      <w:kern w:val="0"/>
                      <w:szCs w:val="21"/>
                      <w:lang w:val="en-US"/>
                    </w:rPr>
                  </w:pPr>
                  <w:r>
                    <w:rPr>
                      <w:rFonts w:hint="eastAsia" w:ascii="Times New Roman" w:hAnsi="Times New Roman" w:eastAsia="宋体" w:cs="Times New Roman"/>
                      <w:color w:val="auto"/>
                      <w:sz w:val="21"/>
                      <w:szCs w:val="21"/>
                      <w:lang w:val="en-US" w:eastAsia="zh-CN"/>
                    </w:rPr>
                    <w:t>项目运营期产生的废水主要为碱喷淋废水和生活污水，碱喷淋废水经酸碱中和预处理后，</w:t>
                  </w:r>
                  <w:r>
                    <w:rPr>
                      <w:rFonts w:hint="eastAsia" w:cs="Times New Roman"/>
                      <w:color w:val="auto"/>
                      <w:sz w:val="21"/>
                      <w:szCs w:val="21"/>
                      <w:lang w:val="en-US" w:eastAsia="zh-CN"/>
                    </w:rPr>
                    <w:t>和</w:t>
                  </w:r>
                  <w:r>
                    <w:rPr>
                      <w:rFonts w:hint="eastAsia" w:ascii="Times New Roman" w:hAnsi="Times New Roman" w:eastAsia="宋体" w:cs="Times New Roman"/>
                      <w:color w:val="auto"/>
                      <w:sz w:val="21"/>
                      <w:szCs w:val="21"/>
                      <w:lang w:val="en-US" w:eastAsia="zh-CN"/>
                    </w:rPr>
                    <w:t>生活污水一起排入四川翔丰华新能源材料有限公司已建4#预处理池处理</w:t>
                  </w:r>
                  <w:r>
                    <w:rPr>
                      <w:rFonts w:hint="default" w:ascii="Times New Roman" w:hAnsi="Times New Roman" w:cs="Times New Roman"/>
                      <w:color w:val="auto"/>
                      <w:kern w:val="0"/>
                      <w:sz w:val="21"/>
                      <w:szCs w:val="21"/>
                      <w:lang w:bidi="ar"/>
                    </w:rPr>
                    <w:t>达</w:t>
                  </w:r>
                  <w:r>
                    <w:rPr>
                      <w:rFonts w:hint="eastAsia" w:ascii="Times New Roman" w:hAnsi="Times New Roman" w:cs="Times New Roman"/>
                      <w:color w:val="auto"/>
                      <w:kern w:val="0"/>
                      <w:sz w:val="21"/>
                      <w:szCs w:val="21"/>
                      <w:lang w:val="en-US" w:eastAsia="zh-CN" w:bidi="ar"/>
                    </w:rPr>
                    <w:t>到</w:t>
                  </w:r>
                  <w:r>
                    <w:rPr>
                      <w:rFonts w:hint="default" w:ascii="Times New Roman" w:hAnsi="Times New Roman" w:cs="Times New Roman"/>
                      <w:color w:val="auto"/>
                      <w:kern w:val="0"/>
                      <w:sz w:val="21"/>
                      <w:szCs w:val="21"/>
                      <w:lang w:bidi="ar"/>
                    </w:rPr>
                    <w:t>《污水综合排放标准》三级标准后</w:t>
                  </w:r>
                  <w:r>
                    <w:rPr>
                      <w:rFonts w:hint="eastAsia" w:ascii="Times New Roman" w:hAnsi="Times New Roman" w:eastAsia="宋体" w:cs="Times New Roman"/>
                      <w:color w:val="auto"/>
                      <w:sz w:val="21"/>
                      <w:szCs w:val="21"/>
                      <w:lang w:val="en-US" w:eastAsia="zh-CN"/>
                    </w:rPr>
                    <w:t>排入园区污水管网</w:t>
                  </w:r>
                  <w:r>
                    <w:rPr>
                      <w:rFonts w:ascii="Times New Roman" w:hAnsi="Times New Roman" w:eastAsia="宋体" w:cs="Times New Roman"/>
                      <w:color w:val="auto"/>
                      <w:sz w:val="21"/>
                      <w:szCs w:val="21"/>
                    </w:rPr>
                    <w:t>，再经污水管网排入</w:t>
                  </w:r>
                  <w:r>
                    <w:rPr>
                      <w:rFonts w:hint="eastAsia" w:ascii="Times New Roman" w:hAnsi="Times New Roman" w:eastAsia="宋体" w:cs="Times New Roman"/>
                      <w:color w:val="auto"/>
                      <w:sz w:val="21"/>
                      <w:szCs w:val="21"/>
                      <w:lang w:eastAsia="zh-CN"/>
                    </w:rPr>
                    <w:t>遂宁金桥新区城市污水处理厂</w:t>
                  </w:r>
                  <w:r>
                    <w:rPr>
                      <w:rFonts w:ascii="Times New Roman" w:hAnsi="Times New Roman" w:eastAsia="宋体" w:cs="Times New Roman"/>
                      <w:color w:val="auto"/>
                      <w:sz w:val="21"/>
                      <w:szCs w:val="21"/>
                    </w:rPr>
                    <w:t>集中处理</w:t>
                  </w:r>
                  <w:r>
                    <w:rPr>
                      <w:rFonts w:hint="eastAsia" w:ascii="Times New Roman" w:hAnsi="Times New Roman" w:eastAsia="宋体" w:cs="Times New Roman"/>
                      <w:color w:val="auto"/>
                      <w:sz w:val="21"/>
                      <w:szCs w:val="21"/>
                      <w:lang w:eastAsia="zh-CN"/>
                    </w:rPr>
                    <w:t>达到</w:t>
                  </w:r>
                  <w:r>
                    <w:rPr>
                      <w:rFonts w:hint="eastAsia" w:ascii="Times New Roman" w:hAnsi="Times New Roman" w:eastAsia="宋体" w:cs="Times New Roman"/>
                      <w:color w:val="auto"/>
                      <w:sz w:val="21"/>
                      <w:szCs w:val="21"/>
                      <w:lang w:val="en-US" w:eastAsia="zh-CN"/>
                    </w:rPr>
                    <w:t>《城镇污水处理厂污染物排放标准》（</w:t>
                  </w:r>
                  <w:r>
                    <w:rPr>
                      <w:rFonts w:hint="default" w:ascii="Times New Roman" w:hAnsi="Times New Roman" w:eastAsia="宋体" w:cs="Times New Roman"/>
                      <w:color w:val="auto"/>
                      <w:sz w:val="21"/>
                      <w:szCs w:val="21"/>
                      <w:lang w:val="en-US" w:eastAsia="zh-CN"/>
                    </w:rPr>
                    <w:t>GB18918-2002</w:t>
                  </w:r>
                  <w:r>
                    <w:rPr>
                      <w:rFonts w:hint="eastAsia" w:ascii="Times New Roman" w:hAnsi="Times New Roman" w:eastAsia="宋体" w:cs="Times New Roman"/>
                      <w:color w:val="auto"/>
                      <w:sz w:val="21"/>
                      <w:szCs w:val="21"/>
                      <w:lang w:val="en-US" w:eastAsia="zh-CN"/>
                    </w:rPr>
                    <w:t>）一级</w:t>
                  </w:r>
                  <w:r>
                    <w:rPr>
                      <w:rFonts w:hint="default" w:ascii="Times New Roman" w:hAnsi="Times New Roman" w:eastAsia="宋体" w:cs="Times New Roman"/>
                      <w:color w:val="auto"/>
                      <w:sz w:val="21"/>
                      <w:szCs w:val="21"/>
                      <w:lang w:val="en-US" w:eastAsia="zh-CN"/>
                    </w:rPr>
                    <w:t>A</w:t>
                  </w:r>
                  <w:r>
                    <w:rPr>
                      <w:rFonts w:hint="eastAsia" w:ascii="Times New Roman" w:hAnsi="Times New Roman" w:eastAsia="宋体" w:cs="Times New Roman"/>
                      <w:color w:val="auto"/>
                      <w:sz w:val="21"/>
                      <w:szCs w:val="21"/>
                      <w:lang w:val="en-US" w:eastAsia="zh-CN"/>
                    </w:rPr>
                    <w:t>标准</w:t>
                  </w:r>
                  <w:r>
                    <w:rPr>
                      <w:rFonts w:ascii="Times New Roman" w:hAnsi="Times New Roman" w:eastAsia="宋体" w:cs="Times New Roman"/>
                      <w:color w:val="auto"/>
                      <w:sz w:val="21"/>
                      <w:szCs w:val="21"/>
                    </w:rPr>
                    <w:t>后排入</w:t>
                  </w:r>
                  <w:r>
                    <w:rPr>
                      <w:rFonts w:hint="default" w:ascii="Times New Roman" w:hAnsi="Times New Roman" w:eastAsia="宋体" w:cs="Times New Roman"/>
                      <w:color w:val="auto"/>
                      <w:sz w:val="21"/>
                      <w:szCs w:val="21"/>
                    </w:rPr>
                    <w:t>涪江</w:t>
                  </w:r>
                  <w:r>
                    <w:rPr>
                      <w:rStyle w:val="39"/>
                      <w:rFonts w:hint="eastAsia" w:ascii="Times New Roman" w:hAnsi="Times New Roman" w:eastAsia="宋体" w:cs="Times New Roman"/>
                      <w:color w:val="auto"/>
                      <w:kern w:val="2"/>
                      <w:sz w:val="21"/>
                      <w:szCs w:val="21"/>
                      <w:lang w:val="en-US" w:eastAsia="zh-CN" w:bidi="ar-SA"/>
                    </w:rPr>
                    <w:t>；本</w:t>
                  </w:r>
                  <w:r>
                    <w:rPr>
                      <w:rFonts w:hint="default" w:ascii="Times New Roman" w:hAnsi="Times New Roman" w:eastAsia="宋体" w:cs="Times New Roman"/>
                      <w:color w:val="auto"/>
                      <w:sz w:val="21"/>
                      <w:szCs w:val="21"/>
                      <w:lang w:val="en-US" w:eastAsia="zh-CN"/>
                    </w:rPr>
                    <w:t>项目不产生VOCs</w:t>
                  </w:r>
                </w:p>
              </w:tc>
              <w:tc>
                <w:tcPr>
                  <w:tcW w:w="379" w:type="dxa"/>
                  <w:noWrap w:val="0"/>
                  <w:vAlign w:val="center"/>
                </w:tcPr>
                <w:p>
                  <w:pPr>
                    <w:widowControl/>
                    <w:jc w:val="center"/>
                    <w:rPr>
                      <w:b/>
                      <w:color w:val="auto"/>
                      <w:kern w:val="0"/>
                      <w:szCs w:val="21"/>
                    </w:rPr>
                  </w:pPr>
                  <w:r>
                    <w:rPr>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343" w:type="dxa"/>
                  <w:vMerge w:val="continue"/>
                  <w:noWrap w:val="0"/>
                  <w:vAlign w:val="center"/>
                </w:tcPr>
                <w:p>
                  <w:pPr>
                    <w:widowControl/>
                    <w:jc w:val="center"/>
                    <w:rPr>
                      <w:b/>
                      <w:color w:val="auto"/>
                      <w:kern w:val="0"/>
                      <w:szCs w:val="21"/>
                    </w:rPr>
                  </w:pPr>
                </w:p>
              </w:tc>
              <w:tc>
                <w:tcPr>
                  <w:tcW w:w="439" w:type="dxa"/>
                  <w:vMerge w:val="continue"/>
                  <w:noWrap w:val="0"/>
                  <w:vAlign w:val="center"/>
                </w:tcPr>
                <w:p>
                  <w:pPr>
                    <w:widowControl/>
                    <w:jc w:val="center"/>
                    <w:rPr>
                      <w:b/>
                      <w:color w:val="auto"/>
                      <w:kern w:val="0"/>
                      <w:szCs w:val="21"/>
                    </w:rPr>
                  </w:pPr>
                </w:p>
              </w:tc>
              <w:tc>
                <w:tcPr>
                  <w:tcW w:w="315" w:type="dxa"/>
                  <w:vMerge w:val="continue"/>
                  <w:noWrap w:val="0"/>
                  <w:vAlign w:val="center"/>
                </w:tcPr>
                <w:p>
                  <w:pPr>
                    <w:widowControl/>
                    <w:jc w:val="center"/>
                    <w:rPr>
                      <w:b/>
                      <w:color w:val="auto"/>
                      <w:kern w:val="0"/>
                      <w:szCs w:val="21"/>
                    </w:rPr>
                  </w:pPr>
                </w:p>
              </w:tc>
              <w:tc>
                <w:tcPr>
                  <w:tcW w:w="661" w:type="dxa"/>
                  <w:noWrap w:val="0"/>
                  <w:vAlign w:val="center"/>
                </w:tcPr>
                <w:p>
                  <w:pPr>
                    <w:widowControl/>
                    <w:jc w:val="center"/>
                    <w:rPr>
                      <w:color w:val="auto"/>
                      <w:kern w:val="0"/>
                      <w:szCs w:val="21"/>
                    </w:rPr>
                  </w:pPr>
                  <w:r>
                    <w:rPr>
                      <w:color w:val="auto"/>
                      <w:kern w:val="0"/>
                      <w:szCs w:val="21"/>
                    </w:rPr>
                    <w:t>环境风险防控</w:t>
                  </w:r>
                </w:p>
              </w:tc>
              <w:tc>
                <w:tcPr>
                  <w:tcW w:w="3537" w:type="dxa"/>
                  <w:noWrap w:val="0"/>
                  <w:vAlign w:val="top"/>
                </w:tcPr>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严格管控类农用地管控要求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安全利用类农用地管控要求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污染地块管控要求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园区环境风险防控要求</w:t>
                  </w:r>
                </w:p>
                <w:p>
                  <w:pPr>
                    <w:pStyle w:val="144"/>
                    <w:widowControl/>
                    <w:shd w:val="clear" w:color="auto" w:fill="FFFFFF"/>
                    <w:spacing w:line="240" w:lineRule="auto"/>
                    <w:ind w:firstLine="0" w:firstLineChars="0"/>
                    <w:jc w:val="left"/>
                    <w:rPr>
                      <w:rStyle w:val="39"/>
                      <w:rFonts w:hint="eastAsia"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参照遂宁市总体准入要求-工业重点管控单元</w:t>
                  </w:r>
                  <w:r>
                    <w:rPr>
                      <w:rStyle w:val="39"/>
                      <w:rFonts w:hint="eastAsia" w:ascii="Times New Roman" w:hAnsi="Times New Roman" w:eastAsia="宋体" w:cs="Times New Roman"/>
                      <w:color w:val="auto"/>
                      <w:kern w:val="2"/>
                      <w:sz w:val="21"/>
                      <w:szCs w:val="21"/>
                      <w:lang w:val="en-US" w:eastAsia="zh-CN" w:bidi="ar-SA"/>
                    </w:rPr>
                    <w:t>.</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企业环境风险防控要求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其他环境风险防控要求</w:t>
                  </w:r>
                </w:p>
                <w:p>
                  <w:pPr>
                    <w:widowControl/>
                    <w:jc w:val="left"/>
                    <w:rPr>
                      <w:rFonts w:hint="default" w:ascii="Times New Roman" w:hAnsi="Times New Roman" w:cs="Times New Roman"/>
                      <w:color w:val="auto"/>
                      <w:kern w:val="0"/>
                      <w:szCs w:val="21"/>
                    </w:rPr>
                  </w:pPr>
                  <w:r>
                    <w:rPr>
                      <w:rStyle w:val="39"/>
                      <w:rFonts w:hint="default" w:ascii="Times New Roman" w:hAnsi="Times New Roman" w:eastAsia="宋体" w:cs="Times New Roman"/>
                      <w:color w:val="auto"/>
                      <w:kern w:val="2"/>
                      <w:sz w:val="21"/>
                      <w:szCs w:val="21"/>
                      <w:lang w:val="en-US" w:eastAsia="zh-CN" w:bidi="ar-SA"/>
                    </w:rPr>
                    <w:t>/</w:t>
                  </w:r>
                </w:p>
              </w:tc>
              <w:tc>
                <w:tcPr>
                  <w:tcW w:w="1863" w:type="dxa"/>
                  <w:noWrap w:val="0"/>
                  <w:vAlign w:val="center"/>
                </w:tcPr>
                <w:p>
                  <w:pPr>
                    <w:widowControl/>
                    <w:jc w:val="center"/>
                    <w:rPr>
                      <w:color w:val="auto"/>
                      <w:szCs w:val="21"/>
                    </w:rPr>
                  </w:pPr>
                  <w:r>
                    <w:rPr>
                      <w:rStyle w:val="39"/>
                      <w:rFonts w:hint="default" w:ascii="Times New Roman" w:hAnsi="Times New Roman" w:eastAsia="宋体" w:cs="Times New Roman"/>
                      <w:color w:val="auto"/>
                      <w:kern w:val="2"/>
                      <w:sz w:val="21"/>
                      <w:szCs w:val="21"/>
                      <w:lang w:val="en-US" w:eastAsia="zh-CN" w:bidi="ar-SA"/>
                    </w:rPr>
                    <w:t>本项目满足遂宁市总体准入要求-工业重点管控单元要求</w:t>
                  </w:r>
                </w:p>
              </w:tc>
              <w:tc>
                <w:tcPr>
                  <w:tcW w:w="379" w:type="dxa"/>
                  <w:noWrap w:val="0"/>
                  <w:vAlign w:val="center"/>
                </w:tcPr>
                <w:p>
                  <w:pPr>
                    <w:widowControl/>
                    <w:jc w:val="center"/>
                    <w:rPr>
                      <w:color w:val="auto"/>
                      <w:kern w:val="0"/>
                      <w:szCs w:val="21"/>
                    </w:rPr>
                  </w:pPr>
                  <w:r>
                    <w:rPr>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9" w:hRule="atLeast"/>
              </w:trPr>
              <w:tc>
                <w:tcPr>
                  <w:tcW w:w="343" w:type="dxa"/>
                  <w:vMerge w:val="continue"/>
                  <w:noWrap w:val="0"/>
                  <w:vAlign w:val="center"/>
                </w:tcPr>
                <w:p>
                  <w:pPr>
                    <w:widowControl/>
                    <w:jc w:val="center"/>
                    <w:rPr>
                      <w:b/>
                      <w:color w:val="auto"/>
                      <w:kern w:val="0"/>
                      <w:szCs w:val="21"/>
                    </w:rPr>
                  </w:pPr>
                </w:p>
              </w:tc>
              <w:tc>
                <w:tcPr>
                  <w:tcW w:w="439" w:type="dxa"/>
                  <w:vMerge w:val="continue"/>
                  <w:noWrap w:val="0"/>
                  <w:vAlign w:val="center"/>
                </w:tcPr>
                <w:p>
                  <w:pPr>
                    <w:widowControl/>
                    <w:jc w:val="center"/>
                    <w:rPr>
                      <w:b/>
                      <w:color w:val="auto"/>
                      <w:kern w:val="0"/>
                      <w:szCs w:val="21"/>
                    </w:rPr>
                  </w:pPr>
                </w:p>
              </w:tc>
              <w:tc>
                <w:tcPr>
                  <w:tcW w:w="315" w:type="dxa"/>
                  <w:vMerge w:val="continue"/>
                  <w:noWrap w:val="0"/>
                  <w:vAlign w:val="center"/>
                </w:tcPr>
                <w:p>
                  <w:pPr>
                    <w:widowControl/>
                    <w:jc w:val="center"/>
                    <w:rPr>
                      <w:b/>
                      <w:color w:val="auto"/>
                      <w:kern w:val="0"/>
                      <w:szCs w:val="21"/>
                    </w:rPr>
                  </w:pPr>
                </w:p>
              </w:tc>
              <w:tc>
                <w:tcPr>
                  <w:tcW w:w="661" w:type="dxa"/>
                  <w:noWrap w:val="0"/>
                  <w:vAlign w:val="center"/>
                </w:tcPr>
                <w:p>
                  <w:pPr>
                    <w:widowControl/>
                    <w:jc w:val="center"/>
                    <w:rPr>
                      <w:color w:val="auto"/>
                      <w:kern w:val="0"/>
                      <w:szCs w:val="21"/>
                    </w:rPr>
                  </w:pPr>
                  <w:r>
                    <w:rPr>
                      <w:color w:val="auto"/>
                      <w:kern w:val="0"/>
                      <w:szCs w:val="21"/>
                    </w:rPr>
                    <w:t>资源开发利用效率要求</w:t>
                  </w:r>
                </w:p>
              </w:tc>
              <w:tc>
                <w:tcPr>
                  <w:tcW w:w="3537" w:type="dxa"/>
                  <w:noWrap w:val="0"/>
                  <w:vAlign w:val="top"/>
                </w:tcPr>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水资源利用效率要求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地下水开采要求</w:t>
                  </w:r>
                </w:p>
                <w:p>
                  <w:pPr>
                    <w:pStyle w:val="144"/>
                    <w:widowControl/>
                    <w:numPr>
                      <w:ilvl w:val="0"/>
                      <w:numId w:val="0"/>
                    </w:numPr>
                    <w:shd w:val="clear" w:color="auto" w:fill="FFFFFF"/>
                    <w:spacing w:line="240" w:lineRule="auto"/>
                    <w:jc w:val="left"/>
                    <w:rPr>
                      <w:rStyle w:val="39"/>
                      <w:rFonts w:hint="default" w:ascii="Times New Roman" w:hAnsi="Times New Roman" w:eastAsia="宋体" w:cs="Times New Roman"/>
                      <w:color w:val="auto"/>
                      <w:kern w:val="2"/>
                      <w:sz w:val="21"/>
                      <w:szCs w:val="21"/>
                      <w:lang w:val="en-US" w:eastAsia="zh-CN" w:bidi="ar-SA"/>
                    </w:rPr>
                  </w:pPr>
                  <w:r>
                    <w:rPr>
                      <w:rStyle w:val="39"/>
                      <w:rFonts w:hint="eastAsia" w:ascii="Times New Roman" w:hAnsi="Times New Roman" w:eastAsia="宋体" w:cs="Times New Roman"/>
                      <w:color w:val="auto"/>
                      <w:kern w:val="2"/>
                      <w:sz w:val="21"/>
                      <w:szCs w:val="21"/>
                      <w:lang w:val="en-US" w:eastAsia="zh-CN" w:bidi="ar-SA"/>
                    </w:rPr>
                    <w:t>（1）</w:t>
                  </w:r>
                  <w:r>
                    <w:rPr>
                      <w:rStyle w:val="39"/>
                      <w:rFonts w:hint="default" w:ascii="Times New Roman" w:hAnsi="Times New Roman" w:eastAsia="宋体" w:cs="Times New Roman"/>
                      <w:color w:val="auto"/>
                      <w:kern w:val="2"/>
                      <w:sz w:val="21"/>
                      <w:szCs w:val="21"/>
                      <w:lang w:val="en-US" w:eastAsia="zh-CN" w:bidi="ar-SA"/>
                    </w:rPr>
                    <w:t>蓬溪县2030年地下水开采</w:t>
                  </w:r>
                  <w:r>
                    <w:rPr>
                      <w:rStyle w:val="39"/>
                      <w:rFonts w:hint="eastAsia" w:ascii="Times New Roman" w:hAnsi="Times New Roman" w:eastAsia="宋体" w:cs="Times New Roman"/>
                      <w:color w:val="auto"/>
                      <w:kern w:val="2"/>
                      <w:sz w:val="21"/>
                      <w:szCs w:val="21"/>
                      <w:lang w:val="en-US" w:eastAsia="zh-CN" w:bidi="ar-SA"/>
                    </w:rPr>
                    <w:t>控制</w:t>
                  </w:r>
                  <w:r>
                    <w:rPr>
                      <w:rStyle w:val="39"/>
                      <w:rFonts w:hint="default" w:ascii="Times New Roman" w:hAnsi="Times New Roman" w:eastAsia="宋体" w:cs="Times New Roman"/>
                      <w:color w:val="auto"/>
                      <w:kern w:val="2"/>
                      <w:sz w:val="21"/>
                      <w:szCs w:val="21"/>
                      <w:lang w:val="en-US" w:eastAsia="zh-CN" w:bidi="ar-SA"/>
                    </w:rPr>
                    <w:t>量保持在0.09亿m</w:t>
                  </w:r>
                  <w:r>
                    <w:rPr>
                      <w:rStyle w:val="39"/>
                      <w:rFonts w:hint="default" w:ascii="Times New Roman" w:hAnsi="Times New Roman" w:eastAsia="宋体" w:cs="Times New Roman"/>
                      <w:color w:val="auto"/>
                      <w:kern w:val="2"/>
                      <w:sz w:val="21"/>
                      <w:szCs w:val="21"/>
                      <w:vertAlign w:val="superscript"/>
                      <w:lang w:val="en-US" w:eastAsia="zh-CN" w:bidi="ar-SA"/>
                    </w:rPr>
                    <w:t>3</w:t>
                  </w:r>
                  <w:r>
                    <w:rPr>
                      <w:rStyle w:val="39"/>
                      <w:rFonts w:hint="default" w:ascii="Times New Roman" w:hAnsi="Times New Roman" w:eastAsia="宋体" w:cs="Times New Roman"/>
                      <w:color w:val="auto"/>
                      <w:kern w:val="2"/>
                      <w:sz w:val="21"/>
                      <w:szCs w:val="21"/>
                      <w:lang w:val="en-US" w:eastAsia="zh-CN" w:bidi="ar-SA"/>
                    </w:rPr>
                    <w:t>以内。</w:t>
                  </w:r>
                </w:p>
                <w:p>
                  <w:pPr>
                    <w:pStyle w:val="144"/>
                    <w:widowControl/>
                    <w:numPr>
                      <w:ilvl w:val="0"/>
                      <w:numId w:val="0"/>
                    </w:numPr>
                    <w:shd w:val="clear" w:color="auto" w:fill="FFFFFF"/>
                    <w:spacing w:line="240" w:lineRule="auto"/>
                    <w:jc w:val="left"/>
                    <w:rPr>
                      <w:rStyle w:val="39"/>
                      <w:rFonts w:hint="default" w:ascii="Times New Roman" w:hAnsi="Times New Roman" w:eastAsia="宋体" w:cs="Times New Roman"/>
                      <w:color w:val="auto"/>
                      <w:kern w:val="2"/>
                      <w:sz w:val="21"/>
                      <w:szCs w:val="21"/>
                      <w:lang w:val="en-US" w:eastAsia="zh-CN" w:bidi="ar-SA"/>
                    </w:rPr>
                  </w:pPr>
                  <w:r>
                    <w:rPr>
                      <w:rStyle w:val="39"/>
                      <w:rFonts w:hint="eastAsia" w:ascii="Times New Roman" w:hAnsi="Times New Roman" w:eastAsia="宋体" w:cs="Times New Roman"/>
                      <w:color w:val="auto"/>
                      <w:kern w:val="2"/>
                      <w:sz w:val="21"/>
                      <w:szCs w:val="21"/>
                      <w:lang w:val="en-US" w:eastAsia="zh-CN" w:bidi="ar-SA"/>
                    </w:rPr>
                    <w:t>（2）</w:t>
                  </w:r>
                  <w:r>
                    <w:rPr>
                      <w:rStyle w:val="39"/>
                      <w:rFonts w:hint="default" w:ascii="Times New Roman" w:hAnsi="Times New Roman" w:eastAsia="宋体" w:cs="Times New Roman"/>
                      <w:color w:val="auto"/>
                      <w:kern w:val="2"/>
                      <w:sz w:val="21"/>
                      <w:szCs w:val="21"/>
                      <w:lang w:val="en-US" w:eastAsia="zh-CN" w:bidi="ar-SA"/>
                    </w:rPr>
                    <w:t>全面建设节水型社会达到合理高效用水。</w:t>
                  </w:r>
                </w:p>
                <w:p>
                  <w:pPr>
                    <w:pStyle w:val="144"/>
                    <w:widowControl/>
                    <w:numPr>
                      <w:ilvl w:val="0"/>
                      <w:numId w:val="0"/>
                    </w:numPr>
                    <w:shd w:val="clear" w:color="auto" w:fill="FFFFFF"/>
                    <w:spacing w:line="240" w:lineRule="auto"/>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能源利用效率要求</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参照遂宁市总体准入要求-工业重点管控单元。</w:t>
                  </w:r>
                </w:p>
                <w:p>
                  <w:pPr>
                    <w:pStyle w:val="144"/>
                    <w:widowControl/>
                    <w:shd w:val="clear" w:color="auto" w:fill="FFFFFF"/>
                    <w:spacing w:line="240" w:lineRule="auto"/>
                    <w:ind w:firstLine="0" w:firstLineChars="0"/>
                    <w:jc w:val="left"/>
                    <w:rPr>
                      <w:rStyle w:val="39"/>
                      <w:rFonts w:hint="default" w:ascii="Times New Roman" w:hAnsi="Times New Roman" w:eastAsia="宋体" w:cs="Times New Roman"/>
                      <w:b/>
                      <w:bCs/>
                      <w:color w:val="auto"/>
                      <w:kern w:val="2"/>
                      <w:sz w:val="21"/>
                      <w:szCs w:val="21"/>
                      <w:lang w:val="en-US" w:eastAsia="zh-CN" w:bidi="ar-SA"/>
                    </w:rPr>
                  </w:pPr>
                  <w:r>
                    <w:rPr>
                      <w:rStyle w:val="39"/>
                      <w:rFonts w:hint="default" w:ascii="Times New Roman" w:hAnsi="Times New Roman" w:eastAsia="宋体" w:cs="Times New Roman"/>
                      <w:b/>
                      <w:bCs/>
                      <w:color w:val="auto"/>
                      <w:kern w:val="2"/>
                      <w:sz w:val="21"/>
                      <w:szCs w:val="21"/>
                      <w:lang w:val="en-US" w:eastAsia="zh-CN" w:bidi="ar-SA"/>
                    </w:rPr>
                    <w:t>其他资源利用效率要求</w:t>
                  </w:r>
                </w:p>
                <w:p>
                  <w:pPr>
                    <w:pStyle w:val="144"/>
                    <w:spacing w:line="240" w:lineRule="auto"/>
                    <w:ind w:firstLine="0" w:firstLineChars="0"/>
                    <w:rPr>
                      <w:rFonts w:hint="default" w:ascii="Times New Roman" w:hAnsi="Times New Roman" w:cs="Times New Roman"/>
                      <w:color w:val="auto"/>
                      <w:kern w:val="0"/>
                      <w:sz w:val="21"/>
                    </w:rPr>
                  </w:pPr>
                  <w:r>
                    <w:rPr>
                      <w:rStyle w:val="39"/>
                      <w:rFonts w:hint="default" w:ascii="Times New Roman" w:hAnsi="Times New Roman" w:eastAsia="宋体" w:cs="Times New Roman"/>
                      <w:color w:val="auto"/>
                      <w:kern w:val="2"/>
                      <w:sz w:val="21"/>
                      <w:szCs w:val="21"/>
                      <w:lang w:val="en-US" w:eastAsia="zh-CN" w:bidi="ar-SA"/>
                    </w:rPr>
                    <w:t>参照遂宁市总体准入要求-工业重点管控单元</w:t>
                  </w:r>
                  <w:r>
                    <w:rPr>
                      <w:rStyle w:val="39"/>
                      <w:rFonts w:hint="eastAsia" w:ascii="Times New Roman" w:hAnsi="Times New Roman" w:eastAsia="宋体" w:cs="Times New Roman"/>
                      <w:color w:val="auto"/>
                      <w:kern w:val="2"/>
                      <w:sz w:val="21"/>
                      <w:szCs w:val="21"/>
                      <w:lang w:val="en-US" w:eastAsia="zh-CN" w:bidi="ar-SA"/>
                    </w:rPr>
                    <w:t>。</w:t>
                  </w:r>
                </w:p>
              </w:tc>
              <w:tc>
                <w:tcPr>
                  <w:tcW w:w="1863" w:type="dxa"/>
                  <w:noWrap w:val="0"/>
                  <w:vAlign w:val="center"/>
                </w:tcPr>
                <w:p>
                  <w:pPr>
                    <w:widowControl/>
                    <w:jc w:val="center"/>
                    <w:rPr>
                      <w:rFonts w:hint="eastAsia"/>
                      <w:color w:val="auto"/>
                      <w:kern w:val="0"/>
                      <w:szCs w:val="21"/>
                      <w:lang w:bidi="ar"/>
                    </w:rPr>
                  </w:pPr>
                  <w:r>
                    <w:rPr>
                      <w:rStyle w:val="39"/>
                      <w:rFonts w:hint="default" w:ascii="Times New Roman" w:hAnsi="Times New Roman" w:eastAsia="宋体" w:cs="Times New Roman"/>
                      <w:color w:val="auto"/>
                      <w:kern w:val="2"/>
                      <w:sz w:val="21"/>
                      <w:szCs w:val="21"/>
                      <w:lang w:val="en-US" w:eastAsia="zh-CN" w:bidi="ar-SA"/>
                    </w:rPr>
                    <w:t>本项目</w:t>
                  </w:r>
                  <w:r>
                    <w:rPr>
                      <w:rStyle w:val="39"/>
                      <w:rFonts w:hint="eastAsia" w:ascii="Times New Roman" w:hAnsi="Times New Roman" w:eastAsia="宋体" w:cs="Times New Roman"/>
                      <w:color w:val="auto"/>
                      <w:kern w:val="2"/>
                      <w:sz w:val="21"/>
                      <w:szCs w:val="21"/>
                      <w:lang w:val="en-US" w:eastAsia="zh-CN" w:bidi="ar-SA"/>
                    </w:rPr>
                    <w:t>不涉及地下水开采，</w:t>
                  </w:r>
                  <w:r>
                    <w:rPr>
                      <w:rStyle w:val="39"/>
                      <w:rFonts w:hint="default" w:ascii="Times New Roman" w:hAnsi="Times New Roman" w:eastAsia="宋体" w:cs="Times New Roman"/>
                      <w:color w:val="auto"/>
                      <w:kern w:val="2"/>
                      <w:sz w:val="21"/>
                      <w:szCs w:val="21"/>
                      <w:lang w:val="en-US" w:eastAsia="zh-CN" w:bidi="ar-SA"/>
                    </w:rPr>
                    <w:t>满足遂宁市总体准入要求-工业重点管控单元</w:t>
                  </w:r>
                </w:p>
              </w:tc>
              <w:tc>
                <w:tcPr>
                  <w:tcW w:w="379" w:type="dxa"/>
                  <w:noWrap w:val="0"/>
                  <w:vAlign w:val="center"/>
                </w:tcPr>
                <w:p>
                  <w:pPr>
                    <w:widowControl/>
                    <w:jc w:val="center"/>
                    <w:rPr>
                      <w:color w:val="auto"/>
                      <w:kern w:val="0"/>
                      <w:szCs w:val="21"/>
                    </w:rPr>
                  </w:pPr>
                  <w:r>
                    <w:rPr>
                      <w:color w:val="auto"/>
                      <w:kern w:val="0"/>
                      <w:szCs w:val="21"/>
                    </w:rPr>
                    <w:t>符合</w:t>
                  </w:r>
                </w:p>
              </w:tc>
            </w:tr>
          </w:tbl>
          <w:p>
            <w:pPr>
              <w:widowControl/>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通过分析可知，本项</w:t>
            </w:r>
            <w:r>
              <w:rPr>
                <w:rFonts w:hint="eastAsia" w:ascii="Times New Roman" w:hAnsi="Times New Roman" w:eastAsia="宋体" w:cs="Times New Roman"/>
                <w:color w:val="auto"/>
                <w:sz w:val="24"/>
                <w:lang w:val="en-US" w:eastAsia="zh-CN"/>
              </w:rPr>
              <w:t>目</w:t>
            </w:r>
            <w:r>
              <w:rPr>
                <w:rFonts w:hint="eastAsia" w:ascii="Times New Roman" w:hAnsi="Times New Roman" w:eastAsia="宋体" w:cs="Times New Roman"/>
                <w:color w:val="auto"/>
                <w:sz w:val="24"/>
              </w:rPr>
              <w:t>不涉及</w:t>
            </w:r>
            <w:r>
              <w:rPr>
                <w:rFonts w:hint="eastAsia" w:ascii="Times New Roman" w:hAnsi="Times New Roman" w:eastAsia="宋体" w:cs="Times New Roman"/>
                <w:color w:val="auto"/>
                <w:sz w:val="24"/>
                <w:lang w:eastAsia="zh-CN"/>
              </w:rPr>
              <w:t>遂宁</w:t>
            </w:r>
            <w:r>
              <w:rPr>
                <w:rFonts w:hint="eastAsia" w:ascii="Times New Roman" w:hAnsi="Times New Roman" w:eastAsia="宋体" w:cs="Times New Roman"/>
                <w:color w:val="auto"/>
                <w:sz w:val="24"/>
              </w:rPr>
              <w:t>市生态保护红线，</w:t>
            </w:r>
            <w:r>
              <w:rPr>
                <w:rFonts w:hint="default" w:ascii="Times New Roman" w:hAnsi="Times New Roman" w:eastAsia="宋体" w:cs="Times New Roman"/>
                <w:color w:val="auto"/>
                <w:sz w:val="24"/>
                <w:lang w:val="en-US" w:eastAsia="zh-CN"/>
              </w:rPr>
              <w:t>本项目所在地涉及</w:t>
            </w:r>
            <w:r>
              <w:rPr>
                <w:rFonts w:hint="eastAsia" w:ascii="Times New Roman" w:hAnsi="Times New Roman" w:eastAsia="宋体" w:cs="Times New Roman"/>
                <w:color w:val="auto"/>
                <w:sz w:val="24"/>
                <w:lang w:val="en-US" w:eastAsia="zh-CN"/>
              </w:rPr>
              <w:t>四川蓬溪经济开发区（金桥片区）</w:t>
            </w:r>
            <w:r>
              <w:rPr>
                <w:rFonts w:hint="default" w:ascii="Times New Roman" w:hAnsi="Times New Roman" w:eastAsia="宋体" w:cs="Times New Roman"/>
                <w:color w:val="auto"/>
                <w:sz w:val="24"/>
                <w:lang w:val="en-US" w:eastAsia="zh-CN"/>
              </w:rPr>
              <w:t>重点管控单元</w:t>
            </w:r>
            <w:r>
              <w:rPr>
                <w:rFonts w:hint="eastAsia" w:ascii="Times New Roman" w:hAnsi="Times New Roman" w:eastAsia="宋体" w:cs="Times New Roman"/>
                <w:color w:val="auto"/>
                <w:sz w:val="24"/>
              </w:rPr>
              <w:t>，本项目的建设符合</w:t>
            </w:r>
            <w:r>
              <w:rPr>
                <w:rFonts w:hint="eastAsia" w:ascii="Times New Roman" w:hAnsi="Times New Roman" w:eastAsia="宋体" w:cs="Times New Roman"/>
                <w:color w:val="auto"/>
                <w:sz w:val="24"/>
                <w:lang w:val="en-US" w:eastAsia="zh-CN"/>
              </w:rPr>
              <w:t>四川蓬溪经济开发区（金桥片区）</w:t>
            </w:r>
            <w:r>
              <w:rPr>
                <w:rFonts w:hint="default" w:ascii="Times New Roman" w:hAnsi="Times New Roman" w:eastAsia="宋体" w:cs="Times New Roman"/>
                <w:color w:val="auto"/>
                <w:sz w:val="24"/>
                <w:lang w:val="en-US" w:eastAsia="zh-CN"/>
              </w:rPr>
              <w:t>重点管控单元</w:t>
            </w:r>
            <w:r>
              <w:rPr>
                <w:rFonts w:hint="eastAsia" w:ascii="Times New Roman" w:hAnsi="Times New Roman" w:eastAsia="宋体" w:cs="Times New Roman"/>
                <w:color w:val="auto"/>
                <w:sz w:val="24"/>
              </w:rPr>
              <w:t>普适性要求，符合所在单元的单元</w:t>
            </w:r>
            <w:r>
              <w:rPr>
                <w:rFonts w:hint="eastAsia" w:ascii="Times New Roman" w:hAnsi="Times New Roman" w:eastAsia="宋体" w:cs="Times New Roman"/>
                <w:color w:val="auto"/>
                <w:sz w:val="24"/>
                <w:lang w:val="en-US" w:eastAsia="zh-CN"/>
              </w:rPr>
              <w:t>特性</w:t>
            </w:r>
            <w:r>
              <w:rPr>
                <w:rFonts w:hint="eastAsia" w:ascii="Times New Roman" w:hAnsi="Times New Roman" w:eastAsia="宋体" w:cs="Times New Roman"/>
                <w:color w:val="auto"/>
                <w:sz w:val="24"/>
              </w:rPr>
              <w:t>管控要求。</w:t>
            </w:r>
          </w:p>
          <w:p>
            <w:pPr>
              <w:spacing w:line="360" w:lineRule="auto"/>
              <w:ind w:firstLine="482" w:firstLineChars="200"/>
              <w:rPr>
                <w:b/>
                <w:color w:val="auto"/>
                <w:sz w:val="24"/>
                <w:szCs w:val="24"/>
              </w:rPr>
            </w:pPr>
            <w:r>
              <w:rPr>
                <w:rFonts w:hint="eastAsia"/>
                <w:b/>
                <w:color w:val="auto"/>
                <w:sz w:val="24"/>
                <w:szCs w:val="24"/>
                <w:lang w:val="en-US" w:eastAsia="zh-CN"/>
              </w:rPr>
              <w:t>5</w:t>
            </w:r>
            <w:r>
              <w:rPr>
                <w:b/>
                <w:color w:val="auto"/>
                <w:sz w:val="24"/>
                <w:szCs w:val="24"/>
              </w:rPr>
              <w:t>、本项目</w:t>
            </w:r>
            <w:r>
              <w:rPr>
                <w:rFonts w:ascii="Times New Roman" w:hAnsi="Times New Roman"/>
                <w:b/>
                <w:color w:val="auto"/>
                <w:sz w:val="24"/>
                <w:szCs w:val="24"/>
              </w:rPr>
              <w:t>与污染防治相关规划及文件的符合性分析</w:t>
            </w:r>
          </w:p>
          <w:p>
            <w:pPr>
              <w:widowControl/>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bCs/>
                <w:color w:val="auto"/>
                <w:sz w:val="24"/>
                <w:szCs w:val="24"/>
              </w:rPr>
              <w:t>本项目与</w:t>
            </w:r>
            <w:r>
              <w:rPr>
                <w:rFonts w:hint="eastAsia" w:ascii="Times New Roman" w:hAnsi="Times New Roman"/>
                <w:bCs/>
                <w:color w:val="auto"/>
                <w:sz w:val="24"/>
                <w:szCs w:val="24"/>
              </w:rPr>
              <w:t>污染防治相关规划及文件的符合性分析</w:t>
            </w:r>
            <w:r>
              <w:rPr>
                <w:rFonts w:ascii="Times New Roman" w:hAnsi="Times New Roman"/>
                <w:bCs/>
                <w:color w:val="auto"/>
                <w:sz w:val="24"/>
                <w:szCs w:val="24"/>
              </w:rPr>
              <w:t>如下</w:t>
            </w:r>
            <w:r>
              <w:rPr>
                <w:rFonts w:hint="eastAsia" w:ascii="Times New Roman" w:hAnsi="Times New Roman" w:eastAsia="宋体" w:cs="Times New Roman"/>
                <w:color w:val="auto"/>
                <w:sz w:val="24"/>
                <w:szCs w:val="24"/>
                <w:lang w:eastAsia="zh-CN"/>
              </w:rPr>
              <w:t>：</w:t>
            </w:r>
          </w:p>
          <w:p>
            <w:pPr>
              <w:widowControl/>
              <w:spacing w:line="360" w:lineRule="auto"/>
              <w:jc w:val="center"/>
              <w:rPr>
                <w:b/>
                <w:color w:val="auto"/>
                <w:szCs w:val="21"/>
              </w:rPr>
            </w:pPr>
            <w:r>
              <w:rPr>
                <w:b/>
                <w:color w:val="auto"/>
                <w:kern w:val="0"/>
                <w:szCs w:val="21"/>
              </w:rPr>
              <w:t>表1-</w:t>
            </w:r>
            <w:r>
              <w:rPr>
                <w:rFonts w:hint="eastAsia"/>
                <w:b/>
                <w:color w:val="auto"/>
                <w:kern w:val="0"/>
                <w:szCs w:val="21"/>
                <w:lang w:val="en-US" w:eastAsia="zh-CN"/>
              </w:rPr>
              <w:t>7</w:t>
            </w:r>
            <w:r>
              <w:rPr>
                <w:b/>
                <w:color w:val="auto"/>
                <w:kern w:val="0"/>
                <w:szCs w:val="21"/>
              </w:rPr>
              <w:t xml:space="preserve"> </w:t>
            </w:r>
            <w:r>
              <w:rPr>
                <w:rFonts w:ascii="Times New Roman" w:hAnsi="Times New Roman"/>
                <w:b/>
                <w:color w:val="auto"/>
                <w:sz w:val="21"/>
                <w:szCs w:val="21"/>
              </w:rPr>
              <w:t>与污染防治相关规划及文件</w:t>
            </w:r>
            <w:r>
              <w:rPr>
                <w:rFonts w:ascii="宋体" w:hAnsi="宋体"/>
                <w:b/>
                <w:color w:val="auto"/>
              </w:rPr>
              <w:t>符合性</w:t>
            </w:r>
          </w:p>
          <w:tbl>
            <w:tblPr>
              <w:tblStyle w:val="36"/>
              <w:tblW w:w="7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3219"/>
              <w:gridCol w:w="2311"/>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14" w:type="dxa"/>
                  <w:noWrap w:val="0"/>
                  <w:vAlign w:val="center"/>
                </w:tcPr>
                <w:p>
                  <w:pPr>
                    <w:pStyle w:val="11"/>
                    <w:adjustRightInd w:val="0"/>
                    <w:spacing w:before="0" w:after="0"/>
                    <w:ind w:right="0"/>
                    <w:jc w:val="center"/>
                    <w:textAlignment w:val="baseline"/>
                    <w:rPr>
                      <w:b/>
                      <w:color w:val="auto"/>
                      <w:szCs w:val="21"/>
                    </w:rPr>
                  </w:pPr>
                  <w:r>
                    <w:rPr>
                      <w:rFonts w:ascii="宋体" w:hAnsi="宋体"/>
                      <w:b/>
                      <w:bCs/>
                      <w:color w:val="auto"/>
                      <w:sz w:val="21"/>
                      <w:szCs w:val="21"/>
                    </w:rPr>
                    <w:t>污染防治规划文件</w:t>
                  </w:r>
                </w:p>
              </w:tc>
              <w:tc>
                <w:tcPr>
                  <w:tcW w:w="3219" w:type="dxa"/>
                  <w:noWrap w:val="0"/>
                  <w:vAlign w:val="center"/>
                </w:tcPr>
                <w:p>
                  <w:pPr>
                    <w:pStyle w:val="11"/>
                    <w:adjustRightInd w:val="0"/>
                    <w:spacing w:before="0" w:after="0"/>
                    <w:ind w:right="0"/>
                    <w:jc w:val="center"/>
                    <w:textAlignment w:val="baseline"/>
                    <w:rPr>
                      <w:b/>
                      <w:color w:val="auto"/>
                      <w:szCs w:val="21"/>
                    </w:rPr>
                  </w:pPr>
                  <w:r>
                    <w:rPr>
                      <w:rFonts w:ascii="宋体" w:hAnsi="宋体"/>
                      <w:b/>
                      <w:bCs/>
                      <w:color w:val="auto"/>
                      <w:sz w:val="21"/>
                      <w:szCs w:val="21"/>
                    </w:rPr>
                    <w:t>规划要求</w:t>
                  </w:r>
                </w:p>
              </w:tc>
              <w:tc>
                <w:tcPr>
                  <w:tcW w:w="2311" w:type="dxa"/>
                  <w:noWrap w:val="0"/>
                  <w:vAlign w:val="center"/>
                </w:tcPr>
                <w:p>
                  <w:pPr>
                    <w:pStyle w:val="11"/>
                    <w:adjustRightInd w:val="0"/>
                    <w:spacing w:before="0" w:after="0"/>
                    <w:ind w:right="0"/>
                    <w:jc w:val="center"/>
                    <w:textAlignment w:val="baseline"/>
                    <w:rPr>
                      <w:b/>
                      <w:color w:val="auto"/>
                      <w:szCs w:val="21"/>
                    </w:rPr>
                  </w:pPr>
                  <w:r>
                    <w:rPr>
                      <w:rFonts w:ascii="宋体" w:hAnsi="宋体"/>
                      <w:b/>
                      <w:bCs/>
                      <w:color w:val="auto"/>
                      <w:sz w:val="21"/>
                      <w:szCs w:val="21"/>
                    </w:rPr>
                    <w:t>本项目情况</w:t>
                  </w:r>
                </w:p>
              </w:tc>
              <w:tc>
                <w:tcPr>
                  <w:tcW w:w="663" w:type="dxa"/>
                  <w:noWrap w:val="0"/>
                  <w:vAlign w:val="center"/>
                </w:tcPr>
                <w:p>
                  <w:pPr>
                    <w:pStyle w:val="11"/>
                    <w:adjustRightInd w:val="0"/>
                    <w:spacing w:before="0" w:after="0"/>
                    <w:ind w:right="0"/>
                    <w:jc w:val="center"/>
                    <w:textAlignment w:val="baseline"/>
                    <w:rPr>
                      <w:b/>
                      <w:color w:val="auto"/>
                      <w:szCs w:val="21"/>
                    </w:rPr>
                  </w:pPr>
                  <w:r>
                    <w:rPr>
                      <w:rFonts w:ascii="宋体" w:hAnsi="宋体"/>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noWrap w:val="0"/>
                  <w:vAlign w:val="center"/>
                </w:tcPr>
                <w:p>
                  <w:pPr>
                    <w:pStyle w:val="16"/>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0"/>
                      <w:sz w:val="21"/>
                      <w:szCs w:val="21"/>
                      <w:lang w:val="en-US" w:eastAsia="zh-CN"/>
                    </w:rPr>
                    <w:t>《中华人民</w:t>
                  </w:r>
                  <w:r>
                    <w:rPr>
                      <w:rFonts w:hint="eastAsia" w:ascii="Times New Roman" w:hAnsi="Times New Roman" w:cs="Times New Roman"/>
                      <w:color w:val="auto"/>
                      <w:spacing w:val="0"/>
                      <w:sz w:val="21"/>
                      <w:szCs w:val="21"/>
                      <w:lang w:val="en-US" w:eastAsia="zh-CN"/>
                    </w:rPr>
                    <w:t>共</w:t>
                  </w:r>
                  <w:r>
                    <w:rPr>
                      <w:rFonts w:hint="default" w:ascii="Times New Roman" w:hAnsi="Times New Roman" w:eastAsia="宋体" w:cs="Times New Roman"/>
                      <w:color w:val="auto"/>
                      <w:spacing w:val="0"/>
                      <w:sz w:val="21"/>
                      <w:szCs w:val="21"/>
                      <w:lang w:val="en-US" w:eastAsia="zh-CN"/>
                    </w:rPr>
                    <w:t>和国大气污染防治法》</w:t>
                  </w:r>
                </w:p>
              </w:tc>
              <w:tc>
                <w:tcPr>
                  <w:tcW w:w="3219" w:type="dxa"/>
                  <w:noWrap w:val="0"/>
                  <w:vAlign w:val="center"/>
                </w:tcPr>
                <w:p>
                  <w:pPr>
                    <w:pStyle w:val="16"/>
                    <w:jc w:val="both"/>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pacing w:val="0"/>
                      <w:sz w:val="21"/>
                      <w:szCs w:val="21"/>
                    </w:rPr>
                    <w:t>第二条 防治大气污染，应当加强对燃煤、工业、机动车船、扬尘、农业等大气污染的综合防治，推行区域大气污染</w:t>
                  </w:r>
                  <w:r>
                    <w:rPr>
                      <w:rFonts w:hint="default" w:ascii="Times New Roman" w:hAnsi="Times New Roman" w:cs="Times New Roman"/>
                      <w:color w:val="auto"/>
                      <w:spacing w:val="0"/>
                      <w:kern w:val="0"/>
                      <w:sz w:val="21"/>
                      <w:szCs w:val="21"/>
                      <w:lang w:bidi="ar"/>
                    </w:rPr>
                    <w:t>联</w:t>
                  </w:r>
                  <w:r>
                    <w:rPr>
                      <w:rFonts w:hint="default" w:ascii="Times New Roman" w:hAnsi="Times New Roman" w:cs="Times New Roman"/>
                      <w:color w:val="auto"/>
                      <w:spacing w:val="0"/>
                      <w:sz w:val="21"/>
                      <w:szCs w:val="21"/>
                    </w:rPr>
                    <w:t>合防治，对颗粒物、二氧化硫、氮氧化物、挥发性有机物、氨等大气污染物和温室气体实施协同控制</w:t>
                  </w:r>
                </w:p>
              </w:tc>
              <w:tc>
                <w:tcPr>
                  <w:tcW w:w="2311" w:type="dxa"/>
                  <w:noWrap w:val="0"/>
                  <w:vAlign w:val="center"/>
                </w:tcPr>
                <w:p>
                  <w:pPr>
                    <w:pStyle w:val="16"/>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eastAsia="zh-CN"/>
                    </w:rPr>
                    <w:t>本项目设置集气罩</w:t>
                  </w:r>
                  <w:r>
                    <w:rPr>
                      <w:rFonts w:hint="eastAsia" w:ascii="Times New Roman" w:hAnsi="Times New Roman" w:cs="Times New Roman"/>
                      <w:color w:val="auto"/>
                      <w:sz w:val="21"/>
                      <w:szCs w:val="21"/>
                      <w:highlight w:val="none"/>
                      <w:lang w:val="en-US" w:eastAsia="zh-CN"/>
                    </w:rPr>
                    <w:t>及管道</w:t>
                  </w:r>
                  <w:r>
                    <w:rPr>
                      <w:rFonts w:hint="default" w:ascii="Times New Roman" w:hAnsi="Times New Roman" w:cs="Times New Roman"/>
                      <w:color w:val="auto"/>
                      <w:sz w:val="21"/>
                      <w:szCs w:val="21"/>
                      <w:highlight w:val="none"/>
                      <w:lang w:eastAsia="zh-CN"/>
                    </w:rPr>
                    <w:t>收集</w:t>
                  </w:r>
                  <w:r>
                    <w:rPr>
                      <w:rFonts w:hint="eastAsia" w:ascii="Times New Roman" w:hAnsi="Times New Roman" w:cs="Times New Roman"/>
                      <w:color w:val="auto"/>
                      <w:sz w:val="21"/>
                      <w:szCs w:val="21"/>
                      <w:highlight w:val="none"/>
                      <w:lang w:val="en-US" w:eastAsia="zh-CN"/>
                    </w:rPr>
                    <w:t>废气</w:t>
                  </w:r>
                  <w:r>
                    <w:rPr>
                      <w:rFonts w:hint="default"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废气主要污染物为</w:t>
                  </w:r>
                  <w:r>
                    <w:rPr>
                      <w:rFonts w:hint="default" w:ascii="Times New Roman" w:hAnsi="Times New Roman" w:cs="Times New Roman"/>
                      <w:color w:val="auto"/>
                      <w:spacing w:val="0"/>
                      <w:sz w:val="21"/>
                      <w:szCs w:val="21"/>
                    </w:rPr>
                    <w:t>颗粒物、二氧化硫、氮氧化物</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经</w:t>
                  </w:r>
                  <w:r>
                    <w:rPr>
                      <w:rFonts w:hint="eastAsia" w:ascii="Times New Roman" w:hAnsi="Times New Roman" w:cs="Times New Roman"/>
                      <w:color w:val="auto"/>
                      <w:sz w:val="21"/>
                      <w:szCs w:val="21"/>
                      <w:highlight w:val="none"/>
                      <w:lang w:val="en-US" w:eastAsia="zh-CN"/>
                    </w:rPr>
                    <w:t>2套“</w:t>
                  </w:r>
                  <w:r>
                    <w:rPr>
                      <w:rFonts w:hint="eastAsia" w:ascii="Times New Roman" w:hAnsi="Times New Roman" w:eastAsia="宋体" w:cs="Times New Roman"/>
                      <w:b w:val="0"/>
                      <w:bCs/>
                      <w:color w:val="auto"/>
                      <w:kern w:val="2"/>
                      <w:sz w:val="21"/>
                      <w:szCs w:val="21"/>
                      <w:lang w:val="en-US" w:eastAsia="zh-CN" w:bidi="ar-SA"/>
                    </w:rPr>
                    <w:t>布袋除尘器+碱喷淋</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处理后</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通过</w:t>
                  </w:r>
                  <w:r>
                    <w:rPr>
                      <w:rFonts w:hint="eastAsia" w:ascii="Times New Roman" w:hAnsi="Times New Roman" w:cs="Times New Roman"/>
                      <w:color w:val="auto"/>
                      <w:sz w:val="21"/>
                      <w:szCs w:val="21"/>
                      <w:highlight w:val="none"/>
                      <w:lang w:val="en-US" w:eastAsia="zh-CN"/>
                    </w:rPr>
                    <w:t>2根</w:t>
                  </w:r>
                  <w:r>
                    <w:rPr>
                      <w:rFonts w:hint="default" w:ascii="Times New Roman" w:hAnsi="Times New Roman" w:cs="Times New Roman"/>
                      <w:color w:val="auto"/>
                      <w:sz w:val="21"/>
                      <w:szCs w:val="21"/>
                      <w:highlight w:val="none"/>
                      <w:lang w:val="en-US" w:eastAsia="zh-CN"/>
                    </w:rPr>
                    <w:t>15m高排气筒</w:t>
                  </w:r>
                  <w:r>
                    <w:rPr>
                      <w:rFonts w:hint="eastAsia" w:ascii="Times New Roman" w:hAnsi="Times New Roman" w:cs="Times New Roman"/>
                      <w:color w:val="auto"/>
                      <w:sz w:val="21"/>
                      <w:szCs w:val="21"/>
                      <w:highlight w:val="none"/>
                      <w:lang w:val="en-US" w:eastAsia="zh-CN"/>
                    </w:rPr>
                    <w:t>（DA001、DA002）达标</w:t>
                  </w:r>
                  <w:r>
                    <w:rPr>
                      <w:rFonts w:hint="default" w:ascii="Times New Roman" w:hAnsi="Times New Roman" w:cs="Times New Roman"/>
                      <w:color w:val="auto"/>
                      <w:sz w:val="21"/>
                      <w:szCs w:val="21"/>
                      <w:highlight w:val="none"/>
                      <w:lang w:val="en-US" w:eastAsia="zh-CN"/>
                    </w:rPr>
                    <w:t>排放</w:t>
                  </w:r>
                </w:p>
              </w:tc>
              <w:tc>
                <w:tcPr>
                  <w:tcW w:w="663" w:type="dxa"/>
                  <w:noWrap w:val="0"/>
                  <w:vAlign w:val="center"/>
                </w:tcPr>
                <w:p>
                  <w:pPr>
                    <w:pStyle w:val="16"/>
                    <w:jc w:val="center"/>
                    <w:rPr>
                      <w:rFonts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noWrap w:val="0"/>
                  <w:vAlign w:val="center"/>
                </w:tcPr>
                <w:p>
                  <w:pPr>
                    <w:pageBreakBefore w:val="0"/>
                    <w:kinsoku/>
                    <w:wordWrap/>
                    <w:overflowPunct/>
                    <w:topLinePunct w:val="0"/>
                    <w:bidi w:val="0"/>
                    <w:adjustRightInd/>
                    <w:snapToGrid/>
                    <w:spacing w:line="240" w:lineRule="auto"/>
                    <w:jc w:val="center"/>
                    <w:rPr>
                      <w:color w:val="auto"/>
                      <w:kern w:val="0"/>
                      <w:sz w:val="21"/>
                      <w:szCs w:val="21"/>
                      <w:u w:val="none" w:color="000000"/>
                    </w:rPr>
                  </w:pPr>
                  <w:r>
                    <w:rPr>
                      <w:rFonts w:hint="default" w:ascii="Times New Roman" w:hAnsi="Times New Roman" w:cs="Times New Roman"/>
                      <w:color w:val="auto"/>
                      <w:sz w:val="21"/>
                      <w:szCs w:val="21"/>
                      <w:lang w:val="en-US" w:eastAsia="zh-CN"/>
                    </w:rPr>
                    <w:t>《四川省“十</w:t>
                  </w:r>
                  <w:r>
                    <w:rPr>
                      <w:rFonts w:hint="eastAsia" w:cs="Times New Roman"/>
                      <w:color w:val="auto"/>
                      <w:sz w:val="21"/>
                      <w:szCs w:val="21"/>
                      <w:lang w:val="en-US" w:eastAsia="zh-CN"/>
                    </w:rPr>
                    <w:t>四</w:t>
                  </w:r>
                  <w:r>
                    <w:rPr>
                      <w:rFonts w:hint="default" w:ascii="Times New Roman" w:hAnsi="Times New Roman" w:cs="Times New Roman"/>
                      <w:color w:val="auto"/>
                      <w:sz w:val="21"/>
                      <w:szCs w:val="21"/>
                      <w:lang w:val="en-US" w:eastAsia="zh-CN"/>
                    </w:rPr>
                    <w:t>五”</w:t>
                  </w:r>
                  <w:r>
                    <w:rPr>
                      <w:rFonts w:hint="eastAsia" w:cs="Times New Roman"/>
                      <w:color w:val="auto"/>
                      <w:sz w:val="21"/>
                      <w:szCs w:val="21"/>
                      <w:lang w:val="en-US" w:eastAsia="zh-CN"/>
                    </w:rPr>
                    <w:t>生态</w:t>
                  </w:r>
                  <w:r>
                    <w:rPr>
                      <w:rFonts w:hint="default" w:ascii="Times New Roman" w:hAnsi="Times New Roman" w:cs="Times New Roman"/>
                      <w:color w:val="auto"/>
                      <w:sz w:val="21"/>
                      <w:szCs w:val="21"/>
                      <w:lang w:val="en-US" w:eastAsia="zh-CN"/>
                    </w:rPr>
                    <w:t>环境保护规划》（川府发</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lang w:val="en-US" w:eastAsia="zh-CN"/>
                    </w:rPr>
                    <w:t>20</w:t>
                  </w:r>
                  <w:r>
                    <w:rPr>
                      <w:rFonts w:hint="eastAsia" w:cs="Times New Roman"/>
                      <w:color w:val="auto"/>
                      <w:sz w:val="21"/>
                      <w:szCs w:val="21"/>
                      <w:lang w:val="en-US" w:eastAsia="zh-CN"/>
                    </w:rPr>
                    <w:t>22</w:t>
                  </w:r>
                  <w:r>
                    <w:rPr>
                      <w:rFonts w:hint="eastAsia" w:cs="Times New Roman"/>
                      <w:color w:val="auto"/>
                      <w:sz w:val="21"/>
                      <w:szCs w:val="21"/>
                      <w:highlight w:val="none"/>
                      <w:lang w:val="en-US" w:eastAsia="zh-CN"/>
                    </w:rPr>
                    <w:t>]</w:t>
                  </w: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号）</w:t>
                  </w:r>
                </w:p>
              </w:tc>
              <w:tc>
                <w:tcPr>
                  <w:tcW w:w="3219" w:type="dxa"/>
                  <w:noWrap w:val="0"/>
                  <w:vAlign w:val="center"/>
                </w:tcPr>
                <w:p>
                  <w:pPr>
                    <w:pageBreakBefore w:val="0"/>
                    <w:kinsoku/>
                    <w:wordWrap/>
                    <w:overflowPunct/>
                    <w:topLinePunct w:val="0"/>
                    <w:bidi w:val="0"/>
                    <w:adjustRightInd/>
                    <w:snapToGrid/>
                    <w:spacing w:line="240" w:lineRule="auto"/>
                    <w:jc w:val="both"/>
                    <w:rPr>
                      <w:color w:val="auto"/>
                      <w:sz w:val="21"/>
                      <w:szCs w:val="21"/>
                    </w:rPr>
                  </w:pPr>
                  <w:r>
                    <w:rPr>
                      <w:rFonts w:hint="eastAsia" w:ascii="Times New Roman" w:hAnsi="Times New Roman" w:eastAsia="宋体" w:cs="Times New Roman"/>
                      <w:color w:val="auto"/>
                      <w:kern w:val="2"/>
                      <w:sz w:val="21"/>
                      <w:szCs w:val="21"/>
                      <w:lang w:val="en-US" w:eastAsia="zh-CN" w:bidi="ar-SA"/>
                    </w:rPr>
                    <w:t>深化工业源污染防治</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强化重点行业污染治理。深化工业炉窑大气污染综合治理，强化治理设施运行监管，确保按照超低排放限值及相关标准要求运行，减少非正常工况排放。控制挥发性有机物</w:t>
                  </w:r>
                  <w:r>
                    <w:rPr>
                      <w:rFonts w:hint="eastAsia"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lang w:val="en-US" w:eastAsia="zh-CN" w:bidi="ar-SA"/>
                    </w:rPr>
                    <w:t>VOCs</w:t>
                  </w:r>
                  <w:r>
                    <w:rPr>
                      <w:rFonts w:hint="eastAsia"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lang w:val="en-US" w:eastAsia="zh-CN" w:bidi="ar-SA"/>
                    </w:rPr>
                    <w:t>排放</w:t>
                  </w:r>
                </w:p>
              </w:tc>
              <w:tc>
                <w:tcPr>
                  <w:tcW w:w="231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宋体" w:cs="Times New Roman"/>
                      <w:color w:val="auto"/>
                      <w:kern w:val="0"/>
                      <w:sz w:val="21"/>
                      <w:szCs w:val="21"/>
                      <w:lang w:val="en-US" w:eastAsia="zh-CN" w:bidi="ar"/>
                    </w:rPr>
                  </w:pPr>
                  <w:r>
                    <w:rPr>
                      <w:rFonts w:hint="eastAsia" w:ascii="宋体" w:hAnsi="宋体" w:eastAsia="宋体" w:cs="宋体"/>
                      <w:color w:val="auto"/>
                      <w:kern w:val="0"/>
                      <w:sz w:val="21"/>
                      <w:szCs w:val="21"/>
                      <w:lang w:val="en-US" w:eastAsia="zh-CN" w:bidi="ar"/>
                    </w:rPr>
                    <w:t>本项目位于遂宁</w:t>
                  </w:r>
                  <w:r>
                    <w:rPr>
                      <w:rFonts w:hint="eastAsia" w:ascii="宋体" w:hAnsi="宋体" w:eastAsia="宋体" w:cs="宋体"/>
                      <w:color w:val="auto"/>
                      <w:kern w:val="0"/>
                      <w:sz w:val="21"/>
                      <w:szCs w:val="21"/>
                      <w:lang w:bidi="ar"/>
                    </w:rPr>
                    <w:t>成都平原经济区</w:t>
                  </w:r>
                  <w:r>
                    <w:rPr>
                      <w:rFonts w:hint="eastAsia" w:ascii="宋体" w:hAnsi="宋体" w:eastAsia="宋体" w:cs="宋体"/>
                      <w:color w:val="auto"/>
                      <w:kern w:val="0"/>
                      <w:sz w:val="21"/>
                      <w:szCs w:val="21"/>
                      <w:lang w:val="en-US" w:eastAsia="zh-CN" w:bidi="ar"/>
                    </w:rPr>
                    <w:t>，涉及膨化炉，根据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r>
                    <w:rPr>
                      <w:rFonts w:hint="eastAsia"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产生的</w:t>
                  </w:r>
                  <w:r>
                    <w:rPr>
                      <w:rFonts w:hint="default" w:ascii="Times New Roman" w:hAnsi="Times New Roman" w:eastAsia="宋体" w:cs="Times New Roman"/>
                      <w:color w:val="auto"/>
                      <w:kern w:val="0"/>
                      <w:sz w:val="21"/>
                      <w:szCs w:val="21"/>
                      <w:lang w:val="en-US" w:eastAsia="zh-CN" w:bidi="ar"/>
                    </w:rPr>
                    <w:t>废气有组织排放执行《工业炉窑大气污染物排放</w:t>
                  </w:r>
                </w:p>
                <w:p>
                  <w:pPr>
                    <w:pStyle w:val="156"/>
                    <w:ind w:firstLine="0" w:firstLineChars="0"/>
                    <w:jc w:val="center"/>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标准》（GB9078-1996）表2中“非金属加热炉”二级标准</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《四川省印发工业窑炉大气污染综合治理实施清单》中的标准限值</w:t>
                  </w:r>
                  <w:r>
                    <w:rPr>
                      <w:rFonts w:hint="eastAsia" w:ascii="Times New Roman" w:hAnsi="Times New Roman" w:eastAsia="宋体" w:cs="Times New Roman"/>
                      <w:color w:val="auto"/>
                      <w:kern w:val="0"/>
                      <w:sz w:val="21"/>
                      <w:szCs w:val="21"/>
                      <w:lang w:val="en-US" w:eastAsia="zh-CN" w:bidi="ar"/>
                    </w:rPr>
                    <w:t>及</w:t>
                  </w:r>
                  <w:r>
                    <w:rPr>
                      <w:rFonts w:hint="default" w:ascii="Times New Roman" w:hAnsi="Times New Roman" w:eastAsia="宋体" w:cs="Times New Roman"/>
                      <w:color w:val="auto"/>
                      <w:kern w:val="0"/>
                      <w:sz w:val="21"/>
                      <w:szCs w:val="21"/>
                      <w:lang w:val="en-US" w:eastAsia="zh-CN" w:bidi="ar"/>
                    </w:rPr>
                    <w:t>《大气污染物综合排放标准》（GB16297-1996）二级排放标准</w:t>
                  </w:r>
                </w:p>
              </w:tc>
              <w:tc>
                <w:tcPr>
                  <w:tcW w:w="663" w:type="dxa"/>
                  <w:noWrap w:val="0"/>
                  <w:vAlign w:val="center"/>
                </w:tcPr>
                <w:p>
                  <w:pPr>
                    <w:pStyle w:val="134"/>
                    <w:spacing w:line="240" w:lineRule="auto"/>
                    <w:ind w:firstLine="0"/>
                    <w:jc w:val="center"/>
                    <w:rPr>
                      <w:rFonts w:ascii="宋体" w:hAnsi="宋体"/>
                      <w:color w:val="auto"/>
                      <w:szCs w:val="21"/>
                    </w:rPr>
                  </w:pPr>
                  <w:r>
                    <w:rPr>
                      <w:rFonts w:ascii="宋体" w:hAnsi="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vMerge w:val="restart"/>
                  <w:noWrap w:val="0"/>
                  <w:vAlign w:val="center"/>
                </w:tcPr>
                <w:p>
                  <w:pPr>
                    <w:pageBreakBefore w:val="0"/>
                    <w:kinsoku/>
                    <w:wordWrap/>
                    <w:overflowPunct/>
                    <w:topLinePunct w:val="0"/>
                    <w:bidi w:val="0"/>
                    <w:adjustRightInd/>
                    <w:snapToGrid/>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pacing w:val="0"/>
                      <w:position w:val="0"/>
                    </w:rPr>
                    <w:t>四川省工业炉窑大气污染综合治理实施清单》（川环函﹝</w:t>
                  </w:r>
                  <w:r>
                    <w:rPr>
                      <w:rFonts w:hint="default" w:ascii="Times New Roman" w:hAnsi="Times New Roman" w:eastAsia="Times New Roman" w:cs="Times New Roman"/>
                      <w:color w:val="auto"/>
                      <w:spacing w:val="0"/>
                      <w:position w:val="0"/>
                    </w:rPr>
                    <w:t>2019</w:t>
                  </w:r>
                  <w:r>
                    <w:rPr>
                      <w:rFonts w:hint="default" w:ascii="Times New Roman" w:hAnsi="Times New Roman" w:cs="Times New Roman"/>
                      <w:color w:val="auto"/>
                      <w:spacing w:val="0"/>
                      <w:position w:val="0"/>
                    </w:rPr>
                    <w:t>﹞</w:t>
                  </w:r>
                  <w:r>
                    <w:rPr>
                      <w:rFonts w:hint="default" w:ascii="Times New Roman" w:hAnsi="Times New Roman" w:eastAsia="Times New Roman" w:cs="Times New Roman"/>
                      <w:color w:val="auto"/>
                      <w:spacing w:val="0"/>
                      <w:position w:val="0"/>
                    </w:rPr>
                    <w:t>1002</w:t>
                  </w:r>
                  <w:r>
                    <w:rPr>
                      <w:rFonts w:hint="default" w:ascii="Times New Roman" w:hAnsi="Times New Roman" w:cs="Times New Roman"/>
                      <w:color w:val="auto"/>
                      <w:spacing w:val="0"/>
                      <w:position w:val="0"/>
                    </w:rPr>
                    <w:t>号）</w:t>
                  </w:r>
                </w:p>
              </w:tc>
              <w:tc>
                <w:tcPr>
                  <w:tcW w:w="3219" w:type="dxa"/>
                  <w:noWrap w:val="0"/>
                  <w:vAlign w:val="center"/>
                </w:tcPr>
                <w:p>
                  <w:pPr>
                    <w:pStyle w:val="190"/>
                    <w:keepNext w:val="0"/>
                    <w:keepLines w:val="0"/>
                    <w:pageBreakBefore w:val="0"/>
                    <w:widowControl/>
                    <w:kinsoku/>
                    <w:overflowPunct/>
                    <w:topLinePunct w:val="0"/>
                    <w:bidi w:val="0"/>
                    <w:spacing w:line="240" w:lineRule="auto"/>
                    <w:ind w:left="0" w:leftChars="0" w:right="0" w:rightChars="0" w:firstLine="2"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pacing w:val="0"/>
                      <w:position w:val="0"/>
                      <w:sz w:val="21"/>
                      <w:szCs w:val="21"/>
                    </w:rPr>
                    <w:t>（一）加大产业结构调整力度。严格建设项目环境准入。</w:t>
                  </w:r>
                  <w:r>
                    <w:rPr>
                      <w:rFonts w:hint="default" w:ascii="Times New Roman" w:hAnsi="Times New Roman" w:cs="Times New Roman"/>
                      <w:b w:val="0"/>
                      <w:bCs w:val="0"/>
                      <w:color w:val="auto"/>
                      <w:spacing w:val="0"/>
                      <w:position w:val="0"/>
                      <w:sz w:val="21"/>
                      <w:szCs w:val="21"/>
                    </w:rPr>
                    <w:t>新建涉工业炉窑的建设项目，原则上要</w:t>
                  </w:r>
                  <w:r>
                    <w:rPr>
                      <w:rFonts w:hint="eastAsia" w:ascii="Times New Roman" w:hAnsi="Times New Roman" w:cs="Times New Roman"/>
                      <w:b w:val="0"/>
                      <w:bCs w:val="0"/>
                      <w:color w:val="auto"/>
                      <w:spacing w:val="0"/>
                      <w:position w:val="0"/>
                      <w:sz w:val="21"/>
                      <w:szCs w:val="21"/>
                      <w:lang w:val="en-US" w:eastAsia="zh-CN"/>
                    </w:rPr>
                    <w:t>纳</w:t>
                  </w:r>
                  <w:r>
                    <w:rPr>
                      <w:rFonts w:hint="default" w:ascii="Times New Roman" w:hAnsi="Times New Roman" w:cs="Times New Roman"/>
                      <w:b w:val="0"/>
                      <w:bCs w:val="0"/>
                      <w:color w:val="auto"/>
                      <w:spacing w:val="0"/>
                      <w:position w:val="0"/>
                      <w:sz w:val="21"/>
                      <w:szCs w:val="21"/>
                    </w:rPr>
                    <w:t>入工业园区，配套建设高效环保治理设施。</w:t>
                  </w:r>
                </w:p>
              </w:tc>
              <w:tc>
                <w:tcPr>
                  <w:tcW w:w="2311" w:type="dxa"/>
                  <w:noWrap w:val="0"/>
                  <w:vAlign w:val="center"/>
                </w:tcPr>
                <w:p>
                  <w:pPr>
                    <w:pStyle w:val="156"/>
                    <w:ind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pacing w:val="0"/>
                      <w:position w:val="0"/>
                      <w:sz w:val="21"/>
                      <w:szCs w:val="21"/>
                    </w:rPr>
                    <w:t>本项目位于</w:t>
                  </w:r>
                  <w:r>
                    <w:rPr>
                      <w:rFonts w:hint="eastAsia" w:ascii="宋体" w:hAnsi="宋体" w:eastAsia="宋体" w:cs="宋体"/>
                      <w:color w:val="auto"/>
                      <w:kern w:val="0"/>
                      <w:sz w:val="21"/>
                      <w:szCs w:val="21"/>
                      <w:lang w:val="en-US" w:eastAsia="zh-CN" w:bidi="ar"/>
                    </w:rPr>
                    <w:t>遂宁</w:t>
                  </w:r>
                  <w:r>
                    <w:rPr>
                      <w:rFonts w:hint="eastAsia" w:ascii="宋体" w:hAnsi="宋体" w:eastAsia="宋体" w:cs="宋体"/>
                      <w:color w:val="auto"/>
                      <w:kern w:val="0"/>
                      <w:sz w:val="21"/>
                      <w:szCs w:val="21"/>
                      <w:lang w:bidi="ar"/>
                    </w:rPr>
                    <w:t>成都平原经济区</w:t>
                  </w:r>
                  <w:r>
                    <w:rPr>
                      <w:rFonts w:hint="default" w:ascii="Times New Roman" w:hAnsi="Times New Roman" w:cs="Times New Roman"/>
                      <w:color w:val="auto"/>
                      <w:spacing w:val="0"/>
                      <w:position w:val="0"/>
                      <w:sz w:val="21"/>
                      <w:szCs w:val="21"/>
                    </w:rPr>
                    <w:t>，项目</w:t>
                  </w:r>
                  <w:r>
                    <w:rPr>
                      <w:rFonts w:hint="eastAsia" w:ascii="Times New Roman" w:hAnsi="Times New Roman" w:cs="Times New Roman"/>
                      <w:color w:val="auto"/>
                      <w:spacing w:val="0"/>
                      <w:position w:val="0"/>
                      <w:sz w:val="21"/>
                      <w:szCs w:val="21"/>
                      <w:lang w:val="en-US" w:eastAsia="zh-CN"/>
                    </w:rPr>
                    <w:t>涉及的膨化炉</w:t>
                  </w:r>
                  <w:r>
                    <w:rPr>
                      <w:rFonts w:hint="default" w:ascii="Times New Roman" w:hAnsi="Times New Roman" w:cs="Times New Roman"/>
                      <w:color w:val="auto"/>
                      <w:spacing w:val="0"/>
                      <w:position w:val="0"/>
                      <w:sz w:val="21"/>
                      <w:szCs w:val="21"/>
                    </w:rPr>
                    <w:t>属于工业炉窑，采用天然气供能，产生的废气</w:t>
                  </w:r>
                  <w:r>
                    <w:rPr>
                      <w:rFonts w:hint="default" w:ascii="Times New Roman" w:hAnsi="Times New Roman" w:cs="Times New Roman"/>
                      <w:color w:val="auto"/>
                      <w:sz w:val="21"/>
                      <w:szCs w:val="21"/>
                      <w:highlight w:val="none"/>
                      <w:lang w:eastAsia="zh-CN"/>
                    </w:rPr>
                    <w:t>经</w:t>
                  </w:r>
                  <w:r>
                    <w:rPr>
                      <w:rFonts w:hint="eastAsia" w:ascii="Times New Roman" w:hAnsi="Times New Roman" w:cs="Times New Roman"/>
                      <w:color w:val="auto"/>
                      <w:sz w:val="21"/>
                      <w:szCs w:val="21"/>
                      <w:highlight w:val="none"/>
                      <w:lang w:val="en-US" w:eastAsia="zh-CN"/>
                    </w:rPr>
                    <w:t>2套“</w:t>
                  </w:r>
                  <w:r>
                    <w:rPr>
                      <w:rFonts w:hint="eastAsia" w:ascii="Times New Roman" w:hAnsi="Times New Roman" w:eastAsia="宋体" w:cs="Times New Roman"/>
                      <w:b w:val="0"/>
                      <w:bCs/>
                      <w:color w:val="auto"/>
                      <w:kern w:val="2"/>
                      <w:sz w:val="21"/>
                      <w:szCs w:val="21"/>
                      <w:lang w:val="en-US" w:eastAsia="zh-CN" w:bidi="ar-SA"/>
                    </w:rPr>
                    <w:t>布袋除尘器+碱喷淋</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处理后</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通过</w:t>
                  </w:r>
                  <w:r>
                    <w:rPr>
                      <w:rFonts w:hint="eastAsia" w:ascii="Times New Roman" w:hAnsi="Times New Roman" w:cs="Times New Roman"/>
                      <w:color w:val="auto"/>
                      <w:sz w:val="21"/>
                      <w:szCs w:val="21"/>
                      <w:highlight w:val="none"/>
                      <w:lang w:val="en-US" w:eastAsia="zh-CN"/>
                    </w:rPr>
                    <w:t>2根</w:t>
                  </w:r>
                  <w:r>
                    <w:rPr>
                      <w:rFonts w:hint="default" w:ascii="Times New Roman" w:hAnsi="Times New Roman" w:cs="Times New Roman"/>
                      <w:color w:val="auto"/>
                      <w:sz w:val="21"/>
                      <w:szCs w:val="21"/>
                      <w:highlight w:val="none"/>
                      <w:lang w:val="en-US" w:eastAsia="zh-CN"/>
                    </w:rPr>
                    <w:t>15m高排气筒</w:t>
                  </w:r>
                  <w:r>
                    <w:rPr>
                      <w:rFonts w:hint="eastAsia" w:ascii="Times New Roman" w:hAnsi="Times New Roman" w:cs="Times New Roman"/>
                      <w:color w:val="auto"/>
                      <w:sz w:val="21"/>
                      <w:szCs w:val="21"/>
                      <w:highlight w:val="none"/>
                      <w:lang w:val="en-US" w:eastAsia="zh-CN"/>
                    </w:rPr>
                    <w:t>（DA001、DA002）达标</w:t>
                  </w:r>
                  <w:r>
                    <w:rPr>
                      <w:rFonts w:hint="default" w:ascii="Times New Roman" w:hAnsi="Times New Roman" w:cs="Times New Roman"/>
                      <w:color w:val="auto"/>
                      <w:sz w:val="21"/>
                      <w:szCs w:val="21"/>
                      <w:highlight w:val="none"/>
                      <w:lang w:val="en-US" w:eastAsia="zh-CN"/>
                    </w:rPr>
                    <w:t>排放</w:t>
                  </w:r>
                </w:p>
              </w:tc>
              <w:tc>
                <w:tcPr>
                  <w:tcW w:w="663" w:type="dxa"/>
                  <w:noWrap w:val="0"/>
                  <w:vAlign w:val="center"/>
                </w:tcPr>
                <w:p>
                  <w:pPr>
                    <w:pStyle w:val="134"/>
                    <w:spacing w:line="240" w:lineRule="auto"/>
                    <w:ind w:firstLine="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vMerge w:val="continue"/>
                  <w:noWrap w:val="0"/>
                  <w:vAlign w:val="center"/>
                </w:tcPr>
                <w:p>
                  <w:pPr>
                    <w:pageBreakBefore w:val="0"/>
                    <w:kinsoku/>
                    <w:wordWrap/>
                    <w:overflowPunct/>
                    <w:topLinePunct w:val="0"/>
                    <w:bidi w:val="0"/>
                    <w:adjustRightInd/>
                    <w:snapToGrid/>
                    <w:spacing w:line="240" w:lineRule="auto"/>
                    <w:jc w:val="center"/>
                    <w:rPr>
                      <w:rFonts w:hint="default" w:ascii="Times New Roman" w:hAnsi="Times New Roman" w:cs="Times New Roman"/>
                      <w:color w:val="auto"/>
                      <w:spacing w:val="0"/>
                      <w:position w:val="0"/>
                    </w:rPr>
                  </w:pPr>
                </w:p>
              </w:tc>
              <w:tc>
                <w:tcPr>
                  <w:tcW w:w="3219" w:type="dxa"/>
                  <w:noWrap w:val="0"/>
                  <w:vAlign w:val="center"/>
                </w:tcPr>
                <w:p>
                  <w:pPr>
                    <w:pStyle w:val="190"/>
                    <w:keepNext w:val="0"/>
                    <w:keepLines w:val="0"/>
                    <w:pageBreakBefore w:val="0"/>
                    <w:widowControl/>
                    <w:kinsoku/>
                    <w:overflowPunct/>
                    <w:topLinePunct w:val="0"/>
                    <w:bidi w:val="0"/>
                    <w:spacing w:line="240" w:lineRule="auto"/>
                    <w:ind w:left="0" w:right="0" w:firstLine="2"/>
                    <w:jc w:val="center"/>
                    <w:rPr>
                      <w:rFonts w:hint="default" w:ascii="Times New Roman" w:hAnsi="Times New Roman" w:cs="Times New Roman"/>
                      <w:color w:val="auto"/>
                      <w:spacing w:val="0"/>
                      <w:position w:val="0"/>
                      <w:sz w:val="21"/>
                      <w:szCs w:val="21"/>
                    </w:rPr>
                  </w:pPr>
                  <w:r>
                    <w:rPr>
                      <w:rFonts w:hint="default" w:ascii="Times New Roman" w:hAnsi="Times New Roman" w:cs="Times New Roman"/>
                      <w:color w:val="auto"/>
                      <w:spacing w:val="0"/>
                      <w:position w:val="0"/>
                      <w:sz w:val="21"/>
                      <w:szCs w:val="21"/>
                    </w:rPr>
                    <w:t>（二）实施工业炉窑污染全面治理。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铸造行业烧结、高炉工序污染排放控制按照钢铁行业相关标准要求执行；成都、德阳、绵阳、乐山、</w:t>
                  </w:r>
                  <w:r>
                    <w:rPr>
                      <w:rFonts w:hint="default" w:ascii="Times New Roman" w:hAnsi="Times New Roman" w:cs="Times New Roman"/>
                      <w:b w:val="0"/>
                      <w:bCs w:val="0"/>
                      <w:color w:val="auto"/>
                      <w:spacing w:val="0"/>
                      <w:position w:val="0"/>
                      <w:sz w:val="21"/>
                      <w:szCs w:val="21"/>
                    </w:rPr>
                    <w:t>眉山</w:t>
                  </w:r>
                  <w:r>
                    <w:rPr>
                      <w:rFonts w:hint="default" w:ascii="Times New Roman" w:hAnsi="Times New Roman" w:cs="Times New Roman"/>
                      <w:color w:val="auto"/>
                      <w:spacing w:val="0"/>
                      <w:position w:val="0"/>
                      <w:sz w:val="21"/>
                      <w:szCs w:val="21"/>
                    </w:rPr>
                    <w:t>、资阳、遂宁、雅安等成都平原经济区</w:t>
                  </w:r>
                  <w:r>
                    <w:rPr>
                      <w:rFonts w:hint="default" w:ascii="Times New Roman" w:hAnsi="Times New Roman" w:eastAsia="Times New Roman" w:cs="Times New Roman"/>
                      <w:color w:val="auto"/>
                      <w:spacing w:val="0"/>
                      <w:position w:val="0"/>
                      <w:sz w:val="21"/>
                      <w:szCs w:val="21"/>
                    </w:rPr>
                    <w:t>8</w:t>
                  </w:r>
                  <w:r>
                    <w:rPr>
                      <w:rFonts w:hint="default" w:ascii="Times New Roman" w:hAnsi="Times New Roman" w:cs="Times New Roman"/>
                      <w:color w:val="auto"/>
                      <w:spacing w:val="0"/>
                      <w:position w:val="0"/>
                      <w:sz w:val="21"/>
                      <w:szCs w:val="21"/>
                    </w:rPr>
                    <w:t>个市和自贡、泸州、内江、宜宾等川南片区</w:t>
                  </w:r>
                  <w:r>
                    <w:rPr>
                      <w:rFonts w:hint="default" w:ascii="Times New Roman" w:hAnsi="Times New Roman" w:eastAsia="Times New Roman" w:cs="Times New Roman"/>
                      <w:color w:val="auto"/>
                      <w:spacing w:val="0"/>
                      <w:position w:val="0"/>
                      <w:sz w:val="21"/>
                      <w:szCs w:val="21"/>
                    </w:rPr>
                    <w:t>4</w:t>
                  </w:r>
                  <w:r>
                    <w:rPr>
                      <w:rFonts w:hint="default" w:ascii="Times New Roman" w:hAnsi="Times New Roman" w:cs="Times New Roman"/>
                      <w:color w:val="auto"/>
                      <w:spacing w:val="0"/>
                      <w:position w:val="0"/>
                      <w:sz w:val="21"/>
                      <w:szCs w:val="21"/>
                    </w:rPr>
                    <w:t>个市的</w:t>
                  </w:r>
                  <w:r>
                    <w:rPr>
                      <w:rFonts w:hint="default" w:ascii="Times New Roman" w:hAnsi="Times New Roman" w:cs="Times New Roman"/>
                      <w:b/>
                      <w:bCs/>
                      <w:color w:val="auto"/>
                      <w:spacing w:val="0"/>
                      <w:position w:val="0"/>
                      <w:sz w:val="21"/>
                      <w:szCs w:val="21"/>
                    </w:rPr>
                    <w:t>大气污染防治重点区域可以按照颗粒物、二氧化硫、氮氧化物排放限值分别不高于</w:t>
                  </w:r>
                  <w:r>
                    <w:rPr>
                      <w:rFonts w:hint="default" w:ascii="Times New Roman" w:hAnsi="Times New Roman" w:eastAsia="Times New Roman" w:cs="Times New Roman"/>
                      <w:b/>
                      <w:bCs/>
                      <w:color w:val="auto"/>
                      <w:spacing w:val="0"/>
                      <w:position w:val="0"/>
                      <w:sz w:val="21"/>
                      <w:szCs w:val="21"/>
                    </w:rPr>
                    <w:t>30</w:t>
                  </w:r>
                  <w:r>
                    <w:rPr>
                      <w:rFonts w:hint="default" w:ascii="Times New Roman" w:hAnsi="Times New Roman" w:cs="Times New Roman"/>
                      <w:b/>
                      <w:bCs/>
                      <w:color w:val="auto"/>
                      <w:spacing w:val="0"/>
                      <w:position w:val="0"/>
                      <w:sz w:val="21"/>
                      <w:szCs w:val="21"/>
                    </w:rPr>
                    <w:t>、</w:t>
                  </w:r>
                  <w:r>
                    <w:rPr>
                      <w:rFonts w:hint="default" w:ascii="Times New Roman" w:hAnsi="Times New Roman" w:eastAsia="Times New Roman" w:cs="Times New Roman"/>
                      <w:b/>
                      <w:bCs/>
                      <w:color w:val="auto"/>
                      <w:spacing w:val="0"/>
                      <w:position w:val="0"/>
                      <w:sz w:val="21"/>
                      <w:szCs w:val="21"/>
                    </w:rPr>
                    <w:t>200</w:t>
                  </w:r>
                  <w:r>
                    <w:rPr>
                      <w:rFonts w:hint="default" w:ascii="Times New Roman" w:hAnsi="Times New Roman" w:cs="Times New Roman"/>
                      <w:b/>
                      <w:bCs/>
                      <w:color w:val="auto"/>
                      <w:spacing w:val="0"/>
                      <w:position w:val="0"/>
                      <w:sz w:val="21"/>
                      <w:szCs w:val="21"/>
                    </w:rPr>
                    <w:t>、</w:t>
                  </w:r>
                  <w:r>
                    <w:rPr>
                      <w:rFonts w:hint="default" w:ascii="Times New Roman" w:hAnsi="Times New Roman" w:eastAsia="Times New Roman" w:cs="Times New Roman"/>
                      <w:b/>
                      <w:bCs/>
                      <w:color w:val="auto"/>
                      <w:spacing w:val="0"/>
                      <w:position w:val="0"/>
                      <w:sz w:val="21"/>
                      <w:szCs w:val="21"/>
                    </w:rPr>
                    <w:t>300</w:t>
                  </w:r>
                  <w:r>
                    <w:rPr>
                      <w:rFonts w:hint="default" w:ascii="Times New Roman" w:hAnsi="Times New Roman" w:cs="Times New Roman"/>
                      <w:b/>
                      <w:bCs/>
                      <w:color w:val="auto"/>
                      <w:spacing w:val="0"/>
                      <w:position w:val="0"/>
                      <w:sz w:val="21"/>
                      <w:szCs w:val="21"/>
                    </w:rPr>
                    <w:t>毫克</w:t>
                  </w:r>
                  <w:r>
                    <w:rPr>
                      <w:rFonts w:hint="default" w:ascii="Times New Roman" w:hAnsi="Times New Roman" w:eastAsia="Times New Roman" w:cs="Times New Roman"/>
                      <w:b/>
                      <w:bCs/>
                      <w:color w:val="auto"/>
                      <w:spacing w:val="0"/>
                      <w:position w:val="0"/>
                      <w:sz w:val="21"/>
                      <w:szCs w:val="21"/>
                    </w:rPr>
                    <w:t>/</w:t>
                  </w:r>
                  <w:r>
                    <w:rPr>
                      <w:rFonts w:hint="default" w:ascii="Times New Roman" w:hAnsi="Times New Roman" w:cs="Times New Roman"/>
                      <w:b/>
                      <w:bCs/>
                      <w:color w:val="auto"/>
                      <w:spacing w:val="0"/>
                      <w:position w:val="0"/>
                      <w:sz w:val="21"/>
                      <w:szCs w:val="21"/>
                    </w:rPr>
                    <w:t>立方米实施改造，</w:t>
                  </w:r>
                  <w:r>
                    <w:rPr>
                      <w:rFonts w:hint="default" w:ascii="Times New Roman" w:hAnsi="Times New Roman" w:cs="Times New Roman"/>
                      <w:color w:val="auto"/>
                      <w:spacing w:val="0"/>
                      <w:position w:val="0"/>
                      <w:sz w:val="21"/>
                      <w:szCs w:val="21"/>
                    </w:rPr>
                    <w:t>其中，日用玻璃、玻璃棉氮氧化物排放限值不高于</w:t>
                  </w:r>
                  <w:r>
                    <w:rPr>
                      <w:rFonts w:hint="default" w:ascii="Times New Roman" w:hAnsi="Times New Roman" w:eastAsia="Times New Roman" w:cs="Times New Roman"/>
                      <w:color w:val="auto"/>
                      <w:spacing w:val="0"/>
                      <w:position w:val="0"/>
                      <w:sz w:val="21"/>
                      <w:szCs w:val="21"/>
                    </w:rPr>
                    <w:t>400</w:t>
                  </w:r>
                  <w:r>
                    <w:rPr>
                      <w:rFonts w:hint="default" w:ascii="Times New Roman" w:hAnsi="Times New Roman" w:cs="Times New Roman"/>
                      <w:color w:val="auto"/>
                      <w:spacing w:val="0"/>
                      <w:position w:val="0"/>
                      <w:sz w:val="21"/>
                      <w:szCs w:val="21"/>
                    </w:rPr>
                    <w:t>毫克</w:t>
                  </w:r>
                  <w:r>
                    <w:rPr>
                      <w:rFonts w:hint="default" w:ascii="Times New Roman" w:hAnsi="Times New Roman" w:eastAsia="Times New Roman" w:cs="Times New Roman"/>
                      <w:color w:val="auto"/>
                      <w:spacing w:val="0"/>
                      <w:position w:val="0"/>
                      <w:sz w:val="21"/>
                      <w:szCs w:val="21"/>
                    </w:rPr>
                    <w:t>/</w:t>
                  </w:r>
                  <w:r>
                    <w:rPr>
                      <w:rFonts w:hint="default" w:ascii="Times New Roman" w:hAnsi="Times New Roman" w:cs="Times New Roman"/>
                      <w:color w:val="auto"/>
                      <w:spacing w:val="0"/>
                      <w:position w:val="0"/>
                      <w:sz w:val="21"/>
                      <w:szCs w:val="21"/>
                    </w:rPr>
                    <w:t>立方米。</w:t>
                  </w:r>
                </w:p>
                <w:p>
                  <w:pPr>
                    <w:pStyle w:val="190"/>
                    <w:keepNext w:val="0"/>
                    <w:keepLines w:val="0"/>
                    <w:pageBreakBefore w:val="0"/>
                    <w:widowControl/>
                    <w:kinsoku/>
                    <w:overflowPunct/>
                    <w:topLinePunct w:val="0"/>
                    <w:bidi w:val="0"/>
                    <w:spacing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pacing w:val="0"/>
                      <w:position w:val="0"/>
                      <w:sz w:val="21"/>
                      <w:szCs w:val="21"/>
                    </w:rPr>
                    <w:t>全面加强无组织排放管理。</w:t>
                  </w:r>
                  <w:r>
                    <w:rPr>
                      <w:rFonts w:hint="default" w:ascii="Times New Roman" w:hAnsi="Times New Roman" w:cs="Times New Roman"/>
                      <w:b/>
                      <w:bCs/>
                      <w:color w:val="auto"/>
                      <w:spacing w:val="0"/>
                      <w:position w:val="0"/>
                      <w:sz w:val="21"/>
                      <w:szCs w:val="21"/>
                    </w:rPr>
                    <w:t>严格控制工业炉窑生产工艺过程及相关物料储存、输送等无组织排放，在保障生产安全的前提下，采取密闭、封闭等有效措施，有效提高废气收集率，产尘点及车间不得有可见烟粉尘外逸。</w:t>
                  </w:r>
                </w:p>
              </w:tc>
              <w:tc>
                <w:tcPr>
                  <w:tcW w:w="2311" w:type="dxa"/>
                  <w:noWrap w:val="0"/>
                  <w:vAlign w:val="center"/>
                </w:tcPr>
                <w:p>
                  <w:pPr>
                    <w:pStyle w:val="156"/>
                    <w:ind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pacing w:val="0"/>
                      <w:position w:val="0"/>
                      <w:sz w:val="21"/>
                      <w:szCs w:val="21"/>
                    </w:rPr>
                    <w:t>本项目位于</w:t>
                  </w:r>
                  <w:r>
                    <w:rPr>
                      <w:rFonts w:hint="eastAsia" w:ascii="宋体" w:hAnsi="宋体" w:eastAsia="宋体" w:cs="宋体"/>
                      <w:color w:val="auto"/>
                      <w:kern w:val="0"/>
                      <w:sz w:val="21"/>
                      <w:szCs w:val="21"/>
                      <w:lang w:val="en-US" w:eastAsia="zh-CN" w:bidi="ar"/>
                    </w:rPr>
                    <w:t>遂宁</w:t>
                  </w:r>
                  <w:r>
                    <w:rPr>
                      <w:rFonts w:hint="eastAsia" w:ascii="宋体" w:hAnsi="宋体" w:eastAsia="宋体" w:cs="宋体"/>
                      <w:color w:val="auto"/>
                      <w:kern w:val="0"/>
                      <w:sz w:val="21"/>
                      <w:szCs w:val="21"/>
                      <w:lang w:bidi="ar"/>
                    </w:rPr>
                    <w:t>成都平原经济区</w:t>
                  </w:r>
                  <w:r>
                    <w:rPr>
                      <w:rFonts w:hint="default" w:ascii="Times New Roman" w:hAnsi="Times New Roman" w:cs="Times New Roman"/>
                      <w:color w:val="auto"/>
                      <w:spacing w:val="0"/>
                      <w:position w:val="0"/>
                      <w:sz w:val="21"/>
                      <w:szCs w:val="21"/>
                    </w:rPr>
                    <w:t>，</w:t>
                  </w:r>
                  <w:r>
                    <w:rPr>
                      <w:rFonts w:hint="default" w:ascii="Times New Roman" w:hAnsi="Times New Roman" w:cs="Times New Roman"/>
                      <w:b w:val="0"/>
                      <w:bCs w:val="0"/>
                      <w:color w:val="auto"/>
                      <w:spacing w:val="0"/>
                      <w:position w:val="0"/>
                      <w:sz w:val="21"/>
                      <w:szCs w:val="21"/>
                    </w:rPr>
                    <w:t>颗粒物排放限值为</w:t>
                  </w:r>
                  <w:r>
                    <w:rPr>
                      <w:rFonts w:hint="eastAsia" w:ascii="Times New Roman" w:hAnsi="Times New Roman" w:eastAsia="宋体" w:cs="Times New Roman"/>
                      <w:b w:val="0"/>
                      <w:bCs w:val="0"/>
                      <w:color w:val="auto"/>
                      <w:szCs w:val="21"/>
                      <w:lang w:val="en-US" w:eastAsia="zh-CN"/>
                    </w:rPr>
                    <w:t>1.644</w:t>
                  </w:r>
                  <w:r>
                    <w:rPr>
                      <w:rFonts w:hint="default" w:ascii="Times New Roman" w:hAnsi="Times New Roman" w:eastAsia="Times New Roman" w:cs="Times New Roman"/>
                      <w:b w:val="0"/>
                      <w:bCs w:val="0"/>
                      <w:color w:val="auto"/>
                      <w:spacing w:val="0"/>
                      <w:position w:val="0"/>
                      <w:sz w:val="21"/>
                      <w:szCs w:val="21"/>
                    </w:rPr>
                    <w:t>mg/m</w:t>
                  </w:r>
                  <w:r>
                    <w:rPr>
                      <w:rFonts w:hint="eastAsia" w:ascii="Times New Roman" w:hAnsi="Times New Roman" w:eastAsia="宋体" w:cs="Times New Roman"/>
                      <w:b w:val="0"/>
                      <w:bCs w:val="0"/>
                      <w:color w:val="auto"/>
                      <w:spacing w:val="0"/>
                      <w:position w:val="0"/>
                      <w:sz w:val="21"/>
                      <w:szCs w:val="21"/>
                      <w:vertAlign w:val="superscript"/>
                      <w:lang w:val="en-US" w:eastAsia="zh-CN"/>
                    </w:rPr>
                    <w:t>3</w:t>
                  </w:r>
                  <w:r>
                    <w:rPr>
                      <w:rFonts w:hint="default" w:ascii="Times New Roman" w:hAnsi="Times New Roman" w:cs="Times New Roman"/>
                      <w:b w:val="0"/>
                      <w:bCs w:val="0"/>
                      <w:color w:val="auto"/>
                      <w:spacing w:val="0"/>
                      <w:position w:val="0"/>
                      <w:sz w:val="21"/>
                      <w:szCs w:val="21"/>
                    </w:rPr>
                    <w:t>；二氧化硫排放限值为</w:t>
                  </w:r>
                  <w:r>
                    <w:rPr>
                      <w:rFonts w:hint="eastAsia" w:ascii="Times New Roman" w:hAnsi="Times New Roman" w:eastAsia="宋体" w:cs="Times New Roman"/>
                      <w:b w:val="0"/>
                      <w:bCs w:val="0"/>
                      <w:color w:val="auto"/>
                      <w:sz w:val="21"/>
                      <w:szCs w:val="21"/>
                      <w:lang w:val="en-US" w:eastAsia="zh-CN"/>
                    </w:rPr>
                    <w:t>72.64</w:t>
                  </w:r>
                  <w:r>
                    <w:rPr>
                      <w:rFonts w:hint="default" w:ascii="Times New Roman" w:hAnsi="Times New Roman" w:eastAsia="Times New Roman" w:cs="Times New Roman"/>
                      <w:b w:val="0"/>
                      <w:bCs w:val="0"/>
                      <w:color w:val="auto"/>
                      <w:spacing w:val="0"/>
                      <w:position w:val="0"/>
                      <w:sz w:val="21"/>
                      <w:szCs w:val="21"/>
                    </w:rPr>
                    <w:t>mg/m</w:t>
                  </w:r>
                  <w:r>
                    <w:rPr>
                      <w:rFonts w:hint="eastAsia" w:ascii="Times New Roman" w:hAnsi="Times New Roman" w:eastAsia="宋体" w:cs="Times New Roman"/>
                      <w:b w:val="0"/>
                      <w:bCs w:val="0"/>
                      <w:color w:val="auto"/>
                      <w:spacing w:val="0"/>
                      <w:position w:val="0"/>
                      <w:sz w:val="21"/>
                      <w:szCs w:val="21"/>
                      <w:vertAlign w:val="superscript"/>
                      <w:lang w:val="en-US" w:eastAsia="zh-CN"/>
                    </w:rPr>
                    <w:t>3</w:t>
                  </w:r>
                  <w:r>
                    <w:rPr>
                      <w:rFonts w:hint="default" w:ascii="Times New Roman" w:hAnsi="Times New Roman" w:cs="Times New Roman"/>
                      <w:b w:val="0"/>
                      <w:bCs w:val="0"/>
                      <w:color w:val="auto"/>
                      <w:spacing w:val="0"/>
                      <w:position w:val="0"/>
                      <w:sz w:val="21"/>
                      <w:szCs w:val="21"/>
                    </w:rPr>
                    <w:t>；氮氧化物为</w:t>
                  </w:r>
                  <w:r>
                    <w:rPr>
                      <w:rFonts w:hint="eastAsia" w:ascii="Times New Roman" w:hAnsi="Times New Roman" w:eastAsia="宋体" w:cs="Times New Roman"/>
                      <w:b w:val="0"/>
                      <w:bCs w:val="0"/>
                      <w:color w:val="auto"/>
                      <w:sz w:val="21"/>
                      <w:szCs w:val="21"/>
                      <w:lang w:val="en-US" w:eastAsia="zh-CN"/>
                    </w:rPr>
                    <w:t>2.96</w:t>
                  </w:r>
                  <w:r>
                    <w:rPr>
                      <w:rFonts w:hint="default" w:ascii="Times New Roman" w:hAnsi="Times New Roman" w:eastAsia="Times New Roman" w:cs="Times New Roman"/>
                      <w:b w:val="0"/>
                      <w:bCs w:val="0"/>
                      <w:color w:val="auto"/>
                      <w:spacing w:val="0"/>
                      <w:position w:val="0"/>
                      <w:sz w:val="21"/>
                      <w:szCs w:val="21"/>
                    </w:rPr>
                    <w:t>mg/m</w:t>
                  </w:r>
                  <w:r>
                    <w:rPr>
                      <w:rFonts w:hint="eastAsia" w:ascii="Times New Roman" w:hAnsi="Times New Roman" w:eastAsia="宋体" w:cs="Times New Roman"/>
                      <w:b w:val="0"/>
                      <w:bCs w:val="0"/>
                      <w:color w:val="auto"/>
                      <w:spacing w:val="0"/>
                      <w:position w:val="0"/>
                      <w:sz w:val="21"/>
                      <w:szCs w:val="21"/>
                      <w:vertAlign w:val="superscript"/>
                      <w:lang w:val="en-US" w:eastAsia="zh-CN"/>
                    </w:rPr>
                    <w:t>3</w:t>
                  </w:r>
                  <w:r>
                    <w:rPr>
                      <w:rFonts w:hint="eastAsia" w:ascii="Times New Roman" w:hAnsi="Times New Roman" w:eastAsia="宋体" w:cs="Times New Roman"/>
                      <w:b w:val="0"/>
                      <w:bCs w:val="0"/>
                      <w:color w:val="auto"/>
                      <w:spacing w:val="0"/>
                      <w:position w:val="0"/>
                      <w:sz w:val="21"/>
                      <w:szCs w:val="21"/>
                      <w:vertAlign w:val="baseline"/>
                      <w:lang w:val="en-US" w:eastAsia="zh-CN"/>
                    </w:rPr>
                    <w:t>，</w:t>
                  </w:r>
                  <w:r>
                    <w:rPr>
                      <w:rFonts w:hint="default" w:ascii="Times New Roman" w:hAnsi="Times New Roman" w:cs="Times New Roman"/>
                      <w:b w:val="0"/>
                      <w:bCs w:val="0"/>
                      <w:color w:val="auto"/>
                      <w:spacing w:val="0"/>
                      <w:position w:val="0"/>
                      <w:sz w:val="21"/>
                      <w:szCs w:val="21"/>
                    </w:rPr>
                    <w:t>满足相关要求</w:t>
                  </w:r>
                  <w:r>
                    <w:rPr>
                      <w:rFonts w:hint="eastAsia" w:ascii="Times New Roman" w:hAnsi="Times New Roman" w:cs="Times New Roman"/>
                      <w:b w:val="0"/>
                      <w:bCs w:val="0"/>
                      <w:color w:val="auto"/>
                      <w:spacing w:val="0"/>
                      <w:position w:val="0"/>
                      <w:sz w:val="21"/>
                      <w:szCs w:val="21"/>
                      <w:lang w:eastAsia="zh-CN"/>
                    </w:rPr>
                    <w:t>；</w:t>
                  </w:r>
                  <w:r>
                    <w:rPr>
                      <w:rFonts w:hint="default" w:ascii="Times New Roman" w:hAnsi="Times New Roman" w:cs="Times New Roman"/>
                      <w:b w:val="0"/>
                      <w:bCs w:val="0"/>
                      <w:color w:val="auto"/>
                      <w:spacing w:val="0"/>
                      <w:position w:val="0"/>
                      <w:sz w:val="21"/>
                      <w:szCs w:val="21"/>
                    </w:rPr>
                    <w:t>本项目废气</w:t>
                  </w:r>
                  <w:r>
                    <w:rPr>
                      <w:rFonts w:hint="default" w:ascii="Times New Roman" w:hAnsi="Times New Roman" w:cs="Times New Roman"/>
                      <w:b w:val="0"/>
                      <w:bCs w:val="0"/>
                      <w:color w:val="auto"/>
                      <w:sz w:val="21"/>
                      <w:szCs w:val="21"/>
                      <w:highlight w:val="none"/>
                      <w:lang w:eastAsia="zh-CN"/>
                    </w:rPr>
                    <w:t>经</w:t>
                  </w:r>
                  <w:r>
                    <w:rPr>
                      <w:rFonts w:hint="eastAsia" w:ascii="Times New Roman" w:hAnsi="Times New Roman" w:cs="Times New Roman"/>
                      <w:b w:val="0"/>
                      <w:bCs w:val="0"/>
                      <w:color w:val="auto"/>
                      <w:sz w:val="21"/>
                      <w:szCs w:val="21"/>
                      <w:highlight w:val="none"/>
                      <w:lang w:val="en-US" w:eastAsia="zh-CN"/>
                    </w:rPr>
                    <w:t>2套“</w:t>
                  </w:r>
                  <w:r>
                    <w:rPr>
                      <w:rFonts w:hint="eastAsia" w:ascii="Times New Roman" w:hAnsi="Times New Roman" w:eastAsia="宋体" w:cs="Times New Roman"/>
                      <w:b w:val="0"/>
                      <w:bCs w:val="0"/>
                      <w:color w:val="auto"/>
                      <w:kern w:val="2"/>
                      <w:sz w:val="21"/>
                      <w:szCs w:val="21"/>
                      <w:lang w:val="en-US" w:eastAsia="zh-CN" w:bidi="ar-SA"/>
                    </w:rPr>
                    <w:t>布袋除尘器+碱喷淋</w:t>
                  </w:r>
                  <w:r>
                    <w:rPr>
                      <w:rFonts w:hint="eastAsia"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处理后</w:t>
                  </w:r>
                  <w:r>
                    <w:rPr>
                      <w:rFonts w:hint="eastAsia"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通过</w:t>
                  </w:r>
                  <w:r>
                    <w:rPr>
                      <w:rFonts w:hint="eastAsia" w:ascii="Times New Roman" w:hAnsi="Times New Roman" w:cs="Times New Roman"/>
                      <w:b w:val="0"/>
                      <w:bCs w:val="0"/>
                      <w:color w:val="auto"/>
                      <w:sz w:val="21"/>
                      <w:szCs w:val="21"/>
                      <w:highlight w:val="none"/>
                      <w:lang w:val="en-US" w:eastAsia="zh-CN"/>
                    </w:rPr>
                    <w:t>2根</w:t>
                  </w:r>
                  <w:r>
                    <w:rPr>
                      <w:rFonts w:hint="default" w:ascii="Times New Roman" w:hAnsi="Times New Roman" w:cs="Times New Roman"/>
                      <w:b w:val="0"/>
                      <w:bCs w:val="0"/>
                      <w:color w:val="auto"/>
                      <w:sz w:val="21"/>
                      <w:szCs w:val="21"/>
                      <w:highlight w:val="none"/>
                      <w:lang w:val="en-US" w:eastAsia="zh-CN"/>
                    </w:rPr>
                    <w:t>15m高排气筒</w:t>
                  </w:r>
                  <w:r>
                    <w:rPr>
                      <w:rFonts w:hint="eastAsia" w:ascii="Times New Roman" w:hAnsi="Times New Roman" w:cs="Times New Roman"/>
                      <w:b w:val="0"/>
                      <w:bCs w:val="0"/>
                      <w:color w:val="auto"/>
                      <w:sz w:val="21"/>
                      <w:szCs w:val="21"/>
                      <w:highlight w:val="none"/>
                      <w:lang w:val="en-US" w:eastAsia="zh-CN"/>
                    </w:rPr>
                    <w:t>（DA001、DA002）达标</w:t>
                  </w:r>
                  <w:r>
                    <w:rPr>
                      <w:rFonts w:hint="default" w:ascii="Times New Roman" w:hAnsi="Times New Roman" w:cs="Times New Roman"/>
                      <w:b w:val="0"/>
                      <w:bCs w:val="0"/>
                      <w:color w:val="auto"/>
                      <w:sz w:val="21"/>
                      <w:szCs w:val="21"/>
                      <w:highlight w:val="none"/>
                      <w:lang w:val="en-US" w:eastAsia="zh-CN"/>
                    </w:rPr>
                    <w:t>排放</w:t>
                  </w:r>
                </w:p>
              </w:tc>
              <w:tc>
                <w:tcPr>
                  <w:tcW w:w="663" w:type="dxa"/>
                  <w:noWrap w:val="0"/>
                  <w:vAlign w:val="center"/>
                </w:tcPr>
                <w:p>
                  <w:pPr>
                    <w:pStyle w:val="134"/>
                    <w:spacing w:line="240" w:lineRule="auto"/>
                    <w:ind w:firstLine="0"/>
                    <w:jc w:val="center"/>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vMerge w:val="restart"/>
                  <w:noWrap w:val="0"/>
                  <w:vAlign w:val="center"/>
                </w:tcPr>
                <w:p>
                  <w:pPr>
                    <w:keepNext/>
                    <w:keepLines/>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bidi="ar"/>
                    </w:rPr>
                  </w:pPr>
                  <w:r>
                    <w:rPr>
                      <w:rFonts w:hint="eastAsia" w:ascii="Times New Roman" w:hAnsi="Times New Roman" w:eastAsia="宋体" w:cs="Times New Roman"/>
                      <w:color w:val="auto"/>
                      <w:sz w:val="21"/>
                      <w:szCs w:val="21"/>
                      <w:lang w:val="en-US" w:eastAsia="zh-CN"/>
                    </w:rPr>
                    <w:t>《遂宁市“十四五”生态环境保护规划》</w:t>
                  </w:r>
                </w:p>
              </w:tc>
              <w:tc>
                <w:tcPr>
                  <w:tcW w:w="3219" w:type="dxa"/>
                  <w:noWrap w:val="0"/>
                  <w:vAlign w:val="center"/>
                </w:tcPr>
                <w:p>
                  <w:pPr>
                    <w:keepNext/>
                    <w:keepLines/>
                    <w:pageBreakBefore w:val="0"/>
                    <w:widowControl w:val="0"/>
                    <w:kinsoku/>
                    <w:wordWrap w:val="0"/>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21"/>
                      <w:szCs w:val="21"/>
                      <w:lang w:bidi="ar"/>
                    </w:rPr>
                  </w:pPr>
                  <w:r>
                    <w:rPr>
                      <w:rFonts w:hint="eastAsia" w:ascii="Times New Roman" w:hAnsi="Times New Roman" w:eastAsia="宋体" w:cs="Times New Roman"/>
                      <w:color w:val="auto"/>
                      <w:sz w:val="21"/>
                      <w:szCs w:val="21"/>
                      <w:lang w:val="en-US" w:eastAsia="zh-CN"/>
                    </w:rPr>
                    <w:t>严格控制新（改、扩）建高耗能、高排放项目，新建高耗能、高排放项目应按相关要求落实区域削减。精准聚焦重点行业，加快淘汰低效落后动能。进一步健全并严格落实环保、安全、技术、能耗、效益标准，各县（市、区）制定具体措施，重点围绕废旧塑料再生、砖瓦等行业，分类组织实施转移、压减、整合、关停任务，依法淘汰落后产能</w:t>
                  </w:r>
                </w:p>
              </w:tc>
              <w:tc>
                <w:tcPr>
                  <w:tcW w:w="2311" w:type="dxa"/>
                  <w:noWrap w:val="0"/>
                  <w:vAlign w:val="center"/>
                </w:tcPr>
                <w:p>
                  <w:pPr>
                    <w:keepNext/>
                    <w:keepLines/>
                    <w:pageBreakBefore w:val="0"/>
                    <w:widowControl w:val="0"/>
                    <w:kinsoku/>
                    <w:wordWrap w:val="0"/>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21"/>
                      <w:szCs w:val="21"/>
                      <w:lang w:bidi="ar"/>
                    </w:rPr>
                  </w:pPr>
                  <w:r>
                    <w:rPr>
                      <w:rFonts w:hint="eastAsia" w:ascii="Times New Roman" w:hAnsi="Times New Roman" w:eastAsia="宋体" w:cs="Times New Roman"/>
                      <w:color w:val="auto"/>
                      <w:sz w:val="21"/>
                      <w:szCs w:val="21"/>
                      <w:lang w:val="en-US" w:eastAsia="zh-CN"/>
                    </w:rPr>
                    <w:t>本项目不属于高耗能、高排放项目，不属于废旧塑料再生、砖瓦等行业和淘汰落后产能项目</w:t>
                  </w:r>
                </w:p>
              </w:tc>
              <w:tc>
                <w:tcPr>
                  <w:tcW w:w="663" w:type="dxa"/>
                  <w:noWrap w:val="0"/>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vMerge w:val="continue"/>
                  <w:noWrap w:val="0"/>
                  <w:vAlign w:val="center"/>
                </w:tcPr>
                <w:p>
                  <w:pPr>
                    <w:keepNext/>
                    <w:keepLines/>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bidi="ar"/>
                    </w:rPr>
                  </w:pPr>
                </w:p>
              </w:tc>
              <w:tc>
                <w:tcPr>
                  <w:tcW w:w="3219" w:type="dxa"/>
                  <w:noWrap w:val="0"/>
                  <w:vAlign w:val="center"/>
                </w:tcPr>
                <w:p>
                  <w:pPr>
                    <w:keepNext/>
                    <w:keepLines/>
                    <w:pageBreakBefore w:val="0"/>
                    <w:widowControl w:val="0"/>
                    <w:kinsoku/>
                    <w:wordWrap w:val="0"/>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21"/>
                      <w:szCs w:val="21"/>
                      <w:lang w:bidi="ar"/>
                    </w:rPr>
                  </w:pPr>
                  <w:r>
                    <w:rPr>
                      <w:rFonts w:hint="eastAsia" w:ascii="Times New Roman" w:hAnsi="Times New Roman" w:eastAsia="宋体" w:cs="Times New Roman"/>
                      <w:color w:val="auto"/>
                      <w:sz w:val="21"/>
                      <w:szCs w:val="21"/>
                      <w:lang w:val="en-US" w:eastAsia="zh-CN"/>
                    </w:rPr>
                    <w:t>严格新增VOCs排放建设项目环境准入，更新、优化VOCs和NOx排放清单，制定NOx与VOCs协同减排计划，建立VOCs治理台账，加快推进整改。突出抓好化工、涂装、包装印刷、油品储运销等行业（领域）关键环节VOCs治理突出问题排查整治，推进建设高效治污设施，深入推行“一厂一策”，提高VOCs治理效率</w:t>
                  </w:r>
                </w:p>
              </w:tc>
              <w:tc>
                <w:tcPr>
                  <w:tcW w:w="2311" w:type="dxa"/>
                  <w:noWrap w:val="0"/>
                  <w:vAlign w:val="center"/>
                </w:tcPr>
                <w:p>
                  <w:pPr>
                    <w:keepNext/>
                    <w:keepLines/>
                    <w:pageBreakBefore w:val="0"/>
                    <w:widowControl w:val="0"/>
                    <w:kinsoku/>
                    <w:wordWrap w:val="0"/>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21"/>
                      <w:szCs w:val="21"/>
                      <w:lang w:val="en-US" w:bidi="ar"/>
                    </w:rPr>
                  </w:pPr>
                  <w:r>
                    <w:rPr>
                      <w:rFonts w:hint="eastAsia" w:ascii="Times New Roman" w:hAnsi="Times New Roman" w:eastAsia="宋体" w:cs="Times New Roman"/>
                      <w:color w:val="auto"/>
                      <w:sz w:val="21"/>
                      <w:szCs w:val="21"/>
                      <w:lang w:val="en-US" w:eastAsia="zh-CN"/>
                    </w:rPr>
                    <w:t>本项目不产生VOCs</w:t>
                  </w:r>
                </w:p>
              </w:tc>
              <w:tc>
                <w:tcPr>
                  <w:tcW w:w="663" w:type="dxa"/>
                  <w:noWrap w:val="0"/>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4" w:type="dxa"/>
                  <w:vMerge w:val="continue"/>
                  <w:noWrap w:val="0"/>
                  <w:vAlign w:val="center"/>
                </w:tcPr>
                <w:p>
                  <w:pPr>
                    <w:keepNext/>
                    <w:keepLines/>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color w:val="auto"/>
                      <w:sz w:val="21"/>
                      <w:szCs w:val="21"/>
                      <w:lang w:bidi="ar"/>
                    </w:rPr>
                  </w:pPr>
                </w:p>
              </w:tc>
              <w:tc>
                <w:tcPr>
                  <w:tcW w:w="3219" w:type="dxa"/>
                  <w:noWrap w:val="0"/>
                  <w:vAlign w:val="center"/>
                </w:tcPr>
                <w:p>
                  <w:pPr>
                    <w:keepNext/>
                    <w:keepLines/>
                    <w:pageBreakBefore w:val="0"/>
                    <w:widowControl w:val="0"/>
                    <w:kinsoku/>
                    <w:wordWrap w:val="0"/>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21"/>
                      <w:szCs w:val="21"/>
                      <w:lang w:bidi="ar"/>
                    </w:rPr>
                  </w:pPr>
                  <w:r>
                    <w:rPr>
                      <w:rFonts w:hint="eastAsia" w:ascii="Times New Roman" w:hAnsi="Times New Roman" w:eastAsia="宋体" w:cs="Times New Roman"/>
                      <w:color w:val="auto"/>
                      <w:sz w:val="21"/>
                      <w:szCs w:val="21"/>
                      <w:lang w:val="en-US" w:eastAsia="zh-CN"/>
                    </w:rPr>
                    <w:t>严格重点行业企业准入，新（改、扩）建项目应当按照国家有关环境标准和技术规范开展企业用地土壤调查，涉及有毒有害物质且可能造成土壤污染的建设项目，应提出并落实土壤和地下水污染防治要求</w:t>
                  </w:r>
                </w:p>
              </w:tc>
              <w:tc>
                <w:tcPr>
                  <w:tcW w:w="2311" w:type="dxa"/>
                  <w:noWrap w:val="0"/>
                  <w:vAlign w:val="center"/>
                </w:tcPr>
                <w:p>
                  <w:pPr>
                    <w:keepNext/>
                    <w:keepLines/>
                    <w:pageBreakBefore w:val="0"/>
                    <w:widowControl w:val="0"/>
                    <w:kinsoku/>
                    <w:wordWrap w:val="0"/>
                    <w:overflowPunct/>
                    <w:topLinePunct w:val="0"/>
                    <w:autoSpaceDE/>
                    <w:autoSpaceDN/>
                    <w:bidi w:val="0"/>
                    <w:adjustRightInd/>
                    <w:snapToGrid/>
                    <w:spacing w:line="320" w:lineRule="exact"/>
                    <w:ind w:firstLine="0" w:firstLineChars="0"/>
                    <w:jc w:val="both"/>
                    <w:textAlignment w:val="auto"/>
                    <w:rPr>
                      <w:rFonts w:hint="default" w:ascii="Times New Roman" w:hAnsi="Times New Roman" w:cs="Times New Roman"/>
                      <w:color w:val="auto"/>
                      <w:sz w:val="21"/>
                      <w:szCs w:val="21"/>
                      <w:lang w:bidi="ar"/>
                    </w:rPr>
                  </w:pPr>
                  <w:r>
                    <w:rPr>
                      <w:rFonts w:hint="default" w:ascii="Times New Roman" w:hAnsi="Times New Roman" w:eastAsia="宋体" w:cs="Times New Roman"/>
                      <w:b w:val="0"/>
                      <w:bCs w:val="0"/>
                      <w:color w:val="auto"/>
                      <w:kern w:val="2"/>
                      <w:sz w:val="21"/>
                      <w:szCs w:val="21"/>
                      <w:lang w:val="en-US" w:eastAsia="zh-CN" w:bidi="ar-SA"/>
                    </w:rPr>
                    <w:t>本项目为石墨及碳素制品制造，属于非金属矿物制品业</w:t>
                  </w:r>
                  <w:r>
                    <w:rPr>
                      <w:rFonts w:hint="eastAsia" w:ascii="Times New Roman" w:hAnsi="Times New Roman" w:eastAsia="宋体" w:cs="Times New Roman"/>
                      <w:color w:val="auto"/>
                      <w:sz w:val="21"/>
                      <w:szCs w:val="21"/>
                      <w:lang w:val="en-US" w:eastAsia="zh-CN"/>
                    </w:rPr>
                    <w:t>，不属于土壤污染重点行业企业，不涉及可能造成土壤污染的有毒有害物质使用</w:t>
                  </w:r>
                </w:p>
              </w:tc>
              <w:tc>
                <w:tcPr>
                  <w:tcW w:w="663" w:type="dxa"/>
                  <w:noWrap w:val="0"/>
                  <w:vAlign w:val="center"/>
                </w:tcPr>
                <w:p>
                  <w:pPr>
                    <w:spacing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bl>
          <w:p>
            <w:pPr>
              <w:keepNext w:val="0"/>
              <w:keepLines w:val="0"/>
              <w:pageBreakBefore w:val="0"/>
              <w:widowControl/>
              <w:kinsoku/>
              <w:wordWrap/>
              <w:overflowPunct/>
              <w:topLinePunct w:val="0"/>
              <w:autoSpaceDE/>
              <w:autoSpaceDN/>
              <w:bidi w:val="0"/>
              <w:spacing w:line="360" w:lineRule="auto"/>
              <w:ind w:firstLine="482" w:firstLineChars="200"/>
              <w:textAlignment w:val="auto"/>
              <w:rPr>
                <w:rFonts w:hint="eastAsia" w:ascii="Times New Roman" w:hAnsi="Times New Roman" w:eastAsia="宋体" w:cs="Times New Roman"/>
                <w:b/>
                <w:bCs/>
                <w:color w:val="auto"/>
                <w:kern w:val="0"/>
                <w:sz w:val="24"/>
                <w:lang w:val="en-US" w:eastAsia="zh-CN" w:bidi="ar"/>
              </w:rPr>
            </w:pPr>
            <w:r>
              <w:rPr>
                <w:rFonts w:hint="eastAsia"/>
                <w:b/>
                <w:bCs/>
                <w:color w:val="auto"/>
                <w:kern w:val="0"/>
                <w:sz w:val="24"/>
                <w:lang w:val="en-US" w:eastAsia="zh-CN" w:bidi="ar"/>
              </w:rPr>
              <w:t>综上</w:t>
            </w:r>
            <w:r>
              <w:rPr>
                <w:b/>
                <w:bCs/>
                <w:color w:val="auto"/>
                <w:kern w:val="0"/>
                <w:sz w:val="24"/>
                <w:lang w:bidi="ar"/>
              </w:rPr>
              <w:t>，</w:t>
            </w:r>
            <w:r>
              <w:rPr>
                <w:rFonts w:hint="eastAsia" w:ascii="Times New Roman" w:hAnsi="Times New Roman" w:eastAsia="宋体" w:cs="Times New Roman"/>
                <w:b/>
                <w:bCs/>
                <w:color w:val="auto"/>
                <w:kern w:val="0"/>
                <w:sz w:val="24"/>
                <w:lang w:val="en-US" w:eastAsia="zh-CN" w:bidi="ar"/>
              </w:rPr>
              <w:t>本项目符合污染防治相关规划及文件相符。</w:t>
            </w:r>
          </w:p>
          <w:p>
            <w:pPr>
              <w:pStyle w:val="3"/>
              <w:pageBreakBefore w:val="0"/>
              <w:kinsoku/>
              <w:wordWrap/>
              <w:overflowPunct/>
              <w:topLinePunct w:val="0"/>
              <w:autoSpaceDE/>
              <w:autoSpaceDN/>
              <w:bidi w:val="0"/>
              <w:spacing w:before="0" w:after="0" w:line="360" w:lineRule="auto"/>
              <w:ind w:firstLine="482" w:firstLineChars="200"/>
              <w:textAlignment w:val="auto"/>
              <w:outlineLvl w:val="1"/>
              <w:rPr>
                <w:rFonts w:hint="default" w:ascii="Times New Roman" w:hAnsi="Times New Roman" w:eastAsia="宋体" w:cs="Times New Roman"/>
                <w:bCs w:val="0"/>
                <w:color w:val="auto"/>
                <w:sz w:val="24"/>
                <w:szCs w:val="24"/>
                <w:shd w:val="clear" w:color="auto" w:fill="auto"/>
                <w:lang w:bidi="ar-SA"/>
              </w:rPr>
            </w:pPr>
            <w:r>
              <w:rPr>
                <w:rFonts w:hint="eastAsia" w:ascii="Times New Roman" w:hAnsi="Times New Roman" w:eastAsia="宋体" w:cs="Times New Roman"/>
                <w:b/>
                <w:bCs w:val="0"/>
                <w:color w:val="auto"/>
                <w:sz w:val="24"/>
                <w:szCs w:val="24"/>
                <w:shd w:val="clear" w:color="auto" w:fill="auto"/>
                <w:lang w:val="en-US" w:eastAsia="zh-CN" w:bidi="ar-SA"/>
              </w:rPr>
              <w:t>6、</w:t>
            </w:r>
            <w:r>
              <w:rPr>
                <w:rFonts w:hint="default" w:ascii="Times New Roman" w:hAnsi="Times New Roman" w:eastAsia="宋体" w:cs="Times New Roman"/>
                <w:b/>
                <w:bCs w:val="0"/>
                <w:color w:val="auto"/>
                <w:sz w:val="24"/>
                <w:szCs w:val="24"/>
                <w:shd w:val="clear" w:color="auto" w:fill="auto"/>
                <w:lang w:bidi="ar-SA"/>
              </w:rPr>
              <w:t>与长江经</w:t>
            </w:r>
            <w:r>
              <w:rPr>
                <w:rFonts w:hint="default" w:ascii="Times New Roman" w:hAnsi="Times New Roman" w:eastAsia="宋体" w:cs="Times New Roman"/>
                <w:bCs w:val="0"/>
                <w:color w:val="auto"/>
                <w:sz w:val="24"/>
                <w:szCs w:val="24"/>
                <w:shd w:val="clear" w:color="auto" w:fill="auto"/>
                <w:lang w:bidi="ar-SA"/>
              </w:rPr>
              <w:t>济带发展负面清单符合性分析</w:t>
            </w:r>
          </w:p>
          <w:p>
            <w:pPr>
              <w:pStyle w:val="185"/>
              <w:pageBreakBefore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bCs/>
                <w:color w:val="auto"/>
                <w:sz w:val="21"/>
                <w:shd w:val="clear" w:color="auto" w:fill="auto"/>
              </w:rPr>
            </w:pPr>
            <w:r>
              <w:rPr>
                <w:rFonts w:hint="default" w:ascii="Times New Roman" w:hAnsi="Times New Roman" w:eastAsia="宋体" w:cs="Times New Roman"/>
                <w:color w:val="auto"/>
                <w:szCs w:val="24"/>
                <w:shd w:val="clear" w:color="auto" w:fill="auto"/>
              </w:rPr>
              <w:t>根据推动长江经济带发展领导小组办公室文件（长江办</w:t>
            </w:r>
            <w:r>
              <w:rPr>
                <w:rFonts w:hint="eastAsia" w:ascii="Times New Roman" w:hAnsi="Times New Roman" w:eastAsia="宋体" w:cs="Times New Roman"/>
                <w:color w:val="auto"/>
                <w:szCs w:val="24"/>
                <w:shd w:val="clear" w:color="auto" w:fill="auto"/>
                <w:lang w:eastAsia="zh-CN"/>
              </w:rPr>
              <w:t>〔2022〕7号</w:t>
            </w:r>
            <w:r>
              <w:rPr>
                <w:rFonts w:hint="default" w:ascii="Times New Roman" w:hAnsi="Times New Roman" w:eastAsia="宋体" w:cs="Times New Roman"/>
                <w:color w:val="auto"/>
                <w:szCs w:val="24"/>
                <w:shd w:val="clear" w:color="auto" w:fill="auto"/>
              </w:rPr>
              <w:t>）关于印发《长江经济带发展负面清单指南》（试行，2022年版）的通知，项目符合性分析如下：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表1-</w:t>
            </w:r>
            <w:r>
              <w:rPr>
                <w:rFonts w:hint="eastAsia" w:ascii="Times New Roman" w:hAnsi="Times New Roman" w:eastAsia="宋体" w:cs="Times New Roman"/>
                <w:b/>
                <w:bCs/>
                <w:color w:val="auto"/>
                <w:sz w:val="21"/>
                <w:szCs w:val="21"/>
                <w:shd w:val="clear" w:color="auto" w:fill="auto"/>
                <w:lang w:val="en-US" w:eastAsia="zh-CN"/>
              </w:rPr>
              <w:t>8</w:t>
            </w:r>
            <w:r>
              <w:rPr>
                <w:rFonts w:hint="default" w:ascii="Times New Roman" w:hAnsi="Times New Roman" w:eastAsia="宋体" w:cs="Times New Roman"/>
                <w:b/>
                <w:bCs/>
                <w:color w:val="auto"/>
                <w:sz w:val="21"/>
                <w:szCs w:val="21"/>
                <w:shd w:val="clear" w:color="auto" w:fill="auto"/>
              </w:rPr>
              <w:t xml:space="preserve"> 与《长江经济带发展负面清单指南》（试行，2022年版）符合性分析一览表</w:t>
            </w:r>
          </w:p>
          <w:tbl>
            <w:tblPr>
              <w:tblStyle w:val="36"/>
              <w:tblW w:w="74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4427"/>
              <w:gridCol w:w="2026"/>
              <w:gridCol w:w="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10"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shd w:val="clear" w:color="auto" w:fill="auto"/>
                      <w:lang w:eastAsia="zh-CN"/>
                    </w:rPr>
                  </w:pPr>
                  <w:r>
                    <w:rPr>
                      <w:rFonts w:hint="default" w:ascii="Times New Roman" w:hAnsi="Times New Roman" w:eastAsia="宋体" w:cs="Times New Roman"/>
                      <w:b/>
                      <w:bCs/>
                      <w:color w:val="auto"/>
                      <w:sz w:val="21"/>
                      <w:szCs w:val="21"/>
                      <w:shd w:val="clear" w:color="auto" w:fill="auto"/>
                      <w:lang w:eastAsia="zh-CN"/>
                    </w:rPr>
                    <w:t>序号</w:t>
                  </w:r>
                </w:p>
              </w:tc>
              <w:tc>
                <w:tcPr>
                  <w:tcW w:w="4427"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shd w:val="clear" w:color="auto" w:fill="auto"/>
                      <w:lang w:eastAsia="zh-CN"/>
                    </w:rPr>
                  </w:pPr>
                  <w:r>
                    <w:rPr>
                      <w:rFonts w:hint="default" w:ascii="Times New Roman" w:hAnsi="Times New Roman" w:eastAsia="宋体" w:cs="Times New Roman"/>
                      <w:b/>
                      <w:bCs/>
                      <w:color w:val="auto"/>
                      <w:sz w:val="21"/>
                      <w:szCs w:val="21"/>
                      <w:shd w:val="clear" w:color="auto" w:fill="auto"/>
                      <w:lang w:eastAsia="zh-CN"/>
                    </w:rPr>
                    <w:t>负面清单</w:t>
                  </w:r>
                </w:p>
              </w:tc>
              <w:tc>
                <w:tcPr>
                  <w:tcW w:w="2026"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shd w:val="clear" w:color="auto" w:fill="auto"/>
                    </w:rPr>
                  </w:pPr>
                  <w:r>
                    <w:rPr>
                      <w:rFonts w:hint="default" w:ascii="Times New Roman" w:hAnsi="Times New Roman" w:eastAsia="宋体" w:cs="Times New Roman"/>
                      <w:b/>
                      <w:bCs/>
                      <w:color w:val="auto"/>
                      <w:sz w:val="21"/>
                      <w:szCs w:val="21"/>
                      <w:shd w:val="clear" w:color="auto" w:fill="auto"/>
                    </w:rPr>
                    <w:t>本项目情况</w:t>
                  </w:r>
                </w:p>
              </w:tc>
              <w:tc>
                <w:tcPr>
                  <w:tcW w:w="527"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shd w:val="clear" w:color="auto" w:fill="auto"/>
                    </w:rPr>
                  </w:pPr>
                  <w:r>
                    <w:rPr>
                      <w:rFonts w:ascii="宋体" w:hAnsi="宋体"/>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77" w:hRule="atLeast"/>
                <w:jc w:val="center"/>
              </w:trPr>
              <w:tc>
                <w:tcPr>
                  <w:tcW w:w="510"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eastAsia="宋体" w:cs="Times New Roman"/>
                      <w:b w:val="0"/>
                      <w:bCs w:val="0"/>
                      <w:color w:val="auto"/>
                      <w:sz w:val="21"/>
                      <w:szCs w:val="21"/>
                      <w:shd w:val="clear" w:color="auto" w:fill="auto"/>
                      <w:lang w:val="en-US" w:eastAsia="zh-CN"/>
                    </w:rPr>
                  </w:pPr>
                  <w:r>
                    <w:rPr>
                      <w:rFonts w:hint="default" w:ascii="Times New Roman" w:hAnsi="Times New Roman" w:eastAsia="宋体" w:cs="Times New Roman"/>
                      <w:b w:val="0"/>
                      <w:bCs w:val="0"/>
                      <w:color w:val="auto"/>
                      <w:sz w:val="21"/>
                      <w:szCs w:val="21"/>
                      <w:shd w:val="clear" w:color="auto" w:fill="auto"/>
                      <w:lang w:val="en-US" w:eastAsia="zh-CN"/>
                    </w:rPr>
                    <w:t>1</w:t>
                  </w:r>
                </w:p>
              </w:tc>
              <w:tc>
                <w:tcPr>
                  <w:tcW w:w="4427" w:type="dxa"/>
                  <w:noWrap w:val="0"/>
                  <w:vAlign w:val="center"/>
                </w:tcPr>
                <w:p>
                  <w:pPr>
                    <w:spacing w:line="240" w:lineRule="auto"/>
                    <w:jc w:val="center"/>
                    <w:rPr>
                      <w:rFonts w:hint="default" w:ascii="Times New Roman" w:hAnsi="Times New Roman" w:eastAsia="宋体" w:cs="Times New Roman"/>
                      <w:color w:val="auto"/>
                      <w:sz w:val="21"/>
                      <w:szCs w:val="21"/>
                      <w:shd w:val="clear" w:color="auto" w:fill="auto"/>
                      <w:lang w:eastAsia="zh-CN"/>
                    </w:rPr>
                  </w:pPr>
                  <w:r>
                    <w:rPr>
                      <w:rFonts w:hint="default" w:ascii="Times New Roman" w:hAnsi="Times New Roman" w:eastAsia="宋体" w:cs="Times New Roman"/>
                      <w:color w:val="auto"/>
                      <w:sz w:val="21"/>
                      <w:szCs w:val="21"/>
                      <w:shd w:val="clear" w:color="auto" w:fill="auto"/>
                    </w:rPr>
                    <w:t>禁止建设不符合全国和省级港口布局规划以及港口总体规划的码头项目，禁止建设不符合《长江干线过江通道布局规划》的长江通道项目</w:t>
                  </w:r>
                </w:p>
              </w:tc>
              <w:tc>
                <w:tcPr>
                  <w:tcW w:w="2026"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rPr>
                    <w:t>本项目不属于码头项目</w:t>
                  </w:r>
                  <w:r>
                    <w:rPr>
                      <w:rFonts w:hint="eastAsia" w:ascii="Times New Roman" w:hAnsi="Times New Roman" w:eastAsia="宋体" w:cs="Times New Roman"/>
                      <w:b w:val="0"/>
                      <w:bCs w:val="0"/>
                      <w:color w:val="auto"/>
                      <w:sz w:val="21"/>
                      <w:szCs w:val="21"/>
                      <w:shd w:val="clear" w:color="auto" w:fill="auto"/>
                      <w:lang w:eastAsia="zh-CN"/>
                    </w:rPr>
                    <w:t>，</w:t>
                  </w:r>
                  <w:r>
                    <w:rPr>
                      <w:rFonts w:hint="default" w:ascii="Times New Roman" w:hAnsi="Times New Roman" w:eastAsia="宋体" w:cs="Times New Roman"/>
                      <w:b w:val="0"/>
                      <w:bCs w:val="0"/>
                      <w:color w:val="auto"/>
                      <w:sz w:val="21"/>
                      <w:szCs w:val="21"/>
                      <w:shd w:val="clear" w:color="auto" w:fill="auto"/>
                    </w:rPr>
                    <w:t>且不属于长江通道项目</w:t>
                  </w:r>
                </w:p>
              </w:tc>
              <w:tc>
                <w:tcPr>
                  <w:tcW w:w="527"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10" w:type="dxa"/>
                  <w:noWrap w:val="0"/>
                  <w:vAlign w:val="center"/>
                </w:tcPr>
                <w:p>
                  <w:pPr>
                    <w:pStyle w:val="18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shd w:val="clear" w:color="auto" w:fill="auto"/>
                      <w:lang w:val="en-US" w:eastAsia="zh-CN"/>
                    </w:rPr>
                  </w:pPr>
                  <w:r>
                    <w:rPr>
                      <w:rFonts w:hint="default" w:ascii="Times New Roman" w:hAnsi="Times New Roman" w:eastAsia="宋体" w:cs="Times New Roman"/>
                      <w:b w:val="0"/>
                      <w:bCs w:val="0"/>
                      <w:color w:val="auto"/>
                      <w:sz w:val="21"/>
                      <w:szCs w:val="21"/>
                      <w:shd w:val="clear" w:color="auto" w:fill="auto"/>
                      <w:lang w:val="en-US" w:eastAsia="zh-CN"/>
                    </w:rPr>
                    <w:t>2</w:t>
                  </w:r>
                </w:p>
              </w:tc>
              <w:tc>
                <w:tcPr>
                  <w:tcW w:w="4427" w:type="dxa"/>
                  <w:noWrap w:val="0"/>
                  <w:vAlign w:val="center"/>
                </w:tcPr>
                <w:p>
                  <w:pPr>
                    <w:widowControl/>
                    <w:spacing w:line="240" w:lineRule="auto"/>
                    <w:jc w:val="center"/>
                    <w:rPr>
                      <w:rFonts w:hint="default" w:ascii="Times New Roman" w:hAnsi="Times New Roman" w:eastAsia="宋体" w:cs="Times New Roman"/>
                      <w:color w:val="auto"/>
                      <w:sz w:val="21"/>
                      <w:szCs w:val="21"/>
                      <w:shd w:val="clear" w:color="auto" w:fill="auto"/>
                    </w:rPr>
                  </w:pPr>
                  <w:r>
                    <w:rPr>
                      <w:rFonts w:hint="default" w:ascii="Times New Roman" w:hAnsi="Times New Roman" w:eastAsia="宋体" w:cs="Times New Roman"/>
                      <w:color w:val="auto"/>
                      <w:sz w:val="21"/>
                      <w:szCs w:val="21"/>
                      <w:shd w:val="clear" w:color="auto" w:fill="auto"/>
                    </w:rPr>
                    <w:t>禁止在自然保护区核心区、缓冲区的岸线和河段范围内投资建设旅游和生产经营项目。禁止在风景名胜区核心景区的岸线和河段范围内投资建设与风景名胜资源保护无关的项目</w:t>
                  </w:r>
                </w:p>
              </w:tc>
              <w:tc>
                <w:tcPr>
                  <w:tcW w:w="2026"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本项目位于</w:t>
                  </w:r>
                  <w:r>
                    <w:rPr>
                      <w:rFonts w:hint="eastAsia" w:ascii="Times New Roman" w:hAnsi="Times New Roman" w:eastAsia="宋体" w:cs="Times New Roman"/>
                      <w:color w:val="auto"/>
                      <w:sz w:val="21"/>
                      <w:szCs w:val="21"/>
                      <w:lang w:eastAsia="zh-CN"/>
                    </w:rPr>
                    <w:t>四川省遂宁市蓬溪县金桥镇创业四支路1号</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kern w:val="21"/>
                      <w:sz w:val="21"/>
                      <w:szCs w:val="21"/>
                      <w:lang w:val="en-US" w:eastAsia="zh-CN"/>
                    </w:rPr>
                    <w:t>属于</w:t>
                  </w:r>
                  <w:r>
                    <w:rPr>
                      <w:rFonts w:hint="eastAsia" w:ascii="Times New Roman" w:hAnsi="Times New Roman" w:eastAsia="宋体" w:cs="Times New Roman"/>
                      <w:color w:val="auto"/>
                      <w:kern w:val="21"/>
                      <w:sz w:val="21"/>
                      <w:szCs w:val="21"/>
                      <w:lang w:eastAsia="zh-CN"/>
                    </w:rPr>
                    <w:t>四川蓬溪经济开发区（金桥片</w:t>
                  </w:r>
                  <w:r>
                    <w:rPr>
                      <w:rFonts w:hint="eastAsia" w:ascii="Times New Roman" w:hAnsi="Times New Roman" w:eastAsia="宋体" w:cs="Times New Roman"/>
                      <w:color w:val="auto"/>
                      <w:kern w:val="21"/>
                      <w:sz w:val="21"/>
                      <w:szCs w:val="21"/>
                      <w:lang w:val="en-US" w:eastAsia="zh-CN"/>
                    </w:rPr>
                    <w:t>区</w:t>
                  </w:r>
                  <w:r>
                    <w:rPr>
                      <w:rFonts w:hint="eastAsia" w:ascii="Times New Roman" w:hAnsi="Times New Roman" w:eastAsia="宋体" w:cs="Times New Roman"/>
                      <w:color w:val="auto"/>
                      <w:kern w:val="21"/>
                      <w:sz w:val="21"/>
                      <w:szCs w:val="21"/>
                      <w:lang w:eastAsia="zh-CN"/>
                    </w:rPr>
                    <w:t>）</w:t>
                  </w:r>
                  <w:r>
                    <w:rPr>
                      <w:rFonts w:hint="default" w:ascii="Times New Roman" w:hAnsi="Times New Roman" w:eastAsia="宋体" w:cs="Times New Roman"/>
                      <w:b w:val="0"/>
                      <w:bCs w:val="0"/>
                      <w:color w:val="auto"/>
                      <w:sz w:val="21"/>
                      <w:szCs w:val="21"/>
                      <w:shd w:val="clear" w:color="auto" w:fill="auto"/>
                    </w:rPr>
                    <w:t>，不涉及自然保护区及风景名胜区</w:t>
                  </w:r>
                </w:p>
              </w:tc>
              <w:tc>
                <w:tcPr>
                  <w:tcW w:w="527"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10"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3</w:t>
                  </w:r>
                </w:p>
              </w:tc>
              <w:tc>
                <w:tcPr>
                  <w:tcW w:w="4427" w:type="dxa"/>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禁止在饮用水水源一级保护区的岸线和河段范围内新建、改建、扩建与供水设施和保护水源无关的项目，以及网箱养殖、畜禽养殖、旅游等可能污染饮用水源二级保护区的岸线和河段范围内新建、改建、扩建排放污染物的投资建设项目。</w:t>
                  </w:r>
                </w:p>
              </w:tc>
              <w:tc>
                <w:tcPr>
                  <w:tcW w:w="2026"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val="en-US" w:eastAsia="zh-CN"/>
                    </w:rPr>
                  </w:pPr>
                  <w:r>
                    <w:rPr>
                      <w:rFonts w:hint="default" w:ascii="Times New Roman" w:hAnsi="Times New Roman" w:eastAsia="宋体" w:cs="Times New Roman"/>
                      <w:b w:val="0"/>
                      <w:bCs w:val="0"/>
                      <w:color w:val="auto"/>
                      <w:sz w:val="21"/>
                      <w:szCs w:val="21"/>
                      <w:shd w:val="clear" w:color="auto" w:fill="auto"/>
                      <w:lang w:val="en-US" w:eastAsia="zh-CN"/>
                    </w:rPr>
                    <w:t>项目选址不涉及饮用水源保护区</w:t>
                  </w:r>
                </w:p>
              </w:tc>
              <w:tc>
                <w:tcPr>
                  <w:tcW w:w="527"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10" w:type="dxa"/>
                  <w:noWrap w:val="0"/>
                  <w:vAlign w:val="center"/>
                </w:tcPr>
                <w:p>
                  <w:pPr>
                    <w:pStyle w:val="132"/>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firstLine="0"/>
                    <w:jc w:val="center"/>
                    <w:textAlignment w:val="auto"/>
                    <w:rPr>
                      <w:rFonts w:hint="default" w:ascii="Times New Roman" w:hAnsi="Times New Roman" w:eastAsia="宋体" w:cs="Times New Roman"/>
                      <w:b w:val="0"/>
                      <w:bCs w:val="0"/>
                      <w:color w:val="auto"/>
                      <w:kern w:val="2"/>
                      <w:sz w:val="21"/>
                      <w:szCs w:val="18"/>
                      <w:u w:val="none"/>
                      <w:shd w:val="clear" w:color="auto" w:fill="auto"/>
                      <w:lang w:val="en-US" w:eastAsia="zh-CN" w:bidi="zh-TW"/>
                    </w:rPr>
                  </w:pPr>
                  <w:r>
                    <w:rPr>
                      <w:rFonts w:hint="default" w:ascii="Times New Roman" w:hAnsi="Times New Roman" w:eastAsia="宋体" w:cs="Times New Roman"/>
                      <w:b w:val="0"/>
                      <w:bCs w:val="0"/>
                      <w:color w:val="auto"/>
                      <w:kern w:val="2"/>
                      <w:sz w:val="21"/>
                      <w:szCs w:val="18"/>
                      <w:u w:val="none"/>
                      <w:shd w:val="clear" w:color="auto" w:fill="auto"/>
                      <w:lang w:val="en-US" w:eastAsia="zh-CN" w:bidi="zh-TW"/>
                    </w:rPr>
                    <w:t>4</w:t>
                  </w:r>
                </w:p>
              </w:tc>
              <w:tc>
                <w:tcPr>
                  <w:tcW w:w="4427" w:type="dxa"/>
                  <w:noWrap w:val="0"/>
                  <w:vAlign w:val="center"/>
                </w:tcPr>
                <w:p>
                  <w:pPr>
                    <w:pStyle w:val="132"/>
                    <w:keepNext w:val="0"/>
                    <w:keepLines w:val="0"/>
                    <w:widowControl w:val="0"/>
                    <w:shd w:val="clear" w:color="auto" w:fill="auto"/>
                    <w:bidi w:val="0"/>
                    <w:spacing w:before="0" w:after="0" w:line="313" w:lineRule="exact"/>
                    <w:ind w:left="0" w:right="0" w:firstLine="0"/>
                    <w:jc w:val="center"/>
                    <w:rPr>
                      <w:rFonts w:hint="default" w:ascii="Times New Roman" w:hAnsi="Times New Roman" w:eastAsia="宋体" w:cs="Times New Roman"/>
                      <w:color w:val="auto"/>
                      <w:kern w:val="2"/>
                      <w:sz w:val="21"/>
                      <w:szCs w:val="18"/>
                      <w:u w:val="none"/>
                      <w:shd w:val="clear" w:color="auto" w:fill="auto"/>
                      <w:lang w:val="zh-TW" w:eastAsia="zh-TW" w:bidi="zh-TW"/>
                    </w:rPr>
                  </w:pPr>
                  <w:r>
                    <w:rPr>
                      <w:rFonts w:hint="default" w:ascii="Times New Roman" w:hAnsi="Times New Roman" w:eastAsia="宋体" w:cs="Times New Roman"/>
                      <w:color w:val="auto"/>
                      <w:kern w:val="2"/>
                      <w:sz w:val="21"/>
                      <w:szCs w:val="18"/>
                      <w:u w:val="none"/>
                      <w:shd w:val="clear" w:color="auto" w:fill="auto"/>
                      <w:lang w:val="zh-TW" w:eastAsia="zh-TW" w:bidi="zh-TW"/>
                    </w:rPr>
                    <w:t>禁止在水产种质资源保护区的岸线和河段范围新建围湖、造田、围海造地或围填海等投资建设项目。禁止在国家湿地公园的岸线和河段范围内挖沙、采矿，以及任何不符合主体功能定位的投资建设项目</w:t>
                  </w:r>
                </w:p>
              </w:tc>
              <w:tc>
                <w:tcPr>
                  <w:tcW w:w="2026"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val="en-US" w:eastAsia="zh-CN"/>
                    </w:rPr>
                  </w:pPr>
                  <w:r>
                    <w:rPr>
                      <w:rFonts w:hint="default" w:ascii="Times New Roman" w:hAnsi="Times New Roman" w:eastAsia="宋体" w:cs="Times New Roman"/>
                      <w:b w:val="0"/>
                      <w:bCs w:val="0"/>
                      <w:color w:val="auto"/>
                      <w:sz w:val="21"/>
                      <w:szCs w:val="21"/>
                      <w:shd w:val="clear" w:color="auto" w:fill="auto"/>
                      <w:lang w:val="en-US" w:eastAsia="zh-CN"/>
                    </w:rPr>
                    <w:t>本项目选址不涉及水产种质资源保护区</w:t>
                  </w:r>
                </w:p>
              </w:tc>
              <w:tc>
                <w:tcPr>
                  <w:tcW w:w="527"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10" w:type="dxa"/>
                  <w:noWrap w:val="0"/>
                  <w:vAlign w:val="center"/>
                </w:tcPr>
                <w:p>
                  <w:pPr>
                    <w:pStyle w:val="132"/>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firstLine="0"/>
                    <w:jc w:val="center"/>
                    <w:textAlignment w:val="auto"/>
                    <w:rPr>
                      <w:rFonts w:hint="default" w:ascii="Times New Roman" w:hAnsi="Times New Roman" w:eastAsia="宋体" w:cs="Times New Roman"/>
                      <w:b w:val="0"/>
                      <w:bCs w:val="0"/>
                      <w:color w:val="auto"/>
                      <w:spacing w:val="0"/>
                      <w:w w:val="100"/>
                      <w:position w:val="0"/>
                      <w:sz w:val="21"/>
                      <w:szCs w:val="18"/>
                      <w:lang w:val="en-US" w:eastAsia="zh-CN"/>
                    </w:rPr>
                  </w:pPr>
                  <w:r>
                    <w:rPr>
                      <w:rFonts w:hint="default" w:ascii="Times New Roman" w:hAnsi="Times New Roman" w:eastAsia="宋体" w:cs="Times New Roman"/>
                      <w:b w:val="0"/>
                      <w:bCs w:val="0"/>
                      <w:color w:val="auto"/>
                      <w:spacing w:val="0"/>
                      <w:w w:val="100"/>
                      <w:position w:val="0"/>
                      <w:sz w:val="21"/>
                      <w:szCs w:val="18"/>
                      <w:lang w:val="en-US" w:eastAsia="zh-CN"/>
                    </w:rPr>
                    <w:t>5</w:t>
                  </w:r>
                </w:p>
              </w:tc>
              <w:tc>
                <w:tcPr>
                  <w:tcW w:w="4427" w:type="dxa"/>
                  <w:noWrap w:val="0"/>
                  <w:vAlign w:val="center"/>
                </w:tcPr>
                <w:p>
                  <w:pPr>
                    <w:pStyle w:val="132"/>
                    <w:keepNext w:val="0"/>
                    <w:keepLines w:val="0"/>
                    <w:widowControl w:val="0"/>
                    <w:shd w:val="clear" w:color="auto" w:fill="auto"/>
                    <w:bidi w:val="0"/>
                    <w:spacing w:before="0" w:after="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lang w:eastAsia="zh-CN"/>
                    </w:rPr>
                  </w:pPr>
                  <w:r>
                    <w:rPr>
                      <w:rFonts w:hint="default" w:ascii="Times New Roman" w:hAnsi="Times New Roman" w:eastAsia="宋体" w:cs="Times New Roman"/>
                      <w:color w:val="auto"/>
                      <w:spacing w:val="0"/>
                      <w:w w:val="100"/>
                      <w:position w:val="0"/>
                      <w:sz w:val="21"/>
                      <w:szCs w:val="18"/>
                    </w:rPr>
                    <w:t>禁止违法利用、占用长江流域河湖岸线。禁止《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026"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本项目不位于《长江岸线保护和开发利用总体规划》划定的岸线保护区内</w:t>
                  </w:r>
                </w:p>
              </w:tc>
              <w:tc>
                <w:tcPr>
                  <w:tcW w:w="527"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10" w:type="dxa"/>
                  <w:noWrap w:val="0"/>
                  <w:vAlign w:val="center"/>
                </w:tcPr>
                <w:p>
                  <w:pPr>
                    <w:pStyle w:val="132"/>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firstLine="0"/>
                    <w:jc w:val="center"/>
                    <w:textAlignment w:val="auto"/>
                    <w:rPr>
                      <w:rFonts w:hint="default" w:ascii="Times New Roman" w:hAnsi="Times New Roman" w:eastAsia="宋体" w:cs="Times New Roman"/>
                      <w:b w:val="0"/>
                      <w:bCs w:val="0"/>
                      <w:color w:val="auto"/>
                      <w:spacing w:val="0"/>
                      <w:w w:val="100"/>
                      <w:position w:val="0"/>
                      <w:sz w:val="21"/>
                      <w:szCs w:val="18"/>
                      <w:lang w:val="en-US" w:eastAsia="zh-CN"/>
                    </w:rPr>
                  </w:pPr>
                  <w:r>
                    <w:rPr>
                      <w:rFonts w:hint="default" w:ascii="Times New Roman" w:hAnsi="Times New Roman" w:eastAsia="宋体" w:cs="Times New Roman"/>
                      <w:b w:val="0"/>
                      <w:bCs w:val="0"/>
                      <w:color w:val="auto"/>
                      <w:spacing w:val="0"/>
                      <w:w w:val="100"/>
                      <w:position w:val="0"/>
                      <w:sz w:val="21"/>
                      <w:szCs w:val="18"/>
                      <w:lang w:val="en-US" w:eastAsia="zh-CN"/>
                    </w:rPr>
                    <w:t>6</w:t>
                  </w:r>
                </w:p>
              </w:tc>
              <w:tc>
                <w:tcPr>
                  <w:tcW w:w="4427" w:type="dxa"/>
                  <w:noWrap w:val="0"/>
                  <w:vAlign w:val="center"/>
                </w:tcPr>
                <w:p>
                  <w:pPr>
                    <w:pStyle w:val="132"/>
                    <w:keepNext w:val="0"/>
                    <w:keepLines w:val="0"/>
                    <w:widowControl w:val="0"/>
                    <w:shd w:val="clear" w:color="auto" w:fill="auto"/>
                    <w:bidi w:val="0"/>
                    <w:spacing w:before="0" w:after="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禁止未经许可在长江干支流及湖泊新设、改设或扩大排污口</w:t>
                  </w:r>
                </w:p>
              </w:tc>
              <w:tc>
                <w:tcPr>
                  <w:tcW w:w="2026"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本项目不涉及在长江干支流及湖泊新设、改设或扩大排污口</w:t>
                  </w:r>
                </w:p>
              </w:tc>
              <w:tc>
                <w:tcPr>
                  <w:tcW w:w="527"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10" w:type="dxa"/>
                  <w:noWrap w:val="0"/>
                  <w:vAlign w:val="center"/>
                </w:tcPr>
                <w:p>
                  <w:pPr>
                    <w:pStyle w:val="132"/>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firstLine="0"/>
                    <w:jc w:val="center"/>
                    <w:textAlignment w:val="auto"/>
                    <w:rPr>
                      <w:rFonts w:hint="default" w:ascii="Times New Roman" w:hAnsi="Times New Roman" w:eastAsia="宋体" w:cs="Times New Roman"/>
                      <w:b w:val="0"/>
                      <w:bCs w:val="0"/>
                      <w:color w:val="auto"/>
                      <w:spacing w:val="0"/>
                      <w:w w:val="100"/>
                      <w:position w:val="0"/>
                      <w:sz w:val="21"/>
                      <w:szCs w:val="18"/>
                      <w:lang w:val="en-US" w:eastAsia="zh-CN"/>
                    </w:rPr>
                  </w:pPr>
                  <w:r>
                    <w:rPr>
                      <w:rFonts w:hint="default" w:ascii="Times New Roman" w:hAnsi="Times New Roman" w:eastAsia="宋体" w:cs="Times New Roman"/>
                      <w:b w:val="0"/>
                      <w:bCs w:val="0"/>
                      <w:color w:val="auto"/>
                      <w:spacing w:val="0"/>
                      <w:w w:val="100"/>
                      <w:position w:val="0"/>
                      <w:sz w:val="21"/>
                      <w:szCs w:val="18"/>
                      <w:lang w:val="en-US" w:eastAsia="zh-CN"/>
                    </w:rPr>
                    <w:t>7</w:t>
                  </w:r>
                </w:p>
              </w:tc>
              <w:tc>
                <w:tcPr>
                  <w:tcW w:w="4427" w:type="dxa"/>
                  <w:noWrap w:val="0"/>
                  <w:vAlign w:val="center"/>
                </w:tcPr>
                <w:p>
                  <w:pPr>
                    <w:pStyle w:val="132"/>
                    <w:keepNext w:val="0"/>
                    <w:keepLines w:val="0"/>
                    <w:widowControl w:val="0"/>
                    <w:shd w:val="clear" w:color="auto" w:fill="auto"/>
                    <w:bidi w:val="0"/>
                    <w:spacing w:before="0" w:after="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禁止在“一江一口两湖七河”和332个水生生物保护区开展生产性捕捞</w:t>
                  </w:r>
                </w:p>
              </w:tc>
              <w:tc>
                <w:tcPr>
                  <w:tcW w:w="2026"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rPr>
                    <w:t>本项目不涉及</w:t>
                  </w:r>
                  <w:r>
                    <w:rPr>
                      <w:rFonts w:hint="default" w:ascii="Times New Roman" w:hAnsi="Times New Roman" w:eastAsia="宋体" w:cs="Times New Roman"/>
                      <w:b w:val="0"/>
                      <w:bCs w:val="0"/>
                      <w:color w:val="auto"/>
                      <w:sz w:val="21"/>
                      <w:szCs w:val="21"/>
                      <w:shd w:val="clear" w:color="auto" w:fill="auto"/>
                      <w:lang w:eastAsia="zh-CN"/>
                    </w:rPr>
                    <w:t>捕捞</w:t>
                  </w:r>
                </w:p>
              </w:tc>
              <w:tc>
                <w:tcPr>
                  <w:tcW w:w="527"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10" w:type="dxa"/>
                  <w:noWrap w:val="0"/>
                  <w:vAlign w:val="center"/>
                </w:tcPr>
                <w:p>
                  <w:pPr>
                    <w:pStyle w:val="132"/>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firstLine="0"/>
                    <w:jc w:val="center"/>
                    <w:textAlignment w:val="auto"/>
                    <w:rPr>
                      <w:rFonts w:hint="default" w:ascii="Times New Roman" w:hAnsi="Times New Roman" w:eastAsia="宋体" w:cs="Times New Roman"/>
                      <w:b w:val="0"/>
                      <w:bCs w:val="0"/>
                      <w:color w:val="auto"/>
                      <w:spacing w:val="0"/>
                      <w:w w:val="100"/>
                      <w:position w:val="0"/>
                      <w:sz w:val="21"/>
                      <w:szCs w:val="18"/>
                      <w:lang w:val="en-US" w:eastAsia="zh-CN"/>
                    </w:rPr>
                  </w:pPr>
                  <w:r>
                    <w:rPr>
                      <w:rFonts w:hint="default" w:ascii="Times New Roman" w:hAnsi="Times New Roman" w:eastAsia="宋体" w:cs="Times New Roman"/>
                      <w:b w:val="0"/>
                      <w:bCs w:val="0"/>
                      <w:color w:val="auto"/>
                      <w:spacing w:val="0"/>
                      <w:w w:val="100"/>
                      <w:position w:val="0"/>
                      <w:sz w:val="21"/>
                      <w:szCs w:val="18"/>
                      <w:lang w:val="en-US" w:eastAsia="zh-CN"/>
                    </w:rPr>
                    <w:t>8</w:t>
                  </w:r>
                </w:p>
              </w:tc>
              <w:tc>
                <w:tcPr>
                  <w:tcW w:w="4427" w:type="dxa"/>
                  <w:noWrap w:val="0"/>
                  <w:vAlign w:val="center"/>
                </w:tcPr>
                <w:p>
                  <w:pPr>
                    <w:pStyle w:val="132"/>
                    <w:keepNext w:val="0"/>
                    <w:keepLines w:val="0"/>
                    <w:widowControl w:val="0"/>
                    <w:shd w:val="clear" w:color="auto" w:fill="auto"/>
                    <w:bidi w:val="0"/>
                    <w:spacing w:before="0" w:after="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禁止在长江干支流、重要湖泊岸线一公里内新建、扩建化工园区和化工项目。禁止在长江岸线三公里范围内和重要支流岸线一公里范围内新建、改建、扩建尾矿库、冶炼</w:t>
                  </w:r>
                  <w:r>
                    <w:rPr>
                      <w:rFonts w:hint="eastAsia" w:ascii="Times New Roman" w:hAnsi="Times New Roman" w:cs="Times New Roman"/>
                      <w:color w:val="auto"/>
                      <w:spacing w:val="0"/>
                      <w:w w:val="100"/>
                      <w:position w:val="0"/>
                      <w:sz w:val="21"/>
                      <w:szCs w:val="18"/>
                      <w:lang w:val="en-US" w:eastAsia="zh-CN"/>
                    </w:rPr>
                    <w:t>废</w:t>
                  </w:r>
                  <w:r>
                    <w:rPr>
                      <w:rFonts w:hint="default" w:ascii="Times New Roman" w:hAnsi="Times New Roman" w:eastAsia="宋体" w:cs="Times New Roman"/>
                      <w:color w:val="auto"/>
                      <w:spacing w:val="0"/>
                      <w:w w:val="100"/>
                      <w:position w:val="0"/>
                      <w:sz w:val="21"/>
                      <w:szCs w:val="18"/>
                    </w:rPr>
                    <w:t>渣库和磷石膏库，以提升安全、生态环境保护水平为目的的改建除外</w:t>
                  </w:r>
                </w:p>
              </w:tc>
              <w:tc>
                <w:tcPr>
                  <w:tcW w:w="2026"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rPr>
                    <w:t>本项目不</w:t>
                  </w:r>
                  <w:r>
                    <w:rPr>
                      <w:rFonts w:hint="default" w:ascii="Times New Roman" w:hAnsi="Times New Roman" w:eastAsia="宋体" w:cs="Times New Roman"/>
                      <w:b w:val="0"/>
                      <w:bCs w:val="0"/>
                      <w:color w:val="auto"/>
                      <w:sz w:val="21"/>
                      <w:szCs w:val="21"/>
                      <w:shd w:val="clear" w:color="auto" w:fill="auto"/>
                      <w:lang w:eastAsia="zh-CN"/>
                    </w:rPr>
                    <w:t>涉及</w:t>
                  </w:r>
                  <w:r>
                    <w:rPr>
                      <w:rFonts w:hint="default" w:ascii="Times New Roman" w:hAnsi="Times New Roman" w:eastAsia="宋体" w:cs="Times New Roman"/>
                      <w:b w:val="0"/>
                      <w:bCs w:val="0"/>
                      <w:color w:val="auto"/>
                      <w:sz w:val="21"/>
                      <w:szCs w:val="21"/>
                      <w:shd w:val="clear" w:color="auto" w:fill="auto"/>
                    </w:rPr>
                    <w:t>化工</w:t>
                  </w:r>
                  <w:r>
                    <w:rPr>
                      <w:rFonts w:hint="default" w:ascii="Times New Roman" w:hAnsi="Times New Roman" w:eastAsia="宋体" w:cs="Times New Roman"/>
                      <w:b w:val="0"/>
                      <w:bCs w:val="0"/>
                      <w:color w:val="auto"/>
                      <w:sz w:val="21"/>
                      <w:szCs w:val="21"/>
                      <w:shd w:val="clear" w:color="auto" w:fill="auto"/>
                      <w:lang w:eastAsia="zh-CN"/>
                    </w:rPr>
                    <w:t>、</w:t>
                  </w:r>
                  <w:r>
                    <w:rPr>
                      <w:rFonts w:hint="default" w:ascii="Times New Roman" w:hAnsi="Times New Roman" w:eastAsia="宋体" w:cs="Times New Roman"/>
                      <w:b w:val="0"/>
                      <w:bCs w:val="0"/>
                      <w:color w:val="auto"/>
                      <w:spacing w:val="0"/>
                      <w:w w:val="100"/>
                      <w:position w:val="0"/>
                      <w:sz w:val="21"/>
                      <w:szCs w:val="18"/>
                    </w:rPr>
                    <w:t>尾矿库、冶炼</w:t>
                  </w:r>
                  <w:r>
                    <w:rPr>
                      <w:rFonts w:hint="eastAsia" w:cs="Times New Roman"/>
                      <w:b w:val="0"/>
                      <w:bCs w:val="0"/>
                      <w:color w:val="auto"/>
                      <w:spacing w:val="0"/>
                      <w:w w:val="100"/>
                      <w:position w:val="0"/>
                      <w:sz w:val="21"/>
                      <w:szCs w:val="18"/>
                      <w:lang w:val="en-US" w:eastAsia="zh-CN"/>
                    </w:rPr>
                    <w:t>废</w:t>
                  </w:r>
                  <w:r>
                    <w:rPr>
                      <w:rFonts w:hint="default" w:ascii="Times New Roman" w:hAnsi="Times New Roman" w:eastAsia="宋体" w:cs="Times New Roman"/>
                      <w:b w:val="0"/>
                      <w:bCs w:val="0"/>
                      <w:color w:val="auto"/>
                      <w:spacing w:val="0"/>
                      <w:w w:val="100"/>
                      <w:position w:val="0"/>
                      <w:sz w:val="21"/>
                      <w:szCs w:val="18"/>
                    </w:rPr>
                    <w:t>渣库和磷石膏库</w:t>
                  </w:r>
                  <w:r>
                    <w:rPr>
                      <w:rFonts w:hint="default" w:ascii="Times New Roman" w:hAnsi="Times New Roman" w:eastAsia="宋体" w:cs="Times New Roman"/>
                      <w:b w:val="0"/>
                      <w:bCs w:val="0"/>
                      <w:color w:val="auto"/>
                      <w:spacing w:val="0"/>
                      <w:w w:val="100"/>
                      <w:position w:val="0"/>
                      <w:sz w:val="21"/>
                      <w:szCs w:val="18"/>
                      <w:lang w:eastAsia="zh-CN"/>
                    </w:rPr>
                    <w:t>项目</w:t>
                  </w:r>
                </w:p>
              </w:tc>
              <w:tc>
                <w:tcPr>
                  <w:tcW w:w="527"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10" w:type="dxa"/>
                  <w:noWrap w:val="0"/>
                  <w:vAlign w:val="center"/>
                </w:tcPr>
                <w:p>
                  <w:pPr>
                    <w:pStyle w:val="132"/>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firstLine="0"/>
                    <w:jc w:val="center"/>
                    <w:textAlignment w:val="auto"/>
                    <w:rPr>
                      <w:rFonts w:hint="default" w:ascii="Times New Roman" w:hAnsi="Times New Roman" w:eastAsia="宋体" w:cs="Times New Roman"/>
                      <w:b w:val="0"/>
                      <w:bCs w:val="0"/>
                      <w:color w:val="auto"/>
                      <w:spacing w:val="0"/>
                      <w:w w:val="100"/>
                      <w:position w:val="0"/>
                      <w:sz w:val="21"/>
                      <w:szCs w:val="18"/>
                      <w:lang w:val="en-US" w:eastAsia="zh-CN"/>
                    </w:rPr>
                  </w:pPr>
                  <w:r>
                    <w:rPr>
                      <w:rFonts w:hint="default" w:ascii="Times New Roman" w:hAnsi="Times New Roman" w:eastAsia="宋体" w:cs="Times New Roman"/>
                      <w:b w:val="0"/>
                      <w:bCs w:val="0"/>
                      <w:color w:val="auto"/>
                      <w:spacing w:val="0"/>
                      <w:w w:val="100"/>
                      <w:position w:val="0"/>
                      <w:sz w:val="21"/>
                      <w:szCs w:val="18"/>
                      <w:lang w:val="en-US" w:eastAsia="zh-CN"/>
                    </w:rPr>
                    <w:t>9</w:t>
                  </w:r>
                </w:p>
              </w:tc>
              <w:tc>
                <w:tcPr>
                  <w:tcW w:w="4427" w:type="dxa"/>
                  <w:noWrap w:val="0"/>
                  <w:vAlign w:val="center"/>
                </w:tcPr>
                <w:p>
                  <w:pPr>
                    <w:pStyle w:val="132"/>
                    <w:keepNext w:val="0"/>
                    <w:keepLines w:val="0"/>
                    <w:widowControl w:val="0"/>
                    <w:shd w:val="clear" w:color="auto" w:fill="auto"/>
                    <w:bidi w:val="0"/>
                    <w:spacing w:before="0" w:after="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禁止在合规园区外新建、扩建钢铁、石化、化工、焦化、建材、有色、制浆造纸等高污染项目</w:t>
                  </w:r>
                </w:p>
              </w:tc>
              <w:tc>
                <w:tcPr>
                  <w:tcW w:w="2026"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本项目不</w:t>
                  </w:r>
                  <w:r>
                    <w:rPr>
                      <w:rFonts w:hint="default" w:ascii="Times New Roman" w:hAnsi="Times New Roman" w:eastAsia="宋体" w:cs="Times New Roman"/>
                      <w:b w:val="0"/>
                      <w:bCs w:val="0"/>
                      <w:color w:val="auto"/>
                      <w:sz w:val="21"/>
                      <w:szCs w:val="21"/>
                      <w:shd w:val="clear" w:color="auto" w:fill="auto"/>
                      <w:lang w:eastAsia="zh-CN"/>
                    </w:rPr>
                    <w:t>涉及</w:t>
                  </w:r>
                  <w:r>
                    <w:rPr>
                      <w:rFonts w:hint="default" w:ascii="Times New Roman" w:hAnsi="Times New Roman" w:eastAsia="宋体" w:cs="Times New Roman"/>
                      <w:b w:val="0"/>
                      <w:bCs w:val="0"/>
                      <w:color w:val="auto"/>
                      <w:spacing w:val="0"/>
                      <w:w w:val="100"/>
                      <w:position w:val="0"/>
                      <w:sz w:val="21"/>
                      <w:szCs w:val="18"/>
                    </w:rPr>
                    <w:t>钢铁、石化、化工、焦化、建材、有色、制浆造纸等高污染项目</w:t>
                  </w:r>
                </w:p>
              </w:tc>
              <w:tc>
                <w:tcPr>
                  <w:tcW w:w="527"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10" w:type="dxa"/>
                  <w:noWrap w:val="0"/>
                  <w:vAlign w:val="center"/>
                </w:tcPr>
                <w:p>
                  <w:pPr>
                    <w:pStyle w:val="132"/>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firstLine="0"/>
                    <w:jc w:val="center"/>
                    <w:textAlignment w:val="auto"/>
                    <w:rPr>
                      <w:rFonts w:hint="default" w:ascii="Times New Roman" w:hAnsi="Times New Roman" w:eastAsia="宋体" w:cs="Times New Roman"/>
                      <w:b w:val="0"/>
                      <w:bCs w:val="0"/>
                      <w:color w:val="auto"/>
                      <w:spacing w:val="0"/>
                      <w:w w:val="100"/>
                      <w:position w:val="0"/>
                      <w:sz w:val="21"/>
                      <w:szCs w:val="18"/>
                      <w:lang w:val="en-US" w:eastAsia="zh-CN"/>
                    </w:rPr>
                  </w:pPr>
                  <w:r>
                    <w:rPr>
                      <w:rFonts w:hint="default" w:ascii="Times New Roman" w:hAnsi="Times New Roman" w:eastAsia="宋体" w:cs="Times New Roman"/>
                      <w:b w:val="0"/>
                      <w:bCs w:val="0"/>
                      <w:color w:val="auto"/>
                      <w:spacing w:val="0"/>
                      <w:w w:val="100"/>
                      <w:position w:val="0"/>
                      <w:sz w:val="21"/>
                      <w:szCs w:val="18"/>
                      <w:lang w:val="en-US" w:eastAsia="zh-CN"/>
                    </w:rPr>
                    <w:t>10</w:t>
                  </w:r>
                </w:p>
              </w:tc>
              <w:tc>
                <w:tcPr>
                  <w:tcW w:w="4427" w:type="dxa"/>
                  <w:noWrap w:val="0"/>
                  <w:vAlign w:val="center"/>
                </w:tcPr>
                <w:p>
                  <w:pPr>
                    <w:pStyle w:val="132"/>
                    <w:keepNext w:val="0"/>
                    <w:keepLines w:val="0"/>
                    <w:widowControl w:val="0"/>
                    <w:shd w:val="clear" w:color="auto" w:fill="auto"/>
                    <w:bidi w:val="0"/>
                    <w:spacing w:before="0" w:after="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禁止在新建、扩建不符合国家石化、现代煤化工等产业布局规划的项目</w:t>
                  </w:r>
                </w:p>
              </w:tc>
              <w:tc>
                <w:tcPr>
                  <w:tcW w:w="2026"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rPr>
                    <w:t>本项目不</w:t>
                  </w:r>
                  <w:r>
                    <w:rPr>
                      <w:rFonts w:hint="default" w:ascii="Times New Roman" w:hAnsi="Times New Roman" w:eastAsia="宋体" w:cs="Times New Roman"/>
                      <w:b w:val="0"/>
                      <w:bCs w:val="0"/>
                      <w:color w:val="auto"/>
                      <w:sz w:val="21"/>
                      <w:szCs w:val="21"/>
                      <w:shd w:val="clear" w:color="auto" w:fill="auto"/>
                      <w:lang w:eastAsia="zh-CN"/>
                    </w:rPr>
                    <w:t>涉及</w:t>
                  </w:r>
                  <w:r>
                    <w:rPr>
                      <w:rFonts w:hint="default" w:ascii="Times New Roman" w:hAnsi="Times New Roman" w:eastAsia="宋体" w:cs="Times New Roman"/>
                      <w:b w:val="0"/>
                      <w:bCs w:val="0"/>
                      <w:color w:val="auto"/>
                      <w:spacing w:val="0"/>
                      <w:w w:val="100"/>
                      <w:position w:val="0"/>
                      <w:sz w:val="21"/>
                      <w:szCs w:val="18"/>
                    </w:rPr>
                    <w:t>石化、现代煤化工等</w:t>
                  </w:r>
                  <w:r>
                    <w:rPr>
                      <w:rFonts w:hint="default" w:ascii="Times New Roman" w:hAnsi="Times New Roman" w:eastAsia="宋体" w:cs="Times New Roman"/>
                      <w:b w:val="0"/>
                      <w:bCs w:val="0"/>
                      <w:color w:val="auto"/>
                      <w:spacing w:val="0"/>
                      <w:w w:val="100"/>
                      <w:position w:val="0"/>
                      <w:sz w:val="21"/>
                      <w:szCs w:val="18"/>
                      <w:lang w:eastAsia="zh-CN"/>
                    </w:rPr>
                    <w:t>项目</w:t>
                  </w:r>
                </w:p>
              </w:tc>
              <w:tc>
                <w:tcPr>
                  <w:tcW w:w="527"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10" w:type="dxa"/>
                  <w:noWrap w:val="0"/>
                  <w:vAlign w:val="center"/>
                </w:tcPr>
                <w:p>
                  <w:pPr>
                    <w:pStyle w:val="132"/>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firstLine="0"/>
                    <w:jc w:val="center"/>
                    <w:textAlignment w:val="auto"/>
                    <w:rPr>
                      <w:rFonts w:hint="default" w:ascii="Times New Roman" w:hAnsi="Times New Roman" w:eastAsia="宋体" w:cs="Times New Roman"/>
                      <w:b w:val="0"/>
                      <w:bCs w:val="0"/>
                      <w:color w:val="auto"/>
                      <w:spacing w:val="0"/>
                      <w:w w:val="100"/>
                      <w:position w:val="0"/>
                      <w:sz w:val="21"/>
                      <w:szCs w:val="18"/>
                      <w:lang w:val="en-US" w:eastAsia="zh-CN"/>
                    </w:rPr>
                  </w:pPr>
                  <w:r>
                    <w:rPr>
                      <w:rFonts w:hint="default" w:ascii="Times New Roman" w:hAnsi="Times New Roman" w:eastAsia="宋体" w:cs="Times New Roman"/>
                      <w:b w:val="0"/>
                      <w:bCs w:val="0"/>
                      <w:color w:val="auto"/>
                      <w:spacing w:val="0"/>
                      <w:w w:val="100"/>
                      <w:position w:val="0"/>
                      <w:sz w:val="21"/>
                      <w:szCs w:val="18"/>
                      <w:lang w:val="en-US" w:eastAsia="zh-CN"/>
                    </w:rPr>
                    <w:t>11</w:t>
                  </w:r>
                </w:p>
              </w:tc>
              <w:tc>
                <w:tcPr>
                  <w:tcW w:w="4427" w:type="dxa"/>
                  <w:noWrap w:val="0"/>
                  <w:vAlign w:val="center"/>
                </w:tcPr>
                <w:p>
                  <w:pPr>
                    <w:pStyle w:val="132"/>
                    <w:keepNext w:val="0"/>
                    <w:keepLines w:val="0"/>
                    <w:widowControl w:val="0"/>
                    <w:shd w:val="clear" w:color="auto" w:fill="auto"/>
                    <w:bidi w:val="0"/>
                    <w:spacing w:before="0" w:after="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禁止再新建、扩建法律法规和相关政策明令禁止的落后产能项目。禁止新建、扩建不符合国家产能置换要求的严重过剩产能行业的项目。禁止新建、扩建不符合要求的高能耗高排放项目。</w:t>
                  </w:r>
                </w:p>
              </w:tc>
              <w:tc>
                <w:tcPr>
                  <w:tcW w:w="2026"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本项目符合国家现行产业政策，不属于落后、过剩、高能耗高排放项目</w:t>
                  </w:r>
                </w:p>
              </w:tc>
              <w:tc>
                <w:tcPr>
                  <w:tcW w:w="527"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10" w:type="dxa"/>
                  <w:noWrap w:val="0"/>
                  <w:vAlign w:val="center"/>
                </w:tcPr>
                <w:p>
                  <w:pPr>
                    <w:pStyle w:val="132"/>
                    <w:keepNext w:val="0"/>
                    <w:keepLines w:val="0"/>
                    <w:pageBreakBefore w:val="0"/>
                    <w:widowControl w:val="0"/>
                    <w:shd w:val="clear" w:color="auto" w:fill="auto"/>
                    <w:kinsoku/>
                    <w:wordWrap/>
                    <w:overflowPunct/>
                    <w:topLinePunct w:val="0"/>
                    <w:autoSpaceDE/>
                    <w:autoSpaceDN/>
                    <w:bidi w:val="0"/>
                    <w:spacing w:before="0" w:after="0" w:line="240" w:lineRule="auto"/>
                    <w:ind w:left="0" w:leftChars="0" w:right="0" w:firstLine="0"/>
                    <w:jc w:val="center"/>
                    <w:textAlignment w:val="auto"/>
                    <w:rPr>
                      <w:rFonts w:hint="default" w:ascii="Times New Roman" w:hAnsi="Times New Roman" w:eastAsia="宋体" w:cs="Times New Roman"/>
                      <w:b w:val="0"/>
                      <w:bCs w:val="0"/>
                      <w:color w:val="auto"/>
                      <w:spacing w:val="0"/>
                      <w:w w:val="100"/>
                      <w:position w:val="0"/>
                      <w:sz w:val="21"/>
                      <w:szCs w:val="18"/>
                      <w:lang w:val="en-US" w:eastAsia="zh-CN"/>
                    </w:rPr>
                  </w:pPr>
                  <w:r>
                    <w:rPr>
                      <w:rFonts w:hint="default" w:ascii="Times New Roman" w:hAnsi="Times New Roman" w:eastAsia="宋体" w:cs="Times New Roman"/>
                      <w:b w:val="0"/>
                      <w:bCs w:val="0"/>
                      <w:color w:val="auto"/>
                      <w:spacing w:val="0"/>
                      <w:w w:val="100"/>
                      <w:position w:val="0"/>
                      <w:sz w:val="21"/>
                      <w:szCs w:val="18"/>
                      <w:lang w:val="en-US" w:eastAsia="zh-CN"/>
                    </w:rPr>
                    <w:t>12</w:t>
                  </w:r>
                </w:p>
              </w:tc>
              <w:tc>
                <w:tcPr>
                  <w:tcW w:w="4427" w:type="dxa"/>
                  <w:noWrap w:val="0"/>
                  <w:vAlign w:val="center"/>
                </w:tcPr>
                <w:p>
                  <w:pPr>
                    <w:pStyle w:val="132"/>
                    <w:keepNext w:val="0"/>
                    <w:keepLines w:val="0"/>
                    <w:widowControl w:val="0"/>
                    <w:shd w:val="clear" w:color="auto" w:fill="auto"/>
                    <w:bidi w:val="0"/>
                    <w:spacing w:before="0" w:after="0" w:line="312" w:lineRule="exact"/>
                    <w:ind w:left="0" w:leftChars="0" w:right="0" w:rightChars="0" w:firstLine="0" w:firstLineChars="0"/>
                    <w:jc w:val="center"/>
                    <w:rPr>
                      <w:rFonts w:hint="default" w:ascii="Times New Roman" w:hAnsi="Times New Roman" w:eastAsia="宋体" w:cs="Times New Roman"/>
                      <w:color w:val="auto"/>
                      <w:spacing w:val="0"/>
                      <w:w w:val="100"/>
                      <w:position w:val="0"/>
                      <w:sz w:val="21"/>
                      <w:szCs w:val="18"/>
                    </w:rPr>
                  </w:pPr>
                  <w:r>
                    <w:rPr>
                      <w:rFonts w:hint="default" w:ascii="Times New Roman" w:hAnsi="Times New Roman" w:eastAsia="宋体" w:cs="Times New Roman"/>
                      <w:color w:val="auto"/>
                      <w:spacing w:val="0"/>
                      <w:w w:val="100"/>
                      <w:position w:val="0"/>
                      <w:sz w:val="21"/>
                      <w:szCs w:val="18"/>
                    </w:rPr>
                    <w:t>法律法规及相关政策文件有更加严格的规定的从其规定。</w:t>
                  </w:r>
                </w:p>
              </w:tc>
              <w:tc>
                <w:tcPr>
                  <w:tcW w:w="2026"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rPr>
                  </w:pPr>
                  <w:r>
                    <w:rPr>
                      <w:rFonts w:hint="default" w:ascii="Times New Roman" w:hAnsi="Times New Roman" w:eastAsia="宋体" w:cs="Times New Roman"/>
                      <w:b w:val="0"/>
                      <w:bCs w:val="0"/>
                      <w:color w:val="auto"/>
                      <w:sz w:val="21"/>
                      <w:szCs w:val="21"/>
                      <w:shd w:val="clear" w:color="auto" w:fill="auto"/>
                    </w:rPr>
                    <w:t>项目建设严格遵守法律法规及相关政策文件</w:t>
                  </w:r>
                </w:p>
              </w:tc>
              <w:tc>
                <w:tcPr>
                  <w:tcW w:w="527" w:type="dxa"/>
                  <w:noWrap w:val="0"/>
                  <w:vAlign w:val="center"/>
                </w:tcPr>
                <w:p>
                  <w:pPr>
                    <w:spacing w:line="240" w:lineRule="auto"/>
                    <w:jc w:val="center"/>
                    <w:rPr>
                      <w:rFonts w:hint="default" w:ascii="Times New Roman" w:hAnsi="Times New Roman" w:eastAsia="宋体" w:cs="Times New Roman"/>
                      <w:b w:val="0"/>
                      <w:bCs w:val="0"/>
                      <w:color w:val="auto"/>
                      <w:sz w:val="21"/>
                      <w:szCs w:val="21"/>
                      <w:shd w:val="clear" w:color="auto" w:fill="auto"/>
                      <w:lang w:eastAsia="zh-CN"/>
                    </w:rPr>
                  </w:pPr>
                  <w:r>
                    <w:rPr>
                      <w:rFonts w:hint="default" w:ascii="Times New Roman" w:hAnsi="Times New Roman" w:eastAsia="宋体" w:cs="Times New Roman"/>
                      <w:b w:val="0"/>
                      <w:bCs w:val="0"/>
                      <w:color w:val="auto"/>
                      <w:sz w:val="21"/>
                      <w:szCs w:val="21"/>
                      <w:shd w:val="clear" w:color="auto" w:fill="auto"/>
                      <w:lang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rFonts w:hint="default" w:ascii="Times New Roman" w:hAnsi="Times New Roman" w:cs="Times New Roman"/>
                <w:color w:val="auto"/>
                <w:lang w:eastAsia="zh-CN"/>
              </w:rPr>
            </w:pPr>
            <w:r>
              <w:rPr>
                <w:rFonts w:hint="default" w:ascii="Times New Roman" w:hAnsi="Times New Roman" w:cs="Times New Roman"/>
                <w:color w:val="auto"/>
                <w:kern w:val="0"/>
                <w:sz w:val="24"/>
                <w:szCs w:val="24"/>
                <w:lang w:val="en-US" w:eastAsia="zh-CN"/>
              </w:rPr>
              <w:t>根据</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zh-CN" w:eastAsia="zh-CN"/>
              </w:rPr>
              <w:t>四川省、重庆市长江经济带发展负面清单实施细则（试行，2022年版）</w:t>
            </w:r>
            <w:r>
              <w:rPr>
                <w:rFonts w:hint="default" w:ascii="Times New Roman" w:hAnsi="Times New Roman" w:cs="Times New Roman"/>
                <w:color w:val="auto"/>
                <w:kern w:val="0"/>
                <w:sz w:val="24"/>
                <w:szCs w:val="24"/>
                <w:lang w:val="en-US" w:eastAsia="zh-CN"/>
              </w:rPr>
              <w:t>》</w:t>
            </w:r>
            <w:r>
              <w:rPr>
                <w:rFonts w:hint="default" w:ascii="Times New Roman" w:hAnsi="Times New Roman" w:cs="Times New Roman"/>
                <w:color w:val="auto"/>
                <w:kern w:val="0"/>
                <w:sz w:val="24"/>
                <w:szCs w:val="24"/>
              </w:rPr>
              <w:t>，本项目不在其禁止准入类和限制准入类中</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详情见下表。</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黑体" w:cs="Times New Roman"/>
                <w:color w:val="auto"/>
                <w:sz w:val="21"/>
                <w:szCs w:val="24"/>
                <w:lang w:val="zh-CN" w:eastAsia="zh-CN"/>
              </w:rPr>
            </w:pPr>
            <w:r>
              <w:rPr>
                <w:rFonts w:hint="default" w:ascii="Times New Roman" w:hAnsi="Times New Roman" w:eastAsia="宋体" w:cs="Times New Roman"/>
                <w:b/>
                <w:bCs/>
                <w:color w:val="auto"/>
                <w:sz w:val="21"/>
                <w:szCs w:val="24"/>
                <w:lang w:val="zh-CN" w:eastAsia="zh-CN"/>
              </w:rPr>
              <w:t>表</w:t>
            </w:r>
            <w:r>
              <w:rPr>
                <w:rFonts w:hint="default" w:ascii="Times New Roman" w:hAnsi="Times New Roman" w:eastAsia="宋体" w:cs="Times New Roman"/>
                <w:b/>
                <w:bCs/>
                <w:color w:val="auto"/>
                <w:sz w:val="21"/>
                <w:szCs w:val="24"/>
                <w:lang w:val="en-US" w:eastAsia="zh-CN"/>
              </w:rPr>
              <w:t>1-</w:t>
            </w:r>
            <w:r>
              <w:rPr>
                <w:rFonts w:hint="eastAsia" w:ascii="Times New Roman" w:hAnsi="Times New Roman" w:eastAsia="宋体" w:cs="Times New Roman"/>
                <w:b/>
                <w:bCs/>
                <w:color w:val="auto"/>
                <w:sz w:val="21"/>
                <w:szCs w:val="24"/>
                <w:lang w:val="en-US" w:eastAsia="zh-CN"/>
              </w:rPr>
              <w:t>9</w:t>
            </w:r>
            <w:r>
              <w:rPr>
                <w:rFonts w:hint="default" w:ascii="Times New Roman" w:hAnsi="Times New Roman" w:eastAsia="宋体" w:cs="Times New Roman"/>
                <w:b/>
                <w:bCs/>
                <w:color w:val="auto"/>
                <w:sz w:val="21"/>
                <w:szCs w:val="24"/>
                <w:lang w:val="en-US" w:eastAsia="zh-CN"/>
              </w:rPr>
              <w:t xml:space="preserve"> </w:t>
            </w:r>
            <w:r>
              <w:rPr>
                <w:rFonts w:hint="default" w:ascii="Times New Roman" w:hAnsi="Times New Roman" w:eastAsia="宋体" w:cs="Times New Roman"/>
                <w:b/>
                <w:bCs/>
                <w:color w:val="auto"/>
                <w:sz w:val="21"/>
                <w:szCs w:val="24"/>
                <w:lang w:val="zh-CN" w:eastAsia="zh-CN"/>
              </w:rPr>
              <w:t>与《四川省、重庆市长江经济带发展负面清单实施细则（试行，2022年版）》符合性分析表</w:t>
            </w:r>
          </w:p>
          <w:tbl>
            <w:tblPr>
              <w:tblStyle w:val="36"/>
              <w:tblW w:w="74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4"/>
              <w:gridCol w:w="5176"/>
              <w:gridCol w:w="1429"/>
              <w:gridCol w:w="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序号</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负面清单</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本项目情况</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zh-CN" w:eastAsia="zh-CN"/>
                    </w:rPr>
                    <w:t>符合</w:t>
                  </w:r>
                  <w:r>
                    <w:rPr>
                      <w:rFonts w:hint="default" w:ascii="Times New Roman" w:hAnsi="Times New Roman" w:eastAsia="宋体" w:cs="Times New Roman"/>
                      <w:b/>
                      <w:bCs/>
                      <w:color w:val="auto"/>
                      <w:sz w:val="21"/>
                      <w:szCs w:val="21"/>
                      <w:lang w:val="en-US" w:eastAsia="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1</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禁止新建、改建和扩建不符合全国港口布局规划，以及《四川省内河水运发展规划》《泸州</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zh-CN" w:eastAsia="zh-CN"/>
                    </w:rPr>
                    <w:t>宜宾</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zh-CN" w:eastAsia="zh-CN"/>
                    </w:rPr>
                    <w:t>乐山港口群布局规划》《重庆港总体规划（2035年）》等省级港口布局规划及市级港口总体规划的码头项目。</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本项目不涉及码头建设</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2</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禁止新建、改建和扩建不符合《长江干线过江通道布局规划（2020 -2035年）》的过长江通道项目（含桥梁、隧道），国家发展改革委同意过长江通道线位调整的除外。</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本项目不涉及长江通道工程</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b w:val="0"/>
                      <w:bCs/>
                      <w:color w:val="auto"/>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3</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禁止在自然保护区核心区、缓冲区的岸线和河段范围内投资建设旅游和生产经营项目。自然保护区的内部未分区的，依照核心区和缓冲区的规定管控。</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w:t>
                  </w:r>
                  <w:r>
                    <w:rPr>
                      <w:rFonts w:hint="default" w:ascii="Times New Roman" w:hAnsi="Times New Roman" w:eastAsia="宋体" w:cs="Times New Roman"/>
                      <w:color w:val="auto"/>
                      <w:sz w:val="21"/>
                      <w:szCs w:val="21"/>
                      <w:lang w:val="zh-CN" w:eastAsia="zh-CN"/>
                    </w:rPr>
                    <w:t>自然保护区</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b w:val="0"/>
                      <w:bCs/>
                      <w:color w:val="auto"/>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4</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禁止违反风景名胜区规划，在风景名胜区内设立各类开发区。禁止在风景名胜区核心景区的岸线和河段范围内建设宾馆、招待所、培训中心、疗养院以及与风景名胜资源保护无关的项目。</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本项目不涉及</w:t>
                  </w:r>
                  <w:r>
                    <w:rPr>
                      <w:rFonts w:hint="default" w:ascii="Times New Roman" w:hAnsi="Times New Roman" w:eastAsia="宋体" w:cs="Times New Roman"/>
                      <w:color w:val="auto"/>
                      <w:sz w:val="21"/>
                      <w:szCs w:val="21"/>
                      <w:lang w:val="zh-CN" w:eastAsia="zh-CN"/>
                    </w:rPr>
                    <w:t>风景名胜区</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b w:val="0"/>
                      <w:bCs/>
                      <w:color w:val="auto"/>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5</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禁止在饮用水水源准保护区的岸线和河段范围内新建、扩建对水体污染严重的建设项目，禁止改建增加排污量的建设项目。</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本项目不涉及饮用水源</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b w:val="0"/>
                      <w:bCs/>
                      <w:color w:val="auto"/>
                      <w:kern w:val="2"/>
                      <w:sz w:val="21"/>
                      <w:szCs w:val="21"/>
                      <w:vertAlign w:val="baseli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6</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饮用水水源二级保护区的岸线和河段范围内，除遵守准保护区规定外，禁止新建、改建、扩建排放污染物的投资建设项目；禁止从事对水体有污染的水产养殖等活动。</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本项目不涉及饮用水源</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7</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w:t>
                  </w:r>
                  <w:r>
                    <w:rPr>
                      <w:rFonts w:hint="default" w:ascii="Times New Roman" w:hAnsi="Times New Roman" w:eastAsia="宋体" w:cs="Times New Roman"/>
                      <w:color w:val="auto"/>
                      <w:sz w:val="21"/>
                      <w:szCs w:val="21"/>
                      <w:lang w:val="zh-CN" w:eastAsia="zh-CN"/>
                    </w:rPr>
                    <w:t>饮用水水源一级保护区</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8</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禁止在水产种质资源保护区岸线和河段范围内新建围湖造田、围湖造地或挖沙采石等投资建设项目。</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w:t>
                  </w:r>
                  <w:r>
                    <w:rPr>
                      <w:rFonts w:hint="default" w:ascii="Times New Roman" w:hAnsi="Times New Roman" w:eastAsia="宋体" w:cs="Times New Roman"/>
                      <w:color w:val="auto"/>
                      <w:sz w:val="21"/>
                      <w:szCs w:val="21"/>
                      <w:lang w:val="zh-CN" w:eastAsia="zh-CN"/>
                    </w:rPr>
                    <w:t>水产种质资源保护区</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9</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ascii="Times New Roman" w:hAnsi="Times New Roman" w:eastAsia="宋体" w:cs="Times New Roman"/>
                      <w:color w:val="auto"/>
                      <w:sz w:val="21"/>
                      <w:szCs w:val="21"/>
                      <w:lang w:val="zh-CN" w:eastAsia="zh-CN"/>
                    </w:rPr>
                    <w:t>洄</w:t>
                  </w:r>
                  <w:r>
                    <w:rPr>
                      <w:rFonts w:hint="default" w:ascii="Times New Roman" w:hAnsi="Times New Roman" w:eastAsia="宋体" w:cs="Times New Roman"/>
                      <w:color w:val="auto"/>
                      <w:sz w:val="21"/>
                      <w:szCs w:val="21"/>
                      <w:lang w:val="zh-CN" w:eastAsia="zh-CN"/>
                    </w:rPr>
                    <w:t>游通道。</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本项目不涉及</w:t>
                  </w:r>
                  <w:r>
                    <w:rPr>
                      <w:rFonts w:hint="default" w:ascii="Times New Roman" w:hAnsi="Times New Roman" w:eastAsia="宋体" w:cs="Times New Roman"/>
                      <w:color w:val="auto"/>
                      <w:sz w:val="21"/>
                      <w:szCs w:val="21"/>
                      <w:lang w:val="zh-CN" w:eastAsia="zh-CN"/>
                    </w:rPr>
                    <w:t>国家湿地公园</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10</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本项目不涉及长江岸线保护区和岸线保留区</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11</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禁止在《全国重要江河湖泊水功能区划》划定的河段及湖泊保护区、保留区内投资建设不利于水资源及自然生态保护的项目。</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本项目不涉及相关</w:t>
                  </w:r>
                  <w:r>
                    <w:rPr>
                      <w:rFonts w:hint="default" w:ascii="Times New Roman" w:hAnsi="Times New Roman" w:eastAsia="宋体" w:cs="Times New Roman"/>
                      <w:color w:val="auto"/>
                      <w:sz w:val="21"/>
                      <w:szCs w:val="21"/>
                      <w:lang w:val="zh-CN" w:eastAsia="zh-CN"/>
                    </w:rPr>
                    <w:t>保护区</w:t>
                  </w:r>
                  <w:r>
                    <w:rPr>
                      <w:rFonts w:hint="default"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lang w:val="zh-CN" w:eastAsia="zh-CN"/>
                    </w:rPr>
                    <w:t>保留区</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12</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禁止在长江流域江河、湖泊新设、改设或者扩大排污口，经有管辖权的生态环境主管部门或者长江流域生态环境监督管理机构同意的除外。</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本项目生活污水经处理后排入园区管网</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13</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禁止在长江干流、大渡河、岷江、赤水河、沱江、嘉陵江、</w:t>
                  </w:r>
                  <w:r>
                    <w:rPr>
                      <w:rFonts w:hint="eastAsia" w:cs="Times New Roman"/>
                      <w:color w:val="auto"/>
                      <w:sz w:val="21"/>
                      <w:szCs w:val="21"/>
                      <w:lang w:val="en-US" w:eastAsia="zh-CN"/>
                    </w:rPr>
                    <w:t>乌</w:t>
                  </w:r>
                  <w:r>
                    <w:rPr>
                      <w:rFonts w:hint="default" w:ascii="Times New Roman" w:hAnsi="Times New Roman" w:eastAsia="宋体" w:cs="Times New Roman"/>
                      <w:color w:val="auto"/>
                      <w:sz w:val="21"/>
                      <w:szCs w:val="21"/>
                      <w:lang w:val="zh-CN" w:eastAsia="zh-CN"/>
                    </w:rPr>
                    <w:t>江、汉江和51个（四川省45个、重庆市6个）水生生物保护区开展生产性捕捞。</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本项目不涉及相关</w:t>
                  </w:r>
                  <w:r>
                    <w:rPr>
                      <w:rFonts w:hint="default" w:ascii="Times New Roman" w:hAnsi="Times New Roman" w:eastAsia="宋体" w:cs="Times New Roman"/>
                      <w:color w:val="auto"/>
                      <w:sz w:val="21"/>
                      <w:szCs w:val="21"/>
                      <w:lang w:val="zh-CN" w:eastAsia="zh-CN"/>
                    </w:rPr>
                    <w:t>水生生物保护区，</w:t>
                  </w:r>
                  <w:r>
                    <w:rPr>
                      <w:rFonts w:hint="default" w:ascii="Times New Roman" w:hAnsi="Times New Roman" w:eastAsia="宋体" w:cs="Times New Roman"/>
                      <w:color w:val="auto"/>
                      <w:sz w:val="21"/>
                      <w:szCs w:val="21"/>
                      <w:lang w:val="en-US" w:eastAsia="zh-CN"/>
                    </w:rPr>
                    <w:t>不进行</w:t>
                  </w:r>
                  <w:r>
                    <w:rPr>
                      <w:rFonts w:hint="default" w:ascii="Times New Roman" w:hAnsi="Times New Roman" w:eastAsia="宋体" w:cs="Times New Roman"/>
                      <w:color w:val="auto"/>
                      <w:sz w:val="21"/>
                      <w:szCs w:val="21"/>
                      <w:lang w:val="zh-CN" w:eastAsia="zh-CN"/>
                    </w:rPr>
                    <w:t>生产性</w:t>
                  </w:r>
                  <w:r>
                    <w:rPr>
                      <w:rFonts w:hint="default" w:ascii="Times New Roman" w:hAnsi="Times New Roman" w:eastAsia="宋体" w:cs="Times New Roman"/>
                      <w:color w:val="auto"/>
                      <w:sz w:val="21"/>
                      <w:szCs w:val="21"/>
                      <w:lang w:val="en-US" w:eastAsia="zh-CN"/>
                    </w:rPr>
                    <w:t>捕捞作业</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14</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禁止在长江干流岸线三公里范围内和重要支流岸线一公里范围内新建、改建、扩建尾矿库、冶炼</w:t>
                  </w:r>
                  <w:r>
                    <w:rPr>
                      <w:rFonts w:hint="eastAsia" w:cs="Times New Roman"/>
                      <w:color w:val="auto"/>
                      <w:sz w:val="21"/>
                      <w:szCs w:val="21"/>
                      <w:lang w:val="en-US" w:eastAsia="zh-CN"/>
                    </w:rPr>
                    <w:t>废</w:t>
                  </w:r>
                  <w:r>
                    <w:rPr>
                      <w:rFonts w:hint="default" w:ascii="Times New Roman" w:hAnsi="Times New Roman" w:eastAsia="宋体" w:cs="Times New Roman"/>
                      <w:color w:val="auto"/>
                      <w:sz w:val="21"/>
                      <w:szCs w:val="21"/>
                      <w:lang w:val="zh-CN" w:eastAsia="zh-CN"/>
                    </w:rPr>
                    <w:t>渣库、磷石膏库，以提升安全、生态环境保护水平为目的的改建除外。</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w:t>
                  </w:r>
                  <w:r>
                    <w:rPr>
                      <w:rFonts w:hint="eastAsia" w:ascii="Times New Roman" w:hAnsi="Times New Roman" w:eastAsia="宋体" w:cs="Times New Roman"/>
                      <w:color w:val="auto"/>
                      <w:sz w:val="21"/>
                      <w:szCs w:val="21"/>
                      <w:lang w:val="en-US" w:eastAsia="zh-CN"/>
                    </w:rPr>
                    <w:t>尾</w:t>
                  </w:r>
                  <w:r>
                    <w:rPr>
                      <w:rFonts w:hint="default" w:ascii="Times New Roman" w:hAnsi="Times New Roman" w:eastAsia="宋体" w:cs="Times New Roman"/>
                      <w:color w:val="auto"/>
                      <w:sz w:val="21"/>
                      <w:szCs w:val="21"/>
                      <w:lang w:val="zh-CN" w:eastAsia="zh-CN"/>
                    </w:rPr>
                    <w:t>矿库、</w:t>
                  </w:r>
                  <w:r>
                    <w:rPr>
                      <w:rFonts w:hint="eastAsia" w:cs="Times New Roman"/>
                      <w:color w:val="auto"/>
                      <w:sz w:val="21"/>
                      <w:szCs w:val="21"/>
                      <w:lang w:val="zh-CN" w:eastAsia="zh-CN"/>
                    </w:rPr>
                    <w:t>冶炼废渣库</w:t>
                  </w:r>
                  <w:r>
                    <w:rPr>
                      <w:rFonts w:hint="default" w:ascii="Times New Roman" w:hAnsi="Times New Roman" w:eastAsia="宋体" w:cs="Times New Roman"/>
                      <w:color w:val="auto"/>
                      <w:sz w:val="21"/>
                      <w:szCs w:val="21"/>
                      <w:lang w:val="zh-CN" w:eastAsia="zh-CN"/>
                    </w:rPr>
                    <w:t>、磷石膏库</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15</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第二十条禁止在生态保护红线区域、永久基本农田集中区域和其他需要特别保护的区域内选址建设尾矿库、</w:t>
                  </w:r>
                  <w:r>
                    <w:rPr>
                      <w:rFonts w:hint="eastAsia" w:cs="Times New Roman"/>
                      <w:color w:val="auto"/>
                      <w:sz w:val="21"/>
                      <w:szCs w:val="21"/>
                      <w:lang w:val="zh-CN" w:eastAsia="zh-CN"/>
                    </w:rPr>
                    <w:t>冶炼废渣库</w:t>
                  </w:r>
                  <w:r>
                    <w:rPr>
                      <w:rFonts w:hint="default" w:ascii="Times New Roman" w:hAnsi="Times New Roman" w:eastAsia="宋体" w:cs="Times New Roman"/>
                      <w:color w:val="auto"/>
                      <w:sz w:val="21"/>
                      <w:szCs w:val="21"/>
                      <w:lang w:val="zh-CN" w:eastAsia="zh-CN"/>
                    </w:rPr>
                    <w:t>、磷石膏库。</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本项目不涉及生态保护红线，不设置</w:t>
                  </w:r>
                  <w:r>
                    <w:rPr>
                      <w:rFonts w:hint="default" w:ascii="Times New Roman" w:hAnsi="Times New Roman" w:eastAsia="宋体" w:cs="Times New Roman"/>
                      <w:color w:val="auto"/>
                      <w:sz w:val="21"/>
                      <w:szCs w:val="21"/>
                      <w:lang w:val="zh-CN" w:eastAsia="zh-CN"/>
                    </w:rPr>
                    <w:t>尾矿库、</w:t>
                  </w:r>
                  <w:r>
                    <w:rPr>
                      <w:rFonts w:hint="eastAsia" w:cs="Times New Roman"/>
                      <w:color w:val="auto"/>
                      <w:sz w:val="21"/>
                      <w:szCs w:val="21"/>
                      <w:lang w:val="zh-CN" w:eastAsia="zh-CN"/>
                    </w:rPr>
                    <w:t>冶炼废渣库</w:t>
                  </w:r>
                  <w:r>
                    <w:rPr>
                      <w:rFonts w:hint="default" w:ascii="Times New Roman" w:hAnsi="Times New Roman" w:eastAsia="宋体" w:cs="Times New Roman"/>
                      <w:color w:val="auto"/>
                      <w:sz w:val="21"/>
                      <w:szCs w:val="21"/>
                      <w:lang w:val="zh-CN" w:eastAsia="zh-CN"/>
                    </w:rPr>
                    <w:t>、磷石膏库</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16</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禁止在合规园区外新建、扩建钢铁、石化、化工、焦化、建材、有色、制浆造纸等高污染项目。</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本项目不属于高污染项目</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17</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禁止新建、扩建不符合国家石化、现代煤化工等产业布局规划的项目。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（一）严格控制新增炼油产能，未列入《石化产业规划布局方案（修订版）》的新增炼油产能-律不得建设。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（二）新建煤制烯</w:t>
                  </w:r>
                  <w:r>
                    <w:rPr>
                      <w:rFonts w:hint="default" w:ascii="Times New Roman" w:hAnsi="Times New Roman" w:cs="Times New Roman"/>
                      <w:color w:val="auto"/>
                      <w:sz w:val="21"/>
                      <w:szCs w:val="21"/>
                      <w:lang w:val="en-US" w:eastAsia="zh-CN"/>
                    </w:rPr>
                    <w:t>烃</w:t>
                  </w:r>
                  <w:r>
                    <w:rPr>
                      <w:rFonts w:hint="default" w:ascii="Times New Roman" w:hAnsi="Times New Roman" w:eastAsia="宋体" w:cs="Times New Roman"/>
                      <w:color w:val="auto"/>
                      <w:sz w:val="21"/>
                      <w:szCs w:val="21"/>
                      <w:lang w:val="zh-CN" w:eastAsia="zh-CN"/>
                    </w:rPr>
                    <w:t>、煤制芳</w:t>
                  </w:r>
                  <w:r>
                    <w:rPr>
                      <w:rFonts w:hint="default" w:ascii="Times New Roman" w:hAnsi="Times New Roman" w:cs="Times New Roman"/>
                      <w:color w:val="auto"/>
                      <w:sz w:val="21"/>
                      <w:szCs w:val="21"/>
                      <w:lang w:val="en-US" w:eastAsia="zh-CN"/>
                    </w:rPr>
                    <w:t>烃</w:t>
                  </w:r>
                  <w:r>
                    <w:rPr>
                      <w:rFonts w:hint="default" w:ascii="Times New Roman" w:hAnsi="Times New Roman" w:eastAsia="宋体" w:cs="Times New Roman"/>
                      <w:color w:val="auto"/>
                      <w:sz w:val="21"/>
                      <w:szCs w:val="21"/>
                      <w:lang w:val="zh-CN" w:eastAsia="zh-CN"/>
                    </w:rPr>
                    <w:t>项目必须列入《现代煤化工产业创新发展布局方案》，必须符合《现代煤化工建设项目环境准入条件》要求。</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w:t>
                  </w:r>
                  <w:r>
                    <w:rPr>
                      <w:rFonts w:hint="default" w:ascii="Times New Roman" w:hAnsi="Times New Roman" w:eastAsia="宋体" w:cs="Times New Roman"/>
                      <w:color w:val="auto"/>
                      <w:sz w:val="21"/>
                      <w:szCs w:val="21"/>
                      <w:lang w:val="zh-CN" w:eastAsia="zh-CN"/>
                    </w:rPr>
                    <w:t>石化、现代煤化工</w:t>
                  </w:r>
                  <w:r>
                    <w:rPr>
                      <w:rFonts w:hint="default" w:ascii="Times New Roman" w:hAnsi="Times New Roman" w:eastAsia="宋体" w:cs="Times New Roman"/>
                      <w:color w:val="auto"/>
                      <w:sz w:val="21"/>
                      <w:szCs w:val="21"/>
                      <w:lang w:val="en-US" w:eastAsia="zh-CN"/>
                    </w:rPr>
                    <w:t>产业</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18</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1"/>
                      <w:szCs w:val="21"/>
                      <w:lang w:val="en-US" w:eastAsia="zh-CN"/>
                    </w:rPr>
                    <w:t>本项目符合</w:t>
                  </w:r>
                  <w:r>
                    <w:rPr>
                      <w:rFonts w:hint="default" w:ascii="Times New Roman" w:hAnsi="Times New Roman" w:eastAsia="宋体" w:cs="Times New Roman"/>
                      <w:color w:val="auto"/>
                      <w:sz w:val="21"/>
                      <w:szCs w:val="21"/>
                      <w:lang w:val="zh-CN" w:eastAsia="zh-CN"/>
                    </w:rPr>
                    <w:t>《产业结构调整指导目录》</w:t>
                  </w:r>
                  <w:r>
                    <w:rPr>
                      <w:rFonts w:hint="default" w:ascii="Times New Roman" w:hAnsi="Times New Roman" w:eastAsia="宋体" w:cs="Times New Roman"/>
                      <w:color w:val="auto"/>
                      <w:sz w:val="21"/>
                      <w:szCs w:val="21"/>
                      <w:lang w:val="en-US" w:eastAsia="zh-CN"/>
                    </w:rPr>
                    <w:t>相关要求</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19</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禁止新建、扩建不符合国家产能置换要求的严重过剩产能行业的项目。对于不符合国家产能置换要求的严重过剩产能行业，不得以其他任何名义、任何方式备案新增产能项目。</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本项目不涉及产能过剩行业</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20</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禁止建设以下燃油汽车投资项目（不在中国境内销售产品的投资项目除外）：</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（一</w:t>
                  </w:r>
                  <w:r>
                    <w:rPr>
                      <w:rFonts w:hint="default" w:ascii="Times New Roman" w:hAnsi="Times New Roman" w:eastAsia="宋体" w:cs="Times New Roman"/>
                      <w:color w:val="auto"/>
                      <w:sz w:val="21"/>
                      <w:szCs w:val="21"/>
                      <w:lang w:val="zh-CN" w:eastAsia="zh-CN"/>
                    </w:rPr>
                    <w:t>）新建独立燃油汽车企业；</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（二）现有汽车企业跨乘用车、商用车类别建设燃油汽车生产能力；</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（三）外省现有燃油汽车企业整体搬迁至本省（列入国家级区域发展规划或不改变企业股权结构的项目除外）；</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（四）对行业管理部门特别公示的燃油汽车企业进行投资（企业原有股东投资或将该企业转为非独立法人的投资项目除</w:t>
                  </w:r>
                  <w:r>
                    <w:rPr>
                      <w:rFonts w:hint="default" w:ascii="Times New Roman" w:hAnsi="Times New Roman" w:eastAsia="宋体" w:cs="Times New Roman"/>
                      <w:color w:val="auto"/>
                      <w:sz w:val="21"/>
                      <w:szCs w:val="21"/>
                      <w:lang w:val="en-US" w:eastAsia="zh-CN"/>
                    </w:rPr>
                    <w:t>外）。</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w:t>
                  </w:r>
                  <w:r>
                    <w:rPr>
                      <w:rFonts w:hint="default" w:ascii="Times New Roman" w:hAnsi="Times New Roman" w:eastAsia="宋体" w:cs="Times New Roman"/>
                      <w:color w:val="auto"/>
                      <w:sz w:val="21"/>
                      <w:szCs w:val="21"/>
                      <w:lang w:val="zh-CN" w:eastAsia="zh-CN"/>
                    </w:rPr>
                    <w:t>燃油汽车投资项目</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5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517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第二十六条禁止新建、扩建不符合要求的高耗能、高排放、低水平项目。</w:t>
                  </w:r>
                </w:p>
              </w:tc>
              <w:tc>
                <w:tcPr>
                  <w:tcW w:w="14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本项目不属于上述项目</w:t>
                  </w:r>
                </w:p>
              </w:tc>
              <w:tc>
                <w:tcPr>
                  <w:tcW w:w="53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符合</w:t>
                  </w:r>
                </w:p>
              </w:tc>
            </w:tr>
          </w:tbl>
          <w:p>
            <w:pPr>
              <w:spacing w:line="360" w:lineRule="auto"/>
              <w:ind w:firstLine="480" w:firstLineChars="200"/>
              <w:rPr>
                <w:rFonts w:hint="eastAsia"/>
                <w:b/>
                <w:color w:val="auto"/>
                <w:sz w:val="24"/>
                <w:lang w:val="en-US" w:eastAsia="zh-CN"/>
              </w:rPr>
            </w:pPr>
            <w:r>
              <w:rPr>
                <w:rFonts w:hint="default" w:ascii="Times New Roman" w:hAnsi="Times New Roman" w:eastAsia="宋体" w:cs="Times New Roman"/>
                <w:color w:val="auto"/>
                <w:kern w:val="0"/>
                <w:sz w:val="24"/>
                <w:highlight w:val="none"/>
                <w:lang w:val="en-US" w:eastAsia="zh-CN"/>
              </w:rPr>
              <w:t>综上，本项目不在长江经济带发展负面清单范围内，符合相关要求</w:t>
            </w:r>
          </w:p>
          <w:p>
            <w:pPr>
              <w:spacing w:line="360" w:lineRule="auto"/>
              <w:ind w:firstLine="482" w:firstLineChars="200"/>
              <w:rPr>
                <w:b/>
                <w:color w:val="auto"/>
                <w:sz w:val="24"/>
              </w:rPr>
            </w:pPr>
            <w:r>
              <w:rPr>
                <w:rFonts w:hint="eastAsia"/>
                <w:b/>
                <w:color w:val="auto"/>
                <w:sz w:val="24"/>
                <w:lang w:val="en-US" w:eastAsia="zh-CN"/>
              </w:rPr>
              <w:t>7</w:t>
            </w:r>
            <w:r>
              <w:rPr>
                <w:b/>
                <w:color w:val="auto"/>
                <w:sz w:val="24"/>
              </w:rPr>
              <w:t>、选址合理性及外环境相容性分析</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本项目位于</w:t>
            </w:r>
            <w:r>
              <w:rPr>
                <w:rFonts w:hint="eastAsia" w:ascii="Times New Roman" w:hAnsi="Times New Roman" w:eastAsia="宋体" w:cs="Times New Roman"/>
                <w:color w:val="auto"/>
                <w:kern w:val="0"/>
                <w:sz w:val="24"/>
                <w:highlight w:val="none"/>
                <w:lang w:eastAsia="zh-CN"/>
              </w:rPr>
              <w:t>四川省遂宁市蓬溪县金桥镇创业四支路1号，</w:t>
            </w:r>
            <w:r>
              <w:rPr>
                <w:rFonts w:hint="eastAsia" w:ascii="Times New Roman" w:hAnsi="Times New Roman" w:eastAsia="宋体" w:cs="Times New Roman"/>
                <w:color w:val="auto"/>
                <w:kern w:val="0"/>
                <w:sz w:val="24"/>
                <w:highlight w:val="none"/>
                <w:lang w:val="en-US" w:eastAsia="zh-CN"/>
              </w:rPr>
              <w:t>租用四川翔丰华新能源材料有限公司已建厂房建设，</w:t>
            </w:r>
            <w:r>
              <w:rPr>
                <w:rFonts w:hint="default" w:ascii="Times New Roman" w:hAnsi="Times New Roman" w:eastAsia="宋体" w:cs="Times New Roman"/>
                <w:color w:val="auto"/>
                <w:kern w:val="0"/>
                <w:sz w:val="24"/>
                <w:highlight w:val="none"/>
              </w:rPr>
              <w:t>项目所在区域基础配套设施完善，地理区位优势较好，交通地理位置较为优越，环境质量良好，能满足本项目建设的相关要求。</w:t>
            </w:r>
          </w:p>
          <w:p>
            <w:pPr>
              <w:widowControl/>
              <w:spacing w:line="360" w:lineRule="auto"/>
              <w:ind w:firstLine="480" w:firstLineChars="200"/>
              <w:jc w:val="left"/>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项目外环境关系</w:t>
            </w:r>
            <w:r>
              <w:rPr>
                <w:rFonts w:hint="eastAsia" w:ascii="Times New Roman" w:hAnsi="Times New Roman" w:eastAsia="宋体" w:cs="Times New Roman"/>
                <w:color w:val="auto"/>
                <w:sz w:val="24"/>
              </w:rPr>
              <w:t>如下表所示</w:t>
            </w:r>
            <w:r>
              <w:rPr>
                <w:rFonts w:hint="eastAsia" w:ascii="Times New Roman" w:hAnsi="Times New Roman" w:eastAsia="宋体" w:cs="Times New Roman"/>
                <w:color w:val="auto"/>
                <w:sz w:val="24"/>
                <w:lang w:eastAsia="zh-CN"/>
              </w:rPr>
              <w:t>。</w:t>
            </w:r>
          </w:p>
          <w:p>
            <w:pPr>
              <w:widowControl/>
              <w:spacing w:line="360" w:lineRule="auto"/>
              <w:jc w:val="center"/>
              <w:rPr>
                <w:b/>
                <w:bCs/>
                <w:color w:val="auto"/>
                <w:szCs w:val="21"/>
              </w:rPr>
            </w:pPr>
            <w:r>
              <w:rPr>
                <w:rFonts w:hint="eastAsia" w:ascii="Times New Roman" w:hAnsi="Times New Roman" w:eastAsia="宋体" w:cs="Times New Roman"/>
                <w:b/>
                <w:color w:val="auto"/>
                <w:szCs w:val="21"/>
              </w:rPr>
              <w:t>表1-</w:t>
            </w:r>
            <w:r>
              <w:rPr>
                <w:rFonts w:hint="eastAsia" w:ascii="Times New Roman" w:hAnsi="Times New Roman" w:eastAsia="宋体" w:cs="Times New Roman"/>
                <w:b/>
                <w:color w:val="auto"/>
                <w:szCs w:val="21"/>
                <w:lang w:val="en-US" w:eastAsia="zh-CN"/>
              </w:rPr>
              <w:t>10</w:t>
            </w:r>
            <w:r>
              <w:rPr>
                <w:rFonts w:hint="eastAsia" w:ascii="Times New Roman" w:hAnsi="Times New Roman" w:eastAsia="宋体" w:cs="Times New Roman"/>
                <w:b/>
                <w:color w:val="auto"/>
                <w:szCs w:val="21"/>
              </w:rPr>
              <w:t xml:space="preserve"> </w:t>
            </w:r>
            <w:r>
              <w:rPr>
                <w:rFonts w:hint="eastAsia" w:ascii="Times New Roman" w:hAnsi="Times New Roman" w:eastAsia="宋体" w:cs="Times New Roman"/>
                <w:b/>
                <w:color w:val="auto"/>
                <w:szCs w:val="21"/>
                <w:lang w:val="en-US" w:eastAsia="zh-CN"/>
              </w:rPr>
              <w:t>项目</w:t>
            </w:r>
            <w:r>
              <w:rPr>
                <w:rFonts w:hint="eastAsia" w:ascii="Times New Roman" w:hAnsi="Times New Roman" w:eastAsia="宋体" w:cs="Times New Roman"/>
                <w:b/>
                <w:color w:val="auto"/>
                <w:szCs w:val="21"/>
              </w:rPr>
              <w:t>外环</w:t>
            </w:r>
            <w:r>
              <w:rPr>
                <w:rFonts w:hint="default" w:ascii="Times New Roman" w:hAnsi="Times New Roman" w:eastAsia="宋体" w:cs="Times New Roman"/>
                <w:b/>
                <w:color w:val="auto"/>
                <w:szCs w:val="21"/>
              </w:rPr>
              <w:t>境</w:t>
            </w:r>
            <w:r>
              <w:rPr>
                <w:rFonts w:hint="eastAsia"/>
                <w:b/>
                <w:color w:val="auto"/>
                <w:szCs w:val="21"/>
              </w:rPr>
              <w:t>关系</w:t>
            </w:r>
            <w:r>
              <w:rPr>
                <w:b/>
                <w:color w:val="auto"/>
                <w:szCs w:val="21"/>
              </w:rPr>
              <w:t>一览表</w:t>
            </w:r>
          </w:p>
          <w:tbl>
            <w:tblPr>
              <w:tblStyle w:val="36"/>
              <w:tblW w:w="75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725"/>
              <w:gridCol w:w="1735"/>
              <w:gridCol w:w="1710"/>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13"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b/>
                      <w:bCs/>
                      <w:color w:val="auto"/>
                      <w:sz w:val="21"/>
                      <w:szCs w:val="21"/>
                    </w:rPr>
                  </w:pPr>
                  <w:r>
                    <w:rPr>
                      <w:b/>
                      <w:bCs/>
                      <w:color w:val="auto"/>
                      <w:kern w:val="0"/>
                      <w:sz w:val="21"/>
                      <w:szCs w:val="21"/>
                      <w:lang w:bidi="ar"/>
                    </w:rPr>
                    <w:t>序号</w:t>
                  </w:r>
                </w:p>
              </w:tc>
              <w:tc>
                <w:tcPr>
                  <w:tcW w:w="17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b/>
                      <w:bCs/>
                      <w:color w:val="auto"/>
                      <w:sz w:val="21"/>
                      <w:szCs w:val="21"/>
                    </w:rPr>
                  </w:pPr>
                  <w:r>
                    <w:rPr>
                      <w:b/>
                      <w:bCs/>
                      <w:color w:val="auto"/>
                      <w:kern w:val="0"/>
                      <w:sz w:val="21"/>
                      <w:szCs w:val="21"/>
                      <w:lang w:bidi="ar"/>
                    </w:rPr>
                    <w:t>方位</w:t>
                  </w:r>
                </w:p>
              </w:tc>
              <w:tc>
                <w:tcPr>
                  <w:tcW w:w="173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b/>
                      <w:bCs/>
                      <w:color w:val="auto"/>
                      <w:sz w:val="21"/>
                      <w:szCs w:val="21"/>
                    </w:rPr>
                  </w:pPr>
                  <w:r>
                    <w:rPr>
                      <w:rFonts w:hint="default" w:ascii="Times New Roman" w:hAnsi="Times New Roman" w:cs="Times New Roman"/>
                      <w:b/>
                      <w:bCs/>
                      <w:color w:val="auto"/>
                      <w:sz w:val="21"/>
                      <w:szCs w:val="21"/>
                    </w:rPr>
                    <w:t>距</w:t>
                  </w:r>
                  <w:r>
                    <w:rPr>
                      <w:rFonts w:hint="eastAsia" w:ascii="Times New Roman" w:hAnsi="Times New Roman" w:eastAsia="宋体" w:cs="Times New Roman"/>
                      <w:b/>
                      <w:color w:val="auto"/>
                      <w:sz w:val="21"/>
                      <w:szCs w:val="21"/>
                      <w:lang w:val="en-US" w:eastAsia="zh-CN"/>
                    </w:rPr>
                    <w:t>本项目</w:t>
                  </w:r>
                  <w:r>
                    <w:rPr>
                      <w:rFonts w:hint="default" w:ascii="Times New Roman" w:hAnsi="Times New Roman" w:cs="Times New Roman"/>
                      <w:b/>
                      <w:bCs/>
                      <w:color w:val="auto"/>
                      <w:sz w:val="21"/>
                      <w:szCs w:val="21"/>
                    </w:rPr>
                    <w:t>距离</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b/>
                      <w:bCs/>
                      <w:color w:val="auto"/>
                      <w:kern w:val="0"/>
                      <w:sz w:val="21"/>
                      <w:szCs w:val="21"/>
                      <w:lang w:bidi="ar"/>
                    </w:rPr>
                  </w:pPr>
                  <w:r>
                    <w:rPr>
                      <w:b/>
                      <w:bCs/>
                      <w:color w:val="auto"/>
                      <w:kern w:val="0"/>
                      <w:sz w:val="21"/>
                      <w:szCs w:val="21"/>
                      <w:lang w:bidi="ar"/>
                    </w:rPr>
                    <w:t>名称</w:t>
                  </w:r>
                </w:p>
              </w:tc>
              <w:tc>
                <w:tcPr>
                  <w:tcW w:w="157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b/>
                      <w:bCs/>
                      <w:color w:val="auto"/>
                      <w:sz w:val="21"/>
                      <w:szCs w:val="21"/>
                    </w:rPr>
                  </w:pPr>
                  <w:r>
                    <w:rPr>
                      <w:b/>
                      <w:bCs/>
                      <w:color w:val="auto"/>
                      <w:kern w:val="0"/>
                      <w:sz w:val="21"/>
                      <w:szCs w:val="21"/>
                      <w:lang w:bidi="ar"/>
                    </w:rPr>
                    <w:t>主要经营范围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3"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color w:val="auto"/>
                      <w:sz w:val="21"/>
                      <w:szCs w:val="21"/>
                    </w:rPr>
                  </w:pPr>
                  <w:r>
                    <w:rPr>
                      <w:color w:val="auto"/>
                      <w:sz w:val="21"/>
                      <w:szCs w:val="21"/>
                    </w:rPr>
                    <w:t>1</w:t>
                  </w:r>
                </w:p>
              </w:tc>
              <w:tc>
                <w:tcPr>
                  <w:tcW w:w="17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东侧、东北侧及北侧</w:t>
                  </w:r>
                </w:p>
              </w:tc>
              <w:tc>
                <w:tcPr>
                  <w:tcW w:w="173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紧邻</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四川</w:t>
                  </w:r>
                  <w:r>
                    <w:rPr>
                      <w:rFonts w:hint="eastAsia" w:ascii="Times New Roman" w:hAnsi="Times New Roman" w:eastAsia="宋体" w:cs="Times New Roman"/>
                      <w:color w:val="auto"/>
                      <w:sz w:val="21"/>
                      <w:szCs w:val="21"/>
                      <w:lang w:val="en-US" w:eastAsia="zh-CN"/>
                    </w:rPr>
                    <w:t>翔</w:t>
                  </w:r>
                  <w:r>
                    <w:rPr>
                      <w:rFonts w:hint="default" w:ascii="Times New Roman" w:hAnsi="Times New Roman" w:eastAsia="宋体" w:cs="Times New Roman"/>
                      <w:color w:val="auto"/>
                      <w:sz w:val="21"/>
                      <w:szCs w:val="21"/>
                      <w:lang w:val="en-US" w:eastAsia="zh-CN"/>
                    </w:rPr>
                    <w:t>丰华新能源材料有限公司</w:t>
                  </w:r>
                </w:p>
              </w:tc>
              <w:tc>
                <w:tcPr>
                  <w:tcW w:w="157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石墨负极材料生产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3"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color w:val="auto"/>
                      <w:sz w:val="21"/>
                      <w:szCs w:val="21"/>
                    </w:rPr>
                  </w:pPr>
                  <w:r>
                    <w:rPr>
                      <w:color w:val="auto"/>
                      <w:sz w:val="21"/>
                      <w:szCs w:val="21"/>
                    </w:rPr>
                    <w:t>2</w:t>
                  </w:r>
                </w:p>
              </w:tc>
              <w:tc>
                <w:tcPr>
                  <w:tcW w:w="17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北侧</w:t>
                  </w:r>
                </w:p>
              </w:tc>
              <w:tc>
                <w:tcPr>
                  <w:tcW w:w="173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约355m</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办公楼及食堂</w:t>
                  </w:r>
                </w:p>
              </w:tc>
              <w:tc>
                <w:tcPr>
                  <w:tcW w:w="157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园区及企业的办公楼及食堂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3"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color w:val="auto"/>
                      <w:sz w:val="21"/>
                      <w:szCs w:val="21"/>
                    </w:rPr>
                  </w:pPr>
                  <w:r>
                    <w:rPr>
                      <w:color w:val="auto"/>
                      <w:sz w:val="21"/>
                      <w:szCs w:val="21"/>
                    </w:rPr>
                    <w:t>3</w:t>
                  </w:r>
                </w:p>
              </w:tc>
              <w:tc>
                <w:tcPr>
                  <w:tcW w:w="17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西北侧</w:t>
                  </w:r>
                </w:p>
              </w:tc>
              <w:tc>
                <w:tcPr>
                  <w:tcW w:w="173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约60m</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四川省盈达锂电新材料有限公司</w:t>
                  </w:r>
                </w:p>
              </w:tc>
              <w:tc>
                <w:tcPr>
                  <w:tcW w:w="157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电子专用材料制造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3"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color w:val="auto"/>
                      <w:sz w:val="21"/>
                      <w:szCs w:val="21"/>
                    </w:rPr>
                  </w:pPr>
                  <w:r>
                    <w:rPr>
                      <w:color w:val="auto"/>
                      <w:sz w:val="21"/>
                      <w:szCs w:val="21"/>
                    </w:rPr>
                    <w:t>4</w:t>
                  </w:r>
                </w:p>
              </w:tc>
              <w:tc>
                <w:tcPr>
                  <w:tcW w:w="17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西南侧</w:t>
                  </w:r>
                </w:p>
              </w:tc>
              <w:tc>
                <w:tcPr>
                  <w:tcW w:w="173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约313m</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四川可兰素环保科技有限公司</w:t>
                  </w:r>
                </w:p>
              </w:tc>
              <w:tc>
                <w:tcPr>
                  <w:tcW w:w="157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专用化学产品制造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813"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color w:val="auto"/>
                      <w:sz w:val="21"/>
                      <w:szCs w:val="21"/>
                    </w:rPr>
                  </w:pPr>
                  <w:r>
                    <w:rPr>
                      <w:color w:val="auto"/>
                      <w:sz w:val="21"/>
                      <w:szCs w:val="21"/>
                    </w:rPr>
                    <w:t>5</w:t>
                  </w:r>
                </w:p>
              </w:tc>
              <w:tc>
                <w:tcPr>
                  <w:tcW w:w="17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南侧</w:t>
                  </w:r>
                </w:p>
              </w:tc>
              <w:tc>
                <w:tcPr>
                  <w:tcW w:w="173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约290m</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四川锂源新材料有限公司</w:t>
                  </w:r>
                </w:p>
              </w:tc>
              <w:tc>
                <w:tcPr>
                  <w:tcW w:w="157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磷酸铁锂正极材料生产</w:t>
                  </w:r>
                </w:p>
              </w:tc>
            </w:tr>
          </w:tbl>
          <w:p>
            <w:pPr>
              <w:pStyle w:val="134"/>
              <w:ind w:firstLine="482" w:firstLineChars="200"/>
              <w:rPr>
                <w:b/>
                <w:bCs/>
                <w:color w:val="auto"/>
              </w:rPr>
            </w:pPr>
            <w:r>
              <w:rPr>
                <w:b/>
                <w:bCs/>
                <w:color w:val="auto"/>
              </w:rPr>
              <w:t>（1）外环境对本项目的影响：</w:t>
            </w:r>
          </w:p>
          <w:p>
            <w:pPr>
              <w:pStyle w:val="134"/>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为石墨及碳素制品制造，</w:t>
            </w:r>
            <w:r>
              <w:rPr>
                <w:rFonts w:hint="default" w:ascii="Times New Roman" w:hAnsi="Times New Roman" w:eastAsia="宋体" w:cs="Times New Roman"/>
                <w:color w:val="auto"/>
                <w:sz w:val="24"/>
              </w:rPr>
              <w:t>对外环境无特殊要求，因此项目周边外环境对本项目无制约因素。</w:t>
            </w:r>
          </w:p>
          <w:p>
            <w:pPr>
              <w:pStyle w:val="134"/>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（2）本项目对外环境的影响：</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sz w:val="24"/>
                <w:szCs w:val="24"/>
              </w:rPr>
              <w:t>本项目选址于</w:t>
            </w:r>
            <w:r>
              <w:rPr>
                <w:rFonts w:hint="default" w:ascii="Times New Roman" w:hAnsi="Times New Roman" w:eastAsia="宋体" w:cs="Times New Roman"/>
                <w:color w:val="auto"/>
                <w:sz w:val="24"/>
                <w:szCs w:val="24"/>
                <w:lang w:eastAsia="zh-CN"/>
              </w:rPr>
              <w:t>四川省遂宁市蓬溪县金桥镇创业四支路1号</w:t>
            </w:r>
            <w:r>
              <w:rPr>
                <w:rFonts w:hint="default" w:ascii="Times New Roman" w:hAnsi="Times New Roman" w:eastAsia="宋体" w:cs="Times New Roman"/>
                <w:color w:val="auto"/>
                <w:sz w:val="24"/>
                <w:szCs w:val="24"/>
                <w:lang w:val="en-US" w:eastAsia="zh-CN"/>
              </w:rPr>
              <w:t>，项目周边主要为石墨负极材料等生产企业，</w:t>
            </w:r>
            <w:r>
              <w:rPr>
                <w:rFonts w:hint="default" w:ascii="Times New Roman" w:hAnsi="Times New Roman" w:eastAsia="宋体" w:cs="Times New Roman"/>
                <w:b w:val="0"/>
                <w:bCs w:val="0"/>
                <w:color w:val="auto"/>
                <w:kern w:val="2"/>
                <w:sz w:val="24"/>
                <w:szCs w:val="24"/>
                <w:lang w:val="en-US" w:eastAsia="zh-CN" w:bidi="ar-SA"/>
              </w:rPr>
              <w:t>本项目主要从事超高纯度柔性石墨纸、高性能石墨导热膜及导电石墨烯粉体中试探索及技术验证工作，为石墨及碳素制品制造，属于非金属矿物制品业</w:t>
            </w:r>
            <w:r>
              <w:rPr>
                <w:rFonts w:hint="default" w:ascii="Times New Roman" w:hAnsi="Times New Roman" w:eastAsia="宋体" w:cs="Times New Roman"/>
                <w:color w:val="auto"/>
                <w:sz w:val="24"/>
                <w:szCs w:val="24"/>
              </w:rPr>
              <w:t>，与周边企业</w:t>
            </w:r>
            <w:r>
              <w:rPr>
                <w:rFonts w:hint="eastAsia" w:cs="Times New Roman"/>
                <w:color w:val="auto"/>
                <w:sz w:val="24"/>
                <w:szCs w:val="24"/>
                <w:lang w:val="en-US" w:eastAsia="zh-CN"/>
              </w:rPr>
              <w:t>不冲突</w:t>
            </w:r>
            <w:r>
              <w:rPr>
                <w:rFonts w:hint="default" w:ascii="Times New Roman" w:hAnsi="Times New Roman" w:eastAsia="宋体" w:cs="Times New Roman"/>
                <w:color w:val="auto"/>
                <w:kern w:val="0"/>
                <w:sz w:val="24"/>
                <w:szCs w:val="24"/>
                <w:lang w:bidi="ar"/>
              </w:rPr>
              <w:t>。项目500m范围内</w:t>
            </w:r>
            <w:r>
              <w:rPr>
                <w:rFonts w:hint="default" w:ascii="Times New Roman" w:hAnsi="Times New Roman" w:eastAsia="宋体" w:cs="Times New Roman"/>
                <w:color w:val="auto"/>
                <w:kern w:val="0"/>
                <w:sz w:val="24"/>
                <w:szCs w:val="24"/>
                <w:lang w:val="en-US" w:eastAsia="zh-CN" w:bidi="ar"/>
              </w:rPr>
              <w:t>无环境</w:t>
            </w:r>
            <w:r>
              <w:rPr>
                <w:rFonts w:hint="default" w:ascii="Times New Roman" w:hAnsi="Times New Roman" w:eastAsia="宋体" w:cs="Times New Roman"/>
                <w:color w:val="auto"/>
                <w:kern w:val="0"/>
                <w:sz w:val="24"/>
                <w:szCs w:val="24"/>
                <w:lang w:bidi="ar"/>
              </w:rPr>
              <w:t>敏感点</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项目产生的各项废气污染物经过处理后排放量不大</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val="en-US" w:eastAsia="zh-CN" w:bidi="ar"/>
              </w:rPr>
              <w:t>对周围环境</w:t>
            </w:r>
            <w:r>
              <w:rPr>
                <w:rFonts w:hint="default" w:ascii="Times New Roman" w:hAnsi="Times New Roman" w:eastAsia="宋体" w:cs="Times New Roman"/>
                <w:color w:val="auto"/>
                <w:kern w:val="0"/>
                <w:sz w:val="24"/>
                <w:szCs w:val="24"/>
                <w:lang w:bidi="ar"/>
              </w:rPr>
              <w:t>影响较小。</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0"/>
                <w:sz w:val="24"/>
                <w:szCs w:val="24"/>
                <w:lang w:bidi="ar"/>
              </w:rPr>
              <w:t>（3）周边基础设施配套：</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项目所在</w:t>
            </w:r>
            <w:r>
              <w:rPr>
                <w:rFonts w:hint="default" w:ascii="Times New Roman" w:hAnsi="Times New Roman" w:eastAsia="宋体" w:cs="Times New Roman"/>
                <w:color w:val="auto"/>
                <w:kern w:val="0"/>
                <w:sz w:val="24"/>
                <w:szCs w:val="24"/>
                <w:lang w:val="en-US" w:eastAsia="zh-CN" w:bidi="ar"/>
              </w:rPr>
              <w:t>区域</w:t>
            </w:r>
            <w:r>
              <w:rPr>
                <w:rFonts w:hint="default" w:ascii="Times New Roman" w:hAnsi="Times New Roman" w:eastAsia="宋体" w:cs="Times New Roman"/>
                <w:color w:val="auto"/>
                <w:kern w:val="0"/>
                <w:sz w:val="24"/>
                <w:szCs w:val="24"/>
                <w:lang w:bidi="ar"/>
              </w:rPr>
              <w:t>配置了较为齐全的环保设施。园区内供气、供水、排水、供电、道路设施以及其他配套工程齐全，厂区所在地区位置较好，项目所在地交通方便，方便原辅料及产品进出。</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eastAsia="宋体" w:cs="Times New Roman"/>
                <w:b/>
                <w:bCs/>
                <w:color w:val="auto"/>
                <w:kern w:val="0"/>
                <w:sz w:val="24"/>
                <w:szCs w:val="24"/>
                <w:lang w:bidi="ar"/>
              </w:rPr>
            </w:pPr>
            <w:r>
              <w:rPr>
                <w:rFonts w:hint="default" w:ascii="Times New Roman" w:hAnsi="Times New Roman" w:eastAsia="宋体" w:cs="Times New Roman"/>
                <w:b/>
                <w:bCs/>
                <w:color w:val="auto"/>
                <w:kern w:val="0"/>
                <w:sz w:val="24"/>
                <w:szCs w:val="24"/>
                <w:lang w:bidi="ar"/>
              </w:rPr>
              <w:t>综上，项目与周围环境相容，</w:t>
            </w:r>
            <w:r>
              <w:rPr>
                <w:rFonts w:ascii="Times New Roman" w:hAnsi="Times New Roman" w:eastAsia="宋体" w:cs="Times New Roman"/>
                <w:b/>
                <w:bCs/>
                <w:color w:val="auto"/>
                <w:kern w:val="0"/>
                <w:sz w:val="24"/>
                <w:szCs w:val="24"/>
                <w:lang w:bidi="ar"/>
              </w:rPr>
              <w:t>项目选址符合</w:t>
            </w:r>
            <w:r>
              <w:rPr>
                <w:rFonts w:hint="default" w:ascii="Times New Roman" w:hAnsi="Times New Roman" w:eastAsia="宋体" w:cs="Times New Roman"/>
                <w:b/>
                <w:bCs/>
                <w:color w:val="auto"/>
                <w:kern w:val="0"/>
                <w:sz w:val="24"/>
                <w:szCs w:val="24"/>
                <w:lang w:val="en-US" w:eastAsia="zh-CN" w:bidi="ar"/>
              </w:rPr>
              <w:t>四川蓬溪经济开发区（金桥片区）</w:t>
            </w:r>
            <w:r>
              <w:rPr>
                <w:rFonts w:hint="eastAsia" w:ascii="Times New Roman" w:hAnsi="Times New Roman" w:eastAsia="宋体" w:cs="Times New Roman"/>
                <w:b/>
                <w:bCs/>
                <w:color w:val="auto"/>
                <w:kern w:val="0"/>
                <w:sz w:val="24"/>
                <w:szCs w:val="24"/>
                <w:lang w:val="en-US" w:eastAsia="zh-CN" w:bidi="ar"/>
              </w:rPr>
              <w:t>规划</w:t>
            </w:r>
            <w:r>
              <w:rPr>
                <w:rFonts w:ascii="Times New Roman" w:hAnsi="Times New Roman" w:eastAsia="宋体" w:cs="Times New Roman"/>
                <w:b/>
                <w:bCs/>
                <w:color w:val="auto"/>
                <w:kern w:val="0"/>
                <w:sz w:val="24"/>
                <w:szCs w:val="24"/>
                <w:lang w:bidi="ar"/>
              </w:rPr>
              <w:t>，选址合理，与外环境相容。</w:t>
            </w:r>
          </w:p>
          <w:p>
            <w:pPr>
              <w:widowControl/>
              <w:spacing w:line="336" w:lineRule="auto"/>
              <w:ind w:firstLine="480" w:firstLineChars="200"/>
              <w:rPr>
                <w:color w:val="auto"/>
                <w:kern w:val="0"/>
                <w:sz w:val="24"/>
                <w:lang w:bidi="ar"/>
              </w:rPr>
            </w:pPr>
          </w:p>
        </w:tc>
      </w:tr>
    </w:tbl>
    <w:p>
      <w:pPr>
        <w:spacing w:line="360" w:lineRule="auto"/>
        <w:outlineLvl w:val="0"/>
        <w:rPr>
          <w:rFonts w:eastAsia="黑体"/>
          <w:color w:val="auto"/>
          <w:sz w:val="30"/>
        </w:rPr>
        <w:sectPr>
          <w:footerReference r:id="rId5" w:type="default"/>
          <w:pgSz w:w="11906" w:h="16838"/>
          <w:pgMar w:top="1701" w:right="1531" w:bottom="1701" w:left="1531" w:header="851" w:footer="1077" w:gutter="0"/>
          <w:pgNumType w:start="1"/>
          <w:cols w:space="720" w:num="1"/>
          <w:docGrid w:linePitch="312" w:charSpace="0"/>
        </w:sectPr>
      </w:pPr>
    </w:p>
    <w:p>
      <w:pPr>
        <w:pStyle w:val="3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36"/>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52" w:hRule="atLeast"/>
          <w:jc w:val="center"/>
        </w:trPr>
        <w:tc>
          <w:tcPr>
            <w:tcW w:w="823" w:type="dxa"/>
            <w:noWrap w:val="0"/>
            <w:vAlign w:val="center"/>
          </w:tcPr>
          <w:p>
            <w:pPr>
              <w:pStyle w:val="32"/>
              <w:adjustRightInd w:val="0"/>
              <w:snapToGrid w:val="0"/>
              <w:spacing w:before="0" w:beforeAutospacing="0" w:after="0" w:afterAutospacing="0"/>
              <w:jc w:val="center"/>
              <w:rPr>
                <w:rFonts w:cs="宋体"/>
                <w:color w:val="auto"/>
                <w:sz w:val="21"/>
                <w:szCs w:val="21"/>
              </w:rPr>
            </w:pPr>
            <w:r>
              <w:rPr>
                <w:rFonts w:hint="eastAsia" w:cs="宋体"/>
                <w:color w:val="auto"/>
                <w:szCs w:val="24"/>
              </w:rPr>
              <w:t>建设内容</w:t>
            </w:r>
          </w:p>
        </w:tc>
        <w:tc>
          <w:tcPr>
            <w:tcW w:w="8161" w:type="dxa"/>
            <w:noWrap w:val="0"/>
            <w:vAlign w:val="top"/>
          </w:tcPr>
          <w:p>
            <w:pPr>
              <w:spacing w:line="360" w:lineRule="auto"/>
              <w:ind w:firstLine="482" w:firstLineChars="200"/>
              <w:rPr>
                <w:rFonts w:hint="eastAsia"/>
                <w:b/>
                <w:bCs/>
                <w:color w:val="auto"/>
                <w:sz w:val="24"/>
              </w:rPr>
            </w:pPr>
            <w:r>
              <w:rPr>
                <w:rFonts w:hint="eastAsia"/>
                <w:b/>
                <w:bCs/>
                <w:color w:val="auto"/>
                <w:sz w:val="24"/>
              </w:rPr>
              <w:t>一、项目由来</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18"/>
                <w:lang w:val="en-US" w:eastAsia="zh-CN"/>
              </w:rPr>
            </w:pPr>
            <w:r>
              <w:rPr>
                <w:rFonts w:hint="eastAsia"/>
                <w:color w:val="auto"/>
                <w:sz w:val="24"/>
                <w:szCs w:val="18"/>
              </w:rPr>
              <w:t>四川翔展振华新材料科技有限公司</w:t>
            </w:r>
            <w:r>
              <w:rPr>
                <w:rFonts w:hint="eastAsia"/>
                <w:color w:val="auto"/>
                <w:sz w:val="24"/>
                <w:szCs w:val="18"/>
                <w:lang w:val="en-US" w:eastAsia="zh-CN"/>
              </w:rPr>
              <w:t>为</w:t>
            </w:r>
            <w:r>
              <w:rPr>
                <w:rFonts w:hint="eastAsia"/>
                <w:color w:val="auto"/>
                <w:sz w:val="24"/>
                <w:szCs w:val="18"/>
              </w:rPr>
              <w:t>上海翔丰华科技有限公司的子公司，成立于2025年07月，</w:t>
            </w:r>
            <w:r>
              <w:rPr>
                <w:rFonts w:hint="eastAsia"/>
                <w:color w:val="auto"/>
                <w:sz w:val="24"/>
                <w:szCs w:val="18"/>
                <w:lang w:val="zh-CN"/>
              </w:rPr>
              <w:t>主要</w:t>
            </w:r>
            <w:r>
              <w:rPr>
                <w:rFonts w:hint="eastAsia"/>
                <w:color w:val="auto"/>
                <w:sz w:val="24"/>
                <w:szCs w:val="18"/>
              </w:rPr>
              <w:t>从事石墨及碳素制品制造、石墨及碳素制品销售、耐火材料生产、耐火材料销售、非金属矿及制品销售、密封件制造、密封件销售、石墨烯材料销售等</w:t>
            </w:r>
            <w:r>
              <w:rPr>
                <w:rFonts w:hint="eastAsia" w:ascii="Times New Roman" w:hAnsi="Times New Roman" w:eastAsia="宋体" w:cs="Times New Roman"/>
                <w:color w:val="auto"/>
                <w:sz w:val="24"/>
                <w:szCs w:val="18"/>
                <w:lang w:val="zh-CN"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eastAsia"/>
                <w:color w:val="auto"/>
                <w:sz w:val="24"/>
                <w:szCs w:val="18"/>
              </w:rPr>
              <w:t>四川翔展振华天然石墨深加工及应用生产基地建设，是母公司翔丰华公司在碳材料领域的重要战略布局</w:t>
            </w:r>
            <w:r>
              <w:rPr>
                <w:rFonts w:hint="eastAsia"/>
                <w:color w:val="auto"/>
                <w:sz w:val="24"/>
                <w:szCs w:val="18"/>
                <w:lang w:eastAsia="zh-CN"/>
              </w:rPr>
              <w:t>，</w:t>
            </w:r>
            <w:r>
              <w:rPr>
                <w:rFonts w:hint="eastAsia" w:ascii="Times New Roman" w:hAnsi="Times New Roman" w:eastAsia="宋体" w:cs="Times New Roman"/>
                <w:color w:val="auto"/>
                <w:sz w:val="24"/>
                <w:szCs w:val="18"/>
                <w:lang w:val="en-US" w:eastAsia="zh-CN"/>
              </w:rPr>
              <w:t>因此，四川翔展振华新材料科技有限公司拟投资10</w:t>
            </w:r>
            <w:r>
              <w:rPr>
                <w:rFonts w:hint="default" w:ascii="Times New Roman" w:hAnsi="Times New Roman" w:eastAsia="宋体" w:cs="Times New Roman"/>
                <w:color w:val="auto"/>
                <w:sz w:val="24"/>
                <w:szCs w:val="18"/>
                <w:lang w:val="en-US" w:eastAsia="zh-CN"/>
              </w:rPr>
              <w:t>00</w:t>
            </w:r>
            <w:r>
              <w:rPr>
                <w:rFonts w:hint="eastAsia" w:ascii="Times New Roman" w:hAnsi="Times New Roman" w:eastAsia="宋体" w:cs="Times New Roman"/>
                <w:color w:val="auto"/>
                <w:sz w:val="24"/>
                <w:szCs w:val="18"/>
                <w:lang w:val="en-US" w:eastAsia="zh-CN"/>
              </w:rPr>
              <w:t>万元租赁四川翔丰华新能源材料有限公司位于四川省遂宁市蓬溪县金桥镇创业四支路1号已建的厂房建设“翔展振华 5000 吨天然石墨深加工及应用制品生产项目一期项目（本项目）”，</w:t>
            </w:r>
            <w:r>
              <w:rPr>
                <w:rFonts w:hint="eastAsia"/>
                <w:color w:val="auto"/>
                <w:sz w:val="24"/>
                <w:szCs w:val="18"/>
              </w:rPr>
              <w:t>致力于建设“石墨烯基材料与热管理器件协同创新平台”，</w:t>
            </w:r>
            <w:r>
              <w:rPr>
                <w:rFonts w:hint="eastAsia" w:ascii="Times New Roman" w:hAnsi="Times New Roman" w:eastAsia="宋体" w:cs="Times New Roman"/>
                <w:color w:val="auto"/>
                <w:sz w:val="24"/>
                <w:szCs w:val="18"/>
                <w:lang w:val="en-US" w:eastAsia="zh-CN"/>
              </w:rPr>
              <w:t>项目建成后从事超高纯度柔性石墨纸、高性能石墨导热膜及导电石墨烯粉体中试</w:t>
            </w:r>
            <w:r>
              <w:rPr>
                <w:rFonts w:hint="eastAsia"/>
                <w:color w:val="auto"/>
                <w:sz w:val="24"/>
                <w:szCs w:val="18"/>
              </w:rPr>
              <w:t>探索及技术验证工作，致力于推动相关技术向规模化生产转化</w:t>
            </w:r>
            <w:r>
              <w:rPr>
                <w:rFonts w:hint="eastAsia"/>
                <w:color w:val="auto"/>
                <w:sz w:val="24"/>
                <w:szCs w:val="18"/>
                <w:lang w:eastAsia="zh-CN"/>
              </w:rPr>
              <w:t>，</w:t>
            </w:r>
            <w:r>
              <w:rPr>
                <w:rFonts w:hint="eastAsia"/>
                <w:color w:val="auto"/>
                <w:sz w:val="24"/>
                <w:szCs w:val="18"/>
                <w:lang w:val="en-US" w:eastAsia="zh-CN"/>
              </w:rPr>
              <w:t>其中</w:t>
            </w:r>
            <w:r>
              <w:rPr>
                <w:rFonts w:hint="eastAsia"/>
                <w:color w:val="auto"/>
                <w:sz w:val="24"/>
                <w:szCs w:val="18"/>
              </w:rPr>
              <w:t>“石墨烯基材料与热管理器件</w:t>
            </w:r>
            <w:r>
              <w:rPr>
                <w:rFonts w:hint="eastAsia" w:ascii="Times New Roman" w:hAnsi="Times New Roman" w:eastAsia="宋体" w:cs="Times New Roman"/>
                <w:color w:val="auto"/>
                <w:kern w:val="0"/>
                <w:sz w:val="24"/>
                <w:szCs w:val="24"/>
                <w:lang w:val="en-US" w:eastAsia="zh-CN" w:bidi="ar"/>
              </w:rPr>
              <w:t>协同创新平台”指的是围绕中试核心技术需求搭建基础研发平台，对高密度石墨纸/膜的布料、辊压等工艺以及导电石墨烯粉体复配工艺进行优化调节等方向进行研究，此过程为文字研究，不产生污染物。项目已于2025年9月22日</w:t>
            </w:r>
            <w:r>
              <w:rPr>
                <w:rFonts w:hint="default" w:ascii="Times New Roman" w:hAnsi="Times New Roman" w:eastAsia="宋体" w:cs="Times New Roman"/>
                <w:color w:val="auto"/>
                <w:kern w:val="0"/>
                <w:sz w:val="24"/>
                <w:szCs w:val="24"/>
                <w:lang w:val="en-US" w:eastAsia="zh-CN" w:bidi="ar"/>
              </w:rPr>
              <w:t>取得了</w:t>
            </w:r>
            <w:r>
              <w:rPr>
                <w:rFonts w:hint="eastAsia" w:ascii="Times New Roman" w:hAnsi="Times New Roman" w:eastAsia="宋体" w:cs="Times New Roman"/>
                <w:color w:val="auto"/>
                <w:kern w:val="0"/>
                <w:sz w:val="24"/>
                <w:szCs w:val="24"/>
                <w:lang w:val="en-US" w:eastAsia="zh-CN" w:bidi="ar"/>
              </w:rPr>
              <w:t>蓬溪县行政审批局的备案，备案号为“川投资备【</w:t>
            </w:r>
            <w:r>
              <w:rPr>
                <w:rFonts w:hint="default" w:ascii="Times New Roman" w:hAnsi="Times New Roman" w:eastAsia="宋体" w:cs="Times New Roman"/>
                <w:color w:val="auto"/>
                <w:kern w:val="0"/>
                <w:sz w:val="24"/>
                <w:szCs w:val="24"/>
                <w:lang w:val="en-US" w:eastAsia="zh-CN" w:bidi="ar"/>
              </w:rPr>
              <w:t>2508-510921-99-01-909443</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FGQB-1106</w:t>
            </w:r>
            <w:r>
              <w:rPr>
                <w:rFonts w:hint="eastAsia" w:ascii="Times New Roman" w:hAnsi="Times New Roman" w:eastAsia="宋体" w:cs="Times New Roman"/>
                <w:color w:val="auto"/>
                <w:kern w:val="0"/>
                <w:sz w:val="24"/>
                <w:szCs w:val="24"/>
                <w:lang w:val="en-US" w:eastAsia="zh-CN" w:bidi="ar"/>
              </w:rPr>
              <w:t>号”。</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auto"/>
                <w:kern w:val="2"/>
                <w:sz w:val="24"/>
                <w:szCs w:val="18"/>
                <w:lang w:val="en-US" w:eastAsia="zh-CN" w:bidi="ar-SA"/>
              </w:rPr>
            </w:pPr>
            <w:r>
              <w:rPr>
                <w:rFonts w:hint="eastAsia" w:ascii="Times New Roman" w:hAnsi="Times New Roman" w:eastAsia="宋体" w:cs="Times New Roman"/>
                <w:color w:val="auto"/>
                <w:sz w:val="24"/>
                <w:szCs w:val="18"/>
                <w:lang w:val="en-US" w:eastAsia="zh-CN"/>
              </w:rPr>
              <w:t>本项目属于《国民经济行业分类》（GB/T 4754-2017）（2019修改单）中“</w:t>
            </w:r>
            <w:r>
              <w:rPr>
                <w:rFonts w:hint="eastAsia" w:ascii="Times New Roman" w:hAnsi="Times New Roman" w:eastAsia="宋体" w:cs="Times New Roman"/>
                <w:bCs/>
                <w:color w:val="auto"/>
                <w:kern w:val="2"/>
                <w:sz w:val="24"/>
                <w:szCs w:val="24"/>
                <w:lang w:val="en-US" w:eastAsia="zh-CN" w:bidi="ar-SA"/>
              </w:rPr>
              <w:t>C3091石墨及碳素制品制造</w:t>
            </w:r>
            <w:r>
              <w:rPr>
                <w:rFonts w:hint="eastAsia" w:ascii="Times New Roman" w:hAnsi="Times New Roman" w:eastAsia="宋体" w:cs="Times New Roman"/>
                <w:color w:val="auto"/>
                <w:sz w:val="24"/>
                <w:szCs w:val="18"/>
                <w:lang w:val="en-US" w:eastAsia="zh-CN"/>
              </w:rPr>
              <w:t>”</w:t>
            </w:r>
            <w:r>
              <w:rPr>
                <w:rFonts w:hint="eastAsia" w:ascii="Times New Roman" w:hAnsi="Times New Roman" w:eastAsia="宋体" w:cs="Times New Roman"/>
                <w:b w:val="0"/>
                <w:color w:val="auto"/>
                <w:kern w:val="2"/>
                <w:sz w:val="24"/>
                <w:szCs w:val="18"/>
                <w:lang w:val="en-US" w:eastAsia="zh-CN" w:bidi="ar-SA"/>
              </w:rPr>
              <w:t>，</w:t>
            </w:r>
            <w:r>
              <w:rPr>
                <w:rFonts w:hint="default" w:ascii="Times New Roman" w:hAnsi="Times New Roman" w:eastAsia="宋体" w:cs="Times New Roman"/>
                <w:b w:val="0"/>
                <w:color w:val="auto"/>
                <w:kern w:val="2"/>
                <w:sz w:val="24"/>
                <w:szCs w:val="18"/>
                <w:lang w:val="zh-CN" w:eastAsia="zh-CN" w:bidi="ar-SA"/>
              </w:rPr>
              <w:t>根据《建设项目环境影响评价分类管理名录（2021年版）》（部令 第16号），本项目的项目类别属于</w:t>
            </w:r>
            <w:r>
              <w:rPr>
                <w:rFonts w:hint="default" w:ascii="Times New Roman" w:hAnsi="Times New Roman" w:eastAsia="宋体" w:cs="Times New Roman"/>
                <w:b w:val="0"/>
                <w:color w:val="auto"/>
                <w:kern w:val="2"/>
                <w:sz w:val="24"/>
                <w:szCs w:val="18"/>
                <w:lang w:val="en-US" w:eastAsia="zh-CN" w:bidi="ar-SA"/>
              </w:rPr>
              <w:t>“</w:t>
            </w:r>
            <w:r>
              <w:rPr>
                <w:rFonts w:ascii="Times New Roman" w:hAnsi="Times New Roman" w:eastAsia="宋体" w:cs="Times New Roman"/>
                <w:color w:val="auto"/>
                <w:sz w:val="24"/>
                <w:lang w:val="en-US" w:eastAsia="zh-CN"/>
              </w:rPr>
              <w:t>二十七、非金属矿物制品业</w:t>
            </w:r>
            <w:r>
              <w:rPr>
                <w:rFonts w:hint="eastAsia" w:ascii="Times New Roman" w:hAnsi="Times New Roman" w:eastAsia="宋体" w:cs="Times New Roman"/>
                <w:color w:val="auto"/>
                <w:sz w:val="24"/>
                <w:lang w:val="en-US" w:eastAsia="zh-CN"/>
              </w:rPr>
              <w:t xml:space="preserve"> 30</w:t>
            </w:r>
            <w:r>
              <w:rPr>
                <w:rFonts w:hint="default" w:ascii="Times New Roman" w:hAnsi="Times New Roman" w:eastAsia="宋体" w:cs="Times New Roman"/>
                <w:b w:val="0"/>
                <w:color w:val="auto"/>
                <w:kern w:val="2"/>
                <w:sz w:val="24"/>
                <w:szCs w:val="18"/>
                <w:lang w:val="en-US" w:eastAsia="zh-CN" w:bidi="ar-SA"/>
              </w:rPr>
              <w:t xml:space="preserve"> </w:t>
            </w:r>
            <w:r>
              <w:rPr>
                <w:rFonts w:hint="eastAsia" w:ascii="Times New Roman" w:hAnsi="Times New Roman" w:eastAsia="宋体" w:cs="Times New Roman"/>
                <w:color w:val="auto"/>
                <w:sz w:val="24"/>
                <w:lang w:val="en-US" w:eastAsia="zh-CN"/>
              </w:rPr>
              <w:t>石墨及其他非金属矿物制品制造 309 其他</w:t>
            </w:r>
            <w:r>
              <w:rPr>
                <w:rFonts w:hint="default" w:ascii="Times New Roman" w:hAnsi="Times New Roman" w:eastAsia="宋体" w:cs="Times New Roman"/>
                <w:b w:val="0"/>
                <w:color w:val="auto"/>
                <w:kern w:val="2"/>
                <w:sz w:val="24"/>
                <w:szCs w:val="18"/>
                <w:lang w:val="en-US" w:eastAsia="zh-CN" w:bidi="ar-SA"/>
              </w:rPr>
              <w:t>”，应编制环境影响报告表</w:t>
            </w:r>
            <w:r>
              <w:rPr>
                <w:rFonts w:hint="default" w:ascii="Times New Roman" w:hAnsi="Times New Roman" w:eastAsia="宋体" w:cs="Times New Roman"/>
                <w:b w:val="0"/>
                <w:color w:val="auto"/>
                <w:kern w:val="2"/>
                <w:sz w:val="24"/>
                <w:szCs w:val="18"/>
                <w:lang w:val="zh-CN" w:eastAsia="zh-CN" w:bidi="ar-SA"/>
              </w:rPr>
              <w:t>。</w:t>
            </w:r>
          </w:p>
          <w:p>
            <w:pPr>
              <w:pStyle w:val="146"/>
              <w:ind w:firstLine="482"/>
              <w:rPr>
                <w:b/>
                <w:color w:val="auto"/>
                <w:szCs w:val="24"/>
              </w:rPr>
            </w:pPr>
            <w:r>
              <w:rPr>
                <w:rFonts w:hint="eastAsia"/>
                <w:b/>
                <w:color w:val="auto"/>
                <w:szCs w:val="24"/>
              </w:rPr>
              <w:t>二、项目概况</w:t>
            </w:r>
          </w:p>
          <w:p>
            <w:pPr>
              <w:pStyle w:val="146"/>
              <w:ind w:firstLine="480"/>
              <w:rPr>
                <w:rFonts w:hint="eastAsia" w:eastAsia="宋体"/>
                <w:color w:val="auto"/>
                <w:kern w:val="0"/>
                <w:szCs w:val="24"/>
                <w:lang w:eastAsia="zh-CN" w:bidi="ar"/>
              </w:rPr>
            </w:pPr>
            <w:r>
              <w:rPr>
                <w:color w:val="auto"/>
                <w:szCs w:val="24"/>
              </w:rPr>
              <w:t>项目名称：</w:t>
            </w:r>
            <w:r>
              <w:rPr>
                <w:rFonts w:hint="eastAsia"/>
                <w:color w:val="auto"/>
                <w:lang w:eastAsia="zh-CN"/>
              </w:rPr>
              <w:t>翔展振华 5000 吨天然石墨深加工及应用制品生产项目一期项目</w:t>
            </w:r>
          </w:p>
          <w:p>
            <w:pPr>
              <w:pStyle w:val="146"/>
              <w:ind w:firstLine="480"/>
              <w:rPr>
                <w:rFonts w:hint="eastAsia"/>
                <w:color w:val="auto"/>
                <w:szCs w:val="24"/>
              </w:rPr>
            </w:pPr>
            <w:r>
              <w:rPr>
                <w:color w:val="auto"/>
                <w:szCs w:val="24"/>
              </w:rPr>
              <w:t>建设性质：</w:t>
            </w:r>
            <w:r>
              <w:rPr>
                <w:rFonts w:hint="eastAsia"/>
                <w:color w:val="auto"/>
                <w:szCs w:val="24"/>
                <w:lang w:val="en-US" w:eastAsia="zh-CN"/>
              </w:rPr>
              <w:t>新</w:t>
            </w:r>
            <w:r>
              <w:rPr>
                <w:color w:val="auto"/>
                <w:szCs w:val="24"/>
              </w:rPr>
              <w:t>建</w:t>
            </w:r>
          </w:p>
          <w:p>
            <w:pPr>
              <w:pStyle w:val="146"/>
              <w:keepNext w:val="0"/>
              <w:keepLines w:val="0"/>
              <w:pageBreakBefore w:val="0"/>
              <w:kinsoku/>
              <w:wordWrap/>
              <w:overflowPunct/>
              <w:topLinePunct w:val="0"/>
              <w:autoSpaceDE/>
              <w:autoSpaceDN/>
              <w:bidi w:val="0"/>
              <w:spacing w:before="0" w:beforeLines="0" w:after="0" w:afterLines="0" w:line="360" w:lineRule="auto"/>
              <w:ind w:firstLine="480" w:firstLineChars="200"/>
              <w:textAlignment w:val="auto"/>
              <w:rPr>
                <w:rFonts w:hint="eastAsia"/>
                <w:color w:val="auto"/>
                <w:sz w:val="24"/>
                <w:szCs w:val="24"/>
              </w:rPr>
            </w:pPr>
            <w:r>
              <w:rPr>
                <w:color w:val="auto"/>
                <w:szCs w:val="24"/>
              </w:rPr>
              <w:t>建设</w:t>
            </w:r>
            <w:r>
              <w:rPr>
                <w:color w:val="auto"/>
                <w:sz w:val="24"/>
                <w:szCs w:val="24"/>
              </w:rPr>
              <w:t>地点：</w:t>
            </w:r>
            <w:r>
              <w:rPr>
                <w:rFonts w:hint="eastAsia" w:ascii="Times New Roman" w:hAnsi="Times New Roman" w:eastAsia="宋体" w:cs="Times New Roman"/>
                <w:b w:val="0"/>
                <w:color w:val="auto"/>
                <w:kern w:val="2"/>
                <w:sz w:val="24"/>
                <w:szCs w:val="24"/>
                <w:lang w:val="en-US" w:eastAsia="zh-CN" w:bidi="ar-SA"/>
              </w:rPr>
              <w:t>四川省遂宁市蓬溪县金桥镇创业四支路1号</w:t>
            </w:r>
          </w:p>
          <w:p>
            <w:pPr>
              <w:pStyle w:val="146"/>
              <w:keepNext w:val="0"/>
              <w:keepLines w:val="0"/>
              <w:pageBreakBefore w:val="0"/>
              <w:kinsoku/>
              <w:wordWrap/>
              <w:overflowPunct/>
              <w:topLinePunct w:val="0"/>
              <w:autoSpaceDE/>
              <w:autoSpaceDN/>
              <w:bidi w:val="0"/>
              <w:spacing w:before="0" w:beforeLines="0" w:after="0" w:afterLines="0" w:line="360" w:lineRule="auto"/>
              <w:ind w:firstLine="480" w:firstLineChars="200"/>
              <w:textAlignment w:val="auto"/>
              <w:rPr>
                <w:rFonts w:hint="eastAsia" w:eastAsia="宋体"/>
                <w:color w:val="auto"/>
                <w:sz w:val="24"/>
                <w:szCs w:val="24"/>
                <w:lang w:eastAsia="zh-CN"/>
              </w:rPr>
            </w:pPr>
            <w:r>
              <w:rPr>
                <w:color w:val="auto"/>
                <w:sz w:val="24"/>
                <w:szCs w:val="24"/>
              </w:rPr>
              <w:t>建设单位：</w:t>
            </w:r>
            <w:r>
              <w:rPr>
                <w:rFonts w:hint="eastAsia" w:ascii="Times New Roman" w:hAnsi="Times New Roman" w:eastAsia="宋体" w:cs="Times New Roman"/>
                <w:color w:val="auto"/>
                <w:sz w:val="24"/>
                <w:szCs w:val="18"/>
                <w:lang w:val="en-US" w:eastAsia="zh-CN"/>
              </w:rPr>
              <w:t>四川翔展振华新材料科技有限公司</w:t>
            </w:r>
          </w:p>
          <w:p>
            <w:pPr>
              <w:pStyle w:val="146"/>
              <w:keepNext w:val="0"/>
              <w:keepLines w:val="0"/>
              <w:pageBreakBefore w:val="0"/>
              <w:kinsoku/>
              <w:wordWrap/>
              <w:overflowPunct/>
              <w:topLinePunct w:val="0"/>
              <w:autoSpaceDE/>
              <w:autoSpaceDN/>
              <w:bidi w:val="0"/>
              <w:spacing w:before="0" w:beforeLines="0" w:after="0" w:afterLines="0" w:line="360" w:lineRule="auto"/>
              <w:ind w:firstLine="480" w:firstLineChars="200"/>
              <w:textAlignment w:val="auto"/>
              <w:rPr>
                <w:color w:val="auto"/>
                <w:sz w:val="24"/>
                <w:szCs w:val="24"/>
              </w:rPr>
            </w:pPr>
            <w:r>
              <w:rPr>
                <w:color w:val="auto"/>
                <w:sz w:val="24"/>
                <w:szCs w:val="24"/>
              </w:rPr>
              <w:t>投资规模：</w:t>
            </w:r>
            <w:r>
              <w:rPr>
                <w:rFonts w:hint="eastAsia"/>
                <w:color w:val="auto"/>
                <w:sz w:val="24"/>
                <w:szCs w:val="24"/>
                <w:lang w:val="en-US" w:eastAsia="zh-CN"/>
              </w:rPr>
              <w:t>1</w:t>
            </w:r>
            <w:r>
              <w:rPr>
                <w:rFonts w:hint="eastAsia"/>
                <w:color w:val="auto"/>
                <w:sz w:val="24"/>
                <w:szCs w:val="24"/>
              </w:rPr>
              <w:t>00</w:t>
            </w:r>
            <w:r>
              <w:rPr>
                <w:rFonts w:hint="eastAsia"/>
                <w:color w:val="auto"/>
                <w:sz w:val="24"/>
                <w:szCs w:val="24"/>
                <w:lang w:val="en-US" w:eastAsia="zh-CN"/>
              </w:rPr>
              <w:t>0</w:t>
            </w:r>
            <w:r>
              <w:rPr>
                <w:color w:val="auto"/>
                <w:sz w:val="24"/>
                <w:szCs w:val="24"/>
              </w:rPr>
              <w:t>万元</w:t>
            </w:r>
          </w:p>
          <w:p>
            <w:pPr>
              <w:pStyle w:val="146"/>
              <w:keepNext w:val="0"/>
              <w:keepLines w:val="0"/>
              <w:pageBreakBefore w:val="0"/>
              <w:kinsoku/>
              <w:wordWrap/>
              <w:overflowPunct/>
              <w:topLinePunct w:val="0"/>
              <w:autoSpaceDE/>
              <w:autoSpaceDN/>
              <w:bidi w:val="0"/>
              <w:spacing w:before="0" w:beforeLines="0" w:after="0" w:afterLines="0" w:line="360" w:lineRule="auto"/>
              <w:ind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劳</w:t>
            </w:r>
            <w:r>
              <w:rPr>
                <w:rFonts w:hint="eastAsia" w:ascii="Times New Roman" w:hAnsi="Times New Roman" w:eastAsia="宋体" w:cs="Times New Roman"/>
                <w:b w:val="0"/>
                <w:color w:val="auto"/>
                <w:kern w:val="2"/>
                <w:sz w:val="24"/>
                <w:szCs w:val="24"/>
                <w:lang w:val="en-US" w:eastAsia="zh-CN" w:bidi="ar-SA"/>
              </w:rPr>
              <w:t>动定员：本项目</w:t>
            </w:r>
            <w:r>
              <w:rPr>
                <w:rFonts w:hint="eastAsia" w:ascii="Times New Roman" w:hAnsi="Times New Roman" w:eastAsia="宋体" w:cs="Times New Roman"/>
                <w:b w:val="0"/>
                <w:bCs/>
                <w:color w:val="auto"/>
                <w:kern w:val="2"/>
                <w:sz w:val="24"/>
                <w:szCs w:val="24"/>
                <w:lang w:val="en-US" w:eastAsia="zh-CN" w:bidi="ar-SA"/>
              </w:rPr>
              <w:t>劳动定员10人</w:t>
            </w:r>
          </w:p>
          <w:p>
            <w:pPr>
              <w:pStyle w:val="146"/>
              <w:keepNext w:val="0"/>
              <w:keepLines w:val="0"/>
              <w:pageBreakBefore w:val="0"/>
              <w:kinsoku/>
              <w:wordWrap/>
              <w:overflowPunct/>
              <w:topLinePunct w:val="0"/>
              <w:autoSpaceDE/>
              <w:autoSpaceDN/>
              <w:bidi w:val="0"/>
              <w:spacing w:before="0" w:beforeLines="0" w:after="0" w:afterLines="0" w:line="360" w:lineRule="auto"/>
              <w:ind w:firstLine="480" w:firstLineChars="200"/>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工作制度：年工作330天，实行24小时连续工作制，四班三运转，每班工作8小时</w:t>
            </w:r>
          </w:p>
          <w:p>
            <w:pPr>
              <w:pStyle w:val="146"/>
              <w:keepNext w:val="0"/>
              <w:keepLines w:val="0"/>
              <w:pageBreakBefore w:val="0"/>
              <w:widowControl w:val="0"/>
              <w:kinsoku/>
              <w:wordWrap/>
              <w:overflowPunct/>
              <w:topLinePunct w:val="0"/>
              <w:autoSpaceDE/>
              <w:autoSpaceDN/>
              <w:bidi w:val="0"/>
              <w:spacing w:before="0" w:beforeLines="0" w:after="0" w:afterLines="0" w:line="360"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建设规模：四川翔展振华新材料科技有限公司拟投资10</w:t>
            </w:r>
            <w:r>
              <w:rPr>
                <w:rFonts w:hint="default" w:ascii="Times New Roman" w:hAnsi="Times New Roman" w:eastAsia="宋体" w:cs="Times New Roman"/>
                <w:b w:val="0"/>
                <w:bCs/>
                <w:color w:val="auto"/>
                <w:kern w:val="2"/>
                <w:sz w:val="24"/>
                <w:szCs w:val="24"/>
                <w:lang w:val="en-US" w:eastAsia="zh-CN" w:bidi="ar-SA"/>
              </w:rPr>
              <w:t>00</w:t>
            </w:r>
            <w:r>
              <w:rPr>
                <w:rFonts w:hint="eastAsia" w:ascii="Times New Roman" w:hAnsi="Times New Roman" w:eastAsia="宋体" w:cs="Times New Roman"/>
                <w:b w:val="0"/>
                <w:bCs/>
                <w:color w:val="auto"/>
                <w:kern w:val="2"/>
                <w:sz w:val="24"/>
                <w:szCs w:val="24"/>
                <w:lang w:val="en-US" w:eastAsia="zh-CN" w:bidi="ar-SA"/>
              </w:rPr>
              <w:t>万元租赁四川翔丰华新能源材料有限公司位于四川省遂宁市蓬溪县金桥镇创业四支路1号已建的厂房建设“翔展振华 5000 吨天然石墨深加工及应用制品生产项目一期项目”，拟购置进料机、膨化炉、物料分级系统、延压系统等设备，进行超高纯度柔性石墨纸、高性能石墨导热膜及导电石墨烯粉体中试研发，项目建成后，预计达到年研发高纯度柔性石墨纸600吨、高性能石墨导热膜600吨及导电石墨烯粉体200吨的中试规模</w:t>
            </w:r>
            <w:r>
              <w:rPr>
                <w:rFonts w:hint="eastAsia"/>
                <w:snapToGrid w:val="0"/>
                <w:color w:val="auto"/>
                <w:sz w:val="24"/>
              </w:rPr>
              <w:t>，研发周期预计为3年</w:t>
            </w:r>
            <w:r>
              <w:rPr>
                <w:rFonts w:hint="eastAsia" w:ascii="Times New Roman" w:hAnsi="Times New Roman" w:eastAsia="宋体" w:cs="Times New Roman"/>
                <w:b w:val="0"/>
                <w:bCs/>
                <w:color w:val="auto"/>
                <w:kern w:val="2"/>
                <w:sz w:val="24"/>
                <w:szCs w:val="24"/>
                <w:lang w:val="en-US" w:eastAsia="zh-CN" w:bidi="ar-SA"/>
              </w:rPr>
              <w:t>。</w:t>
            </w:r>
          </w:p>
          <w:p>
            <w:pPr>
              <w:pStyle w:val="9"/>
              <w:keepNext w:val="0"/>
              <w:keepLines w:val="0"/>
              <w:pageBreakBefore w:val="0"/>
              <w:widowControl w:val="0"/>
              <w:kinsoku/>
              <w:wordWrap/>
              <w:overflowPunct/>
              <w:topLinePunct w:val="0"/>
              <w:autoSpaceDE/>
              <w:autoSpaceDN/>
              <w:bidi w:val="0"/>
              <w:spacing w:line="360" w:lineRule="auto"/>
              <w:ind w:firstLine="480" w:firstLineChars="200"/>
              <w:textAlignment w:val="auto"/>
              <w:rPr>
                <w:color w:val="auto"/>
              </w:rPr>
            </w:pPr>
            <w:r>
              <w:rPr>
                <w:color w:val="auto"/>
              </w:rPr>
              <w:t>根据建设单位提供资料，</w:t>
            </w:r>
            <w:r>
              <w:rPr>
                <w:rFonts w:hint="eastAsia"/>
                <w:color w:val="auto"/>
                <w:lang w:val="en-US" w:eastAsia="zh-CN"/>
              </w:rPr>
              <w:t>本项目</w:t>
            </w:r>
            <w:r>
              <w:rPr>
                <w:rFonts w:hint="eastAsia"/>
                <w:color w:val="auto"/>
              </w:rPr>
              <w:t>通过改变</w:t>
            </w:r>
            <w:r>
              <w:rPr>
                <w:color w:val="auto"/>
              </w:rPr>
              <w:t>生产工艺中</w:t>
            </w:r>
            <w:r>
              <w:rPr>
                <w:rFonts w:hint="eastAsia"/>
                <w:color w:val="auto"/>
              </w:rPr>
              <w:t>部分</w:t>
            </w:r>
            <w:r>
              <w:rPr>
                <w:color w:val="auto"/>
              </w:rPr>
              <w:t>关键参数来优化产品质量，故研发产品质量具有不确定性</w:t>
            </w:r>
            <w:r>
              <w:rPr>
                <w:rFonts w:hint="eastAsia"/>
                <w:color w:val="auto"/>
              </w:rPr>
              <w:t>。由于中试研发的基本工艺过程不变，故</w:t>
            </w:r>
            <w:r>
              <w:rPr>
                <w:color w:val="auto"/>
              </w:rPr>
              <w:t>研发</w:t>
            </w:r>
            <w:r>
              <w:rPr>
                <w:rFonts w:hint="eastAsia"/>
                <w:color w:val="auto"/>
              </w:rPr>
              <w:t>产品最低质量都能</w:t>
            </w:r>
            <w:r>
              <w:rPr>
                <w:color w:val="auto"/>
              </w:rPr>
              <w:t>满足质量要求</w:t>
            </w:r>
            <w:r>
              <w:rPr>
                <w:rFonts w:hint="eastAsia"/>
                <w:color w:val="auto"/>
              </w:rPr>
              <w:t>，</w:t>
            </w:r>
            <w:r>
              <w:rPr>
                <w:color w:val="auto"/>
                <w:szCs w:val="21"/>
              </w:rPr>
              <w:t>中试研发</w:t>
            </w:r>
            <w:r>
              <w:rPr>
                <w:rFonts w:hint="eastAsia"/>
                <w:color w:val="auto"/>
                <w:szCs w:val="21"/>
              </w:rPr>
              <w:t>样</w:t>
            </w:r>
            <w:r>
              <w:rPr>
                <w:color w:val="auto"/>
                <w:szCs w:val="21"/>
              </w:rPr>
              <w:t>品供应给下游检测机构</w:t>
            </w:r>
            <w:r>
              <w:rPr>
                <w:rFonts w:hint="eastAsia"/>
                <w:color w:val="auto"/>
                <w:szCs w:val="21"/>
              </w:rPr>
              <w:t>测试其性能指标，最后根据产品质量情况分类外售</w:t>
            </w:r>
            <w:r>
              <w:rPr>
                <w:color w:val="auto"/>
                <w:szCs w:val="21"/>
              </w:rPr>
              <w:t>。</w:t>
            </w:r>
          </w:p>
          <w:p>
            <w:pPr>
              <w:spacing w:line="360" w:lineRule="auto"/>
              <w:ind w:firstLine="480" w:firstLineChars="200"/>
              <w:rPr>
                <w:b/>
                <w:bCs/>
                <w:color w:val="auto"/>
                <w:sz w:val="24"/>
              </w:rPr>
            </w:pPr>
            <w:r>
              <w:rPr>
                <w:rFonts w:hint="eastAsia"/>
                <w:color w:val="auto"/>
                <w:sz w:val="24"/>
              </w:rPr>
              <w:t>本项目产品方</w:t>
            </w:r>
            <w:r>
              <w:rPr>
                <w:color w:val="auto"/>
                <w:sz w:val="24"/>
              </w:rPr>
              <w:t>案及</w:t>
            </w:r>
            <w:r>
              <w:rPr>
                <w:rFonts w:hint="eastAsia"/>
                <w:color w:val="auto"/>
                <w:sz w:val="24"/>
                <w:lang w:val="en-US" w:eastAsia="zh-CN"/>
              </w:rPr>
              <w:t>中试</w:t>
            </w:r>
            <w:r>
              <w:rPr>
                <w:color w:val="auto"/>
                <w:sz w:val="24"/>
              </w:rPr>
              <w:t>规模见下表。</w:t>
            </w:r>
          </w:p>
          <w:p>
            <w:pPr>
              <w:adjustRightInd w:val="0"/>
              <w:snapToGrid w:val="0"/>
              <w:spacing w:line="360" w:lineRule="auto"/>
              <w:jc w:val="center"/>
              <w:rPr>
                <w:rFonts w:hint="eastAsia"/>
                <w:b/>
                <w:bCs/>
                <w:color w:val="auto"/>
                <w:szCs w:val="21"/>
              </w:rPr>
            </w:pPr>
            <w:r>
              <w:rPr>
                <w:b/>
                <w:bCs/>
                <w:color w:val="auto"/>
                <w:szCs w:val="21"/>
              </w:rPr>
              <w:t xml:space="preserve">表2-1 </w:t>
            </w:r>
            <w:r>
              <w:rPr>
                <w:rFonts w:hint="eastAsia"/>
                <w:b/>
                <w:bCs/>
                <w:color w:val="auto"/>
                <w:szCs w:val="21"/>
              </w:rPr>
              <w:t>本项目产品方案及</w:t>
            </w:r>
            <w:r>
              <w:rPr>
                <w:rFonts w:hint="eastAsia"/>
                <w:b/>
                <w:bCs/>
                <w:color w:val="auto"/>
                <w:szCs w:val="21"/>
                <w:lang w:val="en-US" w:eastAsia="zh-CN"/>
              </w:rPr>
              <w:t>中试</w:t>
            </w:r>
            <w:r>
              <w:rPr>
                <w:rFonts w:hint="eastAsia"/>
                <w:b/>
                <w:bCs/>
                <w:color w:val="auto"/>
                <w:szCs w:val="21"/>
              </w:rPr>
              <w:t>规模一览表</w:t>
            </w:r>
          </w:p>
          <w:tbl>
            <w:tblPr>
              <w:tblStyle w:val="37"/>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2808"/>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4"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2808"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产品名称</w:t>
                  </w:r>
                </w:p>
              </w:tc>
              <w:tc>
                <w:tcPr>
                  <w:tcW w:w="4002"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中试规模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4"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280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kern w:val="2"/>
                      <w:sz w:val="21"/>
                      <w:szCs w:val="21"/>
                      <w:lang w:val="en-US" w:eastAsia="zh-CN" w:bidi="ar-SA"/>
                    </w:rPr>
                    <w:t>超高纯度柔性石墨纸</w:t>
                  </w:r>
                </w:p>
              </w:tc>
              <w:tc>
                <w:tcPr>
                  <w:tcW w:w="4002"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rPr>
                  </w:pPr>
                  <w:r>
                    <w:rPr>
                      <w:rFonts w:hint="eastAsia" w:ascii="Times New Roman" w:hAnsi="Times New Roman" w:eastAsia="宋体" w:cs="Times New Roman"/>
                      <w:b w:val="0"/>
                      <w:bCs/>
                      <w:color w:val="auto"/>
                      <w:kern w:val="2"/>
                      <w:sz w:val="21"/>
                      <w:szCs w:val="21"/>
                      <w:lang w:val="en-US" w:eastAsia="zh-CN" w:bidi="ar-SA"/>
                    </w:rPr>
                    <w:t>600t/a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4"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280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kern w:val="2"/>
                      <w:sz w:val="21"/>
                      <w:szCs w:val="21"/>
                      <w:lang w:val="en-US" w:eastAsia="zh-CN" w:bidi="ar-SA"/>
                    </w:rPr>
                    <w:t>高性能石墨导热膜</w:t>
                  </w:r>
                </w:p>
              </w:tc>
              <w:tc>
                <w:tcPr>
                  <w:tcW w:w="4002"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rPr>
                  </w:pPr>
                  <w:r>
                    <w:rPr>
                      <w:rFonts w:hint="eastAsia" w:ascii="Times New Roman" w:hAnsi="Times New Roman" w:eastAsia="宋体" w:cs="Times New Roman"/>
                      <w:b w:val="0"/>
                      <w:bCs/>
                      <w:color w:val="auto"/>
                      <w:kern w:val="2"/>
                      <w:sz w:val="21"/>
                      <w:szCs w:val="21"/>
                      <w:lang w:val="en-US" w:eastAsia="zh-CN" w:bidi="ar-SA"/>
                    </w:rPr>
                    <w:t>600t/a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64"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2808"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kern w:val="2"/>
                      <w:sz w:val="21"/>
                      <w:szCs w:val="21"/>
                      <w:lang w:val="en-US" w:eastAsia="zh-CN" w:bidi="ar-SA"/>
                    </w:rPr>
                    <w:t>导电石墨烯粉体</w:t>
                  </w:r>
                </w:p>
              </w:tc>
              <w:tc>
                <w:tcPr>
                  <w:tcW w:w="4002" w:type="dxa"/>
                  <w:noWrap w:val="0"/>
                  <w:vAlign w:val="center"/>
                </w:tcPr>
                <w:p>
                  <w:pPr>
                    <w:spacing w:line="240" w:lineRule="auto"/>
                    <w:jc w:val="center"/>
                    <w:rPr>
                      <w:rFonts w:hint="default" w:ascii="Times New Roman" w:hAnsi="Times New Roman" w:eastAsia="宋体" w:cs="Times New Roman"/>
                      <w:b w:val="0"/>
                      <w:bCs w:val="0"/>
                      <w:color w:val="auto"/>
                      <w:sz w:val="21"/>
                      <w:szCs w:val="21"/>
                      <w:vertAlign w:val="baseline"/>
                      <w:lang w:val="en-US"/>
                    </w:rPr>
                  </w:pPr>
                  <w:r>
                    <w:rPr>
                      <w:rFonts w:hint="eastAsia" w:ascii="Times New Roman" w:hAnsi="Times New Roman" w:eastAsia="宋体" w:cs="Times New Roman"/>
                      <w:b w:val="0"/>
                      <w:bCs/>
                      <w:color w:val="auto"/>
                      <w:kern w:val="2"/>
                      <w:sz w:val="21"/>
                      <w:szCs w:val="21"/>
                      <w:lang w:val="en-US" w:eastAsia="zh-CN" w:bidi="ar-SA"/>
                    </w:rPr>
                    <w:t>200t/a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974" w:type="dxa"/>
                  <w:gridSpan w:val="3"/>
                  <w:noWrap w:val="0"/>
                  <w:vAlign w:val="center"/>
                </w:tcPr>
                <w:p>
                  <w:pPr>
                    <w:spacing w:line="240" w:lineRule="auto"/>
                    <w:jc w:val="left"/>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注：中试研发</w:t>
                  </w:r>
                  <w:r>
                    <w:rPr>
                      <w:rFonts w:hint="eastAsia" w:ascii="Times New Roman" w:hAnsi="Times New Roman" w:eastAsia="宋体" w:cs="Times New Roman"/>
                      <w:b w:val="0"/>
                      <w:bCs w:val="0"/>
                      <w:color w:val="auto"/>
                      <w:sz w:val="21"/>
                      <w:szCs w:val="21"/>
                      <w:lang w:val="en-US" w:eastAsia="zh-CN"/>
                    </w:rPr>
                    <w:t>样</w:t>
                  </w:r>
                  <w:r>
                    <w:rPr>
                      <w:rFonts w:hint="default" w:ascii="Times New Roman" w:hAnsi="Times New Roman" w:eastAsia="宋体" w:cs="Times New Roman"/>
                      <w:b w:val="0"/>
                      <w:bCs w:val="0"/>
                      <w:color w:val="auto"/>
                      <w:sz w:val="21"/>
                      <w:szCs w:val="21"/>
                    </w:rPr>
                    <w:t>品</w:t>
                  </w:r>
                  <w:r>
                    <w:rPr>
                      <w:rFonts w:hint="default" w:ascii="Times New Roman" w:hAnsi="Times New Roman" w:eastAsia="宋体" w:cs="Times New Roman"/>
                      <w:b w:val="0"/>
                      <w:bCs w:val="0"/>
                      <w:color w:val="auto"/>
                      <w:sz w:val="21"/>
                      <w:szCs w:val="21"/>
                      <w:lang w:val="en-US" w:eastAsia="zh-CN"/>
                    </w:rPr>
                    <w:t>供应给下游检测机构</w:t>
                  </w:r>
                  <w:r>
                    <w:rPr>
                      <w:rFonts w:hint="eastAsia" w:ascii="Times New Roman" w:hAnsi="Times New Roman" w:eastAsia="宋体" w:cs="Times New Roman"/>
                      <w:b w:val="0"/>
                      <w:bCs w:val="0"/>
                      <w:color w:val="auto"/>
                      <w:sz w:val="21"/>
                      <w:szCs w:val="21"/>
                      <w:lang w:val="en-US" w:eastAsia="zh-CN"/>
                    </w:rPr>
                    <w:t>测试其性能指标，</w:t>
                  </w:r>
                  <w:r>
                    <w:rPr>
                      <w:rFonts w:hint="eastAsia"/>
                      <w:color w:val="auto"/>
                      <w:szCs w:val="21"/>
                    </w:rPr>
                    <w:t>最后根据产品质量情况分类外售</w:t>
                  </w:r>
                  <w:r>
                    <w:rPr>
                      <w:rFonts w:hint="default" w:ascii="Times New Roman" w:hAnsi="Times New Roman" w:eastAsia="宋体" w:cs="Times New Roman"/>
                      <w:b w:val="0"/>
                      <w:bCs w:val="0"/>
                      <w:color w:val="auto"/>
                      <w:sz w:val="21"/>
                      <w:szCs w:val="21"/>
                      <w:lang w:val="en-US" w:eastAsia="zh-CN"/>
                    </w:rPr>
                    <w:t>。</w:t>
                  </w:r>
                </w:p>
              </w:tc>
            </w:tr>
          </w:tbl>
          <w:p>
            <w:pPr>
              <w:snapToGrid w:val="0"/>
              <w:spacing w:line="360" w:lineRule="auto"/>
              <w:ind w:firstLine="482" w:firstLineChars="200"/>
              <w:rPr>
                <w:rFonts w:hint="eastAsia" w:ascii="Times New Roman" w:hAnsi="Times New Roman" w:eastAsia="宋体" w:cs="Times New Roman"/>
                <w:b/>
                <w:bCs/>
                <w:snapToGrid w:val="0"/>
                <w:color w:val="auto"/>
                <w:sz w:val="24"/>
              </w:rPr>
            </w:pPr>
            <w:r>
              <w:rPr>
                <w:rFonts w:hint="eastAsia" w:ascii="Times New Roman" w:hAnsi="Times New Roman" w:eastAsia="宋体" w:cs="Times New Roman"/>
                <w:b/>
                <w:bCs/>
                <w:snapToGrid w:val="0"/>
                <w:color w:val="auto"/>
                <w:sz w:val="24"/>
              </w:rPr>
              <w:t>中试线研发目的：</w:t>
            </w:r>
          </w:p>
          <w:p>
            <w:pPr>
              <w:snapToGrid w:val="0"/>
              <w:spacing w:line="360" w:lineRule="auto"/>
              <w:ind w:firstLine="480" w:firstLineChars="200"/>
              <w:rPr>
                <w:rFonts w:hint="eastAsia" w:ascii="Times New Roman" w:hAnsi="Times New Roman" w:eastAsia="宋体" w:cs="Times New Roman"/>
                <w:snapToGrid w:val="0"/>
                <w:color w:val="auto"/>
                <w:sz w:val="24"/>
              </w:rPr>
            </w:pPr>
            <w:r>
              <w:rPr>
                <w:rFonts w:hint="eastAsia"/>
                <w:color w:val="auto"/>
                <w:sz w:val="24"/>
                <w:szCs w:val="18"/>
              </w:rPr>
              <w:t>本项目扩大研发投入、导入更多自动化工业设备等进行中试探索。通过中试探索验证相关技术工业化生产可行性、不断调试工艺参数获取中试研发材料性能参数，优化并逐渐形成完整的规模化生产技术体系，推动相关技术向规模化生产转化。</w:t>
            </w:r>
          </w:p>
          <w:p>
            <w:pPr>
              <w:snapToGrid w:val="0"/>
              <w:spacing w:line="360" w:lineRule="auto"/>
              <w:ind w:firstLine="482" w:firstLineChars="200"/>
              <w:rPr>
                <w:rFonts w:hint="eastAsia" w:ascii="Times New Roman" w:hAnsi="Times New Roman" w:eastAsia="宋体" w:cs="Times New Roman"/>
                <w:b/>
                <w:bCs/>
                <w:snapToGrid w:val="0"/>
                <w:color w:val="auto"/>
                <w:sz w:val="24"/>
              </w:rPr>
            </w:pPr>
            <w:r>
              <w:rPr>
                <w:rFonts w:hint="eastAsia" w:ascii="Times New Roman" w:hAnsi="Times New Roman" w:eastAsia="宋体" w:cs="Times New Roman"/>
                <w:b/>
                <w:bCs/>
                <w:snapToGrid w:val="0"/>
                <w:color w:val="auto"/>
                <w:sz w:val="24"/>
              </w:rPr>
              <w:t>中试线研发内容：</w:t>
            </w:r>
          </w:p>
          <w:p>
            <w:pPr>
              <w:numPr>
                <w:ilvl w:val="0"/>
                <w:numId w:val="2"/>
              </w:numPr>
              <w:snapToGrid w:val="0"/>
              <w:spacing w:line="360" w:lineRule="auto"/>
              <w:ind w:firstLine="480" w:firstLineChars="200"/>
              <w:rPr>
                <w:snapToGrid w:val="0"/>
                <w:color w:val="auto"/>
                <w:sz w:val="24"/>
              </w:rPr>
            </w:pPr>
            <w:r>
              <w:rPr>
                <w:rFonts w:hint="eastAsia"/>
                <w:snapToGrid w:val="0"/>
                <w:color w:val="auto"/>
                <w:sz w:val="24"/>
              </w:rPr>
              <w:t>工艺验证与放大</w:t>
            </w:r>
          </w:p>
          <w:p>
            <w:pPr>
              <w:snapToGrid w:val="0"/>
              <w:spacing w:line="360" w:lineRule="auto"/>
              <w:ind w:firstLine="480" w:firstLineChars="200"/>
              <w:rPr>
                <w:snapToGrid w:val="0"/>
                <w:color w:val="auto"/>
                <w:sz w:val="24"/>
              </w:rPr>
            </w:pPr>
            <w:r>
              <w:rPr>
                <w:rFonts w:hint="eastAsia"/>
                <w:snapToGrid w:val="0"/>
                <w:color w:val="auto"/>
                <w:sz w:val="24"/>
              </w:rPr>
              <w:t>通过逐步扩大原料投入规模，验证工艺稳定性，解决实验室到规模化的“放大效应”问题；</w:t>
            </w:r>
          </w:p>
          <w:p>
            <w:pPr>
              <w:snapToGrid w:val="0"/>
              <w:spacing w:line="360" w:lineRule="auto"/>
              <w:ind w:firstLine="480" w:firstLineChars="200"/>
              <w:rPr>
                <w:snapToGrid w:val="0"/>
                <w:color w:val="auto"/>
                <w:sz w:val="24"/>
              </w:rPr>
            </w:pPr>
            <w:r>
              <w:rPr>
                <w:rFonts w:hint="eastAsia"/>
                <w:snapToGrid w:val="0"/>
                <w:color w:val="auto"/>
                <w:sz w:val="24"/>
              </w:rPr>
              <w:t>2.</w:t>
            </w:r>
            <w:r>
              <w:rPr>
                <w:rFonts w:hint="cs"/>
                <w:color w:val="auto"/>
                <w:cs/>
              </w:rPr>
              <w:t xml:space="preserve"> </w:t>
            </w:r>
            <w:r>
              <w:rPr>
                <w:rFonts w:hint="cs"/>
                <w:snapToGrid w:val="0"/>
                <w:color w:val="auto"/>
                <w:sz w:val="24"/>
                <w:cs/>
              </w:rPr>
              <w:t>‌</w:t>
            </w:r>
            <w:r>
              <w:rPr>
                <w:rFonts w:hint="eastAsia"/>
                <w:snapToGrid w:val="0"/>
                <w:color w:val="auto"/>
                <w:sz w:val="24"/>
              </w:rPr>
              <w:t>技术成熟度提升</w:t>
            </w:r>
          </w:p>
          <w:p>
            <w:pPr>
              <w:snapToGrid w:val="0"/>
              <w:spacing w:line="360" w:lineRule="auto"/>
              <w:ind w:firstLine="480" w:firstLineChars="200"/>
              <w:rPr>
                <w:snapToGrid w:val="0"/>
                <w:color w:val="auto"/>
                <w:sz w:val="24"/>
              </w:rPr>
            </w:pPr>
            <w:r>
              <w:rPr>
                <w:rFonts w:hint="eastAsia"/>
                <w:snapToGrid w:val="0"/>
                <w:color w:val="auto"/>
                <w:sz w:val="24"/>
              </w:rPr>
              <w:t>完成多批次重复试验，统计关键性能参数波动范围，反馈优化试验参数，调整并解决“放大”后的工艺适配问题，确保最终工艺参数符合终端产品指标；</w:t>
            </w:r>
          </w:p>
          <w:p>
            <w:pPr>
              <w:snapToGrid w:val="0"/>
              <w:spacing w:line="360" w:lineRule="auto"/>
              <w:ind w:firstLine="480" w:firstLineChars="200"/>
              <w:rPr>
                <w:snapToGrid w:val="0"/>
                <w:color w:val="auto"/>
                <w:sz w:val="24"/>
              </w:rPr>
            </w:pPr>
            <w:r>
              <w:rPr>
                <w:rFonts w:hint="eastAsia"/>
                <w:snapToGrid w:val="0"/>
                <w:color w:val="auto"/>
                <w:sz w:val="24"/>
              </w:rPr>
              <w:t>3.</w:t>
            </w:r>
            <w:r>
              <w:rPr>
                <w:rFonts w:hint="eastAsia"/>
                <w:color w:val="auto"/>
              </w:rPr>
              <w:t xml:space="preserve"> </w:t>
            </w:r>
            <w:r>
              <w:rPr>
                <w:rFonts w:hint="eastAsia"/>
                <w:snapToGrid w:val="0"/>
                <w:color w:val="auto"/>
                <w:sz w:val="24"/>
              </w:rPr>
              <w:t>经济性与可行性验证</w:t>
            </w:r>
          </w:p>
          <w:p>
            <w:pPr>
              <w:snapToGrid w:val="0"/>
              <w:spacing w:line="360" w:lineRule="auto"/>
              <w:ind w:firstLine="480" w:firstLineChars="200"/>
              <w:rPr>
                <w:rFonts w:hint="eastAsia"/>
                <w:snapToGrid w:val="0"/>
                <w:color w:val="auto"/>
                <w:sz w:val="24"/>
              </w:rPr>
            </w:pPr>
            <w:r>
              <w:rPr>
                <w:rFonts w:hint="eastAsia"/>
                <w:snapToGrid w:val="0"/>
                <w:color w:val="auto"/>
                <w:sz w:val="24"/>
              </w:rPr>
              <w:t>中试阶段需验证测算工艺参数符合终端产品指标时的生产成本、能耗及废弃物处理方案，结合行业市场状况，验证经济性与可行性，为终端量产提供数据支撑</w:t>
            </w:r>
            <w:r>
              <w:rPr>
                <w:snapToGrid w:val="0"/>
                <w:color w:val="auto"/>
                <w:sz w:val="24"/>
              </w:rPr>
              <w:t>‌</w:t>
            </w:r>
            <w:r>
              <w:rPr>
                <w:rFonts w:hint="eastAsia"/>
                <w:snapToGrid w:val="0"/>
                <w:color w:val="auto"/>
                <w:sz w:val="24"/>
              </w:rPr>
              <w:t>。</w:t>
            </w:r>
          </w:p>
          <w:p>
            <w:pPr>
              <w:snapToGrid w:val="0"/>
              <w:spacing w:line="360" w:lineRule="auto"/>
              <w:ind w:firstLine="482" w:firstLineChars="200"/>
              <w:rPr>
                <w:b/>
                <w:bCs/>
                <w:snapToGrid w:val="0"/>
                <w:color w:val="auto"/>
                <w:sz w:val="24"/>
              </w:rPr>
            </w:pPr>
            <w:r>
              <w:rPr>
                <w:rFonts w:hint="eastAsia" w:ascii="Times New Roman" w:hAnsi="Times New Roman" w:eastAsia="宋体" w:cs="Times New Roman"/>
                <w:b/>
                <w:bCs/>
                <w:snapToGrid w:val="0"/>
                <w:color w:val="auto"/>
                <w:sz w:val="24"/>
              </w:rPr>
              <w:t>中试研发</w:t>
            </w:r>
            <w:r>
              <w:rPr>
                <w:rFonts w:hint="eastAsia" w:ascii="Times New Roman" w:hAnsi="Times New Roman" w:eastAsia="宋体" w:cs="Times New Roman"/>
                <w:b/>
                <w:bCs/>
                <w:snapToGrid w:val="0"/>
                <w:color w:val="auto"/>
                <w:sz w:val="24"/>
                <w:lang w:val="en-US" w:eastAsia="zh-CN"/>
              </w:rPr>
              <w:t>产品</w:t>
            </w:r>
            <w:r>
              <w:rPr>
                <w:rFonts w:hint="eastAsia" w:ascii="Times New Roman" w:hAnsi="Times New Roman" w:eastAsia="宋体" w:cs="Times New Roman"/>
                <w:b/>
                <w:bCs/>
                <w:snapToGrid w:val="0"/>
                <w:color w:val="auto"/>
                <w:sz w:val="24"/>
              </w:rPr>
              <w:t>性能参数</w:t>
            </w:r>
            <w:r>
              <w:rPr>
                <w:rFonts w:hint="eastAsia" w:ascii="Times New Roman" w:hAnsi="Times New Roman" w:eastAsia="宋体" w:cs="Times New Roman"/>
                <w:b/>
                <w:bCs/>
                <w:snapToGrid w:val="0"/>
                <w:color w:val="auto"/>
                <w:sz w:val="24"/>
                <w:lang w:val="en-US" w:eastAsia="zh-CN"/>
              </w:rPr>
              <w:t>行业</w:t>
            </w:r>
            <w:r>
              <w:rPr>
                <w:rFonts w:hint="eastAsia" w:ascii="Times New Roman" w:hAnsi="Times New Roman" w:eastAsia="宋体" w:cs="Times New Roman"/>
                <w:b/>
                <w:bCs/>
                <w:snapToGrid w:val="0"/>
                <w:color w:val="auto"/>
                <w:sz w:val="24"/>
              </w:rPr>
              <w:t>指</w:t>
            </w:r>
            <w:r>
              <w:rPr>
                <w:rFonts w:hint="eastAsia"/>
                <w:b/>
                <w:bCs/>
                <w:snapToGrid w:val="0"/>
                <w:color w:val="auto"/>
                <w:sz w:val="24"/>
              </w:rPr>
              <w:t>标：</w:t>
            </w:r>
          </w:p>
          <w:p>
            <w:pPr>
              <w:spacing w:line="360" w:lineRule="auto"/>
              <w:jc w:val="center"/>
              <w:rPr>
                <w:b/>
                <w:color w:val="auto"/>
                <w:szCs w:val="21"/>
              </w:rPr>
            </w:pPr>
            <w:r>
              <w:rPr>
                <w:rFonts w:hint="eastAsia"/>
                <w:b/>
                <w:color w:val="auto"/>
                <w:szCs w:val="21"/>
              </w:rPr>
              <w:t>表</w:t>
            </w:r>
            <w:r>
              <w:rPr>
                <w:rFonts w:hint="eastAsia"/>
                <w:b/>
                <w:color w:val="auto"/>
                <w:szCs w:val="21"/>
                <w:lang w:val="en-US" w:eastAsia="zh-CN"/>
              </w:rPr>
              <w:t>2-2</w:t>
            </w:r>
            <w:r>
              <w:rPr>
                <w:rFonts w:hint="eastAsia"/>
                <w:b/>
                <w:color w:val="auto"/>
                <w:szCs w:val="21"/>
              </w:rPr>
              <w:t xml:space="preserve"> 超高纯度柔性</w:t>
            </w:r>
            <w:r>
              <w:rPr>
                <w:rFonts w:hint="eastAsia" w:ascii="Times New Roman" w:hAnsi="Times New Roman" w:eastAsia="宋体" w:cs="Times New Roman"/>
                <w:b/>
                <w:color w:val="auto"/>
                <w:szCs w:val="21"/>
              </w:rPr>
              <w:t>石墨纸性能参数指标一</w:t>
            </w:r>
            <w:r>
              <w:rPr>
                <w:rFonts w:hint="eastAsia"/>
                <w:b/>
                <w:color w:val="auto"/>
                <w:szCs w:val="21"/>
              </w:rPr>
              <w:t>览表</w:t>
            </w:r>
          </w:p>
          <w:tbl>
            <w:tblPr>
              <w:tblStyle w:val="37"/>
              <w:tblW w:w="79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0"/>
              <w:gridCol w:w="3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性能</w:t>
                  </w:r>
                </w:p>
              </w:tc>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拉伸强度</w:t>
                  </w:r>
                  <w:r>
                    <w:rPr>
                      <w:color w:val="auto"/>
                      <w:sz w:val="21"/>
                      <w:szCs w:val="21"/>
                    </w:rPr>
                    <w:t>/MPa</w:t>
                  </w:r>
                </w:p>
              </w:tc>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w:t>
                  </w:r>
                  <w:r>
                    <w:rPr>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密度/(g/cm</w:t>
                  </w:r>
                  <w:r>
                    <w:rPr>
                      <w:rFonts w:hint="eastAsia"/>
                      <w:color w:val="auto"/>
                      <w:sz w:val="21"/>
                      <w:szCs w:val="21"/>
                      <w:vertAlign w:val="superscript"/>
                    </w:rPr>
                    <w:t>3)</w:t>
                  </w:r>
                </w:p>
              </w:tc>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0.6-1.0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厚度/</w:t>
                  </w:r>
                  <w:r>
                    <w:rPr>
                      <w:color w:val="auto"/>
                      <w:sz w:val="21"/>
                      <w:szCs w:val="21"/>
                    </w:rPr>
                    <w:t>mm</w:t>
                  </w:r>
                </w:p>
              </w:tc>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color w:val="auto"/>
                      <w:sz w:val="21"/>
                      <w:szCs w:val="21"/>
                    </w:rPr>
                    <w:t>0.2-1</w:t>
                  </w:r>
                  <w:r>
                    <w:rPr>
                      <w:rFonts w:hint="eastAsia"/>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宽幅/m</w:t>
                  </w:r>
                </w:p>
              </w:tc>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电导率/(S/cm)</w:t>
                  </w:r>
                </w:p>
              </w:tc>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 w:val="21"/>
                      <w:szCs w:val="21"/>
                    </w:rPr>
                    <w:t>硫含量</w:t>
                  </w:r>
                  <w:r>
                    <w:rPr>
                      <w:color w:val="auto"/>
                      <w:sz w:val="21"/>
                      <w:szCs w:val="21"/>
                    </w:rPr>
                    <w:t>/ppm</w:t>
                  </w:r>
                </w:p>
              </w:tc>
              <w:tc>
                <w:tcPr>
                  <w:tcW w:w="399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eastAsia"/>
                      <w:color w:val="auto"/>
                      <w:szCs w:val="21"/>
                    </w:rPr>
                    <w:t>≤100</w:t>
                  </w:r>
                </w:p>
              </w:tc>
            </w:tr>
          </w:tbl>
          <w:p>
            <w:pPr>
              <w:spacing w:line="360" w:lineRule="auto"/>
              <w:jc w:val="center"/>
              <w:rPr>
                <w:b/>
                <w:color w:val="auto"/>
                <w:szCs w:val="21"/>
              </w:rPr>
            </w:pPr>
            <w:r>
              <w:rPr>
                <w:rFonts w:hint="eastAsia"/>
                <w:b/>
                <w:color w:val="auto"/>
                <w:szCs w:val="21"/>
              </w:rPr>
              <w:t>表2</w:t>
            </w:r>
            <w:r>
              <w:rPr>
                <w:rFonts w:hint="eastAsia"/>
                <w:b/>
                <w:color w:val="auto"/>
                <w:szCs w:val="21"/>
                <w:lang w:val="en-US" w:eastAsia="zh-CN"/>
              </w:rPr>
              <w:t>-3</w:t>
            </w:r>
            <w:r>
              <w:rPr>
                <w:rFonts w:hint="eastAsia"/>
                <w:b/>
                <w:color w:val="auto"/>
                <w:szCs w:val="21"/>
              </w:rPr>
              <w:t xml:space="preserve"> 高性能石墨导</w:t>
            </w:r>
            <w:r>
              <w:rPr>
                <w:rFonts w:hint="eastAsia" w:ascii="Times New Roman" w:hAnsi="Times New Roman" w:eastAsia="宋体" w:cs="Times New Roman"/>
                <w:b/>
                <w:color w:val="auto"/>
                <w:szCs w:val="21"/>
              </w:rPr>
              <w:t>热膜性能参数指标一览</w:t>
            </w:r>
            <w:r>
              <w:rPr>
                <w:rFonts w:hint="eastAsia"/>
                <w:b/>
                <w:color w:val="auto"/>
                <w:szCs w:val="21"/>
              </w:rPr>
              <w:t>表</w:t>
            </w:r>
          </w:p>
          <w:tbl>
            <w:tblPr>
              <w:tblStyle w:val="37"/>
              <w:tblW w:w="7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0"/>
              <w:gridCol w:w="3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性能</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拉伸强度</w:t>
                  </w:r>
                  <w:r>
                    <w:rPr>
                      <w:color w:val="auto"/>
                      <w:szCs w:val="21"/>
                    </w:rPr>
                    <w:t>/MPa</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密度/（g/cm</w:t>
                  </w:r>
                  <w:r>
                    <w:rPr>
                      <w:rFonts w:hint="eastAsia"/>
                      <w:color w:val="auto"/>
                      <w:szCs w:val="21"/>
                      <w:vertAlign w:val="superscript"/>
                    </w:rPr>
                    <w:t>3</w:t>
                  </w:r>
                  <w:r>
                    <w:rPr>
                      <w:rFonts w:hint="eastAsia"/>
                      <w:color w:val="auto"/>
                      <w:szCs w:val="21"/>
                    </w:rPr>
                    <w:t>）</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0.6-1.2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厚度/</w:t>
                  </w:r>
                  <w:r>
                    <w:rPr>
                      <w:color w:val="auto"/>
                      <w:szCs w:val="21"/>
                    </w:rPr>
                    <w:t>mm</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0.05-0.3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宽幅/m</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trPr>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热导率</w:t>
                  </w:r>
                  <w:r>
                    <w:rPr>
                      <w:color w:val="auto"/>
                      <w:szCs w:val="21"/>
                    </w:rPr>
                    <w:t>/</w:t>
                  </w:r>
                  <w:r>
                    <w:rPr>
                      <w:rFonts w:hint="eastAsia"/>
                      <w:color w:val="auto"/>
                      <w:szCs w:val="21"/>
                    </w:rPr>
                    <w:t>（</w:t>
                  </w:r>
                  <w:r>
                    <w:rPr>
                      <w:color w:val="auto"/>
                      <w:szCs w:val="21"/>
                    </w:rPr>
                    <w:t>W/m·k</w:t>
                  </w:r>
                  <w:r>
                    <w:rPr>
                      <w:rFonts w:hint="eastAsia"/>
                      <w:color w:val="auto"/>
                      <w:szCs w:val="21"/>
                    </w:rPr>
                    <w:t>）</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color w:val="auto"/>
                      <w:szCs w:val="21"/>
                    </w:rPr>
                    <w:t>300</w:t>
                  </w:r>
                  <w:r>
                    <w:rPr>
                      <w:rFonts w:hint="eastAsia"/>
                      <w:color w:val="auto"/>
                      <w:szCs w:val="21"/>
                    </w:rPr>
                    <w:t>-</w:t>
                  </w:r>
                  <w:r>
                    <w:rPr>
                      <w:color w:val="auto"/>
                      <w:szCs w:val="21"/>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硫含量</w:t>
                  </w:r>
                  <w:r>
                    <w:rPr>
                      <w:color w:val="auto"/>
                      <w:szCs w:val="21"/>
                    </w:rPr>
                    <w:t>/ppm</w:t>
                  </w:r>
                </w:p>
              </w:tc>
              <w:tc>
                <w:tcPr>
                  <w:tcW w:w="3980"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≤100</w:t>
                  </w:r>
                </w:p>
              </w:tc>
            </w:tr>
          </w:tbl>
          <w:p>
            <w:pPr>
              <w:spacing w:line="360" w:lineRule="auto"/>
              <w:jc w:val="center"/>
              <w:rPr>
                <w:b/>
                <w:color w:val="auto"/>
                <w:szCs w:val="21"/>
              </w:rPr>
            </w:pPr>
            <w:r>
              <w:rPr>
                <w:rFonts w:hint="eastAsia"/>
                <w:b/>
                <w:color w:val="auto"/>
                <w:szCs w:val="21"/>
              </w:rPr>
              <w:t>表</w:t>
            </w:r>
            <w:r>
              <w:rPr>
                <w:rFonts w:hint="eastAsia"/>
                <w:b/>
                <w:color w:val="auto"/>
                <w:szCs w:val="21"/>
                <w:lang w:val="en-US" w:eastAsia="zh-CN"/>
              </w:rPr>
              <w:t>2-4</w:t>
            </w:r>
            <w:r>
              <w:rPr>
                <w:rFonts w:hint="eastAsia"/>
                <w:b/>
                <w:color w:val="auto"/>
                <w:szCs w:val="21"/>
              </w:rPr>
              <w:t xml:space="preserve"> 导电石墨烯粉</w:t>
            </w:r>
            <w:r>
              <w:rPr>
                <w:rFonts w:hint="eastAsia" w:ascii="Times New Roman" w:hAnsi="Times New Roman" w:eastAsia="宋体" w:cs="Times New Roman"/>
                <w:b/>
                <w:color w:val="auto"/>
                <w:szCs w:val="21"/>
              </w:rPr>
              <w:t>体性能参数指标一</w:t>
            </w:r>
            <w:r>
              <w:rPr>
                <w:rFonts w:hint="eastAsia"/>
                <w:b/>
                <w:color w:val="auto"/>
                <w:szCs w:val="21"/>
              </w:rPr>
              <w:t>览表</w:t>
            </w:r>
          </w:p>
          <w:tbl>
            <w:tblPr>
              <w:tblStyle w:val="37"/>
              <w:tblW w:w="79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性能</w:t>
                  </w:r>
                </w:p>
              </w:tc>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粒径/d50/</w:t>
                  </w:r>
                  <w:r>
                    <w:rPr>
                      <w:color w:val="auto"/>
                      <w:szCs w:val="21"/>
                    </w:rPr>
                    <w:t>μ</w:t>
                  </w:r>
                  <w:r>
                    <w:rPr>
                      <w:rFonts w:hint="eastAsia"/>
                      <w:color w:val="auto"/>
                      <w:szCs w:val="21"/>
                    </w:rPr>
                    <w:t>m</w:t>
                  </w:r>
                </w:p>
              </w:tc>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电导率/(S/cm)</w:t>
                  </w:r>
                </w:p>
              </w:tc>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碳含量/%</w:t>
                  </w:r>
                </w:p>
              </w:tc>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硫含量</w:t>
                  </w:r>
                  <w:r>
                    <w:rPr>
                      <w:color w:val="auto"/>
                      <w:szCs w:val="21"/>
                    </w:rPr>
                    <w:t>/ppm</w:t>
                  </w:r>
                </w:p>
              </w:tc>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金属元素含量/ppm</w:t>
                  </w:r>
                </w:p>
              </w:tc>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松装密度/（</w:t>
                  </w:r>
                  <w:r>
                    <w:rPr>
                      <w:color w:val="auto"/>
                      <w:szCs w:val="21"/>
                    </w:rPr>
                    <w:t>g/cm</w:t>
                  </w:r>
                  <w:r>
                    <w:rPr>
                      <w:color w:val="auto"/>
                      <w:szCs w:val="21"/>
                      <w:vertAlign w:val="superscript"/>
                    </w:rPr>
                    <w:t>3</w:t>
                  </w:r>
                  <w:r>
                    <w:rPr>
                      <w:rFonts w:hint="eastAsia"/>
                      <w:color w:val="auto"/>
                      <w:szCs w:val="21"/>
                    </w:rPr>
                    <w:t>）</w:t>
                  </w:r>
                </w:p>
              </w:tc>
              <w:tc>
                <w:tcPr>
                  <w:tcW w:w="3960"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olor w:val="auto"/>
                      <w:szCs w:val="21"/>
                    </w:rPr>
                    <w:t>0.06-</w:t>
                  </w:r>
                  <w:r>
                    <w:rPr>
                      <w:color w:val="auto"/>
                      <w:szCs w:val="21"/>
                    </w:rPr>
                    <w:t>0.</w:t>
                  </w:r>
                  <w:r>
                    <w:rPr>
                      <w:rFonts w:hint="eastAsia"/>
                      <w:color w:val="auto"/>
                      <w:szCs w:val="21"/>
                    </w:rPr>
                    <w:t>10</w:t>
                  </w:r>
                </w:p>
              </w:tc>
            </w:tr>
          </w:tbl>
          <w:p>
            <w:pPr>
              <w:widowControl/>
              <w:spacing w:line="360" w:lineRule="auto"/>
              <w:ind w:firstLine="240" w:firstLineChars="100"/>
              <w:rPr>
                <w:color w:val="auto"/>
                <w:sz w:val="24"/>
              </w:rPr>
            </w:pPr>
            <w:r>
              <w:rPr>
                <w:rFonts w:hint="eastAsia" w:ascii="宋体" w:hAnsi="宋体" w:cs="宋体"/>
                <w:color w:val="auto"/>
                <w:kern w:val="0"/>
                <w:sz w:val="24"/>
                <w:lang w:bidi="ar"/>
              </w:rPr>
              <w:t>建设项目组成和可能产生的主要环境问题见下表。</w:t>
            </w:r>
          </w:p>
          <w:p>
            <w:pPr>
              <w:widowControl/>
              <w:spacing w:line="360" w:lineRule="auto"/>
              <w:jc w:val="center"/>
              <w:rPr>
                <w:b/>
                <w:bCs/>
                <w:color w:val="auto"/>
                <w:kern w:val="0"/>
                <w:szCs w:val="21"/>
                <w:lang w:bidi="ar"/>
              </w:rPr>
            </w:pPr>
            <w:r>
              <w:rPr>
                <w:b/>
                <w:bCs/>
                <w:color w:val="auto"/>
                <w:kern w:val="0"/>
                <w:szCs w:val="21"/>
                <w:lang w:bidi="ar"/>
              </w:rPr>
              <w:t>表2-</w:t>
            </w:r>
            <w:r>
              <w:rPr>
                <w:rFonts w:hint="eastAsia"/>
                <w:b/>
                <w:bCs/>
                <w:color w:val="auto"/>
                <w:kern w:val="0"/>
                <w:szCs w:val="21"/>
                <w:lang w:val="en-US" w:eastAsia="zh-CN" w:bidi="ar"/>
              </w:rPr>
              <w:t>5</w:t>
            </w:r>
            <w:r>
              <w:rPr>
                <w:b/>
                <w:bCs/>
                <w:color w:val="auto"/>
                <w:kern w:val="0"/>
                <w:szCs w:val="21"/>
                <w:lang w:bidi="ar"/>
              </w:rPr>
              <w:t xml:space="preserve"> 项目组成及主要环境问题表</w:t>
            </w:r>
          </w:p>
          <w:tbl>
            <w:tblPr>
              <w:tblStyle w:val="36"/>
              <w:tblW w:w="7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18"/>
              <w:gridCol w:w="949"/>
              <w:gridCol w:w="788"/>
              <w:gridCol w:w="2850"/>
              <w:gridCol w:w="1116"/>
              <w:gridCol w:w="1043"/>
              <w:gridCol w:w="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05" w:type="dxa"/>
                  <w:gridSpan w:val="4"/>
                  <w:vMerge w:val="restart"/>
                  <w:noWrap w:val="0"/>
                  <w:vAlign w:val="center"/>
                </w:tcPr>
                <w:p>
                  <w:pPr>
                    <w:jc w:val="center"/>
                    <w:rPr>
                      <w:b/>
                      <w:color w:val="auto"/>
                      <w:sz w:val="21"/>
                      <w:szCs w:val="21"/>
                    </w:rPr>
                  </w:pPr>
                  <w:r>
                    <w:rPr>
                      <w:b/>
                      <w:color w:val="auto"/>
                      <w:sz w:val="21"/>
                      <w:szCs w:val="21"/>
                    </w:rPr>
                    <w:t>项目组成</w:t>
                  </w:r>
                </w:p>
              </w:tc>
              <w:tc>
                <w:tcPr>
                  <w:tcW w:w="2159" w:type="dxa"/>
                  <w:gridSpan w:val="2"/>
                  <w:noWrap w:val="0"/>
                  <w:vAlign w:val="center"/>
                </w:tcPr>
                <w:p>
                  <w:pPr>
                    <w:pStyle w:val="152"/>
                    <w:rPr>
                      <w:b/>
                      <w:color w:val="auto"/>
                      <w:sz w:val="21"/>
                      <w:szCs w:val="21"/>
                    </w:rPr>
                  </w:pPr>
                  <w:r>
                    <w:rPr>
                      <w:rFonts w:ascii="宋体" w:hAnsi="宋体"/>
                      <w:b/>
                      <w:bCs/>
                      <w:color w:val="auto"/>
                      <w:sz w:val="21"/>
                      <w:szCs w:val="21"/>
                    </w:rPr>
                    <w:t>可能产生的主要环境</w:t>
                  </w:r>
                </w:p>
              </w:tc>
              <w:tc>
                <w:tcPr>
                  <w:tcW w:w="604" w:type="dxa"/>
                  <w:vMerge w:val="restart"/>
                  <w:noWrap w:val="0"/>
                  <w:vAlign w:val="center"/>
                </w:tcPr>
                <w:p>
                  <w:pPr>
                    <w:jc w:val="center"/>
                    <w:rPr>
                      <w:b/>
                      <w:color w:val="auto"/>
                      <w:sz w:val="21"/>
                      <w:szCs w:val="21"/>
                    </w:rPr>
                  </w:pPr>
                  <w:r>
                    <w:rPr>
                      <w:rFonts w:ascii="宋体" w:hAnsi="宋体"/>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5205" w:type="dxa"/>
                  <w:gridSpan w:val="4"/>
                  <w:vMerge w:val="continue"/>
                  <w:noWrap w:val="0"/>
                  <w:vAlign w:val="center"/>
                </w:tcPr>
                <w:p>
                  <w:pPr>
                    <w:jc w:val="center"/>
                    <w:rPr>
                      <w:b/>
                      <w:color w:val="auto"/>
                      <w:sz w:val="21"/>
                      <w:szCs w:val="21"/>
                    </w:rPr>
                  </w:pPr>
                </w:p>
              </w:tc>
              <w:tc>
                <w:tcPr>
                  <w:tcW w:w="1116" w:type="dxa"/>
                  <w:noWrap w:val="0"/>
                  <w:vAlign w:val="center"/>
                </w:tcPr>
                <w:p>
                  <w:pPr>
                    <w:pStyle w:val="152"/>
                    <w:rPr>
                      <w:b/>
                      <w:color w:val="auto"/>
                      <w:sz w:val="21"/>
                      <w:szCs w:val="21"/>
                    </w:rPr>
                  </w:pPr>
                  <w:r>
                    <w:rPr>
                      <w:rFonts w:ascii="宋体" w:hAnsi="宋体"/>
                      <w:b/>
                      <w:bCs/>
                      <w:color w:val="auto"/>
                      <w:sz w:val="21"/>
                      <w:szCs w:val="21"/>
                    </w:rPr>
                    <w:t>施工期</w:t>
                  </w:r>
                </w:p>
              </w:tc>
              <w:tc>
                <w:tcPr>
                  <w:tcW w:w="1043" w:type="dxa"/>
                  <w:noWrap w:val="0"/>
                  <w:vAlign w:val="center"/>
                </w:tcPr>
                <w:p>
                  <w:pPr>
                    <w:pStyle w:val="152"/>
                    <w:rPr>
                      <w:b/>
                      <w:color w:val="auto"/>
                      <w:sz w:val="21"/>
                      <w:szCs w:val="21"/>
                    </w:rPr>
                  </w:pPr>
                  <w:r>
                    <w:rPr>
                      <w:rFonts w:ascii="宋体" w:hAnsi="宋体"/>
                      <w:b/>
                      <w:bCs/>
                      <w:color w:val="auto"/>
                      <w:sz w:val="21"/>
                      <w:szCs w:val="21"/>
                    </w:rPr>
                    <w:t>运营期</w:t>
                  </w:r>
                </w:p>
              </w:tc>
              <w:tc>
                <w:tcPr>
                  <w:tcW w:w="604" w:type="dxa"/>
                  <w:vMerge w:val="continue"/>
                  <w:noWrap w:val="0"/>
                  <w:vAlign w:val="center"/>
                </w:tcPr>
                <w:p>
                  <w:pPr>
                    <w:jc w:val="center"/>
                    <w:rPr>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noWrap w:val="0"/>
                  <w:vAlign w:val="center"/>
                </w:tcPr>
                <w:p>
                  <w:pPr>
                    <w:jc w:val="center"/>
                    <w:rPr>
                      <w:color w:val="auto"/>
                      <w:sz w:val="21"/>
                      <w:szCs w:val="21"/>
                    </w:rPr>
                  </w:pPr>
                  <w:r>
                    <w:rPr>
                      <w:color w:val="auto"/>
                      <w:sz w:val="21"/>
                      <w:szCs w:val="21"/>
                    </w:rPr>
                    <w:t>主体</w:t>
                  </w:r>
                </w:p>
                <w:p>
                  <w:pPr>
                    <w:jc w:val="center"/>
                    <w:rPr>
                      <w:color w:val="auto"/>
                      <w:sz w:val="21"/>
                      <w:szCs w:val="21"/>
                    </w:rPr>
                  </w:pPr>
                  <w:r>
                    <w:rPr>
                      <w:color w:val="auto"/>
                      <w:sz w:val="21"/>
                      <w:szCs w:val="21"/>
                    </w:rPr>
                    <w:t>工程</w:t>
                  </w:r>
                </w:p>
              </w:tc>
              <w:tc>
                <w:tcPr>
                  <w:tcW w:w="949" w:type="dxa"/>
                  <w:noWrap w:val="0"/>
                  <w:vAlign w:val="center"/>
                </w:tcPr>
                <w:p>
                  <w:pPr>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研发车间</w:t>
                  </w:r>
                </w:p>
              </w:tc>
              <w:tc>
                <w:tcPr>
                  <w:tcW w:w="3638" w:type="dxa"/>
                  <w:gridSpan w:val="2"/>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位于</w:t>
                  </w:r>
                  <w:r>
                    <w:rPr>
                      <w:rFonts w:hint="eastAsia" w:ascii="Times New Roman" w:hAnsi="Times New Roman" w:eastAsia="宋体" w:cs="Times New Roman"/>
                      <w:color w:val="auto"/>
                      <w:sz w:val="21"/>
                      <w:szCs w:val="21"/>
                      <w:lang w:val="en-US" w:eastAsia="zh-CN"/>
                    </w:rPr>
                    <w:t>四川翔丰华新能源材料有限公司厂区南侧</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b w:val="0"/>
                      <w:bCs/>
                      <w:color w:val="auto"/>
                      <w:kern w:val="2"/>
                      <w:sz w:val="21"/>
                      <w:szCs w:val="21"/>
                      <w:lang w:val="en-US" w:eastAsia="zh-CN" w:bidi="ar-SA"/>
                    </w:rPr>
                    <w:t>拟购置进料机、膨化炉、物料分级系统、搅拌混料系统等设备，进行超高纯度柔性石墨纸、高性能石墨导热膜及导电石墨烯粉体中试研发，项目建成后，预计达到年研发高纯度柔性石墨纸600吨、高性能石墨导热膜600吨及导电石墨烯粉体200吨的中试规模</w:t>
                  </w:r>
                  <w:r>
                    <w:rPr>
                      <w:rFonts w:hint="default" w:ascii="Times New Roman" w:hAnsi="Times New Roman" w:eastAsia="宋体" w:cs="Times New Roman"/>
                      <w:color w:val="auto"/>
                      <w:kern w:val="0"/>
                      <w:sz w:val="21"/>
                      <w:szCs w:val="21"/>
                      <w:lang w:val="en-US" w:eastAsia="zh-CN" w:bidi="ar"/>
                    </w:rPr>
                    <w:t>；</w:t>
                  </w:r>
                </w:p>
              </w:tc>
              <w:tc>
                <w:tcPr>
                  <w:tcW w:w="1116" w:type="dxa"/>
                  <w:vMerge w:val="restart"/>
                  <w:noWrap w:val="0"/>
                  <w:vAlign w:val="center"/>
                </w:tcPr>
                <w:p>
                  <w:pPr>
                    <w:jc w:val="center"/>
                    <w:rPr>
                      <w:color w:val="auto"/>
                      <w:sz w:val="21"/>
                      <w:szCs w:val="21"/>
                    </w:rPr>
                  </w:pPr>
                  <w:r>
                    <w:rPr>
                      <w:color w:val="auto"/>
                      <w:sz w:val="21"/>
                      <w:szCs w:val="21"/>
                    </w:rPr>
                    <w:t>废水、废气、固废、噪声</w:t>
                  </w:r>
                </w:p>
              </w:tc>
              <w:tc>
                <w:tcPr>
                  <w:tcW w:w="1043" w:type="dxa"/>
                  <w:noWrap w:val="0"/>
                  <w:vAlign w:val="center"/>
                </w:tcPr>
                <w:p>
                  <w:pPr>
                    <w:jc w:val="center"/>
                    <w:rPr>
                      <w:color w:val="auto"/>
                      <w:sz w:val="21"/>
                      <w:szCs w:val="21"/>
                    </w:rPr>
                  </w:pPr>
                  <w:r>
                    <w:rPr>
                      <w:color w:val="auto"/>
                      <w:sz w:val="21"/>
                      <w:szCs w:val="21"/>
                    </w:rPr>
                    <w:t>废气、</w:t>
                  </w:r>
                  <w:r>
                    <w:rPr>
                      <w:rFonts w:hint="eastAsia"/>
                      <w:color w:val="auto"/>
                      <w:sz w:val="21"/>
                      <w:szCs w:val="21"/>
                      <w:lang w:val="en-US" w:eastAsia="zh-CN"/>
                    </w:rPr>
                    <w:t>废水、</w:t>
                  </w:r>
                  <w:r>
                    <w:rPr>
                      <w:color w:val="auto"/>
                      <w:sz w:val="21"/>
                      <w:szCs w:val="21"/>
                    </w:rPr>
                    <w:t>固废、噪声</w:t>
                  </w:r>
                </w:p>
              </w:tc>
              <w:tc>
                <w:tcPr>
                  <w:tcW w:w="604" w:type="dxa"/>
                  <w:noWrap w:val="0"/>
                  <w:vAlign w:val="center"/>
                </w:tcPr>
                <w:p>
                  <w:pPr>
                    <w:jc w:val="center"/>
                    <w:rPr>
                      <w:rFonts w:hint="eastAsia"/>
                      <w:color w:val="auto"/>
                      <w:sz w:val="21"/>
                      <w:szCs w:val="21"/>
                    </w:rPr>
                  </w:pPr>
                  <w:r>
                    <w:rPr>
                      <w:rFonts w:hint="eastAsia"/>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noWrap w:val="0"/>
                  <w:vAlign w:val="center"/>
                </w:tcPr>
                <w:p>
                  <w:pPr>
                    <w:jc w:val="center"/>
                    <w:rPr>
                      <w:rFonts w:hint="eastAsia"/>
                      <w:color w:val="auto"/>
                      <w:sz w:val="21"/>
                      <w:szCs w:val="21"/>
                    </w:rPr>
                  </w:pPr>
                  <w:r>
                    <w:rPr>
                      <w:color w:val="auto"/>
                      <w:sz w:val="21"/>
                      <w:szCs w:val="21"/>
                    </w:rPr>
                    <w:t>办公及生活设施</w:t>
                  </w:r>
                </w:p>
              </w:tc>
              <w:tc>
                <w:tcPr>
                  <w:tcW w:w="949" w:type="dxa"/>
                  <w:noWrap w:val="0"/>
                  <w:vAlign w:val="center"/>
                </w:tcPr>
                <w:p>
                  <w:pPr>
                    <w:widowControl/>
                    <w:jc w:val="center"/>
                    <w:rPr>
                      <w:rFonts w:hint="eastAsia" w:ascii="Times New Roman" w:hAnsi="Times New Roman" w:eastAsia="宋体" w:cs="Times New Roman"/>
                      <w:color w:val="auto"/>
                      <w:sz w:val="21"/>
                      <w:szCs w:val="21"/>
                      <w:lang w:val="en-US" w:eastAsia="zh-CN"/>
                    </w:rPr>
                  </w:pPr>
                  <w:r>
                    <w:rPr>
                      <w:color w:val="auto"/>
                      <w:kern w:val="0"/>
                      <w:sz w:val="21"/>
                      <w:szCs w:val="21"/>
                      <w:lang w:bidi="ar"/>
                    </w:rPr>
                    <w:t>卫生间</w:t>
                  </w:r>
                </w:p>
              </w:tc>
              <w:tc>
                <w:tcPr>
                  <w:tcW w:w="3638" w:type="dxa"/>
                  <w:gridSpan w:val="2"/>
                  <w:noWrap w:val="0"/>
                  <w:vAlign w:val="center"/>
                </w:tcPr>
                <w:p>
                  <w:pPr>
                    <w:jc w:val="both"/>
                    <w:rPr>
                      <w:rFonts w:hint="default" w:ascii="Times New Roman" w:hAnsi="Times New Roman" w:cs="Times New Roman"/>
                      <w:color w:val="auto"/>
                      <w:sz w:val="21"/>
                      <w:szCs w:val="21"/>
                    </w:rPr>
                  </w:pPr>
                  <w:r>
                    <w:rPr>
                      <w:rFonts w:hint="eastAsia"/>
                      <w:color w:val="auto"/>
                      <w:kern w:val="0"/>
                      <w:sz w:val="21"/>
                      <w:szCs w:val="21"/>
                      <w:lang w:val="en-US" w:eastAsia="zh-CN" w:bidi="ar"/>
                    </w:rPr>
                    <w:t>依托</w:t>
                  </w:r>
                  <w:r>
                    <w:rPr>
                      <w:rFonts w:hint="eastAsia" w:ascii="Times New Roman" w:hAnsi="Times New Roman" w:eastAsia="宋体" w:cs="Times New Roman"/>
                      <w:color w:val="auto"/>
                      <w:sz w:val="21"/>
                      <w:szCs w:val="21"/>
                      <w:lang w:val="en-US" w:eastAsia="zh-CN"/>
                    </w:rPr>
                    <w:t>四川翔丰华新能源材料有限公司已建卫生间，</w:t>
                  </w:r>
                  <w:r>
                    <w:rPr>
                      <w:rFonts w:hint="default" w:ascii="Times New Roman" w:hAnsi="Times New Roman" w:eastAsia="宋体" w:cs="Times New Roman"/>
                      <w:color w:val="auto"/>
                      <w:kern w:val="0"/>
                      <w:sz w:val="21"/>
                      <w:szCs w:val="21"/>
                      <w:lang w:val="en-US" w:eastAsia="zh-CN" w:bidi="ar"/>
                    </w:rPr>
                    <w:t>位于</w:t>
                  </w:r>
                  <w:r>
                    <w:rPr>
                      <w:rFonts w:hint="eastAsia" w:ascii="Times New Roman" w:hAnsi="Times New Roman" w:eastAsia="宋体" w:cs="Times New Roman"/>
                      <w:color w:val="auto"/>
                      <w:sz w:val="21"/>
                      <w:szCs w:val="21"/>
                      <w:lang w:val="en-US" w:eastAsia="zh-CN"/>
                    </w:rPr>
                    <w:t>四川翔丰华新能源材料有限公司厂区南侧</w:t>
                  </w:r>
                  <w:r>
                    <w:rPr>
                      <w:color w:val="auto"/>
                      <w:kern w:val="0"/>
                      <w:sz w:val="21"/>
                      <w:szCs w:val="21"/>
                      <w:lang w:bidi="ar"/>
                    </w:rPr>
                    <w:t>；</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color w:val="auto"/>
                      <w:sz w:val="21"/>
                      <w:szCs w:val="21"/>
                    </w:rPr>
                  </w:pPr>
                  <w:r>
                    <w:rPr>
                      <w:color w:val="auto"/>
                      <w:sz w:val="21"/>
                      <w:szCs w:val="21"/>
                    </w:rPr>
                    <w:t>废水、固废</w:t>
                  </w:r>
                </w:p>
              </w:tc>
              <w:tc>
                <w:tcPr>
                  <w:tcW w:w="604" w:type="dxa"/>
                  <w:noWrap w:val="0"/>
                  <w:vAlign w:val="center"/>
                </w:tcPr>
                <w:p>
                  <w:pPr>
                    <w:jc w:val="center"/>
                    <w:rPr>
                      <w:rFonts w:hint="eastAsia"/>
                      <w:color w:val="auto"/>
                      <w:sz w:val="21"/>
                      <w:szCs w:val="21"/>
                    </w:rPr>
                  </w:pPr>
                  <w:r>
                    <w:rPr>
                      <w:rFonts w:hint="eastAsia"/>
                      <w:color w:val="auto"/>
                      <w:sz w:val="21"/>
                      <w:szCs w:val="21"/>
                      <w:lang w:val="en-US" w:eastAsia="zh-CN"/>
                    </w:rPr>
                    <w:t>依托</w:t>
                  </w:r>
                  <w:r>
                    <w:rPr>
                      <w:rFonts w:hint="eastAsia" w:ascii="Times New Roman" w:hAnsi="Times New Roman" w:eastAsia="宋体" w:cs="Times New Roman"/>
                      <w:color w:val="auto"/>
                      <w:sz w:val="21"/>
                      <w:szCs w:val="21"/>
                      <w:lang w:val="en-US" w:eastAsia="zh-CN"/>
                    </w:rPr>
                    <w:t>翔丰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restart"/>
                  <w:noWrap w:val="0"/>
                  <w:vAlign w:val="center"/>
                </w:tcPr>
                <w:p>
                  <w:pPr>
                    <w:jc w:val="center"/>
                    <w:rPr>
                      <w:color w:val="auto"/>
                      <w:sz w:val="21"/>
                      <w:szCs w:val="21"/>
                    </w:rPr>
                  </w:pPr>
                  <w:r>
                    <w:rPr>
                      <w:color w:val="auto"/>
                      <w:sz w:val="21"/>
                      <w:szCs w:val="21"/>
                    </w:rPr>
                    <w:t>仓储工程</w:t>
                  </w:r>
                </w:p>
              </w:tc>
              <w:tc>
                <w:tcPr>
                  <w:tcW w:w="949" w:type="dxa"/>
                  <w:noWrap w:val="0"/>
                  <w:vAlign w:val="center"/>
                </w:tcPr>
                <w:p>
                  <w:pPr>
                    <w:jc w:val="center"/>
                    <w:rPr>
                      <w:rFonts w:hint="default"/>
                      <w:color w:val="auto"/>
                      <w:kern w:val="0"/>
                      <w:sz w:val="21"/>
                      <w:szCs w:val="21"/>
                      <w:lang w:val="en-US" w:bidi="ar"/>
                    </w:rPr>
                  </w:pPr>
                  <w:r>
                    <w:rPr>
                      <w:rFonts w:hint="eastAsia" w:eastAsia="宋体"/>
                      <w:color w:val="auto"/>
                      <w:kern w:val="0"/>
                      <w:sz w:val="21"/>
                      <w:szCs w:val="21"/>
                      <w:lang w:val="en-US" w:eastAsia="zh-CN" w:bidi="ar"/>
                    </w:rPr>
                    <w:t>原料库房</w:t>
                  </w:r>
                </w:p>
              </w:tc>
              <w:tc>
                <w:tcPr>
                  <w:tcW w:w="3638" w:type="dxa"/>
                  <w:gridSpan w:val="2"/>
                  <w:noWrap w:val="0"/>
                  <w:vAlign w:val="center"/>
                </w:tcPr>
                <w:p>
                  <w:pPr>
                    <w:rPr>
                      <w:rFonts w:hint="default" w:eastAsia="宋体"/>
                      <w:color w:val="auto"/>
                      <w:kern w:val="0"/>
                      <w:sz w:val="21"/>
                      <w:szCs w:val="21"/>
                      <w:lang w:val="en-US" w:eastAsia="zh-CN" w:bidi="ar"/>
                    </w:rPr>
                  </w:pPr>
                  <w:r>
                    <w:rPr>
                      <w:rFonts w:hint="eastAsia"/>
                      <w:color w:val="auto"/>
                      <w:kern w:val="0"/>
                      <w:sz w:val="21"/>
                      <w:szCs w:val="21"/>
                      <w:lang w:val="en-US" w:eastAsia="zh-CN" w:bidi="ar"/>
                    </w:rPr>
                    <w:t>依托</w:t>
                  </w:r>
                  <w:r>
                    <w:rPr>
                      <w:rFonts w:hint="eastAsia" w:ascii="Times New Roman" w:hAnsi="Times New Roman" w:eastAsia="宋体" w:cs="Times New Roman"/>
                      <w:color w:val="auto"/>
                      <w:sz w:val="21"/>
                      <w:szCs w:val="21"/>
                      <w:lang w:val="en-US" w:eastAsia="zh-CN"/>
                    </w:rPr>
                    <w:t>四川翔丰华新能源材料有限公司已建原料库房，</w:t>
                  </w:r>
                  <w:r>
                    <w:rPr>
                      <w:color w:val="auto"/>
                      <w:kern w:val="0"/>
                      <w:sz w:val="21"/>
                      <w:szCs w:val="21"/>
                      <w:lang w:bidi="ar"/>
                    </w:rPr>
                    <w:t>位于</w:t>
                  </w:r>
                  <w:r>
                    <w:rPr>
                      <w:rFonts w:hint="eastAsia" w:ascii="Times New Roman" w:hAnsi="Times New Roman" w:eastAsia="宋体" w:cs="Times New Roman"/>
                      <w:color w:val="auto"/>
                      <w:sz w:val="21"/>
                      <w:szCs w:val="21"/>
                      <w:lang w:val="en-US" w:eastAsia="zh-CN"/>
                    </w:rPr>
                    <w:t>四川翔丰华新能源材料有限公司厂区西侧</w:t>
                  </w:r>
                  <w:r>
                    <w:rPr>
                      <w:rFonts w:hint="eastAsia" w:ascii="Times New Roman" w:hAnsi="Times New Roman" w:eastAsia="宋体" w:cs="Times New Roman"/>
                      <w:color w:val="auto"/>
                      <w:kern w:val="0"/>
                      <w:sz w:val="21"/>
                      <w:szCs w:val="21"/>
                      <w:lang w:val="en-US" w:eastAsia="zh-CN" w:bidi="ar"/>
                    </w:rPr>
                    <w:t>，建筑面积约400</w:t>
                  </w:r>
                  <w:r>
                    <w:rPr>
                      <w:rFonts w:hint="default" w:ascii="Times New Roman" w:hAnsi="Times New Roman" w:cs="Times New Roman"/>
                      <w:color w:val="auto"/>
                      <w:kern w:val="0"/>
                      <w:sz w:val="21"/>
                      <w:szCs w:val="21"/>
                      <w:lang w:bidi="ar"/>
                    </w:rPr>
                    <w:t>m</w:t>
                  </w:r>
                  <w:r>
                    <w:rPr>
                      <w:rFonts w:hint="default" w:ascii="Times New Roman" w:hAnsi="Times New Roman" w:cs="Times New Roman"/>
                      <w:color w:val="auto"/>
                      <w:kern w:val="0"/>
                      <w:sz w:val="21"/>
                      <w:szCs w:val="21"/>
                      <w:vertAlign w:val="superscript"/>
                      <w:lang w:bidi="ar"/>
                    </w:rPr>
                    <w:t>2</w:t>
                  </w:r>
                  <w:r>
                    <w:rPr>
                      <w:rFonts w:hint="eastAsia" w:ascii="Times New Roman" w:hAnsi="Times New Roman" w:cs="Times New Roman"/>
                      <w:color w:val="auto"/>
                      <w:kern w:val="0"/>
                      <w:sz w:val="21"/>
                      <w:szCs w:val="21"/>
                      <w:lang w:eastAsia="zh-CN" w:bidi="ar"/>
                    </w:rPr>
                    <w:t>，</w:t>
                  </w:r>
                  <w:r>
                    <w:rPr>
                      <w:rFonts w:hint="eastAsia" w:ascii="Times New Roman" w:hAnsi="Times New Roman" w:cs="Times New Roman"/>
                      <w:color w:val="auto"/>
                      <w:kern w:val="0"/>
                      <w:sz w:val="21"/>
                      <w:szCs w:val="21"/>
                      <w:vertAlign w:val="baseline"/>
                      <w:lang w:val="en-US" w:eastAsia="zh-CN" w:bidi="ar"/>
                    </w:rPr>
                    <w:t>用于储存</w:t>
                  </w:r>
                  <w:r>
                    <w:rPr>
                      <w:rFonts w:hint="eastAsia" w:ascii="Times New Roman" w:hAnsi="Times New Roman"/>
                      <w:color w:val="auto"/>
                    </w:rPr>
                    <w:t>可膨胀石墨</w:t>
                  </w:r>
                  <w:r>
                    <w:rPr>
                      <w:rFonts w:hint="eastAsia" w:ascii="Times New Roman" w:hAnsi="Times New Roman" w:cs="Times New Roman"/>
                      <w:color w:val="auto"/>
                      <w:kern w:val="0"/>
                      <w:sz w:val="21"/>
                      <w:szCs w:val="21"/>
                      <w:vertAlign w:val="baseline"/>
                      <w:lang w:val="en-US" w:eastAsia="zh-CN" w:bidi="ar"/>
                    </w:rPr>
                    <w:t>；</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rFonts w:hint="eastAsia"/>
                      <w:color w:val="auto"/>
                      <w:sz w:val="21"/>
                      <w:szCs w:val="21"/>
                    </w:rPr>
                  </w:pPr>
                  <w:r>
                    <w:rPr>
                      <w:color w:val="auto"/>
                      <w:sz w:val="21"/>
                      <w:szCs w:val="21"/>
                    </w:rPr>
                    <w:t>/</w:t>
                  </w:r>
                </w:p>
              </w:tc>
              <w:tc>
                <w:tcPr>
                  <w:tcW w:w="604" w:type="dxa"/>
                  <w:noWrap w:val="0"/>
                  <w:vAlign w:val="center"/>
                </w:tcPr>
                <w:p>
                  <w:pPr>
                    <w:jc w:val="center"/>
                    <w:rPr>
                      <w:rFonts w:hint="eastAsia"/>
                      <w:color w:val="auto"/>
                      <w:sz w:val="21"/>
                      <w:szCs w:val="21"/>
                    </w:rPr>
                  </w:pPr>
                  <w:r>
                    <w:rPr>
                      <w:rFonts w:hint="eastAsia"/>
                      <w:color w:val="auto"/>
                      <w:sz w:val="21"/>
                      <w:szCs w:val="21"/>
                      <w:lang w:val="en-US" w:eastAsia="zh-CN"/>
                    </w:rPr>
                    <w:t>依托</w:t>
                  </w:r>
                  <w:r>
                    <w:rPr>
                      <w:rFonts w:hint="eastAsia" w:ascii="Times New Roman" w:hAnsi="Times New Roman" w:eastAsia="宋体" w:cs="Times New Roman"/>
                      <w:color w:val="auto"/>
                      <w:sz w:val="21"/>
                      <w:szCs w:val="21"/>
                      <w:lang w:val="en-US" w:eastAsia="zh-CN"/>
                    </w:rPr>
                    <w:t>翔丰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continue"/>
                  <w:noWrap w:val="0"/>
                  <w:vAlign w:val="center"/>
                </w:tcPr>
                <w:p>
                  <w:pPr>
                    <w:jc w:val="center"/>
                    <w:rPr>
                      <w:color w:val="auto"/>
                      <w:sz w:val="21"/>
                      <w:szCs w:val="21"/>
                    </w:rPr>
                  </w:pPr>
                </w:p>
              </w:tc>
              <w:tc>
                <w:tcPr>
                  <w:tcW w:w="949" w:type="dxa"/>
                  <w:noWrap w:val="0"/>
                  <w:vAlign w:val="center"/>
                </w:tcPr>
                <w:p>
                  <w:pPr>
                    <w:jc w:val="center"/>
                    <w:rPr>
                      <w:rFonts w:hint="default" w:eastAsia="宋体"/>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研发品暂存间</w:t>
                  </w:r>
                </w:p>
              </w:tc>
              <w:tc>
                <w:tcPr>
                  <w:tcW w:w="3638" w:type="dxa"/>
                  <w:gridSpan w:val="2"/>
                  <w:noWrap w:val="0"/>
                  <w:vAlign w:val="center"/>
                </w:tcPr>
                <w:p>
                  <w:pPr>
                    <w:rPr>
                      <w:rFonts w:hint="eastAsia" w:eastAsia="宋体"/>
                      <w:color w:val="auto"/>
                      <w:kern w:val="0"/>
                      <w:sz w:val="21"/>
                      <w:szCs w:val="21"/>
                      <w:lang w:eastAsia="zh-CN" w:bidi="ar"/>
                    </w:rPr>
                  </w:pPr>
                  <w:r>
                    <w:rPr>
                      <w:rFonts w:hint="eastAsia"/>
                      <w:color w:val="auto"/>
                      <w:kern w:val="0"/>
                      <w:sz w:val="21"/>
                      <w:szCs w:val="21"/>
                      <w:lang w:val="en-US" w:eastAsia="zh-CN" w:bidi="ar"/>
                    </w:rPr>
                    <w:t>依托</w:t>
                  </w:r>
                  <w:r>
                    <w:rPr>
                      <w:rFonts w:hint="eastAsia" w:ascii="Times New Roman" w:hAnsi="Times New Roman" w:eastAsia="宋体" w:cs="Times New Roman"/>
                      <w:color w:val="auto"/>
                      <w:sz w:val="21"/>
                      <w:szCs w:val="21"/>
                      <w:lang w:val="en-US" w:eastAsia="zh-CN"/>
                    </w:rPr>
                    <w:t>四川翔丰华新能源材料有限公司已建</w:t>
                  </w:r>
                  <w:r>
                    <w:rPr>
                      <w:rFonts w:hint="eastAsia" w:ascii="Times New Roman" w:hAnsi="Times New Roman" w:eastAsia="宋体" w:cs="Times New Roman"/>
                      <w:color w:val="auto"/>
                      <w:kern w:val="0"/>
                      <w:sz w:val="21"/>
                      <w:szCs w:val="21"/>
                      <w:lang w:val="en-US" w:eastAsia="zh-CN" w:bidi="ar"/>
                    </w:rPr>
                    <w:t>研发品暂存间</w:t>
                  </w:r>
                  <w:r>
                    <w:rPr>
                      <w:rFonts w:hint="eastAsia" w:ascii="Times New Roman" w:hAnsi="Times New Roman" w:eastAsia="宋体" w:cs="Times New Roman"/>
                      <w:color w:val="auto"/>
                      <w:sz w:val="21"/>
                      <w:szCs w:val="21"/>
                      <w:lang w:val="en-US" w:eastAsia="zh-CN"/>
                    </w:rPr>
                    <w:t>，</w:t>
                  </w:r>
                  <w:r>
                    <w:rPr>
                      <w:color w:val="auto"/>
                      <w:kern w:val="0"/>
                      <w:sz w:val="21"/>
                      <w:szCs w:val="21"/>
                      <w:lang w:bidi="ar"/>
                    </w:rPr>
                    <w:t>位于</w:t>
                  </w:r>
                  <w:r>
                    <w:rPr>
                      <w:rFonts w:hint="eastAsia" w:ascii="Times New Roman" w:hAnsi="Times New Roman" w:eastAsia="宋体" w:cs="Times New Roman"/>
                      <w:color w:val="auto"/>
                      <w:sz w:val="21"/>
                      <w:szCs w:val="21"/>
                      <w:lang w:val="en-US" w:eastAsia="zh-CN"/>
                    </w:rPr>
                    <w:t>四川翔丰华新能源材料有限公司厂区西侧</w:t>
                  </w:r>
                  <w:r>
                    <w:rPr>
                      <w:rFonts w:hint="eastAsia" w:ascii="Times New Roman" w:hAnsi="Times New Roman" w:eastAsia="宋体" w:cs="Times New Roman"/>
                      <w:color w:val="auto"/>
                      <w:kern w:val="0"/>
                      <w:sz w:val="21"/>
                      <w:szCs w:val="21"/>
                      <w:lang w:val="en-US" w:eastAsia="zh-CN" w:bidi="ar"/>
                    </w:rPr>
                    <w:t>，设有</w:t>
                  </w:r>
                  <w:r>
                    <w:rPr>
                      <w:rFonts w:hint="eastAsia" w:ascii="Times New Roman" w:hAnsi="Times New Roman" w:eastAsia="宋体" w:cs="Times New Roman"/>
                      <w:b w:val="0"/>
                      <w:bCs/>
                      <w:color w:val="auto"/>
                      <w:kern w:val="2"/>
                      <w:sz w:val="21"/>
                      <w:szCs w:val="21"/>
                      <w:lang w:val="en-US" w:eastAsia="zh-CN" w:bidi="ar-SA"/>
                    </w:rPr>
                    <w:t>高纯度柔性石墨纸中试产品储存区、高性能石墨导热膜中试产品储存区及导电石墨烯粉体中试产品储存区</w:t>
                  </w:r>
                  <w:r>
                    <w:rPr>
                      <w:rFonts w:hint="eastAsia" w:ascii="Times New Roman" w:hAnsi="Times New Roman" w:eastAsia="宋体" w:cs="Times New Roman"/>
                      <w:color w:val="auto"/>
                      <w:kern w:val="0"/>
                      <w:sz w:val="21"/>
                      <w:szCs w:val="21"/>
                      <w:lang w:val="en-US" w:eastAsia="zh-CN" w:bidi="ar"/>
                    </w:rPr>
                    <w:t>，建筑面积约400</w:t>
                  </w:r>
                  <w:r>
                    <w:rPr>
                      <w:rFonts w:hint="default" w:ascii="Times New Roman" w:hAnsi="Times New Roman" w:cs="Times New Roman"/>
                      <w:color w:val="auto"/>
                      <w:kern w:val="0"/>
                      <w:sz w:val="21"/>
                      <w:szCs w:val="21"/>
                      <w:lang w:bidi="ar"/>
                    </w:rPr>
                    <w:t>m</w:t>
                  </w:r>
                  <w:r>
                    <w:rPr>
                      <w:rFonts w:hint="default" w:ascii="Times New Roman" w:hAnsi="Times New Roman" w:cs="Times New Roman"/>
                      <w:color w:val="auto"/>
                      <w:kern w:val="0"/>
                      <w:sz w:val="21"/>
                      <w:szCs w:val="21"/>
                      <w:vertAlign w:val="superscript"/>
                      <w:lang w:bidi="ar"/>
                    </w:rPr>
                    <w:t>2</w:t>
                  </w:r>
                  <w:r>
                    <w:rPr>
                      <w:rFonts w:hint="eastAsia"/>
                      <w:color w:val="auto"/>
                      <w:kern w:val="0"/>
                      <w:sz w:val="21"/>
                      <w:szCs w:val="21"/>
                      <w:lang w:eastAsia="zh-CN" w:bidi="ar"/>
                    </w:rPr>
                    <w:t>；</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rFonts w:hint="eastAsia"/>
                      <w:color w:val="auto"/>
                      <w:sz w:val="21"/>
                      <w:szCs w:val="21"/>
                    </w:rPr>
                  </w:pPr>
                  <w:r>
                    <w:rPr>
                      <w:color w:val="auto"/>
                      <w:sz w:val="21"/>
                      <w:szCs w:val="21"/>
                    </w:rPr>
                    <w:t>/</w:t>
                  </w:r>
                </w:p>
              </w:tc>
              <w:tc>
                <w:tcPr>
                  <w:tcW w:w="604" w:type="dxa"/>
                  <w:noWrap w:val="0"/>
                  <w:vAlign w:val="center"/>
                </w:tcPr>
                <w:p>
                  <w:pPr>
                    <w:jc w:val="center"/>
                    <w:rPr>
                      <w:rFonts w:hint="eastAsia"/>
                      <w:color w:val="auto"/>
                      <w:sz w:val="21"/>
                      <w:szCs w:val="21"/>
                    </w:rPr>
                  </w:pPr>
                  <w:r>
                    <w:rPr>
                      <w:rFonts w:hint="eastAsia"/>
                      <w:color w:val="auto"/>
                      <w:sz w:val="21"/>
                      <w:szCs w:val="21"/>
                      <w:lang w:val="en-US" w:eastAsia="zh-CN"/>
                    </w:rPr>
                    <w:t>依托</w:t>
                  </w:r>
                  <w:r>
                    <w:rPr>
                      <w:rFonts w:hint="eastAsia" w:ascii="Times New Roman" w:hAnsi="Times New Roman" w:eastAsia="宋体" w:cs="Times New Roman"/>
                      <w:color w:val="auto"/>
                      <w:sz w:val="21"/>
                      <w:szCs w:val="21"/>
                      <w:lang w:val="en-US" w:eastAsia="zh-CN"/>
                    </w:rPr>
                    <w:t>翔丰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restart"/>
                  <w:noWrap w:val="0"/>
                  <w:vAlign w:val="center"/>
                </w:tcPr>
                <w:p>
                  <w:pPr>
                    <w:jc w:val="center"/>
                    <w:rPr>
                      <w:color w:val="auto"/>
                      <w:sz w:val="21"/>
                      <w:szCs w:val="21"/>
                    </w:rPr>
                  </w:pPr>
                  <w:r>
                    <w:rPr>
                      <w:rFonts w:ascii="Times New Roman" w:hAnsi="Times New Roman" w:eastAsia="宋体" w:cs="Times New Roman"/>
                      <w:color w:val="auto"/>
                      <w:sz w:val="21"/>
                      <w:szCs w:val="21"/>
                    </w:rPr>
                    <w:t>公辅工程</w:t>
                  </w:r>
                </w:p>
              </w:tc>
              <w:tc>
                <w:tcPr>
                  <w:tcW w:w="949" w:type="dxa"/>
                  <w:noWrap w:val="0"/>
                  <w:vAlign w:val="center"/>
                </w:tcPr>
                <w:p>
                  <w:pPr>
                    <w:jc w:val="center"/>
                    <w:rPr>
                      <w:rFonts w:hint="eastAsia"/>
                      <w:color w:val="auto"/>
                      <w:kern w:val="0"/>
                      <w:sz w:val="21"/>
                      <w:szCs w:val="21"/>
                      <w:lang w:bidi="ar"/>
                    </w:rPr>
                  </w:pPr>
                  <w:r>
                    <w:rPr>
                      <w:color w:val="auto"/>
                      <w:sz w:val="21"/>
                      <w:szCs w:val="21"/>
                    </w:rPr>
                    <w:t>供水</w:t>
                  </w:r>
                </w:p>
              </w:tc>
              <w:tc>
                <w:tcPr>
                  <w:tcW w:w="3638" w:type="dxa"/>
                  <w:gridSpan w:val="2"/>
                  <w:noWrap w:val="0"/>
                  <w:vAlign w:val="center"/>
                </w:tcPr>
                <w:p>
                  <w:pPr>
                    <w:pStyle w:val="143"/>
                    <w:snapToGrid w:val="0"/>
                    <w:spacing w:before="0"/>
                    <w:jc w:val="both"/>
                    <w:textAlignment w:val="auto"/>
                    <w:rPr>
                      <w:rFonts w:hint="eastAsia" w:eastAsia="宋体"/>
                      <w:color w:val="auto"/>
                      <w:kern w:val="0"/>
                      <w:sz w:val="21"/>
                      <w:szCs w:val="21"/>
                      <w:lang w:eastAsia="zh-CN" w:bidi="ar"/>
                    </w:rPr>
                  </w:pPr>
                  <w:r>
                    <w:rPr>
                      <w:rFonts w:hint="eastAsia" w:ascii="Times New Roman" w:hAnsi="Times New Roman" w:cs="Times New Roman"/>
                      <w:color w:val="auto"/>
                      <w:sz w:val="21"/>
                      <w:szCs w:val="21"/>
                      <w:lang w:val="en-US" w:eastAsia="zh-CN"/>
                    </w:rPr>
                    <w:t>市政供水网供水</w:t>
                  </w:r>
                  <w:r>
                    <w:rPr>
                      <w:rFonts w:hint="eastAsia" w:ascii="Times New Roman"/>
                      <w:color w:val="auto"/>
                      <w:kern w:val="2"/>
                      <w:sz w:val="21"/>
                      <w:szCs w:val="21"/>
                      <w:lang w:eastAsia="zh-CN"/>
                    </w:rPr>
                    <w:t>；</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color w:val="auto"/>
                      <w:sz w:val="21"/>
                      <w:szCs w:val="21"/>
                    </w:rPr>
                  </w:pPr>
                  <w:r>
                    <w:rPr>
                      <w:color w:val="auto"/>
                      <w:sz w:val="21"/>
                      <w:szCs w:val="21"/>
                    </w:rPr>
                    <w:t>/</w:t>
                  </w:r>
                </w:p>
              </w:tc>
              <w:tc>
                <w:tcPr>
                  <w:tcW w:w="604" w:type="dxa"/>
                  <w:noWrap w:val="0"/>
                  <w:vAlign w:val="center"/>
                </w:tcPr>
                <w:p>
                  <w:pPr>
                    <w:jc w:val="center"/>
                    <w:rPr>
                      <w:rFonts w:hint="eastAsia"/>
                      <w:color w:val="auto"/>
                      <w:sz w:val="21"/>
                      <w:szCs w:val="21"/>
                    </w:rPr>
                  </w:pPr>
                  <w:r>
                    <w:rPr>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continue"/>
                  <w:noWrap w:val="0"/>
                  <w:vAlign w:val="center"/>
                </w:tcPr>
                <w:p>
                  <w:pPr>
                    <w:jc w:val="center"/>
                    <w:rPr>
                      <w:color w:val="auto"/>
                      <w:sz w:val="21"/>
                      <w:szCs w:val="21"/>
                    </w:rPr>
                  </w:pPr>
                </w:p>
              </w:tc>
              <w:tc>
                <w:tcPr>
                  <w:tcW w:w="949" w:type="dxa"/>
                  <w:noWrap w:val="0"/>
                  <w:vAlign w:val="center"/>
                </w:tcPr>
                <w:p>
                  <w:pPr>
                    <w:jc w:val="center"/>
                    <w:rPr>
                      <w:rFonts w:hint="eastAsia"/>
                      <w:color w:val="auto"/>
                      <w:kern w:val="0"/>
                      <w:sz w:val="21"/>
                      <w:szCs w:val="21"/>
                      <w:lang w:bidi="ar"/>
                    </w:rPr>
                  </w:pPr>
                  <w:r>
                    <w:rPr>
                      <w:color w:val="auto"/>
                      <w:sz w:val="21"/>
                      <w:szCs w:val="21"/>
                    </w:rPr>
                    <w:t>供电</w:t>
                  </w:r>
                </w:p>
              </w:tc>
              <w:tc>
                <w:tcPr>
                  <w:tcW w:w="3638" w:type="dxa"/>
                  <w:gridSpan w:val="2"/>
                  <w:noWrap w:val="0"/>
                  <w:vAlign w:val="center"/>
                </w:tcPr>
                <w:p>
                  <w:pPr>
                    <w:pStyle w:val="143"/>
                    <w:snapToGrid w:val="0"/>
                    <w:spacing w:before="0"/>
                    <w:jc w:val="both"/>
                    <w:textAlignment w:val="auto"/>
                    <w:rPr>
                      <w:rFonts w:hint="eastAsia" w:eastAsia="宋体"/>
                      <w:color w:val="auto"/>
                      <w:kern w:val="0"/>
                      <w:sz w:val="21"/>
                      <w:szCs w:val="21"/>
                      <w:lang w:eastAsia="zh-CN" w:bidi="ar"/>
                    </w:rPr>
                  </w:pPr>
                  <w:r>
                    <w:rPr>
                      <w:rFonts w:hint="default" w:ascii="Times New Roman" w:hAnsi="Times New Roman" w:eastAsia="宋体" w:cs="Times New Roman"/>
                      <w:color w:val="auto"/>
                      <w:sz w:val="21"/>
                      <w:szCs w:val="21"/>
                    </w:rPr>
                    <w:t>市政电网集中供电</w:t>
                  </w:r>
                  <w:r>
                    <w:rPr>
                      <w:rFonts w:hint="eastAsia" w:ascii="Times New Roman"/>
                      <w:color w:val="auto"/>
                      <w:kern w:val="2"/>
                      <w:sz w:val="21"/>
                      <w:szCs w:val="21"/>
                      <w:lang w:eastAsia="zh-CN"/>
                    </w:rPr>
                    <w:t>；</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color w:val="auto"/>
                      <w:sz w:val="21"/>
                      <w:szCs w:val="21"/>
                    </w:rPr>
                  </w:pPr>
                  <w:r>
                    <w:rPr>
                      <w:color w:val="auto"/>
                      <w:sz w:val="21"/>
                      <w:szCs w:val="21"/>
                    </w:rPr>
                    <w:t>/</w:t>
                  </w:r>
                </w:p>
              </w:tc>
              <w:tc>
                <w:tcPr>
                  <w:tcW w:w="604" w:type="dxa"/>
                  <w:noWrap w:val="0"/>
                  <w:vAlign w:val="center"/>
                </w:tcPr>
                <w:p>
                  <w:pPr>
                    <w:jc w:val="center"/>
                    <w:rPr>
                      <w:rFonts w:hint="eastAsia"/>
                      <w:color w:val="auto"/>
                      <w:sz w:val="21"/>
                      <w:szCs w:val="21"/>
                    </w:rPr>
                  </w:pPr>
                  <w:r>
                    <w:rPr>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continue"/>
                  <w:noWrap w:val="0"/>
                  <w:vAlign w:val="center"/>
                </w:tcPr>
                <w:p>
                  <w:pPr>
                    <w:jc w:val="center"/>
                    <w:rPr>
                      <w:color w:val="auto"/>
                      <w:sz w:val="21"/>
                      <w:szCs w:val="21"/>
                    </w:rPr>
                  </w:pPr>
                </w:p>
              </w:tc>
              <w:tc>
                <w:tcPr>
                  <w:tcW w:w="949" w:type="dxa"/>
                  <w:noWrap w:val="0"/>
                  <w:vAlign w:val="center"/>
                </w:tcPr>
                <w:p>
                  <w:pPr>
                    <w:jc w:val="center"/>
                    <w:rPr>
                      <w:color w:val="auto"/>
                      <w:sz w:val="21"/>
                      <w:szCs w:val="21"/>
                    </w:rPr>
                  </w:pPr>
                  <w:r>
                    <w:rPr>
                      <w:color w:val="auto"/>
                      <w:szCs w:val="21"/>
                    </w:rPr>
                    <w:t>供气</w:t>
                  </w:r>
                </w:p>
              </w:tc>
              <w:tc>
                <w:tcPr>
                  <w:tcW w:w="3638" w:type="dxa"/>
                  <w:gridSpan w:val="2"/>
                  <w:noWrap w:val="0"/>
                  <w:vAlign w:val="center"/>
                </w:tcPr>
                <w:p>
                  <w:pPr>
                    <w:jc w:val="both"/>
                    <w:rPr>
                      <w:rFonts w:hint="default" w:ascii="Times New Roman" w:hAnsi="Times New Roman" w:eastAsia="宋体" w:cs="Times New Roman"/>
                      <w:color w:val="auto"/>
                      <w:sz w:val="21"/>
                      <w:szCs w:val="21"/>
                    </w:rPr>
                  </w:pPr>
                  <w:r>
                    <w:rPr>
                      <w:color w:val="auto"/>
                      <w:szCs w:val="21"/>
                    </w:rPr>
                    <w:t>由园区天然气管网供给；</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color w:val="auto"/>
                      <w:sz w:val="21"/>
                      <w:szCs w:val="21"/>
                    </w:rPr>
                  </w:pPr>
                  <w:r>
                    <w:rPr>
                      <w:color w:val="auto"/>
                      <w:sz w:val="21"/>
                      <w:szCs w:val="21"/>
                    </w:rPr>
                    <w:t>/</w:t>
                  </w:r>
                </w:p>
              </w:tc>
              <w:tc>
                <w:tcPr>
                  <w:tcW w:w="604" w:type="dxa"/>
                  <w:noWrap w:val="0"/>
                  <w:vAlign w:val="center"/>
                </w:tcPr>
                <w:p>
                  <w:pPr>
                    <w:jc w:val="center"/>
                    <w:rPr>
                      <w:color w:val="auto"/>
                      <w:sz w:val="21"/>
                      <w:szCs w:val="21"/>
                    </w:rPr>
                  </w:pPr>
                  <w:r>
                    <w:rPr>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02" w:hRule="atLeast"/>
                <w:jc w:val="center"/>
              </w:trPr>
              <w:tc>
                <w:tcPr>
                  <w:tcW w:w="618" w:type="dxa"/>
                  <w:vMerge w:val="continue"/>
                  <w:noWrap w:val="0"/>
                  <w:vAlign w:val="center"/>
                </w:tcPr>
                <w:p>
                  <w:pPr>
                    <w:jc w:val="center"/>
                    <w:rPr>
                      <w:color w:val="auto"/>
                      <w:sz w:val="21"/>
                      <w:szCs w:val="21"/>
                    </w:rPr>
                  </w:pPr>
                </w:p>
              </w:tc>
              <w:tc>
                <w:tcPr>
                  <w:tcW w:w="949" w:type="dxa"/>
                  <w:noWrap w:val="0"/>
                  <w:vAlign w:val="center"/>
                </w:tcPr>
                <w:p>
                  <w:pPr>
                    <w:jc w:val="center"/>
                    <w:rPr>
                      <w:rFonts w:hint="eastAsia"/>
                      <w:color w:val="auto"/>
                      <w:kern w:val="0"/>
                      <w:sz w:val="21"/>
                      <w:szCs w:val="21"/>
                      <w:lang w:bidi="ar"/>
                    </w:rPr>
                  </w:pPr>
                  <w:r>
                    <w:rPr>
                      <w:color w:val="auto"/>
                      <w:sz w:val="21"/>
                      <w:szCs w:val="21"/>
                    </w:rPr>
                    <w:t>排水</w:t>
                  </w:r>
                </w:p>
              </w:tc>
              <w:tc>
                <w:tcPr>
                  <w:tcW w:w="3638" w:type="dxa"/>
                  <w:gridSpan w:val="2"/>
                  <w:noWrap w:val="0"/>
                  <w:vAlign w:val="center"/>
                </w:tcPr>
                <w:p>
                  <w:pPr>
                    <w:widowControl/>
                    <w:jc w:val="both"/>
                    <w:rPr>
                      <w:rFonts w:hint="eastAsia" w:eastAsia="宋体"/>
                      <w:color w:val="auto"/>
                      <w:kern w:val="0"/>
                      <w:sz w:val="21"/>
                      <w:szCs w:val="21"/>
                      <w:lang w:eastAsia="zh-CN" w:bidi="ar"/>
                    </w:rPr>
                  </w:pPr>
                  <w:r>
                    <w:rPr>
                      <w:rFonts w:hint="eastAsia"/>
                      <w:color w:val="auto"/>
                      <w:lang w:val="en-US" w:eastAsia="zh-CN"/>
                    </w:rPr>
                    <w:t>厂区</w:t>
                  </w:r>
                  <w:r>
                    <w:rPr>
                      <w:rFonts w:hint="eastAsia"/>
                      <w:color w:val="auto"/>
                    </w:rPr>
                    <w:t>雨水管网、污水管网</w:t>
                  </w:r>
                  <w:r>
                    <w:rPr>
                      <w:rFonts w:hint="eastAsia" w:ascii="Times New Roman"/>
                      <w:color w:val="auto"/>
                      <w:kern w:val="2"/>
                      <w:sz w:val="21"/>
                      <w:szCs w:val="21"/>
                      <w:lang w:eastAsia="zh-CN"/>
                    </w:rPr>
                    <w:t>；</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rFonts w:hint="eastAsia"/>
                      <w:color w:val="auto"/>
                      <w:sz w:val="21"/>
                      <w:szCs w:val="21"/>
                    </w:rPr>
                  </w:pPr>
                  <w:r>
                    <w:rPr>
                      <w:color w:val="auto"/>
                      <w:sz w:val="21"/>
                      <w:szCs w:val="21"/>
                    </w:rPr>
                    <w:t>/</w:t>
                  </w:r>
                </w:p>
              </w:tc>
              <w:tc>
                <w:tcPr>
                  <w:tcW w:w="604" w:type="dxa"/>
                  <w:noWrap w:val="0"/>
                  <w:vAlign w:val="center"/>
                </w:tcPr>
                <w:p>
                  <w:pPr>
                    <w:jc w:val="center"/>
                    <w:rPr>
                      <w:rFonts w:hint="eastAsia"/>
                      <w:color w:val="auto"/>
                      <w:sz w:val="21"/>
                      <w:szCs w:val="21"/>
                    </w:rPr>
                  </w:pPr>
                  <w:r>
                    <w:rPr>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949"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废气处理</w:t>
                  </w:r>
                </w:p>
              </w:tc>
              <w:tc>
                <w:tcPr>
                  <w:tcW w:w="788"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研发</w:t>
                  </w:r>
                  <w:r>
                    <w:rPr>
                      <w:rFonts w:hint="default" w:ascii="Times New Roman" w:hAnsi="Times New Roman" w:eastAsia="宋体" w:cs="Times New Roman"/>
                      <w:color w:val="auto"/>
                      <w:sz w:val="21"/>
                      <w:szCs w:val="21"/>
                      <w:lang w:val="en-US" w:eastAsia="zh-CN"/>
                    </w:rPr>
                    <w:t>废气</w:t>
                  </w:r>
                </w:p>
              </w:tc>
              <w:tc>
                <w:tcPr>
                  <w:tcW w:w="285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产生的研发废气包括投料粉尘、膨化炉废气、分级粉尘、切割粉尘和研磨粉尘，投料粉尘、膨化炉废气及分级粉尘经集气罩或管道收集至2套“布袋除尘器+碱喷淋”处理后，通过2根15m高排气筒（DA001、DA002）达标排放</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切割粉尘产生量小，直接无组织排放；研磨粉尘经设备自带布袋除尘器处理后无组织排放；</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color w:val="auto"/>
                      <w:sz w:val="21"/>
                      <w:szCs w:val="21"/>
                    </w:rPr>
                  </w:pPr>
                  <w:r>
                    <w:rPr>
                      <w:color w:val="auto"/>
                      <w:sz w:val="21"/>
                      <w:szCs w:val="21"/>
                    </w:rPr>
                    <w:t>废气、噪声、固废</w:t>
                  </w:r>
                </w:p>
              </w:tc>
              <w:tc>
                <w:tcPr>
                  <w:tcW w:w="604" w:type="dxa"/>
                  <w:noWrap w:val="0"/>
                  <w:vAlign w:val="center"/>
                </w:tcPr>
                <w:p>
                  <w:pPr>
                    <w:jc w:val="center"/>
                    <w:rPr>
                      <w:color w:val="auto"/>
                      <w:sz w:val="21"/>
                      <w:szCs w:val="21"/>
                    </w:rPr>
                  </w:pPr>
                  <w:r>
                    <w:rPr>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continue"/>
                  <w:noWrap w:val="0"/>
                  <w:vAlign w:val="center"/>
                </w:tcPr>
                <w:p>
                  <w:pPr>
                    <w:jc w:val="center"/>
                    <w:rPr>
                      <w:rFonts w:hint="default" w:ascii="Times New Roman" w:hAnsi="Times New Roman" w:cs="Times New Roman"/>
                      <w:color w:val="auto"/>
                      <w:sz w:val="21"/>
                      <w:szCs w:val="21"/>
                    </w:rPr>
                  </w:pPr>
                </w:p>
              </w:tc>
              <w:tc>
                <w:tcPr>
                  <w:tcW w:w="949"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废水处理</w:t>
                  </w:r>
                </w:p>
              </w:tc>
              <w:tc>
                <w:tcPr>
                  <w:tcW w:w="788" w:type="dxa"/>
                  <w:noWrap w:val="0"/>
                  <w:vAlign w:val="center"/>
                </w:tcPr>
                <w:p>
                  <w:pPr>
                    <w:pStyle w:val="143"/>
                    <w:snapToGrid w:val="0"/>
                    <w:spacing w:before="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生活污水</w:t>
                  </w:r>
                  <w:r>
                    <w:rPr>
                      <w:rFonts w:hint="eastAsia" w:ascii="Times New Roman" w:hAnsi="Times New Roman" w:eastAsia="宋体" w:cs="Times New Roman"/>
                      <w:color w:val="auto"/>
                      <w:kern w:val="2"/>
                      <w:sz w:val="21"/>
                      <w:szCs w:val="21"/>
                      <w:lang w:val="en-US" w:eastAsia="zh-CN" w:bidi="ar-SA"/>
                    </w:rPr>
                    <w:t>及碱喷淋废水</w:t>
                  </w:r>
                </w:p>
              </w:tc>
              <w:tc>
                <w:tcPr>
                  <w:tcW w:w="2850" w:type="dxa"/>
                  <w:noWrap w:val="0"/>
                  <w:vAlign w:val="center"/>
                </w:tcPr>
                <w:p>
                  <w:pPr>
                    <w:pStyle w:val="143"/>
                    <w:snapToGrid w:val="0"/>
                    <w:spacing w:before="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碱喷淋废水经酸碱中和预处理后，</w:t>
                  </w:r>
                  <w:r>
                    <w:rPr>
                      <w:rFonts w:hint="eastAsia" w:ascii="Times New Roman" w:cs="Times New Roman"/>
                      <w:color w:val="auto"/>
                      <w:sz w:val="21"/>
                      <w:szCs w:val="21"/>
                      <w:lang w:val="en-US" w:eastAsia="zh-CN"/>
                    </w:rPr>
                    <w:t>和</w:t>
                  </w:r>
                  <w:r>
                    <w:rPr>
                      <w:rFonts w:hint="eastAsia" w:ascii="Times New Roman" w:hAnsi="Times New Roman" w:eastAsia="宋体" w:cs="Times New Roman"/>
                      <w:color w:val="auto"/>
                      <w:sz w:val="21"/>
                      <w:szCs w:val="21"/>
                      <w:lang w:val="en-US" w:eastAsia="zh-CN"/>
                    </w:rPr>
                    <w:t>生活污水一起排入四川翔丰华新能源材料有限公司已建4#预处理池处理后</w:t>
                  </w:r>
                  <w:r>
                    <w:rPr>
                      <w:rFonts w:hint="default" w:ascii="Times New Roman" w:hAnsi="Times New Roman" w:eastAsia="宋体" w:cs="Times New Roman"/>
                      <w:color w:val="auto"/>
                      <w:kern w:val="2"/>
                      <w:sz w:val="21"/>
                      <w:szCs w:val="21"/>
                      <w:lang w:val="en-US" w:eastAsia="zh-CN" w:bidi="ar-SA"/>
                    </w:rPr>
                    <w:t>，经</w:t>
                  </w:r>
                  <w:r>
                    <w:rPr>
                      <w:rFonts w:hint="eastAsia" w:ascii="Times New Roman" w:hAnsi="Times New Roman" w:eastAsia="宋体" w:cs="Times New Roman"/>
                      <w:color w:val="auto"/>
                      <w:sz w:val="21"/>
                      <w:szCs w:val="21"/>
                      <w:lang w:val="en-US" w:eastAsia="zh-CN"/>
                    </w:rPr>
                    <w:t>四川翔丰华新能源材料有限公司</w:t>
                  </w:r>
                  <w:r>
                    <w:rPr>
                      <w:rFonts w:hint="default" w:ascii="Times New Roman" w:hAnsi="Times New Roman" w:eastAsia="宋体" w:cs="Times New Roman"/>
                      <w:color w:val="auto"/>
                      <w:kern w:val="2"/>
                      <w:sz w:val="21"/>
                      <w:szCs w:val="21"/>
                      <w:lang w:val="en-US" w:eastAsia="zh-CN" w:bidi="ar-SA"/>
                    </w:rPr>
                    <w:t>废水总排口DW001排放</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color w:val="auto"/>
                      <w:sz w:val="21"/>
                      <w:szCs w:val="21"/>
                    </w:rPr>
                  </w:pPr>
                  <w:r>
                    <w:rPr>
                      <w:rFonts w:hint="eastAsia"/>
                      <w:color w:val="auto"/>
                      <w:sz w:val="21"/>
                      <w:szCs w:val="21"/>
                      <w:lang w:val="en-US" w:eastAsia="zh-CN"/>
                    </w:rPr>
                    <w:t>/</w:t>
                  </w:r>
                </w:p>
              </w:tc>
              <w:tc>
                <w:tcPr>
                  <w:tcW w:w="604" w:type="dxa"/>
                  <w:noWrap w:val="0"/>
                  <w:vAlign w:val="center"/>
                </w:tcPr>
                <w:p>
                  <w:pPr>
                    <w:jc w:val="center"/>
                    <w:rPr>
                      <w:rFonts w:hint="default"/>
                      <w:color w:val="auto"/>
                      <w:sz w:val="21"/>
                      <w:szCs w:val="21"/>
                      <w:lang w:val="en-US"/>
                    </w:rPr>
                  </w:pPr>
                  <w:r>
                    <w:rPr>
                      <w:color w:val="auto"/>
                      <w:sz w:val="21"/>
                      <w:szCs w:val="21"/>
                    </w:rPr>
                    <w:t>依托</w:t>
                  </w:r>
                  <w:r>
                    <w:rPr>
                      <w:rFonts w:hint="eastAsia" w:ascii="Times New Roman" w:hAnsi="Times New Roman" w:eastAsia="宋体" w:cs="Times New Roman"/>
                      <w:color w:val="auto"/>
                      <w:sz w:val="21"/>
                      <w:szCs w:val="21"/>
                      <w:lang w:val="en-US" w:eastAsia="zh-CN"/>
                    </w:rPr>
                    <w:t>翔丰+新建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continue"/>
                  <w:noWrap w:val="0"/>
                  <w:vAlign w:val="center"/>
                </w:tcPr>
                <w:p>
                  <w:pPr>
                    <w:jc w:val="center"/>
                    <w:rPr>
                      <w:color w:val="auto"/>
                      <w:sz w:val="21"/>
                      <w:szCs w:val="21"/>
                    </w:rPr>
                  </w:pPr>
                </w:p>
              </w:tc>
              <w:tc>
                <w:tcPr>
                  <w:tcW w:w="949" w:type="dxa"/>
                  <w:noWrap w:val="0"/>
                  <w:vAlign w:val="center"/>
                </w:tcPr>
                <w:p>
                  <w:pPr>
                    <w:jc w:val="center"/>
                    <w:rPr>
                      <w:rFonts w:hint="default"/>
                      <w:color w:val="auto"/>
                      <w:sz w:val="21"/>
                      <w:szCs w:val="21"/>
                      <w:lang w:val="en-US"/>
                    </w:rPr>
                  </w:pPr>
                  <w:r>
                    <w:rPr>
                      <w:color w:val="auto"/>
                      <w:sz w:val="21"/>
                      <w:szCs w:val="21"/>
                    </w:rPr>
                    <w:t>噪声</w:t>
                  </w:r>
                  <w:r>
                    <w:rPr>
                      <w:rFonts w:hint="eastAsia"/>
                      <w:color w:val="auto"/>
                      <w:sz w:val="21"/>
                      <w:szCs w:val="21"/>
                      <w:lang w:val="en-US" w:eastAsia="zh-CN"/>
                    </w:rPr>
                    <w:t>防治措施</w:t>
                  </w:r>
                </w:p>
              </w:tc>
              <w:tc>
                <w:tcPr>
                  <w:tcW w:w="3638" w:type="dxa"/>
                  <w:gridSpan w:val="2"/>
                  <w:noWrap w:val="0"/>
                  <w:vAlign w:val="center"/>
                </w:tcPr>
                <w:p>
                  <w:pPr>
                    <w:jc w:val="center"/>
                    <w:rPr>
                      <w:color w:val="auto"/>
                      <w:sz w:val="21"/>
                      <w:szCs w:val="21"/>
                    </w:rPr>
                  </w:pPr>
                  <w:r>
                    <w:rPr>
                      <w:rFonts w:hint="eastAsia" w:ascii="Times New Roman"/>
                      <w:color w:val="auto"/>
                      <w:kern w:val="2"/>
                      <w:sz w:val="21"/>
                      <w:szCs w:val="21"/>
                    </w:rPr>
                    <w:t>选用低噪声设备、合理布局、基础减震、风机安装消音器等</w:t>
                  </w:r>
                  <w:r>
                    <w:rPr>
                      <w:color w:val="auto"/>
                      <w:sz w:val="21"/>
                      <w:szCs w:val="21"/>
                    </w:rPr>
                    <w:t>；</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color w:val="auto"/>
                      <w:sz w:val="21"/>
                      <w:szCs w:val="21"/>
                    </w:rPr>
                  </w:pPr>
                  <w:r>
                    <w:rPr>
                      <w:rFonts w:hint="eastAsia"/>
                      <w:color w:val="auto"/>
                      <w:sz w:val="21"/>
                      <w:szCs w:val="21"/>
                      <w:lang w:val="en-US" w:eastAsia="zh-CN"/>
                    </w:rPr>
                    <w:t>/</w:t>
                  </w:r>
                </w:p>
              </w:tc>
              <w:tc>
                <w:tcPr>
                  <w:tcW w:w="604" w:type="dxa"/>
                  <w:noWrap w:val="0"/>
                  <w:vAlign w:val="center"/>
                </w:tcPr>
                <w:p>
                  <w:pPr>
                    <w:jc w:val="center"/>
                    <w:rPr>
                      <w:color w:val="auto"/>
                      <w:sz w:val="21"/>
                      <w:szCs w:val="21"/>
                    </w:rPr>
                  </w:pPr>
                  <w:r>
                    <w:rPr>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continue"/>
                  <w:noWrap w:val="0"/>
                  <w:vAlign w:val="center"/>
                </w:tcPr>
                <w:p>
                  <w:pPr>
                    <w:jc w:val="center"/>
                    <w:rPr>
                      <w:color w:val="auto"/>
                      <w:sz w:val="21"/>
                      <w:szCs w:val="21"/>
                    </w:rPr>
                  </w:pPr>
                </w:p>
              </w:tc>
              <w:tc>
                <w:tcPr>
                  <w:tcW w:w="949" w:type="dxa"/>
                  <w:vMerge w:val="restart"/>
                  <w:noWrap w:val="0"/>
                  <w:vAlign w:val="center"/>
                </w:tcPr>
                <w:p>
                  <w:pPr>
                    <w:jc w:val="center"/>
                    <w:rPr>
                      <w:color w:val="auto"/>
                      <w:sz w:val="21"/>
                      <w:szCs w:val="21"/>
                    </w:rPr>
                  </w:pPr>
                  <w:r>
                    <w:rPr>
                      <w:color w:val="auto"/>
                      <w:sz w:val="21"/>
                      <w:szCs w:val="21"/>
                    </w:rPr>
                    <w:t>固体废物</w:t>
                  </w:r>
                </w:p>
              </w:tc>
              <w:tc>
                <w:tcPr>
                  <w:tcW w:w="3638" w:type="dxa"/>
                  <w:gridSpan w:val="2"/>
                  <w:noWrap w:val="0"/>
                  <w:vAlign w:val="center"/>
                </w:tcPr>
                <w:p>
                  <w:pPr>
                    <w:pStyle w:val="152"/>
                    <w:spacing w:line="240" w:lineRule="auto"/>
                    <w:jc w:val="both"/>
                    <w:rPr>
                      <w:color w:val="auto"/>
                      <w:sz w:val="21"/>
                      <w:szCs w:val="21"/>
                    </w:rPr>
                  </w:pPr>
                  <w:r>
                    <w:rPr>
                      <w:rFonts w:hint="eastAsia"/>
                      <w:color w:val="auto"/>
                      <w:kern w:val="0"/>
                      <w:sz w:val="21"/>
                      <w:szCs w:val="21"/>
                      <w:lang w:val="en-US" w:eastAsia="zh-CN" w:bidi="ar"/>
                    </w:rPr>
                    <w:t>依托</w:t>
                  </w:r>
                  <w:r>
                    <w:rPr>
                      <w:rFonts w:hint="eastAsia" w:ascii="Times New Roman" w:hAnsi="Times New Roman" w:eastAsia="宋体" w:cs="Times New Roman"/>
                      <w:color w:val="auto"/>
                      <w:sz w:val="21"/>
                      <w:szCs w:val="21"/>
                      <w:lang w:val="en-US" w:eastAsia="zh-CN"/>
                    </w:rPr>
                    <w:t>四川翔丰华新能源材料有限公司已建危废暂存间，</w:t>
                  </w:r>
                  <w:r>
                    <w:rPr>
                      <w:color w:val="auto"/>
                      <w:kern w:val="0"/>
                      <w:sz w:val="21"/>
                      <w:szCs w:val="21"/>
                      <w:lang w:bidi="ar"/>
                    </w:rPr>
                    <w:t>位于</w:t>
                  </w:r>
                  <w:r>
                    <w:rPr>
                      <w:rFonts w:hint="eastAsia" w:ascii="Times New Roman" w:hAnsi="Times New Roman" w:eastAsia="宋体" w:cs="Times New Roman"/>
                      <w:color w:val="auto"/>
                      <w:sz w:val="21"/>
                      <w:szCs w:val="21"/>
                      <w:lang w:val="en-US" w:eastAsia="zh-CN"/>
                    </w:rPr>
                    <w:t>四川翔丰华新能源材料有限公司厂区西北侧</w:t>
                  </w:r>
                  <w:r>
                    <w:rPr>
                      <w:rFonts w:hint="eastAsia" w:ascii="Times New Roman" w:hAnsi="Times New Roman" w:eastAsia="宋体" w:cs="Times New Roman"/>
                      <w:color w:val="auto"/>
                      <w:kern w:val="0"/>
                      <w:sz w:val="21"/>
                      <w:szCs w:val="21"/>
                      <w:lang w:val="en-US" w:eastAsia="zh-CN" w:bidi="ar"/>
                    </w:rPr>
                    <w:t>，</w:t>
                  </w:r>
                  <w:r>
                    <w:rPr>
                      <w:rFonts w:hint="eastAsia"/>
                      <w:color w:val="auto"/>
                      <w:sz w:val="21"/>
                      <w:szCs w:val="21"/>
                      <w:lang w:val="en-US" w:eastAsia="zh-CN"/>
                    </w:rPr>
                    <w:t>建筑面积约为324</w:t>
                  </w:r>
                  <w:r>
                    <w:rPr>
                      <w:color w:val="auto"/>
                      <w:sz w:val="21"/>
                      <w:szCs w:val="21"/>
                    </w:rPr>
                    <w:t>m</w:t>
                  </w:r>
                  <w:r>
                    <w:rPr>
                      <w:color w:val="auto"/>
                      <w:sz w:val="21"/>
                      <w:szCs w:val="21"/>
                      <w:vertAlign w:val="superscript"/>
                    </w:rPr>
                    <w:t>2</w:t>
                  </w:r>
                  <w:r>
                    <w:rPr>
                      <w:rFonts w:hint="eastAsia"/>
                      <w:color w:val="auto"/>
                      <w:sz w:val="21"/>
                      <w:szCs w:val="21"/>
                      <w:vertAlign w:val="baseline"/>
                      <w:lang w:eastAsia="zh-CN"/>
                    </w:rPr>
                    <w:t>，</w:t>
                  </w:r>
                  <w:r>
                    <w:rPr>
                      <w:rFonts w:hint="eastAsia"/>
                      <w:color w:val="auto"/>
                      <w:sz w:val="21"/>
                      <w:szCs w:val="21"/>
                      <w:vertAlign w:val="baseline"/>
                      <w:lang w:val="en-US" w:eastAsia="zh-CN"/>
                    </w:rPr>
                    <w:t>用于储存危险废物（如废机油等）</w:t>
                  </w:r>
                  <w:r>
                    <w:rPr>
                      <w:rFonts w:hint="eastAsia"/>
                      <w:color w:val="auto"/>
                      <w:sz w:val="21"/>
                      <w:szCs w:val="21"/>
                      <w:lang w:eastAsia="zh-CN"/>
                    </w:rPr>
                    <w:t>；</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color w:val="auto"/>
                      <w:sz w:val="21"/>
                      <w:szCs w:val="21"/>
                    </w:rPr>
                  </w:pPr>
                  <w:r>
                    <w:rPr>
                      <w:rFonts w:hint="eastAsia"/>
                      <w:color w:val="auto"/>
                      <w:sz w:val="21"/>
                      <w:szCs w:val="21"/>
                      <w:lang w:val="en-US" w:eastAsia="zh-CN"/>
                    </w:rPr>
                    <w:t>危废</w:t>
                  </w:r>
                </w:p>
              </w:tc>
              <w:tc>
                <w:tcPr>
                  <w:tcW w:w="604" w:type="dxa"/>
                  <w:noWrap w:val="0"/>
                  <w:vAlign w:val="center"/>
                </w:tcPr>
                <w:p>
                  <w:pPr>
                    <w:jc w:val="center"/>
                    <w:rPr>
                      <w:rFonts w:hint="eastAsia" w:eastAsia="宋体"/>
                      <w:color w:val="auto"/>
                      <w:sz w:val="21"/>
                      <w:szCs w:val="21"/>
                      <w:lang w:eastAsia="zh-CN"/>
                    </w:rPr>
                  </w:pPr>
                  <w:r>
                    <w:rPr>
                      <w:rFonts w:hint="eastAsia"/>
                      <w:color w:val="auto"/>
                      <w:sz w:val="21"/>
                      <w:szCs w:val="21"/>
                      <w:lang w:val="en-US" w:eastAsia="zh-CN"/>
                    </w:rPr>
                    <w:t>依托</w:t>
                  </w:r>
                  <w:r>
                    <w:rPr>
                      <w:rFonts w:hint="eastAsia" w:ascii="Times New Roman" w:hAnsi="Times New Roman" w:eastAsia="宋体" w:cs="Times New Roman"/>
                      <w:color w:val="auto"/>
                      <w:sz w:val="21"/>
                      <w:szCs w:val="21"/>
                      <w:lang w:val="en-US" w:eastAsia="zh-CN"/>
                    </w:rPr>
                    <w:t>翔丰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continue"/>
                  <w:noWrap w:val="0"/>
                  <w:vAlign w:val="center"/>
                </w:tcPr>
                <w:p>
                  <w:pPr>
                    <w:jc w:val="center"/>
                    <w:rPr>
                      <w:color w:val="auto"/>
                      <w:sz w:val="21"/>
                      <w:szCs w:val="21"/>
                    </w:rPr>
                  </w:pPr>
                </w:p>
              </w:tc>
              <w:tc>
                <w:tcPr>
                  <w:tcW w:w="949" w:type="dxa"/>
                  <w:vMerge w:val="continue"/>
                  <w:noWrap w:val="0"/>
                  <w:vAlign w:val="center"/>
                </w:tcPr>
                <w:p>
                  <w:pPr>
                    <w:jc w:val="center"/>
                    <w:rPr>
                      <w:color w:val="auto"/>
                      <w:sz w:val="21"/>
                      <w:szCs w:val="21"/>
                    </w:rPr>
                  </w:pPr>
                </w:p>
              </w:tc>
              <w:tc>
                <w:tcPr>
                  <w:tcW w:w="3638" w:type="dxa"/>
                  <w:gridSpan w:val="2"/>
                  <w:noWrap w:val="0"/>
                  <w:vAlign w:val="center"/>
                </w:tcPr>
                <w:p>
                  <w:pPr>
                    <w:pStyle w:val="152"/>
                    <w:spacing w:line="240" w:lineRule="auto"/>
                    <w:jc w:val="both"/>
                    <w:rPr>
                      <w:color w:val="auto"/>
                      <w:sz w:val="21"/>
                      <w:szCs w:val="21"/>
                    </w:rPr>
                  </w:pPr>
                  <w:r>
                    <w:rPr>
                      <w:rFonts w:hint="eastAsia"/>
                      <w:color w:val="auto"/>
                      <w:kern w:val="0"/>
                      <w:sz w:val="21"/>
                      <w:szCs w:val="21"/>
                      <w:lang w:val="en-US" w:eastAsia="zh-CN" w:bidi="ar"/>
                    </w:rPr>
                    <w:t>依托</w:t>
                  </w:r>
                  <w:r>
                    <w:rPr>
                      <w:rFonts w:hint="eastAsia" w:ascii="Times New Roman" w:hAnsi="Times New Roman" w:eastAsia="宋体" w:cs="Times New Roman"/>
                      <w:color w:val="auto"/>
                      <w:sz w:val="21"/>
                      <w:szCs w:val="21"/>
                      <w:lang w:val="en-US" w:eastAsia="zh-CN"/>
                    </w:rPr>
                    <w:t>四川翔丰华新能源材料有限公司已建一般固废暂存间，</w:t>
                  </w:r>
                  <w:r>
                    <w:rPr>
                      <w:color w:val="auto"/>
                      <w:kern w:val="0"/>
                      <w:sz w:val="21"/>
                      <w:szCs w:val="21"/>
                      <w:lang w:bidi="ar"/>
                    </w:rPr>
                    <w:t>位于</w:t>
                  </w:r>
                  <w:r>
                    <w:rPr>
                      <w:rFonts w:hint="eastAsia" w:ascii="Times New Roman" w:hAnsi="Times New Roman" w:eastAsia="宋体" w:cs="Times New Roman"/>
                      <w:color w:val="auto"/>
                      <w:sz w:val="21"/>
                      <w:szCs w:val="21"/>
                      <w:lang w:val="en-US" w:eastAsia="zh-CN"/>
                    </w:rPr>
                    <w:t>四川翔丰华新能源材料有限公司厂区西侧</w:t>
                  </w:r>
                  <w:r>
                    <w:rPr>
                      <w:rFonts w:hint="eastAsia" w:ascii="Times New Roman" w:hAnsi="Times New Roman" w:eastAsia="宋体" w:cs="Times New Roman"/>
                      <w:color w:val="auto"/>
                      <w:kern w:val="0"/>
                      <w:sz w:val="21"/>
                      <w:szCs w:val="21"/>
                      <w:lang w:val="en-US" w:eastAsia="zh-CN" w:bidi="ar"/>
                    </w:rPr>
                    <w:t>，</w:t>
                  </w:r>
                  <w:r>
                    <w:rPr>
                      <w:color w:val="auto"/>
                      <w:sz w:val="21"/>
                      <w:szCs w:val="21"/>
                    </w:rPr>
                    <w:t>建筑面积</w:t>
                  </w:r>
                  <w:r>
                    <w:rPr>
                      <w:rFonts w:hint="eastAsia"/>
                      <w:color w:val="auto"/>
                      <w:sz w:val="21"/>
                      <w:szCs w:val="21"/>
                      <w:lang w:val="en-US" w:eastAsia="zh-CN"/>
                    </w:rPr>
                    <w:t>约</w:t>
                  </w:r>
                  <w:r>
                    <w:rPr>
                      <w:color w:val="auto"/>
                      <w:sz w:val="21"/>
                      <w:szCs w:val="21"/>
                    </w:rPr>
                    <w:t>为</w:t>
                  </w:r>
                  <w:r>
                    <w:rPr>
                      <w:rFonts w:hint="eastAsia"/>
                      <w:color w:val="auto"/>
                      <w:sz w:val="21"/>
                      <w:szCs w:val="21"/>
                      <w:lang w:val="en-US" w:eastAsia="zh-CN"/>
                    </w:rPr>
                    <w:t>500</w:t>
                  </w:r>
                  <w:r>
                    <w:rPr>
                      <w:color w:val="auto"/>
                      <w:sz w:val="21"/>
                      <w:szCs w:val="21"/>
                    </w:rPr>
                    <w:t>m</w:t>
                  </w:r>
                  <w:r>
                    <w:rPr>
                      <w:color w:val="auto"/>
                      <w:sz w:val="21"/>
                      <w:szCs w:val="21"/>
                      <w:vertAlign w:val="superscript"/>
                    </w:rPr>
                    <w:t>2</w:t>
                  </w:r>
                  <w:r>
                    <w:rPr>
                      <w:color w:val="auto"/>
                      <w:sz w:val="21"/>
                      <w:szCs w:val="21"/>
                    </w:rPr>
                    <w:t>，用于暂存项目</w:t>
                  </w:r>
                  <w:r>
                    <w:rPr>
                      <w:rFonts w:hint="eastAsia"/>
                      <w:color w:val="auto"/>
                      <w:sz w:val="21"/>
                      <w:szCs w:val="21"/>
                      <w:lang w:val="en-US" w:eastAsia="zh-CN"/>
                    </w:rPr>
                    <w:t>研发</w:t>
                  </w:r>
                  <w:r>
                    <w:rPr>
                      <w:color w:val="auto"/>
                      <w:sz w:val="21"/>
                      <w:szCs w:val="21"/>
                    </w:rPr>
                    <w:t>过程中产生的一般固体废物（如</w:t>
                  </w:r>
                  <w:r>
                    <w:rPr>
                      <w:rFonts w:hint="eastAsia"/>
                      <w:color w:val="auto"/>
                      <w:sz w:val="21"/>
                      <w:szCs w:val="21"/>
                    </w:rPr>
                    <w:t>未沾染具有危险特性物质的废包装材料</w:t>
                  </w:r>
                  <w:r>
                    <w:rPr>
                      <w:color w:val="auto"/>
                      <w:sz w:val="21"/>
                      <w:szCs w:val="21"/>
                    </w:rPr>
                    <w:t>等）；</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color w:val="auto"/>
                      <w:sz w:val="21"/>
                      <w:szCs w:val="21"/>
                    </w:rPr>
                  </w:pPr>
                  <w:r>
                    <w:rPr>
                      <w:rFonts w:hint="eastAsia"/>
                      <w:color w:val="auto"/>
                      <w:sz w:val="21"/>
                      <w:szCs w:val="21"/>
                      <w:lang w:val="en-US" w:eastAsia="zh-CN"/>
                    </w:rPr>
                    <w:t>固废</w:t>
                  </w:r>
                </w:p>
              </w:tc>
              <w:tc>
                <w:tcPr>
                  <w:tcW w:w="604" w:type="dxa"/>
                  <w:noWrap w:val="0"/>
                  <w:vAlign w:val="center"/>
                </w:tcPr>
                <w:p>
                  <w:pPr>
                    <w:jc w:val="center"/>
                    <w:rPr>
                      <w:rFonts w:hint="eastAsia" w:eastAsia="宋体"/>
                      <w:color w:val="auto"/>
                      <w:sz w:val="21"/>
                      <w:szCs w:val="21"/>
                      <w:lang w:eastAsia="zh-CN"/>
                    </w:rPr>
                  </w:pPr>
                  <w:r>
                    <w:rPr>
                      <w:rFonts w:hint="eastAsia"/>
                      <w:color w:val="auto"/>
                      <w:sz w:val="21"/>
                      <w:szCs w:val="21"/>
                      <w:lang w:val="en-US" w:eastAsia="zh-CN"/>
                    </w:rPr>
                    <w:t>依托</w:t>
                  </w:r>
                  <w:r>
                    <w:rPr>
                      <w:rFonts w:hint="eastAsia" w:ascii="Times New Roman" w:hAnsi="Times New Roman" w:eastAsia="宋体" w:cs="Times New Roman"/>
                      <w:color w:val="auto"/>
                      <w:sz w:val="21"/>
                      <w:szCs w:val="21"/>
                      <w:lang w:val="en-US" w:eastAsia="zh-CN"/>
                    </w:rPr>
                    <w:t>翔丰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continue"/>
                  <w:noWrap w:val="0"/>
                  <w:vAlign w:val="center"/>
                </w:tcPr>
                <w:p>
                  <w:pPr>
                    <w:jc w:val="center"/>
                    <w:rPr>
                      <w:color w:val="auto"/>
                      <w:sz w:val="21"/>
                      <w:szCs w:val="21"/>
                    </w:rPr>
                  </w:pPr>
                </w:p>
              </w:tc>
              <w:tc>
                <w:tcPr>
                  <w:tcW w:w="949" w:type="dxa"/>
                  <w:vMerge w:val="continue"/>
                  <w:noWrap w:val="0"/>
                  <w:vAlign w:val="center"/>
                </w:tcPr>
                <w:p>
                  <w:pPr>
                    <w:jc w:val="center"/>
                    <w:rPr>
                      <w:color w:val="auto"/>
                      <w:sz w:val="21"/>
                      <w:szCs w:val="21"/>
                    </w:rPr>
                  </w:pPr>
                </w:p>
              </w:tc>
              <w:tc>
                <w:tcPr>
                  <w:tcW w:w="3638" w:type="dxa"/>
                  <w:gridSpan w:val="2"/>
                  <w:noWrap w:val="0"/>
                  <w:vAlign w:val="center"/>
                </w:tcPr>
                <w:p>
                  <w:pPr>
                    <w:pStyle w:val="152"/>
                    <w:spacing w:line="240" w:lineRule="auto"/>
                    <w:jc w:val="both"/>
                    <w:rPr>
                      <w:rFonts w:hint="eastAsia"/>
                      <w:color w:val="auto"/>
                      <w:sz w:val="21"/>
                      <w:szCs w:val="21"/>
                    </w:rPr>
                  </w:pPr>
                  <w:r>
                    <w:rPr>
                      <w:color w:val="auto"/>
                      <w:sz w:val="21"/>
                      <w:szCs w:val="21"/>
                    </w:rPr>
                    <w:t>生活垃圾</w:t>
                  </w:r>
                  <w:r>
                    <w:rPr>
                      <w:rFonts w:hint="eastAsia"/>
                      <w:color w:val="auto"/>
                      <w:sz w:val="21"/>
                      <w:szCs w:val="21"/>
                      <w:lang w:val="en-US" w:eastAsia="zh-CN"/>
                    </w:rPr>
                    <w:t>经</w:t>
                  </w:r>
                  <w:r>
                    <w:rPr>
                      <w:color w:val="auto"/>
                      <w:sz w:val="21"/>
                      <w:szCs w:val="21"/>
                    </w:rPr>
                    <w:t>垃圾桶收集后</w:t>
                  </w:r>
                  <w:r>
                    <w:rPr>
                      <w:rFonts w:hint="eastAsia"/>
                      <w:color w:val="auto"/>
                      <w:sz w:val="21"/>
                      <w:szCs w:val="21"/>
                      <w:lang w:eastAsia="zh-CN"/>
                    </w:rPr>
                    <w:t>，</w:t>
                  </w:r>
                  <w:r>
                    <w:rPr>
                      <w:color w:val="auto"/>
                      <w:sz w:val="21"/>
                      <w:szCs w:val="21"/>
                    </w:rPr>
                    <w:t>由环卫部门定期清运</w:t>
                  </w:r>
                  <w:r>
                    <w:rPr>
                      <w:rFonts w:hint="eastAsia"/>
                      <w:color w:val="auto"/>
                      <w:sz w:val="21"/>
                      <w:szCs w:val="21"/>
                    </w:rPr>
                    <w:t>；</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color w:val="auto"/>
                      <w:sz w:val="21"/>
                      <w:szCs w:val="21"/>
                    </w:rPr>
                  </w:pPr>
                  <w:r>
                    <w:rPr>
                      <w:rFonts w:hint="eastAsia"/>
                      <w:color w:val="auto"/>
                      <w:sz w:val="21"/>
                      <w:szCs w:val="21"/>
                      <w:lang w:val="en-US" w:eastAsia="zh-CN"/>
                    </w:rPr>
                    <w:t>固废</w:t>
                  </w:r>
                </w:p>
              </w:tc>
              <w:tc>
                <w:tcPr>
                  <w:tcW w:w="604" w:type="dxa"/>
                  <w:noWrap w:val="0"/>
                  <w:vAlign w:val="center"/>
                </w:tcPr>
                <w:p>
                  <w:pPr>
                    <w:jc w:val="center"/>
                    <w:rPr>
                      <w:color w:val="auto"/>
                      <w:sz w:val="21"/>
                      <w:szCs w:val="21"/>
                    </w:rPr>
                  </w:pPr>
                  <w:r>
                    <w:rPr>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continue"/>
                  <w:noWrap w:val="0"/>
                  <w:vAlign w:val="center"/>
                </w:tcPr>
                <w:p>
                  <w:pPr>
                    <w:jc w:val="center"/>
                    <w:rPr>
                      <w:color w:val="auto"/>
                      <w:sz w:val="21"/>
                      <w:szCs w:val="21"/>
                    </w:rPr>
                  </w:pPr>
                </w:p>
              </w:tc>
              <w:tc>
                <w:tcPr>
                  <w:tcW w:w="949" w:type="dxa"/>
                  <w:vMerge w:val="restart"/>
                  <w:noWrap w:val="0"/>
                  <w:vAlign w:val="center"/>
                </w:tcPr>
                <w:p>
                  <w:pPr>
                    <w:jc w:val="center"/>
                    <w:rPr>
                      <w:rFonts w:hint="eastAsia" w:eastAsia="宋体"/>
                      <w:color w:val="auto"/>
                      <w:sz w:val="21"/>
                      <w:szCs w:val="21"/>
                      <w:lang w:eastAsia="zh-CN"/>
                    </w:rPr>
                  </w:pPr>
                  <w:r>
                    <w:rPr>
                      <w:rFonts w:hint="eastAsia"/>
                      <w:color w:val="auto"/>
                      <w:sz w:val="21"/>
                      <w:szCs w:val="21"/>
                      <w:lang w:val="en-US" w:eastAsia="zh-CN"/>
                    </w:rPr>
                    <w:t>土壤及</w:t>
                  </w:r>
                  <w:r>
                    <w:rPr>
                      <w:color w:val="auto"/>
                      <w:sz w:val="21"/>
                      <w:szCs w:val="21"/>
                    </w:rPr>
                    <w:t>地下水</w:t>
                  </w:r>
                </w:p>
              </w:tc>
              <w:tc>
                <w:tcPr>
                  <w:tcW w:w="3638" w:type="dxa"/>
                  <w:gridSpan w:val="2"/>
                  <w:noWrap w:val="0"/>
                  <w:vAlign w:val="center"/>
                </w:tcPr>
                <w:p>
                  <w:pPr>
                    <w:pStyle w:val="152"/>
                    <w:spacing w:line="240" w:lineRule="auto"/>
                    <w:jc w:val="both"/>
                    <w:rPr>
                      <w:rFonts w:hint="eastAsia"/>
                      <w:color w:val="auto"/>
                      <w:sz w:val="21"/>
                      <w:szCs w:val="21"/>
                    </w:rPr>
                  </w:pPr>
                  <w:r>
                    <w:rPr>
                      <w:color w:val="auto"/>
                      <w:sz w:val="21"/>
                      <w:szCs w:val="21"/>
                    </w:rPr>
                    <w:t>重点防渗区：</w:t>
                  </w:r>
                  <w:r>
                    <w:rPr>
                      <w:rFonts w:hint="eastAsia"/>
                      <w:color w:val="auto"/>
                      <w:sz w:val="21"/>
                      <w:szCs w:val="21"/>
                      <w:lang w:val="en-US" w:eastAsia="zh-CN"/>
                    </w:rPr>
                    <w:t>依托的</w:t>
                  </w:r>
                  <w:r>
                    <w:rPr>
                      <w:color w:val="auto"/>
                      <w:sz w:val="21"/>
                      <w:szCs w:val="21"/>
                    </w:rPr>
                    <w:t>危废暂存间</w:t>
                  </w:r>
                  <w:r>
                    <w:rPr>
                      <w:rFonts w:hint="eastAsia"/>
                      <w:color w:val="auto"/>
                      <w:sz w:val="21"/>
                      <w:szCs w:val="21"/>
                      <w:lang w:eastAsia="zh-CN"/>
                    </w:rPr>
                    <w:t>（</w:t>
                  </w:r>
                  <w:r>
                    <w:rPr>
                      <w:rFonts w:hint="eastAsia"/>
                      <w:color w:val="auto"/>
                      <w:sz w:val="21"/>
                      <w:szCs w:val="21"/>
                      <w:lang w:val="en-US" w:eastAsia="zh-CN"/>
                    </w:rPr>
                    <w:t>324</w:t>
                  </w:r>
                  <w:r>
                    <w:rPr>
                      <w:color w:val="auto"/>
                      <w:sz w:val="21"/>
                      <w:szCs w:val="21"/>
                    </w:rPr>
                    <w:t>m</w:t>
                  </w:r>
                  <w:r>
                    <w:rPr>
                      <w:color w:val="auto"/>
                      <w:sz w:val="21"/>
                      <w:szCs w:val="21"/>
                      <w:vertAlign w:val="superscript"/>
                    </w:rPr>
                    <w:t>2</w:t>
                  </w:r>
                  <w:r>
                    <w:rPr>
                      <w:rFonts w:hint="eastAsia"/>
                      <w:color w:val="auto"/>
                      <w:sz w:val="21"/>
                      <w:szCs w:val="21"/>
                      <w:lang w:eastAsia="zh-CN"/>
                    </w:rPr>
                    <w:t>）</w:t>
                  </w:r>
                  <w:r>
                    <w:rPr>
                      <w:color w:val="auto"/>
                      <w:sz w:val="21"/>
                      <w:szCs w:val="21"/>
                    </w:rPr>
                    <w:t>、</w:t>
                  </w:r>
                  <w:r>
                    <w:rPr>
                      <w:rFonts w:hint="eastAsia"/>
                      <w:color w:val="auto"/>
                      <w:sz w:val="21"/>
                      <w:szCs w:val="21"/>
                      <w:lang w:val="en-US" w:eastAsia="zh-CN"/>
                    </w:rPr>
                    <w:t>事故应急池（兼初期雨水收集池（700m</w:t>
                  </w:r>
                  <w:r>
                    <w:rPr>
                      <w:rFonts w:hint="eastAsia"/>
                      <w:color w:val="auto"/>
                      <w:sz w:val="21"/>
                      <w:szCs w:val="21"/>
                      <w:vertAlign w:val="superscript"/>
                      <w:lang w:val="en-US" w:eastAsia="zh-CN"/>
                    </w:rPr>
                    <w:t>3</w:t>
                  </w:r>
                  <w:r>
                    <w:rPr>
                      <w:rFonts w:hint="eastAsia"/>
                      <w:color w:val="auto"/>
                      <w:sz w:val="21"/>
                      <w:szCs w:val="21"/>
                      <w:lang w:val="en-US" w:eastAsia="zh-CN"/>
                    </w:rPr>
                    <w:t>））、消防水池（800m</w:t>
                  </w:r>
                  <w:r>
                    <w:rPr>
                      <w:rFonts w:hint="eastAsia"/>
                      <w:color w:val="auto"/>
                      <w:sz w:val="21"/>
                      <w:szCs w:val="21"/>
                      <w:vertAlign w:val="superscript"/>
                      <w:lang w:val="en-US" w:eastAsia="zh-CN"/>
                    </w:rPr>
                    <w:t>3</w:t>
                  </w:r>
                  <w:r>
                    <w:rPr>
                      <w:rFonts w:hint="eastAsia"/>
                      <w:color w:val="auto"/>
                      <w:sz w:val="21"/>
                      <w:szCs w:val="21"/>
                      <w:lang w:val="en-US" w:eastAsia="zh-CN"/>
                    </w:rPr>
                    <w:t>）</w:t>
                  </w:r>
                  <w:r>
                    <w:rPr>
                      <w:color w:val="auto"/>
                      <w:sz w:val="21"/>
                      <w:szCs w:val="21"/>
                    </w:rPr>
                    <w:t>；</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rFonts w:hint="eastAsia"/>
                      <w:color w:val="auto"/>
                      <w:sz w:val="21"/>
                      <w:szCs w:val="21"/>
                    </w:rPr>
                  </w:pPr>
                  <w:r>
                    <w:rPr>
                      <w:rFonts w:hint="eastAsia"/>
                      <w:color w:val="auto"/>
                      <w:sz w:val="21"/>
                      <w:szCs w:val="21"/>
                      <w:lang w:val="en-US" w:eastAsia="zh-CN"/>
                    </w:rPr>
                    <w:t>/</w:t>
                  </w:r>
                </w:p>
              </w:tc>
              <w:tc>
                <w:tcPr>
                  <w:tcW w:w="604"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依托</w:t>
                  </w:r>
                  <w:r>
                    <w:rPr>
                      <w:rFonts w:hint="eastAsia" w:ascii="Times New Roman" w:hAnsi="Times New Roman" w:eastAsia="宋体" w:cs="Times New Roman"/>
                      <w:color w:val="auto"/>
                      <w:sz w:val="21"/>
                      <w:szCs w:val="21"/>
                      <w:lang w:val="en-US" w:eastAsia="zh-CN"/>
                    </w:rPr>
                    <w:t>翔丰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continue"/>
                  <w:noWrap w:val="0"/>
                  <w:vAlign w:val="center"/>
                </w:tcPr>
                <w:p>
                  <w:pPr>
                    <w:jc w:val="center"/>
                    <w:rPr>
                      <w:color w:val="auto"/>
                      <w:sz w:val="21"/>
                      <w:szCs w:val="21"/>
                    </w:rPr>
                  </w:pPr>
                </w:p>
              </w:tc>
              <w:tc>
                <w:tcPr>
                  <w:tcW w:w="949" w:type="dxa"/>
                  <w:vMerge w:val="continue"/>
                  <w:noWrap w:val="0"/>
                  <w:vAlign w:val="center"/>
                </w:tcPr>
                <w:p>
                  <w:pPr>
                    <w:jc w:val="center"/>
                    <w:rPr>
                      <w:rFonts w:hint="eastAsia"/>
                      <w:color w:val="auto"/>
                      <w:sz w:val="21"/>
                      <w:szCs w:val="21"/>
                    </w:rPr>
                  </w:pPr>
                </w:p>
              </w:tc>
              <w:tc>
                <w:tcPr>
                  <w:tcW w:w="3638" w:type="dxa"/>
                  <w:gridSpan w:val="2"/>
                  <w:noWrap w:val="0"/>
                  <w:vAlign w:val="center"/>
                </w:tcPr>
                <w:p>
                  <w:pPr>
                    <w:rPr>
                      <w:rFonts w:hint="eastAsia" w:eastAsia="宋体"/>
                      <w:color w:val="auto"/>
                      <w:sz w:val="21"/>
                      <w:szCs w:val="21"/>
                      <w:lang w:eastAsia="zh-CN"/>
                    </w:rPr>
                  </w:pPr>
                  <w:r>
                    <w:rPr>
                      <w:rFonts w:hint="eastAsia" w:ascii="Times New Roman" w:hAnsi="Times New Roman" w:eastAsia="宋体" w:cs="Times New Roman"/>
                      <w:color w:val="auto"/>
                      <w:kern w:val="2"/>
                      <w:sz w:val="21"/>
                      <w:szCs w:val="21"/>
                      <w:lang w:val="en-US" w:eastAsia="zh-CN" w:bidi="ar-SA"/>
                    </w:rPr>
                    <w:t>一般防渗区：研发车间、依托的原料库房、研发品暂存间、一般固废暂存间、预处理池；</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rFonts w:hint="eastAsia"/>
                      <w:color w:val="auto"/>
                      <w:sz w:val="21"/>
                      <w:szCs w:val="21"/>
                      <w:lang w:val="en-US" w:eastAsia="zh-CN"/>
                    </w:rPr>
                  </w:pPr>
                  <w:r>
                    <w:rPr>
                      <w:rFonts w:hint="eastAsia"/>
                      <w:color w:val="auto"/>
                      <w:sz w:val="21"/>
                      <w:szCs w:val="21"/>
                      <w:lang w:val="en-US" w:eastAsia="zh-CN"/>
                    </w:rPr>
                    <w:t>/</w:t>
                  </w:r>
                </w:p>
              </w:tc>
              <w:tc>
                <w:tcPr>
                  <w:tcW w:w="604" w:type="dxa"/>
                  <w:noWrap w:val="0"/>
                  <w:vAlign w:val="center"/>
                </w:tcPr>
                <w:p>
                  <w:pPr>
                    <w:jc w:val="center"/>
                    <w:rPr>
                      <w:color w:val="auto"/>
                      <w:sz w:val="21"/>
                      <w:szCs w:val="21"/>
                    </w:rPr>
                  </w:pPr>
                  <w:r>
                    <w:rPr>
                      <w:rFonts w:hint="eastAsia"/>
                      <w:color w:val="auto"/>
                      <w:sz w:val="21"/>
                      <w:szCs w:val="21"/>
                      <w:lang w:val="en-US" w:eastAsia="zh-CN"/>
                    </w:rPr>
                    <w:t>依托</w:t>
                  </w:r>
                  <w:r>
                    <w:rPr>
                      <w:rFonts w:hint="eastAsia" w:ascii="Times New Roman" w:hAnsi="Times New Roman" w:eastAsia="宋体" w:cs="Times New Roman"/>
                      <w:color w:val="auto"/>
                      <w:sz w:val="21"/>
                      <w:szCs w:val="21"/>
                      <w:lang w:val="en-US" w:eastAsia="zh-CN"/>
                    </w:rPr>
                    <w:t>翔丰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618" w:type="dxa"/>
                  <w:vMerge w:val="continue"/>
                  <w:noWrap w:val="0"/>
                  <w:vAlign w:val="center"/>
                </w:tcPr>
                <w:p>
                  <w:pPr>
                    <w:jc w:val="center"/>
                    <w:rPr>
                      <w:color w:val="auto"/>
                      <w:sz w:val="21"/>
                      <w:szCs w:val="21"/>
                    </w:rPr>
                  </w:pPr>
                </w:p>
              </w:tc>
              <w:tc>
                <w:tcPr>
                  <w:tcW w:w="949" w:type="dxa"/>
                  <w:vMerge w:val="continue"/>
                  <w:noWrap w:val="0"/>
                  <w:vAlign w:val="center"/>
                </w:tcPr>
                <w:p>
                  <w:pPr>
                    <w:jc w:val="center"/>
                    <w:rPr>
                      <w:rFonts w:hint="eastAsia"/>
                      <w:color w:val="auto"/>
                      <w:sz w:val="21"/>
                      <w:szCs w:val="21"/>
                    </w:rPr>
                  </w:pPr>
                </w:p>
              </w:tc>
              <w:tc>
                <w:tcPr>
                  <w:tcW w:w="3638" w:type="dxa"/>
                  <w:gridSpan w:val="2"/>
                  <w:noWrap w:val="0"/>
                  <w:vAlign w:val="center"/>
                </w:tcPr>
                <w:p>
                  <w:pP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简单防渗区：</w:t>
                  </w:r>
                  <w:r>
                    <w:rPr>
                      <w:rFonts w:hint="default" w:ascii="Times New Roman" w:hAnsi="Times New Roman" w:eastAsia="宋体" w:cs="Times New Roman"/>
                      <w:b w:val="0"/>
                      <w:bCs w:val="0"/>
                      <w:color w:val="auto"/>
                      <w:kern w:val="2"/>
                      <w:sz w:val="21"/>
                      <w:szCs w:val="21"/>
                      <w:lang w:val="en-US" w:eastAsia="zh-CN" w:bidi="ar-SA"/>
                    </w:rPr>
                    <w:t>厂区内道路等</w:t>
                  </w:r>
                  <w:r>
                    <w:rPr>
                      <w:rFonts w:hint="eastAsia" w:ascii="Times New Roman" w:hAnsi="Times New Roman" w:eastAsia="宋体" w:cs="Times New Roman"/>
                      <w:b w:val="0"/>
                      <w:bCs w:val="0"/>
                      <w:color w:val="auto"/>
                      <w:kern w:val="2"/>
                      <w:sz w:val="21"/>
                      <w:szCs w:val="21"/>
                      <w:lang w:val="en-US" w:eastAsia="zh-CN" w:bidi="ar-SA"/>
                    </w:rPr>
                    <w:t>。</w:t>
                  </w:r>
                </w:p>
              </w:tc>
              <w:tc>
                <w:tcPr>
                  <w:tcW w:w="1116" w:type="dxa"/>
                  <w:vMerge w:val="continue"/>
                  <w:noWrap w:val="0"/>
                  <w:vAlign w:val="center"/>
                </w:tcPr>
                <w:p>
                  <w:pPr>
                    <w:jc w:val="center"/>
                    <w:rPr>
                      <w:color w:val="auto"/>
                      <w:sz w:val="21"/>
                      <w:szCs w:val="21"/>
                    </w:rPr>
                  </w:pPr>
                </w:p>
              </w:tc>
              <w:tc>
                <w:tcPr>
                  <w:tcW w:w="1043" w:type="dxa"/>
                  <w:noWrap w:val="0"/>
                  <w:vAlign w:val="center"/>
                </w:tcPr>
                <w:p>
                  <w:pPr>
                    <w:jc w:val="center"/>
                    <w:rPr>
                      <w:rFonts w:hint="eastAsia"/>
                      <w:color w:val="auto"/>
                      <w:sz w:val="21"/>
                      <w:szCs w:val="21"/>
                      <w:lang w:val="en-US" w:eastAsia="zh-CN"/>
                    </w:rPr>
                  </w:pPr>
                  <w:r>
                    <w:rPr>
                      <w:rFonts w:hint="eastAsia"/>
                      <w:color w:val="auto"/>
                      <w:sz w:val="21"/>
                      <w:szCs w:val="21"/>
                      <w:lang w:val="en-US" w:eastAsia="zh-CN"/>
                    </w:rPr>
                    <w:t>/</w:t>
                  </w:r>
                </w:p>
              </w:tc>
              <w:tc>
                <w:tcPr>
                  <w:tcW w:w="604" w:type="dxa"/>
                  <w:noWrap w:val="0"/>
                  <w:vAlign w:val="center"/>
                </w:tcPr>
                <w:p>
                  <w:pPr>
                    <w:jc w:val="center"/>
                    <w:rPr>
                      <w:rFonts w:hint="eastAsia"/>
                      <w:color w:val="auto"/>
                      <w:sz w:val="21"/>
                      <w:szCs w:val="21"/>
                    </w:rPr>
                  </w:pPr>
                  <w:r>
                    <w:rPr>
                      <w:rFonts w:hint="eastAsia"/>
                      <w:color w:val="auto"/>
                      <w:sz w:val="21"/>
                      <w:szCs w:val="21"/>
                      <w:lang w:val="en-US" w:eastAsia="zh-CN"/>
                    </w:rPr>
                    <w:t>依托</w:t>
                  </w:r>
                  <w:r>
                    <w:rPr>
                      <w:rFonts w:hint="eastAsia" w:ascii="Times New Roman" w:hAnsi="Times New Roman" w:eastAsia="宋体" w:cs="Times New Roman"/>
                      <w:color w:val="auto"/>
                      <w:sz w:val="21"/>
                      <w:szCs w:val="21"/>
                      <w:lang w:val="en-US" w:eastAsia="zh-CN"/>
                    </w:rPr>
                    <w:t>翔丰</w:t>
                  </w:r>
                </w:p>
              </w:tc>
            </w:tr>
          </w:tbl>
          <w:p>
            <w:pPr>
              <w:pStyle w:val="121"/>
              <w:spacing w:line="360" w:lineRule="auto"/>
              <w:ind w:firstLine="480" w:firstLineChars="200"/>
              <w:jc w:val="both"/>
              <w:rPr>
                <w:rFonts w:hint="eastAsia" w:hAnsi="宋体"/>
                <w:color w:val="auto"/>
              </w:rPr>
            </w:pPr>
            <w:r>
              <w:rPr>
                <w:rFonts w:hint="eastAsia" w:hAnsi="宋体"/>
                <w:color w:val="auto"/>
              </w:rPr>
              <w:t>本项目租用</w:t>
            </w:r>
            <w:r>
              <w:rPr>
                <w:rFonts w:hint="eastAsia" w:ascii="Times New Roman" w:hAnsi="Times New Roman" w:eastAsia="宋体" w:cs="Times New Roman"/>
                <w:b w:val="0"/>
                <w:bCs/>
                <w:color w:val="auto"/>
                <w:kern w:val="2"/>
                <w:sz w:val="24"/>
                <w:szCs w:val="24"/>
                <w:lang w:val="en-US" w:eastAsia="zh-CN" w:bidi="ar-SA"/>
              </w:rPr>
              <w:t>四川翔丰华新能源材料有限公司位于四川省遂宁市蓬溪县金桥镇创业四支路1号已建厂房</w:t>
            </w:r>
            <w:r>
              <w:rPr>
                <w:rFonts w:hint="eastAsia" w:hAnsi="宋体"/>
                <w:color w:val="auto"/>
              </w:rPr>
              <w:t>进行适应性改造，仅进行平面布局的调整及设备的安装，项目废水依托</w:t>
            </w:r>
            <w:r>
              <w:rPr>
                <w:rFonts w:hint="eastAsia" w:ascii="Times New Roman" w:hAnsi="Times New Roman" w:eastAsia="宋体" w:cs="Times New Roman"/>
                <w:b w:val="0"/>
                <w:bCs/>
                <w:color w:val="auto"/>
                <w:kern w:val="2"/>
                <w:sz w:val="24"/>
                <w:szCs w:val="24"/>
                <w:lang w:val="en-US" w:eastAsia="zh-CN" w:bidi="ar-SA"/>
              </w:rPr>
              <w:t>四川翔丰华新能源材料有限公司</w:t>
            </w:r>
            <w:r>
              <w:rPr>
                <w:rFonts w:hint="eastAsia" w:hAnsi="宋体"/>
                <w:color w:val="auto"/>
              </w:rPr>
              <w:t>已建预处理池，项目依托关系如下表所示。</w:t>
            </w:r>
          </w:p>
          <w:p>
            <w:pPr>
              <w:pStyle w:val="121"/>
              <w:spacing w:line="360" w:lineRule="auto"/>
              <w:rPr>
                <w:rFonts w:ascii="Times New Roman" w:cs="Times New Roman"/>
                <w:color w:val="auto"/>
                <w:sz w:val="21"/>
                <w:szCs w:val="21"/>
              </w:rPr>
            </w:pPr>
            <w:r>
              <w:rPr>
                <w:rFonts w:ascii="Times New Roman" w:cs="Times New Roman"/>
                <w:b/>
                <w:color w:val="auto"/>
                <w:sz w:val="21"/>
                <w:szCs w:val="21"/>
              </w:rPr>
              <w:t>表2-</w:t>
            </w:r>
            <w:r>
              <w:rPr>
                <w:rFonts w:hint="eastAsia" w:ascii="Times New Roman" w:cs="Times New Roman"/>
                <w:b/>
                <w:color w:val="auto"/>
                <w:sz w:val="21"/>
                <w:szCs w:val="21"/>
                <w:lang w:val="en-US" w:eastAsia="zh-CN"/>
              </w:rPr>
              <w:t>6</w:t>
            </w:r>
            <w:r>
              <w:rPr>
                <w:rFonts w:ascii="Times New Roman" w:cs="Times New Roman"/>
                <w:b/>
                <w:color w:val="auto"/>
                <w:sz w:val="21"/>
                <w:szCs w:val="21"/>
              </w:rPr>
              <w:t xml:space="preserve"> 依托工程可行性分析</w:t>
            </w:r>
          </w:p>
          <w:tbl>
            <w:tblPr>
              <w:tblStyle w:val="36"/>
              <w:tblW w:w="79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647"/>
              <w:gridCol w:w="1080"/>
              <w:gridCol w:w="3150"/>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97" w:hRule="atLeast"/>
                <w:jc w:val="center"/>
              </w:trPr>
              <w:tc>
                <w:tcPr>
                  <w:tcW w:w="1727" w:type="dxa"/>
                  <w:gridSpan w:val="2"/>
                  <w:shd w:val="clear" w:color="auto" w:fill="FFFFFF"/>
                  <w:noWrap w:val="0"/>
                  <w:vAlign w:val="center"/>
                </w:tcPr>
                <w:p>
                  <w:pPr>
                    <w:jc w:val="center"/>
                    <w:rPr>
                      <w:rFonts w:hint="eastAsia"/>
                      <w:b/>
                      <w:bCs/>
                      <w:color w:val="auto"/>
                      <w:szCs w:val="21"/>
                    </w:rPr>
                  </w:pPr>
                  <w:r>
                    <w:rPr>
                      <w:rFonts w:hint="eastAsia"/>
                      <w:b/>
                      <w:bCs/>
                      <w:color w:val="auto"/>
                      <w:szCs w:val="21"/>
                    </w:rPr>
                    <w:t>工程设施</w:t>
                  </w:r>
                </w:p>
              </w:tc>
              <w:tc>
                <w:tcPr>
                  <w:tcW w:w="3150" w:type="dxa"/>
                  <w:shd w:val="clear" w:color="auto" w:fill="FFFFFF"/>
                  <w:noWrap w:val="0"/>
                  <w:vAlign w:val="center"/>
                </w:tcPr>
                <w:p>
                  <w:pPr>
                    <w:jc w:val="center"/>
                    <w:rPr>
                      <w:b/>
                      <w:bCs/>
                      <w:color w:val="auto"/>
                      <w:szCs w:val="21"/>
                    </w:rPr>
                  </w:pPr>
                  <w:r>
                    <w:rPr>
                      <w:b/>
                      <w:bCs/>
                      <w:color w:val="auto"/>
                      <w:szCs w:val="21"/>
                    </w:rPr>
                    <w:t>设施情况</w:t>
                  </w:r>
                </w:p>
              </w:tc>
              <w:tc>
                <w:tcPr>
                  <w:tcW w:w="3074" w:type="dxa"/>
                  <w:shd w:val="clear" w:color="auto" w:fill="FFFFFF"/>
                  <w:noWrap w:val="0"/>
                  <w:vAlign w:val="center"/>
                </w:tcPr>
                <w:p>
                  <w:pPr>
                    <w:jc w:val="center"/>
                    <w:rPr>
                      <w:b/>
                      <w:bCs/>
                      <w:color w:val="auto"/>
                      <w:szCs w:val="21"/>
                    </w:rPr>
                  </w:pPr>
                  <w:r>
                    <w:rPr>
                      <w:b/>
                      <w:bCs/>
                      <w:color w:val="auto"/>
                      <w:szCs w:val="21"/>
                    </w:rPr>
                    <w:t>依托分析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97" w:hRule="atLeast"/>
                <w:jc w:val="center"/>
              </w:trPr>
              <w:tc>
                <w:tcPr>
                  <w:tcW w:w="1727" w:type="dxa"/>
                  <w:gridSpan w:val="2"/>
                  <w:shd w:val="clear" w:color="auto" w:fill="FFFFFF"/>
                  <w:noWrap w:val="0"/>
                  <w:vAlign w:val="center"/>
                </w:tcPr>
                <w:p>
                  <w:pPr>
                    <w:jc w:val="center"/>
                    <w:rPr>
                      <w:color w:val="auto"/>
                      <w:szCs w:val="21"/>
                    </w:rPr>
                  </w:pPr>
                  <w:r>
                    <w:rPr>
                      <w:color w:val="auto"/>
                      <w:szCs w:val="21"/>
                    </w:rPr>
                    <w:t>供水系统</w:t>
                  </w:r>
                </w:p>
              </w:tc>
              <w:tc>
                <w:tcPr>
                  <w:tcW w:w="3150" w:type="dxa"/>
                  <w:shd w:val="clear" w:color="auto" w:fill="FFFFFF"/>
                  <w:noWrap w:val="0"/>
                  <w:vAlign w:val="center"/>
                </w:tcPr>
                <w:p>
                  <w:pPr>
                    <w:jc w:val="center"/>
                    <w:rPr>
                      <w:color w:val="auto"/>
                      <w:szCs w:val="21"/>
                    </w:rPr>
                  </w:pPr>
                  <w:r>
                    <w:rPr>
                      <w:color w:val="auto"/>
                      <w:szCs w:val="21"/>
                    </w:rPr>
                    <w:t>由</w:t>
                  </w:r>
                  <w:r>
                    <w:rPr>
                      <w:rFonts w:hint="eastAsia" w:ascii="Times New Roman"/>
                      <w:color w:val="auto"/>
                      <w:kern w:val="2"/>
                      <w:sz w:val="21"/>
                      <w:szCs w:val="21"/>
                    </w:rPr>
                    <w:t>市政供水管网</w:t>
                  </w:r>
                  <w:r>
                    <w:rPr>
                      <w:color w:val="auto"/>
                      <w:szCs w:val="21"/>
                    </w:rPr>
                    <w:t>供给</w:t>
                  </w:r>
                </w:p>
              </w:tc>
              <w:tc>
                <w:tcPr>
                  <w:tcW w:w="3074" w:type="dxa"/>
                  <w:shd w:val="clear" w:color="auto" w:fill="FFFFFF"/>
                  <w:noWrap w:val="0"/>
                  <w:vAlign w:val="center"/>
                </w:tcPr>
                <w:p>
                  <w:pPr>
                    <w:jc w:val="center"/>
                    <w:rPr>
                      <w:color w:val="auto"/>
                      <w:szCs w:val="21"/>
                    </w:rPr>
                  </w:pPr>
                  <w:r>
                    <w:rPr>
                      <w:color w:val="auto"/>
                      <w:szCs w:val="21"/>
                    </w:rPr>
                    <w:t>能够满足本项目需求；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97" w:hRule="atLeast"/>
                <w:jc w:val="center"/>
              </w:trPr>
              <w:tc>
                <w:tcPr>
                  <w:tcW w:w="1727" w:type="dxa"/>
                  <w:gridSpan w:val="2"/>
                  <w:shd w:val="clear" w:color="auto" w:fill="FFFFFF"/>
                  <w:noWrap w:val="0"/>
                  <w:vAlign w:val="center"/>
                </w:tcPr>
                <w:p>
                  <w:pPr>
                    <w:jc w:val="center"/>
                    <w:rPr>
                      <w:color w:val="auto"/>
                      <w:szCs w:val="21"/>
                    </w:rPr>
                  </w:pPr>
                  <w:r>
                    <w:rPr>
                      <w:color w:val="auto"/>
                      <w:szCs w:val="21"/>
                    </w:rPr>
                    <w:t>供电系统</w:t>
                  </w:r>
                </w:p>
              </w:tc>
              <w:tc>
                <w:tcPr>
                  <w:tcW w:w="3150" w:type="dxa"/>
                  <w:shd w:val="clear" w:color="auto" w:fill="FFFFFF"/>
                  <w:noWrap w:val="0"/>
                  <w:vAlign w:val="center"/>
                </w:tcPr>
                <w:p>
                  <w:pPr>
                    <w:widowControl/>
                    <w:jc w:val="center"/>
                    <w:rPr>
                      <w:color w:val="auto"/>
                      <w:szCs w:val="21"/>
                    </w:rPr>
                  </w:pPr>
                  <w:r>
                    <w:rPr>
                      <w:color w:val="auto"/>
                      <w:szCs w:val="21"/>
                    </w:rPr>
                    <w:t>由</w:t>
                  </w:r>
                  <w:r>
                    <w:rPr>
                      <w:rFonts w:hint="eastAsia" w:ascii="Times New Roman"/>
                      <w:color w:val="auto"/>
                      <w:kern w:val="2"/>
                      <w:sz w:val="21"/>
                      <w:szCs w:val="21"/>
                    </w:rPr>
                    <w:t>市政电网</w:t>
                  </w:r>
                  <w:r>
                    <w:rPr>
                      <w:color w:val="auto"/>
                      <w:szCs w:val="21"/>
                    </w:rPr>
                    <w:t>供给</w:t>
                  </w:r>
                  <w:r>
                    <w:rPr>
                      <w:rFonts w:hint="eastAsia"/>
                      <w:color w:val="auto"/>
                      <w:szCs w:val="21"/>
                    </w:rPr>
                    <w:t>；</w:t>
                  </w:r>
                </w:p>
              </w:tc>
              <w:tc>
                <w:tcPr>
                  <w:tcW w:w="3074" w:type="dxa"/>
                  <w:shd w:val="clear" w:color="auto" w:fill="FFFFFF"/>
                  <w:noWrap w:val="0"/>
                  <w:vAlign w:val="center"/>
                </w:tcPr>
                <w:p>
                  <w:pPr>
                    <w:jc w:val="center"/>
                    <w:rPr>
                      <w:color w:val="auto"/>
                      <w:szCs w:val="21"/>
                    </w:rPr>
                  </w:pPr>
                  <w:r>
                    <w:rPr>
                      <w:color w:val="auto"/>
                      <w:szCs w:val="21"/>
                    </w:rPr>
                    <w:t>能够满足本项目需求</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97" w:hRule="atLeast"/>
                <w:jc w:val="center"/>
              </w:trPr>
              <w:tc>
                <w:tcPr>
                  <w:tcW w:w="1727" w:type="dxa"/>
                  <w:gridSpan w:val="2"/>
                  <w:shd w:val="clear" w:color="auto" w:fill="FFFFFF"/>
                  <w:noWrap w:val="0"/>
                  <w:vAlign w:val="center"/>
                </w:tcPr>
                <w:p>
                  <w:pPr>
                    <w:jc w:val="center"/>
                    <w:rPr>
                      <w:rFonts w:hint="default" w:eastAsia="宋体"/>
                      <w:color w:val="auto"/>
                      <w:szCs w:val="21"/>
                      <w:lang w:val="en-US" w:eastAsia="zh-CN"/>
                    </w:rPr>
                  </w:pPr>
                  <w:r>
                    <w:rPr>
                      <w:rFonts w:hint="eastAsia"/>
                      <w:color w:val="auto"/>
                      <w:szCs w:val="21"/>
                      <w:lang w:val="en-US" w:eastAsia="zh-CN"/>
                    </w:rPr>
                    <w:t>供气系统</w:t>
                  </w:r>
                </w:p>
              </w:tc>
              <w:tc>
                <w:tcPr>
                  <w:tcW w:w="3150" w:type="dxa"/>
                  <w:shd w:val="clear" w:color="auto" w:fill="FFFFFF"/>
                  <w:noWrap w:val="0"/>
                  <w:vAlign w:val="center"/>
                </w:tcPr>
                <w:p>
                  <w:pPr>
                    <w:widowControl/>
                    <w:jc w:val="center"/>
                    <w:rPr>
                      <w:color w:val="auto"/>
                      <w:sz w:val="21"/>
                      <w:szCs w:val="21"/>
                    </w:rPr>
                  </w:pPr>
                  <w:r>
                    <w:rPr>
                      <w:color w:val="auto"/>
                      <w:sz w:val="21"/>
                      <w:szCs w:val="21"/>
                    </w:rPr>
                    <w:t>由园区天然气管网供给</w:t>
                  </w:r>
                  <w:r>
                    <w:rPr>
                      <w:rFonts w:hint="eastAsia"/>
                      <w:color w:val="auto"/>
                      <w:sz w:val="21"/>
                      <w:szCs w:val="21"/>
                    </w:rPr>
                    <w:t>；</w:t>
                  </w:r>
                </w:p>
              </w:tc>
              <w:tc>
                <w:tcPr>
                  <w:tcW w:w="3074" w:type="dxa"/>
                  <w:shd w:val="clear" w:color="auto" w:fill="FFFFFF"/>
                  <w:noWrap w:val="0"/>
                  <w:vAlign w:val="center"/>
                </w:tcPr>
                <w:p>
                  <w:pPr>
                    <w:jc w:val="center"/>
                    <w:rPr>
                      <w:color w:val="auto"/>
                      <w:szCs w:val="21"/>
                    </w:rPr>
                  </w:pPr>
                  <w:r>
                    <w:rPr>
                      <w:color w:val="auto"/>
                      <w:szCs w:val="21"/>
                    </w:rPr>
                    <w:t>能够满足本项目需求</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97" w:hRule="atLeast"/>
                <w:jc w:val="center"/>
              </w:trPr>
              <w:tc>
                <w:tcPr>
                  <w:tcW w:w="1727" w:type="dxa"/>
                  <w:gridSpan w:val="2"/>
                  <w:shd w:val="clear" w:color="auto" w:fill="FFFFFF"/>
                  <w:noWrap w:val="0"/>
                  <w:vAlign w:val="center"/>
                </w:tcPr>
                <w:p>
                  <w:pPr>
                    <w:jc w:val="center"/>
                    <w:rPr>
                      <w:color w:val="auto"/>
                      <w:szCs w:val="21"/>
                    </w:rPr>
                  </w:pPr>
                  <w:r>
                    <w:rPr>
                      <w:rFonts w:hint="eastAsia"/>
                      <w:color w:val="auto"/>
                      <w:szCs w:val="21"/>
                    </w:rPr>
                    <w:t>排水系统</w:t>
                  </w:r>
                </w:p>
              </w:tc>
              <w:tc>
                <w:tcPr>
                  <w:tcW w:w="3150" w:type="dxa"/>
                  <w:shd w:val="clear" w:color="auto" w:fill="FFFFFF"/>
                  <w:noWrap w:val="0"/>
                  <w:vAlign w:val="center"/>
                </w:tcPr>
                <w:p>
                  <w:pPr>
                    <w:widowControl/>
                    <w:jc w:val="center"/>
                    <w:rPr>
                      <w:rFonts w:hint="eastAsia"/>
                      <w:color w:val="auto"/>
                      <w:sz w:val="21"/>
                      <w:szCs w:val="21"/>
                    </w:rPr>
                  </w:pPr>
                  <w:r>
                    <w:rPr>
                      <w:rFonts w:hint="eastAsia" w:ascii="Times New Roman"/>
                      <w:color w:val="auto"/>
                      <w:kern w:val="2"/>
                      <w:sz w:val="21"/>
                      <w:szCs w:val="21"/>
                    </w:rPr>
                    <w:t>依托</w:t>
                  </w:r>
                  <w:r>
                    <w:rPr>
                      <w:rFonts w:hint="eastAsia" w:ascii="Times New Roman" w:hAnsi="Times New Roman" w:eastAsia="宋体" w:cs="Times New Roman"/>
                      <w:b w:val="0"/>
                      <w:bCs/>
                      <w:color w:val="auto"/>
                      <w:kern w:val="2"/>
                      <w:sz w:val="21"/>
                      <w:szCs w:val="21"/>
                      <w:lang w:val="en-US" w:eastAsia="zh-CN" w:bidi="ar-SA"/>
                    </w:rPr>
                    <w:t>四川翔丰华新能源材料有限公司厂区已设置的排水系统</w:t>
                  </w:r>
                  <w:r>
                    <w:rPr>
                      <w:color w:val="auto"/>
                      <w:sz w:val="21"/>
                      <w:szCs w:val="21"/>
                    </w:rPr>
                    <w:t>；</w:t>
                  </w:r>
                </w:p>
              </w:tc>
              <w:tc>
                <w:tcPr>
                  <w:tcW w:w="3074" w:type="dxa"/>
                  <w:shd w:val="clear" w:color="auto" w:fill="FFFFFF"/>
                  <w:noWrap w:val="0"/>
                  <w:vAlign w:val="center"/>
                </w:tcPr>
                <w:p>
                  <w:pPr>
                    <w:jc w:val="center"/>
                    <w:rPr>
                      <w:color w:val="auto"/>
                      <w:szCs w:val="21"/>
                    </w:rPr>
                  </w:pPr>
                  <w:r>
                    <w:rPr>
                      <w:color w:val="auto"/>
                      <w:szCs w:val="21"/>
                    </w:rPr>
                    <w:t>能够满足本项目需求</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97" w:hRule="atLeast"/>
                <w:jc w:val="center"/>
              </w:trPr>
              <w:tc>
                <w:tcPr>
                  <w:tcW w:w="1727" w:type="dxa"/>
                  <w:gridSpan w:val="2"/>
                  <w:shd w:val="clear" w:color="auto" w:fill="FFFFFF"/>
                  <w:noWrap w:val="0"/>
                  <w:vAlign w:val="center"/>
                </w:tcPr>
                <w:p>
                  <w:pPr>
                    <w:jc w:val="center"/>
                    <w:rPr>
                      <w:rFonts w:hint="eastAsia"/>
                      <w:color w:val="auto"/>
                      <w:szCs w:val="21"/>
                    </w:rPr>
                  </w:pPr>
                  <w:r>
                    <w:rPr>
                      <w:b w:val="0"/>
                      <w:bCs w:val="0"/>
                      <w:color w:val="auto"/>
                      <w:sz w:val="21"/>
                      <w:szCs w:val="21"/>
                    </w:rPr>
                    <w:t>办公及生活设施</w:t>
                  </w:r>
                </w:p>
              </w:tc>
              <w:tc>
                <w:tcPr>
                  <w:tcW w:w="3150" w:type="dxa"/>
                  <w:shd w:val="clear" w:color="auto" w:fill="FFFFFF"/>
                  <w:noWrap w:val="0"/>
                  <w:vAlign w:val="center"/>
                </w:tcPr>
                <w:p>
                  <w:pPr>
                    <w:jc w:val="center"/>
                    <w:rPr>
                      <w:rFonts w:hint="eastAsia" w:ascii="Times New Roman"/>
                      <w:color w:val="auto"/>
                      <w:kern w:val="2"/>
                      <w:sz w:val="21"/>
                      <w:szCs w:val="21"/>
                    </w:rPr>
                  </w:pPr>
                  <w:r>
                    <w:rPr>
                      <w:rFonts w:hint="eastAsia" w:eastAsia="宋体"/>
                      <w:b w:val="0"/>
                      <w:bCs w:val="0"/>
                      <w:color w:val="auto"/>
                      <w:sz w:val="21"/>
                      <w:szCs w:val="21"/>
                      <w:lang w:val="en-US" w:eastAsia="zh-CN"/>
                    </w:rPr>
                    <w:t>卫生间</w:t>
                  </w:r>
                </w:p>
              </w:tc>
              <w:tc>
                <w:tcPr>
                  <w:tcW w:w="3074" w:type="dxa"/>
                  <w:shd w:val="clear" w:color="auto" w:fill="FFFFFF"/>
                  <w:noWrap w:val="0"/>
                  <w:vAlign w:val="center"/>
                </w:tcPr>
                <w:p>
                  <w:pPr>
                    <w:widowControl/>
                    <w:jc w:val="center"/>
                    <w:rPr>
                      <w:color w:val="auto"/>
                      <w:szCs w:val="21"/>
                    </w:rPr>
                  </w:pPr>
                  <w:r>
                    <w:rPr>
                      <w:rFonts w:hint="eastAsia"/>
                      <w:b w:val="0"/>
                      <w:bCs w:val="0"/>
                      <w:color w:val="auto"/>
                      <w:kern w:val="0"/>
                      <w:sz w:val="21"/>
                      <w:szCs w:val="21"/>
                      <w:lang w:val="en-US" w:eastAsia="zh-CN" w:bidi="ar"/>
                    </w:rPr>
                    <w:t>依托</w:t>
                  </w:r>
                  <w:r>
                    <w:rPr>
                      <w:rFonts w:hint="eastAsia" w:ascii="Times New Roman" w:hAnsi="Times New Roman" w:eastAsia="宋体" w:cs="Times New Roman"/>
                      <w:b w:val="0"/>
                      <w:bCs w:val="0"/>
                      <w:color w:val="auto"/>
                      <w:sz w:val="21"/>
                      <w:szCs w:val="21"/>
                      <w:lang w:val="en-US" w:eastAsia="zh-CN"/>
                    </w:rPr>
                    <w:t>四川翔丰华新能源材料有限公司已建卫生间。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97" w:hRule="atLeast"/>
                <w:jc w:val="center"/>
              </w:trPr>
              <w:tc>
                <w:tcPr>
                  <w:tcW w:w="1727" w:type="dxa"/>
                  <w:gridSpan w:val="2"/>
                  <w:shd w:val="clear" w:color="auto" w:fill="FFFFFF"/>
                  <w:noWrap w:val="0"/>
                  <w:vAlign w:val="center"/>
                </w:tcPr>
                <w:p>
                  <w:pPr>
                    <w:widowControl/>
                    <w:jc w:val="center"/>
                    <w:rPr>
                      <w:b w:val="0"/>
                      <w:bCs w:val="0"/>
                      <w:color w:val="auto"/>
                      <w:sz w:val="21"/>
                      <w:szCs w:val="21"/>
                    </w:rPr>
                  </w:pPr>
                  <w:r>
                    <w:rPr>
                      <w:b w:val="0"/>
                      <w:bCs w:val="0"/>
                      <w:color w:val="auto"/>
                      <w:sz w:val="21"/>
                      <w:szCs w:val="21"/>
                    </w:rPr>
                    <w:t>废水处理</w:t>
                  </w:r>
                  <w:r>
                    <w:rPr>
                      <w:rFonts w:hint="eastAsia"/>
                      <w:b w:val="0"/>
                      <w:bCs w:val="0"/>
                      <w:color w:val="auto"/>
                      <w:sz w:val="21"/>
                      <w:szCs w:val="21"/>
                    </w:rPr>
                    <w:t>设施</w:t>
                  </w:r>
                </w:p>
              </w:tc>
              <w:tc>
                <w:tcPr>
                  <w:tcW w:w="3150" w:type="dxa"/>
                  <w:shd w:val="clear" w:color="auto" w:fill="FFFFFF"/>
                  <w:noWrap w:val="0"/>
                  <w:vAlign w:val="center"/>
                </w:tcPr>
                <w:p>
                  <w:pPr>
                    <w:widowControl/>
                    <w:jc w:val="center"/>
                    <w:rPr>
                      <w:rFonts w:hint="eastAsia" w:eastAsia="宋体"/>
                      <w:b w:val="0"/>
                      <w:bCs w:val="0"/>
                      <w:color w:val="auto"/>
                      <w:sz w:val="21"/>
                      <w:szCs w:val="21"/>
                      <w:lang w:val="en-US" w:eastAsia="zh-CN"/>
                    </w:rPr>
                  </w:pPr>
                  <w:r>
                    <w:rPr>
                      <w:rFonts w:hint="eastAsia" w:cs="Arial"/>
                      <w:b w:val="0"/>
                      <w:bCs w:val="0"/>
                      <w:color w:val="auto"/>
                      <w:sz w:val="21"/>
                      <w:szCs w:val="21"/>
                    </w:rPr>
                    <w:t>依托</w:t>
                  </w:r>
                  <w:r>
                    <w:rPr>
                      <w:rFonts w:hint="eastAsia" w:ascii="Times New Roman" w:hAnsi="Times New Roman" w:eastAsia="宋体" w:cs="Times New Roman"/>
                      <w:b w:val="0"/>
                      <w:bCs w:val="0"/>
                      <w:color w:val="auto"/>
                      <w:kern w:val="2"/>
                      <w:sz w:val="21"/>
                      <w:szCs w:val="21"/>
                      <w:lang w:val="en-US" w:eastAsia="zh-CN" w:bidi="ar-SA"/>
                    </w:rPr>
                    <w:t>四川翔丰华新能源材料有限公司已建4#</w:t>
                  </w:r>
                  <w:r>
                    <w:rPr>
                      <w:rFonts w:cs="Arial"/>
                      <w:b w:val="0"/>
                      <w:bCs w:val="0"/>
                      <w:color w:val="auto"/>
                      <w:sz w:val="21"/>
                      <w:szCs w:val="21"/>
                    </w:rPr>
                    <w:t>预处理池</w:t>
                  </w:r>
                  <w:r>
                    <w:rPr>
                      <w:rFonts w:hint="eastAsia" w:cs="Arial"/>
                      <w:b w:val="0"/>
                      <w:bCs w:val="0"/>
                      <w:color w:val="auto"/>
                      <w:sz w:val="21"/>
                      <w:szCs w:val="21"/>
                    </w:rPr>
                    <w:t>（</w:t>
                  </w:r>
                  <w:r>
                    <w:rPr>
                      <w:rFonts w:hint="eastAsia" w:cs="Arial"/>
                      <w:b w:val="0"/>
                      <w:bCs w:val="0"/>
                      <w:color w:val="auto"/>
                      <w:sz w:val="21"/>
                      <w:szCs w:val="21"/>
                      <w:lang w:val="en-US" w:eastAsia="zh-CN"/>
                    </w:rPr>
                    <w:t>6</w:t>
                  </w:r>
                  <w:r>
                    <w:rPr>
                      <w:rFonts w:hint="eastAsia" w:cs="Arial"/>
                      <w:b w:val="0"/>
                      <w:bCs w:val="0"/>
                      <w:color w:val="auto"/>
                      <w:sz w:val="21"/>
                      <w:szCs w:val="21"/>
                    </w:rPr>
                    <w:t>m</w:t>
                  </w:r>
                  <w:r>
                    <w:rPr>
                      <w:rFonts w:hint="eastAsia" w:cs="Arial"/>
                      <w:b w:val="0"/>
                      <w:bCs w:val="0"/>
                      <w:color w:val="auto"/>
                      <w:sz w:val="21"/>
                      <w:szCs w:val="21"/>
                      <w:vertAlign w:val="superscript"/>
                    </w:rPr>
                    <w:t>3</w:t>
                  </w:r>
                  <w:r>
                    <w:rPr>
                      <w:rFonts w:hint="eastAsia" w:cs="Arial"/>
                      <w:b w:val="0"/>
                      <w:bCs w:val="0"/>
                      <w:color w:val="auto"/>
                      <w:sz w:val="21"/>
                      <w:szCs w:val="21"/>
                    </w:rPr>
                    <w:t>、</w:t>
                  </w:r>
                  <w:r>
                    <w:rPr>
                      <w:rFonts w:hint="eastAsia" w:cs="Arial"/>
                      <w:b w:val="0"/>
                      <w:bCs w:val="0"/>
                      <w:color w:val="auto"/>
                      <w:sz w:val="21"/>
                      <w:szCs w:val="21"/>
                      <w:lang w:val="en-US" w:eastAsia="zh-CN"/>
                    </w:rPr>
                    <w:t>12</w:t>
                  </w:r>
                  <w:r>
                    <w:rPr>
                      <w:rFonts w:hint="eastAsia" w:cs="Arial"/>
                      <w:b w:val="0"/>
                      <w:bCs w:val="0"/>
                      <w:color w:val="auto"/>
                      <w:sz w:val="21"/>
                      <w:szCs w:val="21"/>
                    </w:rPr>
                    <w:t>m</w:t>
                  </w:r>
                  <w:r>
                    <w:rPr>
                      <w:rFonts w:hint="eastAsia" w:cs="Arial"/>
                      <w:b w:val="0"/>
                      <w:bCs w:val="0"/>
                      <w:color w:val="auto"/>
                      <w:sz w:val="21"/>
                      <w:szCs w:val="21"/>
                      <w:vertAlign w:val="superscript"/>
                    </w:rPr>
                    <w:t>3</w:t>
                  </w:r>
                  <w:r>
                    <w:rPr>
                      <w:rFonts w:hint="eastAsia" w:cs="Arial"/>
                      <w:b w:val="0"/>
                      <w:bCs w:val="0"/>
                      <w:color w:val="auto"/>
                      <w:sz w:val="21"/>
                      <w:szCs w:val="21"/>
                    </w:rPr>
                    <w:t>/d）</w:t>
                  </w:r>
                  <w:r>
                    <w:rPr>
                      <w:rFonts w:hint="eastAsia" w:cs="Arial"/>
                      <w:b w:val="0"/>
                      <w:bCs w:val="0"/>
                      <w:color w:val="auto"/>
                      <w:sz w:val="21"/>
                      <w:szCs w:val="21"/>
                      <w:lang w:eastAsia="zh-CN"/>
                    </w:rPr>
                    <w:t>；</w:t>
                  </w:r>
                </w:p>
              </w:tc>
              <w:tc>
                <w:tcPr>
                  <w:tcW w:w="3074" w:type="dxa"/>
                  <w:shd w:val="clear" w:color="auto" w:fill="FFFFFF"/>
                  <w:noWrap w:val="0"/>
                  <w:vAlign w:val="center"/>
                </w:tcPr>
                <w:p>
                  <w:pPr>
                    <w:jc w:val="both"/>
                    <w:rPr>
                      <w:rFonts w:hint="eastAsia" w:eastAsia="宋体"/>
                      <w:b w:val="0"/>
                      <w:bCs w:val="0"/>
                      <w:color w:val="auto"/>
                      <w:szCs w:val="21"/>
                      <w:lang w:eastAsia="zh-CN"/>
                    </w:rPr>
                  </w:pPr>
                  <w:r>
                    <w:rPr>
                      <w:b w:val="0"/>
                      <w:bCs w:val="0"/>
                      <w:color w:val="auto"/>
                      <w:szCs w:val="21"/>
                    </w:rPr>
                    <w:t>本项目</w:t>
                  </w:r>
                  <w:r>
                    <w:rPr>
                      <w:rFonts w:hint="eastAsia"/>
                      <w:b w:val="0"/>
                      <w:bCs w:val="0"/>
                      <w:color w:val="auto"/>
                      <w:szCs w:val="21"/>
                      <w:lang w:val="en-US" w:eastAsia="zh-CN"/>
                    </w:rPr>
                    <w:t>进入预处理池的生活污水及碱喷淋废水最大量为3.36</w:t>
                  </w:r>
                  <w:r>
                    <w:rPr>
                      <w:b w:val="0"/>
                      <w:bCs w:val="0"/>
                      <w:color w:val="auto"/>
                      <w:szCs w:val="21"/>
                    </w:rPr>
                    <w:t>m</w:t>
                  </w:r>
                  <w:r>
                    <w:rPr>
                      <w:b w:val="0"/>
                      <w:bCs w:val="0"/>
                      <w:color w:val="auto"/>
                      <w:szCs w:val="21"/>
                      <w:vertAlign w:val="superscript"/>
                    </w:rPr>
                    <w:t>3</w:t>
                  </w:r>
                  <w:r>
                    <w:rPr>
                      <w:b w:val="0"/>
                      <w:bCs w:val="0"/>
                      <w:color w:val="auto"/>
                      <w:szCs w:val="21"/>
                    </w:rPr>
                    <w:t>/d，</w:t>
                  </w:r>
                  <w:r>
                    <w:rPr>
                      <w:rFonts w:hint="eastAsia"/>
                      <w:b w:val="0"/>
                      <w:bCs w:val="0"/>
                      <w:color w:val="auto"/>
                      <w:szCs w:val="21"/>
                      <w:lang w:val="en-US" w:eastAsia="zh-CN"/>
                    </w:rPr>
                    <w:t>4#</w:t>
                  </w:r>
                  <w:r>
                    <w:rPr>
                      <w:rFonts w:hint="eastAsia"/>
                      <w:b w:val="0"/>
                      <w:bCs w:val="0"/>
                      <w:color w:val="auto"/>
                      <w:szCs w:val="21"/>
                    </w:rPr>
                    <w:t>预处理池</w:t>
                  </w:r>
                  <w:r>
                    <w:rPr>
                      <w:rFonts w:hint="eastAsia"/>
                      <w:b w:val="0"/>
                      <w:bCs w:val="0"/>
                      <w:color w:val="auto"/>
                      <w:szCs w:val="21"/>
                      <w:lang w:val="en-US" w:eastAsia="zh-CN"/>
                    </w:rPr>
                    <w:t>处理规模为</w:t>
                  </w:r>
                  <w:r>
                    <w:rPr>
                      <w:rFonts w:hint="eastAsia" w:cs="Arial"/>
                      <w:b w:val="0"/>
                      <w:bCs w:val="0"/>
                      <w:color w:val="auto"/>
                      <w:szCs w:val="21"/>
                      <w:lang w:val="en-US" w:eastAsia="zh-CN"/>
                    </w:rPr>
                    <w:t>12</w:t>
                  </w:r>
                  <w:r>
                    <w:rPr>
                      <w:rFonts w:hint="eastAsia" w:cs="Arial"/>
                      <w:b w:val="0"/>
                      <w:bCs w:val="0"/>
                      <w:color w:val="auto"/>
                      <w:szCs w:val="21"/>
                    </w:rPr>
                    <w:t>m</w:t>
                  </w:r>
                  <w:r>
                    <w:rPr>
                      <w:rFonts w:hint="eastAsia" w:cs="Arial"/>
                      <w:b w:val="0"/>
                      <w:bCs w:val="0"/>
                      <w:color w:val="auto"/>
                      <w:szCs w:val="21"/>
                      <w:vertAlign w:val="superscript"/>
                    </w:rPr>
                    <w:t>3</w:t>
                  </w:r>
                  <w:r>
                    <w:rPr>
                      <w:rFonts w:hint="eastAsia" w:cs="Arial"/>
                      <w:b w:val="0"/>
                      <w:bCs w:val="0"/>
                      <w:color w:val="auto"/>
                      <w:szCs w:val="21"/>
                    </w:rPr>
                    <w:t>/d</w:t>
                  </w:r>
                  <w:r>
                    <w:rPr>
                      <w:rFonts w:hint="eastAsia" w:cs="Arial"/>
                      <w:b w:val="0"/>
                      <w:bCs w:val="0"/>
                      <w:color w:val="auto"/>
                      <w:szCs w:val="21"/>
                      <w:lang w:eastAsia="zh-CN"/>
                    </w:rPr>
                    <w:t>，</w:t>
                  </w:r>
                  <w:r>
                    <w:rPr>
                      <w:rFonts w:hint="eastAsia" w:cs="Arial"/>
                      <w:b w:val="0"/>
                      <w:bCs w:val="0"/>
                      <w:color w:val="auto"/>
                      <w:szCs w:val="21"/>
                      <w:lang w:val="en-US" w:eastAsia="zh-CN"/>
                    </w:rPr>
                    <w:t>目前</w:t>
                  </w:r>
                  <w:r>
                    <w:rPr>
                      <w:rFonts w:hint="eastAsia" w:ascii="Times New Roman" w:hAnsi="Times New Roman" w:eastAsia="宋体" w:cs="Times New Roman"/>
                      <w:b w:val="0"/>
                      <w:bCs w:val="0"/>
                      <w:color w:val="auto"/>
                      <w:kern w:val="2"/>
                      <w:sz w:val="21"/>
                      <w:szCs w:val="21"/>
                      <w:lang w:val="en-US" w:eastAsia="zh-CN" w:bidi="ar-SA"/>
                    </w:rPr>
                    <w:t>四川翔丰华新能源材料有限公司已建4#预处理池</w:t>
                  </w:r>
                  <w:r>
                    <w:rPr>
                      <w:rFonts w:hint="eastAsia" w:cs="Arial"/>
                      <w:b w:val="0"/>
                      <w:bCs w:val="0"/>
                      <w:color w:val="auto"/>
                      <w:szCs w:val="21"/>
                      <w:lang w:val="en-US" w:eastAsia="zh-CN"/>
                    </w:rPr>
                    <w:t>空置</w:t>
                  </w:r>
                  <w:r>
                    <w:rPr>
                      <w:rFonts w:hint="eastAsia" w:cs="Arial"/>
                      <w:b w:val="0"/>
                      <w:bCs w:val="0"/>
                      <w:color w:val="auto"/>
                      <w:szCs w:val="21"/>
                      <w:lang w:eastAsia="zh-CN"/>
                    </w:rPr>
                    <w:t>，</w:t>
                  </w:r>
                  <w:r>
                    <w:rPr>
                      <w:rFonts w:hint="eastAsia" w:cs="Arial"/>
                      <w:b w:val="0"/>
                      <w:bCs w:val="0"/>
                      <w:color w:val="auto"/>
                      <w:szCs w:val="21"/>
                      <w:lang w:val="en-US" w:eastAsia="zh-CN"/>
                    </w:rPr>
                    <w:t>能满足本项目使用；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97" w:hRule="atLeast"/>
                <w:jc w:val="center"/>
              </w:trPr>
              <w:tc>
                <w:tcPr>
                  <w:tcW w:w="647" w:type="dxa"/>
                  <w:vMerge w:val="restart"/>
                  <w:shd w:val="clear" w:color="auto" w:fill="FFFFFF"/>
                  <w:noWrap w:val="0"/>
                  <w:vAlign w:val="center"/>
                </w:tcPr>
                <w:p>
                  <w:pPr>
                    <w:jc w:val="center"/>
                    <w:rPr>
                      <w:b w:val="0"/>
                      <w:bCs w:val="0"/>
                      <w:color w:val="auto"/>
                      <w:sz w:val="21"/>
                      <w:szCs w:val="21"/>
                    </w:rPr>
                  </w:pPr>
                  <w:r>
                    <w:rPr>
                      <w:b w:val="0"/>
                      <w:bCs w:val="0"/>
                      <w:color w:val="auto"/>
                      <w:sz w:val="21"/>
                      <w:szCs w:val="21"/>
                    </w:rPr>
                    <w:t>仓储工程</w:t>
                  </w:r>
                </w:p>
              </w:tc>
              <w:tc>
                <w:tcPr>
                  <w:tcW w:w="1080" w:type="dxa"/>
                  <w:shd w:val="clear" w:color="auto" w:fill="FFFFFF"/>
                  <w:noWrap w:val="0"/>
                  <w:vAlign w:val="center"/>
                </w:tcPr>
                <w:p>
                  <w:pPr>
                    <w:jc w:val="center"/>
                    <w:rPr>
                      <w:b w:val="0"/>
                      <w:bCs w:val="0"/>
                      <w:color w:val="auto"/>
                      <w:sz w:val="21"/>
                      <w:szCs w:val="21"/>
                    </w:rPr>
                  </w:pPr>
                  <w:r>
                    <w:rPr>
                      <w:rFonts w:hint="eastAsia" w:eastAsia="宋体"/>
                      <w:b w:val="0"/>
                      <w:bCs w:val="0"/>
                      <w:color w:val="auto"/>
                      <w:kern w:val="0"/>
                      <w:sz w:val="21"/>
                      <w:szCs w:val="21"/>
                      <w:lang w:val="en-US" w:eastAsia="zh-CN" w:bidi="ar"/>
                    </w:rPr>
                    <w:t>原料库房</w:t>
                  </w:r>
                </w:p>
              </w:tc>
              <w:tc>
                <w:tcPr>
                  <w:tcW w:w="3150" w:type="dxa"/>
                  <w:shd w:val="clear" w:color="auto" w:fill="FFFFFF"/>
                  <w:noWrap w:val="0"/>
                  <w:vAlign w:val="center"/>
                </w:tcPr>
                <w:p>
                  <w:pPr>
                    <w:widowControl/>
                    <w:jc w:val="center"/>
                    <w:rPr>
                      <w:rFonts w:hint="eastAsia" w:cs="Arial"/>
                      <w:b w:val="0"/>
                      <w:bCs w:val="0"/>
                      <w:color w:val="auto"/>
                      <w:sz w:val="21"/>
                      <w:szCs w:val="21"/>
                    </w:rPr>
                  </w:pPr>
                  <w:r>
                    <w:rPr>
                      <w:rFonts w:hint="eastAsia"/>
                      <w:b w:val="0"/>
                      <w:bCs w:val="0"/>
                      <w:color w:val="auto"/>
                      <w:kern w:val="0"/>
                      <w:sz w:val="21"/>
                      <w:szCs w:val="21"/>
                      <w:lang w:val="en-US" w:eastAsia="zh-CN" w:bidi="ar"/>
                    </w:rPr>
                    <w:t>依托</w:t>
                  </w:r>
                  <w:r>
                    <w:rPr>
                      <w:rFonts w:hint="eastAsia" w:ascii="Times New Roman" w:hAnsi="Times New Roman" w:eastAsia="宋体" w:cs="Times New Roman"/>
                      <w:b w:val="0"/>
                      <w:bCs w:val="0"/>
                      <w:color w:val="auto"/>
                      <w:sz w:val="21"/>
                      <w:szCs w:val="21"/>
                      <w:lang w:val="en-US" w:eastAsia="zh-CN"/>
                    </w:rPr>
                    <w:t>四川翔丰华新能源材料有限公司已建原料库房</w:t>
                  </w:r>
                  <w:r>
                    <w:rPr>
                      <w:rFonts w:hint="eastAsia"/>
                      <w:b w:val="0"/>
                      <w:bCs w:val="0"/>
                      <w:color w:val="auto"/>
                      <w:spacing w:val="4"/>
                      <w:szCs w:val="21"/>
                      <w:highlight w:val="none"/>
                    </w:rPr>
                    <w:t>，</w:t>
                  </w:r>
                  <w:r>
                    <w:rPr>
                      <w:rFonts w:hint="eastAsia"/>
                      <w:b w:val="0"/>
                      <w:bCs w:val="0"/>
                      <w:color w:val="auto"/>
                      <w:spacing w:val="4"/>
                      <w:szCs w:val="21"/>
                      <w:highlight w:val="none"/>
                      <w:lang w:val="en-US" w:eastAsia="zh-CN"/>
                    </w:rPr>
                    <w:t>建筑面积约400m</w:t>
                  </w:r>
                  <w:r>
                    <w:rPr>
                      <w:rFonts w:hint="eastAsia"/>
                      <w:b w:val="0"/>
                      <w:bCs w:val="0"/>
                      <w:color w:val="auto"/>
                      <w:spacing w:val="4"/>
                      <w:szCs w:val="21"/>
                      <w:highlight w:val="none"/>
                      <w:vertAlign w:val="superscript"/>
                      <w:lang w:val="en-US" w:eastAsia="zh-CN"/>
                    </w:rPr>
                    <w:t>3</w:t>
                  </w:r>
                  <w:r>
                    <w:rPr>
                      <w:rFonts w:hint="eastAsia"/>
                      <w:b w:val="0"/>
                      <w:bCs w:val="0"/>
                      <w:color w:val="auto"/>
                      <w:spacing w:val="4"/>
                      <w:szCs w:val="21"/>
                      <w:highlight w:val="none"/>
                      <w:vertAlign w:val="baseline"/>
                      <w:lang w:val="en-US" w:eastAsia="zh-CN"/>
                    </w:rPr>
                    <w:t>，最大存储能力为400t；</w:t>
                  </w:r>
                </w:p>
              </w:tc>
              <w:tc>
                <w:tcPr>
                  <w:tcW w:w="3074" w:type="dxa"/>
                  <w:shd w:val="clear" w:color="auto" w:fill="FFFFFF"/>
                  <w:noWrap w:val="0"/>
                  <w:vAlign w:val="center"/>
                </w:tcPr>
                <w:p>
                  <w:pPr>
                    <w:jc w:val="both"/>
                    <w:rPr>
                      <w:rFonts w:hint="default"/>
                      <w:b w:val="0"/>
                      <w:bCs w:val="0"/>
                      <w:color w:val="auto"/>
                      <w:szCs w:val="21"/>
                      <w:lang w:val="en-US"/>
                    </w:rPr>
                  </w:pPr>
                  <w:r>
                    <w:rPr>
                      <w:rFonts w:hint="eastAsia"/>
                      <w:b w:val="0"/>
                      <w:bCs w:val="0"/>
                      <w:color w:val="auto"/>
                      <w:kern w:val="0"/>
                      <w:sz w:val="21"/>
                      <w:szCs w:val="21"/>
                      <w:lang w:val="en-US" w:eastAsia="zh-CN" w:bidi="ar"/>
                    </w:rPr>
                    <w:t>依托</w:t>
                  </w:r>
                  <w:r>
                    <w:rPr>
                      <w:rFonts w:hint="eastAsia" w:ascii="Times New Roman" w:hAnsi="Times New Roman" w:eastAsia="宋体" w:cs="Times New Roman"/>
                      <w:b w:val="0"/>
                      <w:bCs w:val="0"/>
                      <w:color w:val="auto"/>
                      <w:sz w:val="21"/>
                      <w:szCs w:val="21"/>
                      <w:lang w:val="en-US" w:eastAsia="zh-CN"/>
                    </w:rPr>
                    <w:t>四川翔丰华新能源材料有限公司已建原料库房</w:t>
                  </w:r>
                  <w:r>
                    <w:rPr>
                      <w:rFonts w:hint="eastAsia"/>
                      <w:b w:val="0"/>
                      <w:bCs w:val="0"/>
                      <w:color w:val="auto"/>
                      <w:spacing w:val="4"/>
                      <w:szCs w:val="21"/>
                      <w:highlight w:val="none"/>
                    </w:rPr>
                    <w:t>，</w:t>
                  </w:r>
                  <w:r>
                    <w:rPr>
                      <w:rFonts w:hint="eastAsia"/>
                      <w:b w:val="0"/>
                      <w:bCs w:val="0"/>
                      <w:color w:val="auto"/>
                      <w:spacing w:val="4"/>
                      <w:szCs w:val="21"/>
                      <w:highlight w:val="none"/>
                      <w:lang w:val="en-US" w:eastAsia="zh-CN"/>
                    </w:rPr>
                    <w:t>建筑面积约400m</w:t>
                  </w:r>
                  <w:r>
                    <w:rPr>
                      <w:rFonts w:hint="eastAsia"/>
                      <w:b w:val="0"/>
                      <w:bCs w:val="0"/>
                      <w:color w:val="auto"/>
                      <w:spacing w:val="4"/>
                      <w:szCs w:val="21"/>
                      <w:highlight w:val="none"/>
                      <w:vertAlign w:val="superscript"/>
                      <w:lang w:val="en-US" w:eastAsia="zh-CN"/>
                    </w:rPr>
                    <w:t>3</w:t>
                  </w:r>
                  <w:r>
                    <w:rPr>
                      <w:rFonts w:hint="eastAsia"/>
                      <w:b w:val="0"/>
                      <w:bCs w:val="0"/>
                      <w:color w:val="auto"/>
                      <w:spacing w:val="4"/>
                      <w:szCs w:val="21"/>
                      <w:highlight w:val="none"/>
                      <w:vertAlign w:val="baseline"/>
                      <w:lang w:val="en-US" w:eastAsia="zh-CN"/>
                    </w:rPr>
                    <w:t>，最大存储能力为400t，目前原料库房空置</w:t>
                  </w:r>
                  <w:r>
                    <w:rPr>
                      <w:rFonts w:hint="eastAsia" w:cs="Arial"/>
                      <w:b w:val="0"/>
                      <w:bCs w:val="0"/>
                      <w:color w:val="auto"/>
                      <w:szCs w:val="21"/>
                      <w:lang w:eastAsia="zh-CN"/>
                    </w:rPr>
                    <w:t>，</w:t>
                  </w:r>
                  <w:r>
                    <w:rPr>
                      <w:rFonts w:hint="eastAsia" w:cs="Arial"/>
                      <w:b w:val="0"/>
                      <w:bCs w:val="0"/>
                      <w:color w:val="auto"/>
                      <w:szCs w:val="21"/>
                      <w:lang w:val="en-US" w:eastAsia="zh-CN"/>
                    </w:rPr>
                    <w:t>能满足本项目使用；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97" w:hRule="atLeast"/>
                <w:jc w:val="center"/>
              </w:trPr>
              <w:tc>
                <w:tcPr>
                  <w:tcW w:w="647" w:type="dxa"/>
                  <w:vMerge w:val="continue"/>
                  <w:shd w:val="clear" w:color="auto" w:fill="FFFFFF"/>
                  <w:noWrap w:val="0"/>
                  <w:vAlign w:val="center"/>
                </w:tcPr>
                <w:p>
                  <w:pPr>
                    <w:jc w:val="center"/>
                    <w:rPr>
                      <w:b w:val="0"/>
                      <w:bCs w:val="0"/>
                      <w:color w:val="auto"/>
                      <w:sz w:val="21"/>
                      <w:szCs w:val="21"/>
                    </w:rPr>
                  </w:pPr>
                </w:p>
              </w:tc>
              <w:tc>
                <w:tcPr>
                  <w:tcW w:w="1080" w:type="dxa"/>
                  <w:shd w:val="clear" w:color="auto" w:fill="FFFFFF"/>
                  <w:noWrap w:val="0"/>
                  <w:vAlign w:val="center"/>
                </w:tcPr>
                <w:p>
                  <w:pPr>
                    <w:jc w:val="center"/>
                    <w:rPr>
                      <w:b w:val="0"/>
                      <w:bCs w:val="0"/>
                      <w:color w:val="auto"/>
                      <w:sz w:val="21"/>
                      <w:szCs w:val="21"/>
                    </w:rPr>
                  </w:pPr>
                  <w:r>
                    <w:rPr>
                      <w:rFonts w:hint="eastAsia" w:ascii="Times New Roman" w:hAnsi="Times New Roman" w:eastAsia="宋体" w:cs="Times New Roman"/>
                      <w:b w:val="0"/>
                      <w:bCs w:val="0"/>
                      <w:color w:val="auto"/>
                      <w:kern w:val="0"/>
                      <w:sz w:val="21"/>
                      <w:szCs w:val="21"/>
                      <w:lang w:val="en-US" w:eastAsia="zh-CN" w:bidi="ar"/>
                    </w:rPr>
                    <w:t>研发品暂存间</w:t>
                  </w:r>
                </w:p>
              </w:tc>
              <w:tc>
                <w:tcPr>
                  <w:tcW w:w="3150" w:type="dxa"/>
                  <w:shd w:val="clear" w:color="auto" w:fill="FFFFFF"/>
                  <w:noWrap w:val="0"/>
                  <w:vAlign w:val="center"/>
                </w:tcPr>
                <w:p>
                  <w:pPr>
                    <w:widowControl/>
                    <w:jc w:val="center"/>
                    <w:rPr>
                      <w:rFonts w:hint="eastAsia" w:cs="Arial"/>
                      <w:b w:val="0"/>
                      <w:bCs w:val="0"/>
                      <w:color w:val="auto"/>
                      <w:sz w:val="21"/>
                      <w:szCs w:val="21"/>
                    </w:rPr>
                  </w:pPr>
                  <w:r>
                    <w:rPr>
                      <w:rFonts w:hint="eastAsia"/>
                      <w:b w:val="0"/>
                      <w:bCs w:val="0"/>
                      <w:color w:val="auto"/>
                      <w:kern w:val="0"/>
                      <w:sz w:val="21"/>
                      <w:szCs w:val="21"/>
                      <w:lang w:val="en-US" w:eastAsia="zh-CN" w:bidi="ar"/>
                    </w:rPr>
                    <w:t>依托</w:t>
                  </w:r>
                  <w:r>
                    <w:rPr>
                      <w:rFonts w:hint="eastAsia" w:ascii="Times New Roman" w:hAnsi="Times New Roman" w:eastAsia="宋体" w:cs="Times New Roman"/>
                      <w:b w:val="0"/>
                      <w:bCs w:val="0"/>
                      <w:color w:val="auto"/>
                      <w:sz w:val="21"/>
                      <w:szCs w:val="21"/>
                      <w:lang w:val="en-US" w:eastAsia="zh-CN"/>
                    </w:rPr>
                    <w:t>四川翔丰华新能源材料有限公司已建</w:t>
                  </w:r>
                  <w:r>
                    <w:rPr>
                      <w:rFonts w:hint="eastAsia" w:ascii="Times New Roman" w:hAnsi="Times New Roman" w:eastAsia="宋体" w:cs="Times New Roman"/>
                      <w:b w:val="0"/>
                      <w:bCs w:val="0"/>
                      <w:color w:val="auto"/>
                      <w:kern w:val="0"/>
                      <w:sz w:val="21"/>
                      <w:szCs w:val="21"/>
                      <w:lang w:val="en-US" w:eastAsia="zh-CN" w:bidi="ar"/>
                    </w:rPr>
                    <w:t>研发品暂存间</w:t>
                  </w:r>
                  <w:r>
                    <w:rPr>
                      <w:rFonts w:hint="eastAsia"/>
                      <w:b w:val="0"/>
                      <w:bCs w:val="0"/>
                      <w:color w:val="auto"/>
                      <w:spacing w:val="4"/>
                      <w:szCs w:val="21"/>
                      <w:highlight w:val="none"/>
                    </w:rPr>
                    <w:t>，</w:t>
                  </w:r>
                  <w:r>
                    <w:rPr>
                      <w:rFonts w:hint="eastAsia"/>
                      <w:b w:val="0"/>
                      <w:bCs w:val="0"/>
                      <w:color w:val="auto"/>
                      <w:spacing w:val="4"/>
                      <w:szCs w:val="21"/>
                      <w:highlight w:val="none"/>
                      <w:lang w:val="en-US" w:eastAsia="zh-CN"/>
                    </w:rPr>
                    <w:t>建筑面积约400m</w:t>
                  </w:r>
                  <w:r>
                    <w:rPr>
                      <w:rFonts w:hint="eastAsia"/>
                      <w:b w:val="0"/>
                      <w:bCs w:val="0"/>
                      <w:color w:val="auto"/>
                      <w:spacing w:val="4"/>
                      <w:szCs w:val="21"/>
                      <w:highlight w:val="none"/>
                      <w:vertAlign w:val="superscript"/>
                      <w:lang w:val="en-US" w:eastAsia="zh-CN"/>
                    </w:rPr>
                    <w:t>3</w:t>
                  </w:r>
                  <w:r>
                    <w:rPr>
                      <w:rFonts w:hint="eastAsia"/>
                      <w:b w:val="0"/>
                      <w:bCs w:val="0"/>
                      <w:color w:val="auto"/>
                      <w:spacing w:val="4"/>
                      <w:szCs w:val="21"/>
                      <w:highlight w:val="none"/>
                      <w:vertAlign w:val="baseline"/>
                      <w:lang w:val="en-US" w:eastAsia="zh-CN"/>
                    </w:rPr>
                    <w:t>，最大存储能力为400t；</w:t>
                  </w:r>
                </w:p>
              </w:tc>
              <w:tc>
                <w:tcPr>
                  <w:tcW w:w="3074" w:type="dxa"/>
                  <w:shd w:val="clear" w:color="auto" w:fill="FFFFFF"/>
                  <w:noWrap w:val="0"/>
                  <w:vAlign w:val="center"/>
                </w:tcPr>
                <w:p>
                  <w:pPr>
                    <w:jc w:val="both"/>
                    <w:rPr>
                      <w:b w:val="0"/>
                      <w:bCs w:val="0"/>
                      <w:color w:val="auto"/>
                      <w:szCs w:val="21"/>
                    </w:rPr>
                  </w:pPr>
                  <w:r>
                    <w:rPr>
                      <w:rFonts w:hint="eastAsia"/>
                      <w:b w:val="0"/>
                      <w:bCs w:val="0"/>
                      <w:color w:val="auto"/>
                      <w:kern w:val="0"/>
                      <w:sz w:val="21"/>
                      <w:szCs w:val="21"/>
                      <w:lang w:val="en-US" w:eastAsia="zh-CN" w:bidi="ar"/>
                    </w:rPr>
                    <w:t>依托</w:t>
                  </w:r>
                  <w:r>
                    <w:rPr>
                      <w:rFonts w:hint="eastAsia" w:ascii="Times New Roman" w:hAnsi="Times New Roman" w:eastAsia="宋体" w:cs="Times New Roman"/>
                      <w:b w:val="0"/>
                      <w:bCs w:val="0"/>
                      <w:color w:val="auto"/>
                      <w:sz w:val="21"/>
                      <w:szCs w:val="21"/>
                      <w:lang w:val="en-US" w:eastAsia="zh-CN"/>
                    </w:rPr>
                    <w:t>四川翔丰华新能源材料有限公司已建</w:t>
                  </w:r>
                  <w:r>
                    <w:rPr>
                      <w:rFonts w:hint="eastAsia" w:ascii="Times New Roman" w:hAnsi="Times New Roman" w:eastAsia="宋体" w:cs="Times New Roman"/>
                      <w:b w:val="0"/>
                      <w:bCs w:val="0"/>
                      <w:color w:val="auto"/>
                      <w:kern w:val="0"/>
                      <w:sz w:val="21"/>
                      <w:szCs w:val="21"/>
                      <w:lang w:val="en-US" w:eastAsia="zh-CN" w:bidi="ar"/>
                    </w:rPr>
                    <w:t>研发品暂存间，</w:t>
                  </w:r>
                  <w:r>
                    <w:rPr>
                      <w:rFonts w:hint="eastAsia"/>
                      <w:b w:val="0"/>
                      <w:bCs w:val="0"/>
                      <w:color w:val="auto"/>
                      <w:spacing w:val="4"/>
                      <w:szCs w:val="21"/>
                      <w:highlight w:val="none"/>
                      <w:lang w:val="en-US" w:eastAsia="zh-CN"/>
                    </w:rPr>
                    <w:t>建筑面积约400m</w:t>
                  </w:r>
                  <w:r>
                    <w:rPr>
                      <w:rFonts w:hint="eastAsia"/>
                      <w:b w:val="0"/>
                      <w:bCs w:val="0"/>
                      <w:color w:val="auto"/>
                      <w:spacing w:val="4"/>
                      <w:szCs w:val="21"/>
                      <w:highlight w:val="none"/>
                      <w:vertAlign w:val="superscript"/>
                      <w:lang w:val="en-US" w:eastAsia="zh-CN"/>
                    </w:rPr>
                    <w:t>3</w:t>
                  </w:r>
                  <w:r>
                    <w:rPr>
                      <w:rFonts w:hint="eastAsia"/>
                      <w:b w:val="0"/>
                      <w:bCs w:val="0"/>
                      <w:color w:val="auto"/>
                      <w:spacing w:val="4"/>
                      <w:szCs w:val="21"/>
                      <w:highlight w:val="none"/>
                      <w:vertAlign w:val="baseline"/>
                      <w:lang w:val="en-US" w:eastAsia="zh-CN"/>
                    </w:rPr>
                    <w:t>，最大存储能力为400t，目前</w:t>
                  </w:r>
                  <w:r>
                    <w:rPr>
                      <w:rFonts w:hint="eastAsia" w:ascii="Times New Roman" w:hAnsi="Times New Roman" w:eastAsia="宋体" w:cs="Times New Roman"/>
                      <w:b w:val="0"/>
                      <w:bCs w:val="0"/>
                      <w:color w:val="auto"/>
                      <w:kern w:val="0"/>
                      <w:sz w:val="21"/>
                      <w:szCs w:val="21"/>
                      <w:lang w:val="en-US" w:eastAsia="zh-CN" w:bidi="ar"/>
                    </w:rPr>
                    <w:t>研发品暂存间</w:t>
                  </w:r>
                  <w:r>
                    <w:rPr>
                      <w:rFonts w:hint="eastAsia"/>
                      <w:b w:val="0"/>
                      <w:bCs w:val="0"/>
                      <w:color w:val="auto"/>
                      <w:spacing w:val="4"/>
                      <w:szCs w:val="21"/>
                      <w:highlight w:val="none"/>
                      <w:vertAlign w:val="baseline"/>
                      <w:lang w:val="en-US" w:eastAsia="zh-CN"/>
                    </w:rPr>
                    <w:t>空置</w:t>
                  </w:r>
                  <w:r>
                    <w:rPr>
                      <w:rFonts w:hint="eastAsia" w:cs="Arial"/>
                      <w:b w:val="0"/>
                      <w:bCs w:val="0"/>
                      <w:color w:val="auto"/>
                      <w:szCs w:val="21"/>
                      <w:lang w:eastAsia="zh-CN"/>
                    </w:rPr>
                    <w:t>，</w:t>
                  </w:r>
                  <w:r>
                    <w:rPr>
                      <w:rFonts w:hint="eastAsia" w:cs="Arial"/>
                      <w:b w:val="0"/>
                      <w:bCs w:val="0"/>
                      <w:color w:val="auto"/>
                      <w:szCs w:val="21"/>
                      <w:lang w:val="en-US" w:eastAsia="zh-CN"/>
                    </w:rPr>
                    <w:t>能满足本项目使用；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97" w:hRule="atLeast"/>
                <w:jc w:val="center"/>
              </w:trPr>
              <w:tc>
                <w:tcPr>
                  <w:tcW w:w="647" w:type="dxa"/>
                  <w:vMerge w:val="restart"/>
                  <w:shd w:val="clear" w:color="auto" w:fill="FFFFFF"/>
                  <w:noWrap w:val="0"/>
                  <w:vAlign w:val="center"/>
                </w:tcPr>
                <w:p>
                  <w:pPr>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环保工程</w:t>
                  </w:r>
                </w:p>
              </w:tc>
              <w:tc>
                <w:tcPr>
                  <w:tcW w:w="1080" w:type="dxa"/>
                  <w:shd w:val="clear" w:color="auto" w:fill="FFFFFF"/>
                  <w:noWrap w:val="0"/>
                  <w:vAlign w:val="center"/>
                </w:tcPr>
                <w:p>
                  <w:pPr>
                    <w:jc w:val="center"/>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一般固废暂存间</w:t>
                  </w:r>
                </w:p>
              </w:tc>
              <w:tc>
                <w:tcPr>
                  <w:tcW w:w="3150" w:type="dxa"/>
                  <w:shd w:val="clear" w:color="auto" w:fill="FFFFFF"/>
                  <w:noWrap w:val="0"/>
                  <w:vAlign w:val="center"/>
                </w:tcPr>
                <w:p>
                  <w:pPr>
                    <w:widowControl/>
                    <w:jc w:val="center"/>
                    <w:rPr>
                      <w:rFonts w:hint="eastAsia" w:cs="Arial"/>
                      <w:b w:val="0"/>
                      <w:bCs w:val="0"/>
                      <w:color w:val="auto"/>
                      <w:sz w:val="21"/>
                      <w:szCs w:val="21"/>
                    </w:rPr>
                  </w:pPr>
                  <w:r>
                    <w:rPr>
                      <w:rFonts w:hint="eastAsia"/>
                      <w:color w:val="auto"/>
                      <w:kern w:val="0"/>
                      <w:sz w:val="21"/>
                      <w:szCs w:val="21"/>
                      <w:lang w:val="en-US" w:eastAsia="zh-CN" w:bidi="ar"/>
                    </w:rPr>
                    <w:t>依托</w:t>
                  </w:r>
                  <w:r>
                    <w:rPr>
                      <w:rFonts w:hint="eastAsia" w:ascii="Times New Roman" w:hAnsi="Times New Roman" w:eastAsia="宋体" w:cs="Times New Roman"/>
                      <w:color w:val="auto"/>
                      <w:sz w:val="21"/>
                      <w:szCs w:val="21"/>
                      <w:lang w:val="en-US" w:eastAsia="zh-CN"/>
                    </w:rPr>
                    <w:t>四川翔丰华新能源材料有限公司已建一般固废暂存间，</w:t>
                  </w:r>
                  <w:r>
                    <w:rPr>
                      <w:color w:val="auto"/>
                      <w:kern w:val="0"/>
                      <w:sz w:val="21"/>
                      <w:szCs w:val="21"/>
                      <w:lang w:bidi="ar"/>
                    </w:rPr>
                    <w:t>位于</w:t>
                  </w:r>
                  <w:r>
                    <w:rPr>
                      <w:rFonts w:hint="eastAsia" w:ascii="Times New Roman" w:hAnsi="Times New Roman" w:eastAsia="宋体" w:cs="Times New Roman"/>
                      <w:color w:val="auto"/>
                      <w:sz w:val="21"/>
                      <w:szCs w:val="21"/>
                      <w:lang w:val="en-US" w:eastAsia="zh-CN"/>
                    </w:rPr>
                    <w:t>四川翔丰华新能源材料有限公司厂区西侧</w:t>
                  </w:r>
                  <w:r>
                    <w:rPr>
                      <w:rFonts w:hint="eastAsia" w:ascii="Times New Roman" w:hAnsi="Times New Roman" w:eastAsia="宋体" w:cs="Times New Roman"/>
                      <w:color w:val="auto"/>
                      <w:kern w:val="0"/>
                      <w:sz w:val="21"/>
                      <w:szCs w:val="21"/>
                      <w:lang w:val="en-US" w:eastAsia="zh-CN" w:bidi="ar"/>
                    </w:rPr>
                    <w:t>，</w:t>
                  </w:r>
                  <w:r>
                    <w:rPr>
                      <w:color w:val="auto"/>
                      <w:sz w:val="21"/>
                      <w:szCs w:val="21"/>
                    </w:rPr>
                    <w:t>建筑面积</w:t>
                  </w:r>
                  <w:r>
                    <w:rPr>
                      <w:rFonts w:hint="eastAsia"/>
                      <w:color w:val="auto"/>
                      <w:sz w:val="21"/>
                      <w:szCs w:val="21"/>
                      <w:lang w:val="en-US" w:eastAsia="zh-CN"/>
                    </w:rPr>
                    <w:t>约</w:t>
                  </w:r>
                  <w:r>
                    <w:rPr>
                      <w:color w:val="auto"/>
                      <w:sz w:val="21"/>
                      <w:szCs w:val="21"/>
                    </w:rPr>
                    <w:t>为</w:t>
                  </w:r>
                  <w:r>
                    <w:rPr>
                      <w:rFonts w:hint="eastAsia"/>
                      <w:color w:val="auto"/>
                      <w:sz w:val="21"/>
                      <w:szCs w:val="21"/>
                      <w:lang w:val="en-US" w:eastAsia="zh-CN"/>
                    </w:rPr>
                    <w:t>500</w:t>
                  </w:r>
                  <w:r>
                    <w:rPr>
                      <w:color w:val="auto"/>
                      <w:sz w:val="21"/>
                      <w:szCs w:val="21"/>
                    </w:rPr>
                    <w:t>m</w:t>
                  </w:r>
                  <w:r>
                    <w:rPr>
                      <w:color w:val="auto"/>
                      <w:sz w:val="21"/>
                      <w:szCs w:val="21"/>
                      <w:vertAlign w:val="superscript"/>
                    </w:rPr>
                    <w:t>2</w:t>
                  </w:r>
                  <w:r>
                    <w:rPr>
                      <w:color w:val="auto"/>
                      <w:sz w:val="21"/>
                      <w:szCs w:val="21"/>
                    </w:rPr>
                    <w:t>，用于暂存项目</w:t>
                  </w:r>
                  <w:r>
                    <w:rPr>
                      <w:rFonts w:hint="eastAsia"/>
                      <w:color w:val="auto"/>
                      <w:sz w:val="21"/>
                      <w:szCs w:val="21"/>
                      <w:lang w:val="en-US" w:eastAsia="zh-CN"/>
                    </w:rPr>
                    <w:t>研发</w:t>
                  </w:r>
                  <w:r>
                    <w:rPr>
                      <w:color w:val="auto"/>
                      <w:sz w:val="21"/>
                      <w:szCs w:val="21"/>
                    </w:rPr>
                    <w:t>过程中产生的一般固体废物（如</w:t>
                  </w:r>
                  <w:r>
                    <w:rPr>
                      <w:rFonts w:hint="eastAsia"/>
                      <w:color w:val="auto"/>
                      <w:sz w:val="21"/>
                      <w:szCs w:val="21"/>
                    </w:rPr>
                    <w:t>未沾染具有危险特性物质的废包装材料</w:t>
                  </w:r>
                  <w:r>
                    <w:rPr>
                      <w:color w:val="auto"/>
                      <w:sz w:val="21"/>
                      <w:szCs w:val="21"/>
                    </w:rPr>
                    <w:t>等）；</w:t>
                  </w:r>
                </w:p>
              </w:tc>
              <w:tc>
                <w:tcPr>
                  <w:tcW w:w="3074" w:type="dxa"/>
                  <w:shd w:val="clear" w:color="auto" w:fill="FFFFFF"/>
                  <w:noWrap w:val="0"/>
                  <w:vAlign w:val="center"/>
                </w:tcPr>
                <w:p>
                  <w:pPr>
                    <w:jc w:val="both"/>
                    <w:rPr>
                      <w:rFonts w:hint="eastAsia" w:eastAsia="宋体"/>
                      <w:b w:val="0"/>
                      <w:bCs w:val="0"/>
                      <w:color w:val="auto"/>
                      <w:szCs w:val="21"/>
                      <w:lang w:val="en-US" w:eastAsia="zh-CN"/>
                    </w:rPr>
                  </w:pPr>
                  <w:r>
                    <w:rPr>
                      <w:rFonts w:hint="eastAsia" w:ascii="Times New Roman" w:hAnsi="Times New Roman" w:eastAsia="宋体" w:cs="Times New Roman"/>
                      <w:color w:val="auto"/>
                      <w:sz w:val="21"/>
                      <w:szCs w:val="21"/>
                      <w:lang w:val="en-US" w:eastAsia="zh-CN"/>
                    </w:rPr>
                    <w:t>四川翔丰华新能源材料有限公司现</w:t>
                  </w:r>
                  <w:r>
                    <w:rPr>
                      <w:rFonts w:hint="eastAsia" w:ascii="Times New Roman" w:hAnsi="Times New Roman" w:eastAsia="宋体"/>
                      <w:color w:val="auto"/>
                      <w:sz w:val="21"/>
                      <w:szCs w:val="21"/>
                    </w:rPr>
                    <w:t>已使用</w:t>
                  </w:r>
                  <w:r>
                    <w:rPr>
                      <w:rFonts w:hint="eastAsia" w:ascii="Times New Roman" w:hAnsi="Times New Roman" w:eastAsia="宋体" w:cs="Times New Roman"/>
                      <w:color w:val="auto"/>
                      <w:sz w:val="21"/>
                      <w:szCs w:val="21"/>
                      <w:lang w:val="en-US" w:eastAsia="zh-CN"/>
                    </w:rPr>
                    <w:t>一般固废暂存间</w:t>
                  </w:r>
                  <w:r>
                    <w:rPr>
                      <w:rFonts w:hint="eastAsia" w:ascii="Times New Roman" w:hAnsi="Times New Roman" w:eastAsia="宋体"/>
                      <w:color w:val="auto"/>
                      <w:sz w:val="21"/>
                      <w:szCs w:val="21"/>
                      <w:lang w:val="en-US" w:eastAsia="zh-CN"/>
                    </w:rPr>
                    <w:t>约100</w:t>
                  </w:r>
                  <w:r>
                    <w:rPr>
                      <w:rFonts w:hint="eastAsia" w:ascii="Times New Roman" w:hAnsi="Times New Roman" w:eastAsia="宋体"/>
                      <w:color w:val="auto"/>
                      <w:sz w:val="21"/>
                      <w:szCs w:val="21"/>
                    </w:rPr>
                    <w:t>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，本项目</w:t>
                  </w:r>
                  <w:r>
                    <w:rPr>
                      <w:rFonts w:hint="eastAsia" w:ascii="Times New Roman" w:hAnsi="Times New Roman" w:eastAsia="宋体" w:cs="Times New Roman"/>
                      <w:color w:val="auto"/>
                      <w:sz w:val="21"/>
                      <w:szCs w:val="21"/>
                      <w:lang w:val="en-US" w:eastAsia="zh-CN"/>
                    </w:rPr>
                    <w:t>一般固废</w:t>
                  </w:r>
                  <w:r>
                    <w:rPr>
                      <w:rFonts w:hint="eastAsia" w:ascii="Times New Roman" w:hAnsi="Times New Roman" w:eastAsia="宋体"/>
                      <w:color w:val="auto"/>
                      <w:sz w:val="21"/>
                      <w:szCs w:val="21"/>
                      <w:lang w:val="en-US" w:eastAsia="zh-CN"/>
                    </w:rPr>
                    <w:t>储存</w:t>
                  </w:r>
                  <w:r>
                    <w:rPr>
                      <w:rFonts w:hint="eastAsia" w:ascii="Times New Roman" w:hAnsi="Times New Roman" w:eastAsia="宋体"/>
                      <w:color w:val="auto"/>
                      <w:sz w:val="21"/>
                      <w:szCs w:val="21"/>
                    </w:rPr>
                    <w:t>大概需要</w:t>
                  </w:r>
                  <w:r>
                    <w:rPr>
                      <w:rFonts w:hint="eastAsia" w:ascii="Times New Roman" w:hAnsi="Times New Roman" w:eastAsia="宋体"/>
                      <w:color w:val="auto"/>
                      <w:sz w:val="21"/>
                      <w:szCs w:val="21"/>
                      <w:lang w:val="en-US" w:eastAsia="zh-CN"/>
                    </w:rPr>
                    <w:t>7</w:t>
                  </w:r>
                  <w:r>
                    <w:rPr>
                      <w:rFonts w:hint="eastAsia" w:ascii="Times New Roman" w:hAnsi="Times New Roman" w:eastAsia="宋体"/>
                      <w:color w:val="auto"/>
                      <w:sz w:val="21"/>
                      <w:szCs w:val="21"/>
                    </w:rPr>
                    <w:t>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Cs w:val="21"/>
                      <w:lang w:val="en-US" w:eastAsia="zh-CN"/>
                    </w:rPr>
                    <w:t>左右，</w:t>
                  </w:r>
                  <w:r>
                    <w:rPr>
                      <w:rFonts w:ascii="Times New Roman" w:hAnsi="Times New Roman"/>
                      <w:color w:val="auto"/>
                      <w:szCs w:val="21"/>
                    </w:rPr>
                    <w:t>因此</w:t>
                  </w:r>
                  <w:r>
                    <w:rPr>
                      <w:rFonts w:hint="eastAsia" w:ascii="Times New Roman" w:hAnsi="Times New Roman" w:eastAsia="宋体" w:cs="Times New Roman"/>
                      <w:color w:val="auto"/>
                      <w:sz w:val="21"/>
                      <w:szCs w:val="21"/>
                      <w:lang w:val="en-US" w:eastAsia="zh-CN"/>
                    </w:rPr>
                    <w:t>四川翔丰华新能源材料有限公司</w:t>
                  </w:r>
                  <w:r>
                    <w:rPr>
                      <w:rFonts w:hint="eastAsia" w:ascii="Times New Roman" w:hAnsi="Times New Roman"/>
                      <w:color w:val="auto"/>
                      <w:szCs w:val="21"/>
                    </w:rPr>
                    <w:t>现有</w:t>
                  </w:r>
                  <w:r>
                    <w:rPr>
                      <w:rFonts w:hint="eastAsia" w:ascii="Times New Roman" w:hAnsi="Times New Roman" w:eastAsia="宋体" w:cs="Times New Roman"/>
                      <w:color w:val="auto"/>
                      <w:sz w:val="21"/>
                      <w:szCs w:val="21"/>
                      <w:lang w:val="en-US" w:eastAsia="zh-CN"/>
                    </w:rPr>
                    <w:t>一般固废暂存间</w:t>
                  </w:r>
                  <w:r>
                    <w:rPr>
                      <w:rFonts w:ascii="Times New Roman" w:hAnsi="Times New Roman"/>
                      <w:color w:val="auto"/>
                      <w:szCs w:val="21"/>
                    </w:rPr>
                    <w:t>能满足本项目使用需求</w:t>
                  </w:r>
                  <w:r>
                    <w:rPr>
                      <w:rFonts w:hint="eastAsia" w:ascii="Times New Roman" w:hAnsi="Times New Roman"/>
                      <w:color w:val="auto"/>
                      <w:szCs w:val="21"/>
                      <w:lang w:eastAsia="zh-CN"/>
                    </w:rPr>
                    <w:t>（</w:t>
                  </w:r>
                  <w:r>
                    <w:rPr>
                      <w:rFonts w:hint="eastAsia" w:cs="Calibri"/>
                      <w:color w:val="auto"/>
                      <w:szCs w:val="21"/>
                    </w:rPr>
                    <w:t>责任主体为</w:t>
                  </w:r>
                  <w:r>
                    <w:rPr>
                      <w:rFonts w:hint="eastAsia" w:ascii="Times New Roman" w:hAnsi="Times New Roman" w:eastAsia="宋体" w:cs="Calibri"/>
                      <w:color w:val="auto"/>
                      <w:szCs w:val="21"/>
                      <w:lang w:val="en-US" w:eastAsia="zh-CN"/>
                    </w:rPr>
                    <w:t>四川翔展振华新材料科技有限公司</w:t>
                  </w:r>
                  <w:r>
                    <w:rPr>
                      <w:rFonts w:hint="eastAsia" w:ascii="Times New Roman" w:hAnsi="Times New Roman" w:eastAsia="宋体" w:cs="Calibri"/>
                      <w:color w:val="auto"/>
                      <w:szCs w:val="21"/>
                      <w:lang w:eastAsia="zh-CN"/>
                    </w:rPr>
                    <w:t>）</w:t>
                  </w:r>
                  <w:r>
                    <w:rPr>
                      <w:rFonts w:hint="eastAsia" w:ascii="Times New Roman" w:hAnsi="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97" w:hRule="atLeast"/>
                <w:jc w:val="center"/>
              </w:trPr>
              <w:tc>
                <w:tcPr>
                  <w:tcW w:w="647" w:type="dxa"/>
                  <w:vMerge w:val="continue"/>
                  <w:shd w:val="clear" w:color="auto" w:fill="FFFFFF"/>
                  <w:noWrap w:val="0"/>
                  <w:vAlign w:val="center"/>
                </w:tcPr>
                <w:p>
                  <w:pPr>
                    <w:jc w:val="center"/>
                    <w:rPr>
                      <w:rFonts w:hint="eastAsia"/>
                      <w:b w:val="0"/>
                      <w:bCs w:val="0"/>
                      <w:color w:val="auto"/>
                      <w:sz w:val="21"/>
                      <w:szCs w:val="21"/>
                      <w:lang w:val="en-US" w:eastAsia="zh-CN"/>
                    </w:rPr>
                  </w:pPr>
                </w:p>
              </w:tc>
              <w:tc>
                <w:tcPr>
                  <w:tcW w:w="1080" w:type="dxa"/>
                  <w:shd w:val="clear" w:color="auto" w:fill="FFFFFF"/>
                  <w:noWrap w:val="0"/>
                  <w:vAlign w:val="center"/>
                </w:tcPr>
                <w:p>
                  <w:pPr>
                    <w:jc w:val="center"/>
                    <w:rPr>
                      <w:rFonts w:hint="eastAsia" w:eastAsia="宋体"/>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危废暂存间</w:t>
                  </w:r>
                </w:p>
              </w:tc>
              <w:tc>
                <w:tcPr>
                  <w:tcW w:w="3150" w:type="dxa"/>
                  <w:shd w:val="clear" w:color="auto" w:fill="FFFFFF"/>
                  <w:noWrap w:val="0"/>
                  <w:vAlign w:val="center"/>
                </w:tcPr>
                <w:p>
                  <w:pPr>
                    <w:widowControl/>
                    <w:jc w:val="center"/>
                    <w:rPr>
                      <w:rFonts w:hint="eastAsia"/>
                      <w:b w:val="0"/>
                      <w:bCs w:val="0"/>
                      <w:color w:val="auto"/>
                      <w:kern w:val="0"/>
                      <w:sz w:val="21"/>
                      <w:szCs w:val="21"/>
                      <w:lang w:val="en-US" w:eastAsia="zh-CN" w:bidi="ar"/>
                    </w:rPr>
                  </w:pPr>
                  <w:r>
                    <w:rPr>
                      <w:rFonts w:hint="eastAsia"/>
                      <w:color w:val="auto"/>
                      <w:kern w:val="0"/>
                      <w:sz w:val="21"/>
                      <w:szCs w:val="21"/>
                      <w:lang w:val="en-US" w:eastAsia="zh-CN" w:bidi="ar"/>
                    </w:rPr>
                    <w:t>依托</w:t>
                  </w:r>
                  <w:r>
                    <w:rPr>
                      <w:rFonts w:hint="eastAsia" w:ascii="Times New Roman" w:hAnsi="Times New Roman" w:eastAsia="宋体" w:cs="Times New Roman"/>
                      <w:color w:val="auto"/>
                      <w:sz w:val="21"/>
                      <w:szCs w:val="21"/>
                      <w:lang w:val="en-US" w:eastAsia="zh-CN"/>
                    </w:rPr>
                    <w:t>四川翔丰华新能源材料有限公司已建危废暂存间，</w:t>
                  </w:r>
                  <w:r>
                    <w:rPr>
                      <w:color w:val="auto"/>
                      <w:kern w:val="0"/>
                      <w:sz w:val="21"/>
                      <w:szCs w:val="21"/>
                      <w:lang w:bidi="ar"/>
                    </w:rPr>
                    <w:t>位于</w:t>
                  </w:r>
                  <w:r>
                    <w:rPr>
                      <w:rFonts w:hint="eastAsia" w:ascii="Times New Roman" w:hAnsi="Times New Roman" w:eastAsia="宋体" w:cs="Times New Roman"/>
                      <w:color w:val="auto"/>
                      <w:sz w:val="21"/>
                      <w:szCs w:val="21"/>
                      <w:lang w:val="en-US" w:eastAsia="zh-CN"/>
                    </w:rPr>
                    <w:t>四川翔丰华新能源材料有限公司厂区西北侧</w:t>
                  </w:r>
                  <w:r>
                    <w:rPr>
                      <w:rFonts w:hint="eastAsia" w:ascii="Times New Roman" w:hAnsi="Times New Roman" w:eastAsia="宋体" w:cs="Times New Roman"/>
                      <w:color w:val="auto"/>
                      <w:kern w:val="0"/>
                      <w:sz w:val="21"/>
                      <w:szCs w:val="21"/>
                      <w:lang w:val="en-US" w:eastAsia="zh-CN" w:bidi="ar"/>
                    </w:rPr>
                    <w:t>，</w:t>
                  </w:r>
                  <w:r>
                    <w:rPr>
                      <w:rFonts w:hint="eastAsia"/>
                      <w:color w:val="auto"/>
                      <w:sz w:val="21"/>
                      <w:szCs w:val="21"/>
                      <w:lang w:val="en-US" w:eastAsia="zh-CN"/>
                    </w:rPr>
                    <w:t>建筑面积约为324</w:t>
                  </w:r>
                  <w:r>
                    <w:rPr>
                      <w:color w:val="auto"/>
                      <w:sz w:val="21"/>
                      <w:szCs w:val="21"/>
                    </w:rPr>
                    <w:t>m</w:t>
                  </w:r>
                  <w:r>
                    <w:rPr>
                      <w:color w:val="auto"/>
                      <w:sz w:val="21"/>
                      <w:szCs w:val="21"/>
                      <w:vertAlign w:val="superscript"/>
                    </w:rPr>
                    <w:t>2</w:t>
                  </w:r>
                  <w:r>
                    <w:rPr>
                      <w:rFonts w:hint="eastAsia"/>
                      <w:color w:val="auto"/>
                      <w:sz w:val="21"/>
                      <w:szCs w:val="21"/>
                      <w:vertAlign w:val="baseline"/>
                      <w:lang w:eastAsia="zh-CN"/>
                    </w:rPr>
                    <w:t>，</w:t>
                  </w:r>
                  <w:r>
                    <w:rPr>
                      <w:rFonts w:hint="eastAsia"/>
                      <w:color w:val="auto"/>
                      <w:sz w:val="21"/>
                      <w:szCs w:val="21"/>
                      <w:vertAlign w:val="baseline"/>
                      <w:lang w:val="en-US" w:eastAsia="zh-CN"/>
                    </w:rPr>
                    <w:t>用于储存危险废物（如废机油等）；</w:t>
                  </w:r>
                </w:p>
              </w:tc>
              <w:tc>
                <w:tcPr>
                  <w:tcW w:w="3074" w:type="dxa"/>
                  <w:shd w:val="clear" w:color="auto" w:fill="FFFFFF"/>
                  <w:noWrap w:val="0"/>
                  <w:vAlign w:val="center"/>
                </w:tcPr>
                <w:p>
                  <w:pPr>
                    <w:jc w:val="both"/>
                    <w:rPr>
                      <w:rFonts w:hint="eastAsia" w:eastAsia="宋体"/>
                      <w:b w:val="0"/>
                      <w:bCs w:val="0"/>
                      <w:color w:val="auto"/>
                      <w:kern w:val="0"/>
                      <w:sz w:val="21"/>
                      <w:szCs w:val="21"/>
                      <w:lang w:val="en-US" w:eastAsia="zh-CN" w:bidi="ar"/>
                    </w:rPr>
                  </w:pPr>
                  <w:r>
                    <w:rPr>
                      <w:rFonts w:hint="eastAsia" w:ascii="Times New Roman" w:hAnsi="Times New Roman" w:eastAsia="宋体" w:cs="Times New Roman"/>
                      <w:color w:val="auto"/>
                      <w:sz w:val="21"/>
                      <w:szCs w:val="21"/>
                      <w:lang w:val="en-US" w:eastAsia="zh-CN"/>
                    </w:rPr>
                    <w:t>四川翔丰华新能源材料有限公司现</w:t>
                  </w:r>
                  <w:r>
                    <w:rPr>
                      <w:rFonts w:hint="eastAsia" w:ascii="Times New Roman" w:hAnsi="Times New Roman" w:eastAsia="宋体"/>
                      <w:color w:val="auto"/>
                      <w:sz w:val="21"/>
                      <w:szCs w:val="21"/>
                    </w:rPr>
                    <w:t>已使用</w:t>
                  </w:r>
                  <w:r>
                    <w:rPr>
                      <w:rFonts w:hint="eastAsia" w:ascii="Times New Roman" w:hAnsi="Times New Roman" w:eastAsia="宋体" w:cs="Times New Roman"/>
                      <w:color w:val="auto"/>
                      <w:sz w:val="21"/>
                      <w:szCs w:val="21"/>
                      <w:lang w:val="en-US" w:eastAsia="zh-CN"/>
                    </w:rPr>
                    <w:t>危废暂存间</w:t>
                  </w:r>
                  <w:r>
                    <w:rPr>
                      <w:rFonts w:hint="eastAsia" w:ascii="Times New Roman" w:hAnsi="Times New Roman" w:eastAsia="宋体"/>
                      <w:color w:val="auto"/>
                      <w:sz w:val="21"/>
                      <w:szCs w:val="21"/>
                      <w:lang w:val="en-US" w:eastAsia="zh-CN"/>
                    </w:rPr>
                    <w:t>约76</w:t>
                  </w:r>
                  <w:r>
                    <w:rPr>
                      <w:rFonts w:hint="eastAsia" w:ascii="Times New Roman" w:hAnsi="Times New Roman" w:eastAsia="宋体"/>
                      <w:color w:val="auto"/>
                      <w:sz w:val="21"/>
                      <w:szCs w:val="21"/>
                    </w:rPr>
                    <w:t>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 w:val="21"/>
                      <w:szCs w:val="21"/>
                    </w:rPr>
                    <w:t>，本项目</w:t>
                  </w:r>
                  <w:r>
                    <w:rPr>
                      <w:rFonts w:hint="eastAsia" w:ascii="Times New Roman" w:hAnsi="Times New Roman" w:eastAsia="宋体"/>
                      <w:color w:val="auto"/>
                      <w:sz w:val="21"/>
                      <w:szCs w:val="21"/>
                      <w:lang w:val="en-US" w:eastAsia="zh-CN"/>
                    </w:rPr>
                    <w:t>危废储存</w:t>
                  </w:r>
                  <w:r>
                    <w:rPr>
                      <w:rFonts w:hint="eastAsia" w:ascii="Times New Roman" w:hAnsi="Times New Roman" w:eastAsia="宋体"/>
                      <w:color w:val="auto"/>
                      <w:sz w:val="21"/>
                      <w:szCs w:val="21"/>
                    </w:rPr>
                    <w:t>大概需要</w:t>
                  </w:r>
                  <w:r>
                    <w:rPr>
                      <w:rFonts w:hint="eastAsia" w:ascii="Times New Roman" w:hAnsi="Times New Roman" w:eastAsia="宋体"/>
                      <w:color w:val="auto"/>
                      <w:sz w:val="21"/>
                      <w:szCs w:val="21"/>
                      <w:lang w:val="en-US" w:eastAsia="zh-CN"/>
                    </w:rPr>
                    <w:t>8</w:t>
                  </w:r>
                  <w:r>
                    <w:rPr>
                      <w:rFonts w:hint="eastAsia" w:ascii="Times New Roman" w:hAnsi="Times New Roman" w:eastAsia="宋体"/>
                      <w:color w:val="auto"/>
                      <w:sz w:val="21"/>
                      <w:szCs w:val="21"/>
                    </w:rPr>
                    <w:t>m</w:t>
                  </w:r>
                  <w:r>
                    <w:rPr>
                      <w:rFonts w:hint="eastAsia" w:ascii="Times New Roman" w:hAnsi="Times New Roman" w:eastAsia="宋体"/>
                      <w:color w:val="auto"/>
                      <w:sz w:val="21"/>
                      <w:szCs w:val="21"/>
                      <w:vertAlign w:val="superscript"/>
                    </w:rPr>
                    <w:t>2</w:t>
                  </w:r>
                  <w:r>
                    <w:rPr>
                      <w:rFonts w:hint="eastAsia" w:ascii="Times New Roman" w:hAnsi="Times New Roman" w:eastAsia="宋体"/>
                      <w:color w:val="auto"/>
                      <w:szCs w:val="21"/>
                      <w:lang w:val="en-US" w:eastAsia="zh-CN"/>
                    </w:rPr>
                    <w:t>，</w:t>
                  </w:r>
                  <w:r>
                    <w:rPr>
                      <w:rFonts w:hint="eastAsia" w:ascii="Times New Roman" w:hAnsi="Times New Roman" w:eastAsia="宋体"/>
                      <w:color w:val="auto"/>
                      <w:sz w:val="21"/>
                      <w:szCs w:val="21"/>
                      <w:lang w:val="en-US" w:eastAsia="zh-CN"/>
                    </w:rPr>
                    <w:t>危废约半年转运一次，不需增加转运频次，</w:t>
                  </w:r>
                  <w:r>
                    <w:rPr>
                      <w:rFonts w:ascii="Times New Roman" w:hAnsi="Times New Roman"/>
                      <w:color w:val="auto"/>
                      <w:szCs w:val="21"/>
                    </w:rPr>
                    <w:t>因此</w:t>
                  </w:r>
                  <w:r>
                    <w:rPr>
                      <w:rFonts w:hint="eastAsia" w:ascii="Times New Roman" w:hAnsi="Times New Roman" w:eastAsia="宋体" w:cs="Times New Roman"/>
                      <w:color w:val="auto"/>
                      <w:sz w:val="21"/>
                      <w:szCs w:val="21"/>
                      <w:lang w:val="en-US" w:eastAsia="zh-CN"/>
                    </w:rPr>
                    <w:t>四川翔丰华新能源材料有限公司</w:t>
                  </w:r>
                  <w:r>
                    <w:rPr>
                      <w:rFonts w:hint="eastAsia" w:ascii="Times New Roman" w:hAnsi="Times New Roman"/>
                      <w:color w:val="auto"/>
                      <w:szCs w:val="21"/>
                    </w:rPr>
                    <w:t>现有</w:t>
                  </w:r>
                  <w:r>
                    <w:rPr>
                      <w:rFonts w:hint="eastAsia" w:ascii="Times New Roman" w:hAnsi="Times New Roman" w:eastAsia="宋体" w:cs="Times New Roman"/>
                      <w:color w:val="auto"/>
                      <w:sz w:val="21"/>
                      <w:szCs w:val="21"/>
                      <w:lang w:val="en-US" w:eastAsia="zh-CN"/>
                    </w:rPr>
                    <w:t>危废暂存间</w:t>
                  </w:r>
                  <w:r>
                    <w:rPr>
                      <w:rFonts w:ascii="Times New Roman" w:hAnsi="Times New Roman"/>
                      <w:color w:val="auto"/>
                      <w:szCs w:val="21"/>
                    </w:rPr>
                    <w:t>能满足本项目使用需求</w:t>
                  </w:r>
                  <w:r>
                    <w:rPr>
                      <w:rFonts w:hint="eastAsia" w:ascii="Times New Roman" w:hAnsi="Times New Roman"/>
                      <w:color w:val="auto"/>
                      <w:szCs w:val="21"/>
                      <w:lang w:eastAsia="zh-CN"/>
                    </w:rPr>
                    <w:t>（</w:t>
                  </w:r>
                  <w:r>
                    <w:rPr>
                      <w:rFonts w:hint="eastAsia" w:cs="Calibri"/>
                      <w:color w:val="auto"/>
                      <w:szCs w:val="21"/>
                    </w:rPr>
                    <w:t>责任主体为</w:t>
                  </w:r>
                  <w:r>
                    <w:rPr>
                      <w:rFonts w:hint="eastAsia" w:ascii="Times New Roman" w:hAnsi="Times New Roman" w:eastAsia="宋体" w:cs="Calibri"/>
                      <w:color w:val="auto"/>
                      <w:szCs w:val="21"/>
                      <w:lang w:val="en-US" w:eastAsia="zh-CN"/>
                    </w:rPr>
                    <w:t>四川翔展振华新材料科技有限公司</w:t>
                  </w:r>
                  <w:r>
                    <w:rPr>
                      <w:rFonts w:hint="eastAsia" w:ascii="Times New Roman" w:hAnsi="Times New Roman" w:eastAsia="宋体" w:cs="Calibri"/>
                      <w:color w:val="auto"/>
                      <w:szCs w:val="21"/>
                      <w:lang w:eastAsia="zh-CN"/>
                    </w:rPr>
                    <w:t>）</w:t>
                  </w:r>
                  <w:r>
                    <w:rPr>
                      <w:rFonts w:hint="eastAsia" w:ascii="Times New Roman" w:hAnsi="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97" w:hRule="atLeast"/>
                <w:jc w:val="center"/>
              </w:trPr>
              <w:tc>
                <w:tcPr>
                  <w:tcW w:w="647" w:type="dxa"/>
                  <w:vMerge w:val="continue"/>
                  <w:shd w:val="clear" w:color="auto" w:fill="FFFFFF"/>
                  <w:noWrap w:val="0"/>
                  <w:vAlign w:val="center"/>
                </w:tcPr>
                <w:p>
                  <w:pPr>
                    <w:jc w:val="center"/>
                    <w:rPr>
                      <w:rFonts w:hint="eastAsia"/>
                      <w:b w:val="0"/>
                      <w:bCs w:val="0"/>
                      <w:color w:val="auto"/>
                      <w:sz w:val="21"/>
                      <w:szCs w:val="21"/>
                      <w:lang w:val="en-US" w:eastAsia="zh-CN"/>
                    </w:rPr>
                  </w:pPr>
                </w:p>
              </w:tc>
              <w:tc>
                <w:tcPr>
                  <w:tcW w:w="1080" w:type="dxa"/>
                  <w:shd w:val="clear" w:color="auto" w:fill="FFFFFF"/>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土壤及地下水</w:t>
                  </w:r>
                </w:p>
              </w:tc>
              <w:tc>
                <w:tcPr>
                  <w:tcW w:w="3150" w:type="dxa"/>
                  <w:shd w:val="clear" w:color="auto" w:fill="FFFFFF"/>
                  <w:noWrap w:val="0"/>
                  <w:vAlign w:val="center"/>
                </w:tcPr>
                <w:p>
                  <w:pPr>
                    <w:widowControl/>
                    <w:jc w:val="both"/>
                    <w:rPr>
                      <w:color w:val="auto"/>
                      <w:sz w:val="21"/>
                      <w:szCs w:val="21"/>
                    </w:rPr>
                  </w:pPr>
                  <w:r>
                    <w:rPr>
                      <w:color w:val="auto"/>
                      <w:sz w:val="21"/>
                      <w:szCs w:val="21"/>
                    </w:rPr>
                    <w:t>重点防渗区：</w:t>
                  </w:r>
                  <w:r>
                    <w:rPr>
                      <w:rFonts w:hint="eastAsia"/>
                      <w:color w:val="auto"/>
                      <w:sz w:val="21"/>
                      <w:szCs w:val="21"/>
                      <w:lang w:val="en-US" w:eastAsia="zh-CN"/>
                    </w:rPr>
                    <w:t>依托的</w:t>
                  </w:r>
                  <w:r>
                    <w:rPr>
                      <w:color w:val="auto"/>
                      <w:sz w:val="21"/>
                      <w:szCs w:val="21"/>
                    </w:rPr>
                    <w:t>危废暂存间</w:t>
                  </w:r>
                  <w:r>
                    <w:rPr>
                      <w:rFonts w:hint="eastAsia"/>
                      <w:color w:val="auto"/>
                      <w:sz w:val="21"/>
                      <w:szCs w:val="21"/>
                      <w:lang w:eastAsia="zh-CN"/>
                    </w:rPr>
                    <w:t>（</w:t>
                  </w:r>
                  <w:r>
                    <w:rPr>
                      <w:rFonts w:hint="eastAsia"/>
                      <w:color w:val="auto"/>
                      <w:sz w:val="21"/>
                      <w:szCs w:val="21"/>
                      <w:lang w:val="en-US" w:eastAsia="zh-CN"/>
                    </w:rPr>
                    <w:t>324</w:t>
                  </w:r>
                  <w:r>
                    <w:rPr>
                      <w:color w:val="auto"/>
                      <w:sz w:val="21"/>
                      <w:szCs w:val="21"/>
                    </w:rPr>
                    <w:t>m</w:t>
                  </w:r>
                  <w:r>
                    <w:rPr>
                      <w:color w:val="auto"/>
                      <w:sz w:val="21"/>
                      <w:szCs w:val="21"/>
                      <w:vertAlign w:val="superscript"/>
                    </w:rPr>
                    <w:t>2</w:t>
                  </w:r>
                  <w:r>
                    <w:rPr>
                      <w:rFonts w:hint="eastAsia"/>
                      <w:color w:val="auto"/>
                      <w:sz w:val="21"/>
                      <w:szCs w:val="21"/>
                      <w:lang w:eastAsia="zh-CN"/>
                    </w:rPr>
                    <w:t>）</w:t>
                  </w:r>
                  <w:r>
                    <w:rPr>
                      <w:color w:val="auto"/>
                      <w:sz w:val="21"/>
                      <w:szCs w:val="21"/>
                    </w:rPr>
                    <w:t>、</w:t>
                  </w:r>
                  <w:r>
                    <w:rPr>
                      <w:rFonts w:hint="eastAsia"/>
                      <w:color w:val="auto"/>
                      <w:sz w:val="21"/>
                      <w:szCs w:val="21"/>
                      <w:lang w:val="en-US" w:eastAsia="zh-CN"/>
                    </w:rPr>
                    <w:t>事故应急池（兼初期雨水收集池（700m</w:t>
                  </w:r>
                  <w:r>
                    <w:rPr>
                      <w:rFonts w:hint="eastAsia"/>
                      <w:color w:val="auto"/>
                      <w:sz w:val="21"/>
                      <w:szCs w:val="21"/>
                      <w:vertAlign w:val="superscript"/>
                      <w:lang w:val="en-US" w:eastAsia="zh-CN"/>
                    </w:rPr>
                    <w:t>3</w:t>
                  </w:r>
                  <w:r>
                    <w:rPr>
                      <w:rFonts w:hint="eastAsia"/>
                      <w:color w:val="auto"/>
                      <w:sz w:val="21"/>
                      <w:szCs w:val="21"/>
                      <w:lang w:val="en-US" w:eastAsia="zh-CN"/>
                    </w:rPr>
                    <w:t>））、消防水池（800m</w:t>
                  </w:r>
                  <w:r>
                    <w:rPr>
                      <w:rFonts w:hint="eastAsia"/>
                      <w:color w:val="auto"/>
                      <w:sz w:val="21"/>
                      <w:szCs w:val="21"/>
                      <w:vertAlign w:val="superscript"/>
                      <w:lang w:val="en-US" w:eastAsia="zh-CN"/>
                    </w:rPr>
                    <w:t>3</w:t>
                  </w:r>
                  <w:r>
                    <w:rPr>
                      <w:rFonts w:hint="eastAsia"/>
                      <w:color w:val="auto"/>
                      <w:sz w:val="21"/>
                      <w:szCs w:val="21"/>
                      <w:lang w:val="en-US" w:eastAsia="zh-CN"/>
                    </w:rPr>
                    <w:t>）</w:t>
                  </w:r>
                  <w:r>
                    <w:rPr>
                      <w:color w:val="auto"/>
                      <w:sz w:val="21"/>
                      <w:szCs w:val="21"/>
                    </w:rPr>
                    <w:t>；</w:t>
                  </w:r>
                </w:p>
                <w:p>
                  <w:pPr>
                    <w:widowControl/>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一般防渗区：研发车间、依托的原料库房、研发品暂存间、一般固废暂存间、预处理池；</w:t>
                  </w:r>
                </w:p>
                <w:p>
                  <w:pPr>
                    <w:widowControl/>
                    <w:jc w:val="both"/>
                    <w:rPr>
                      <w:rFonts w:hint="default" w:eastAsia="宋体"/>
                      <w:color w:val="auto"/>
                      <w:kern w:val="0"/>
                      <w:sz w:val="21"/>
                      <w:szCs w:val="21"/>
                      <w:lang w:val="en-US" w:eastAsia="zh-CN" w:bidi="ar"/>
                    </w:rPr>
                  </w:pPr>
                  <w:r>
                    <w:rPr>
                      <w:rFonts w:hint="eastAsia" w:ascii="Times New Roman" w:hAnsi="Times New Roman" w:eastAsia="宋体" w:cs="Times New Roman"/>
                      <w:b w:val="0"/>
                      <w:bCs w:val="0"/>
                      <w:color w:val="auto"/>
                      <w:kern w:val="2"/>
                      <w:sz w:val="21"/>
                      <w:szCs w:val="21"/>
                      <w:lang w:val="en-US" w:eastAsia="zh-CN" w:bidi="ar-SA"/>
                    </w:rPr>
                    <w:t>简单防渗区：</w:t>
                  </w:r>
                  <w:r>
                    <w:rPr>
                      <w:rFonts w:hint="default" w:ascii="Times New Roman" w:hAnsi="Times New Roman" w:eastAsia="宋体" w:cs="Times New Roman"/>
                      <w:b w:val="0"/>
                      <w:bCs w:val="0"/>
                      <w:color w:val="auto"/>
                      <w:kern w:val="2"/>
                      <w:sz w:val="21"/>
                      <w:szCs w:val="21"/>
                      <w:lang w:val="en-US" w:eastAsia="zh-CN" w:bidi="ar-SA"/>
                    </w:rPr>
                    <w:t>厂区内道路等</w:t>
                  </w:r>
                  <w:r>
                    <w:rPr>
                      <w:rFonts w:hint="eastAsia" w:ascii="Times New Roman" w:hAnsi="Times New Roman" w:eastAsia="宋体" w:cs="Times New Roman"/>
                      <w:b w:val="0"/>
                      <w:bCs w:val="0"/>
                      <w:color w:val="auto"/>
                      <w:kern w:val="2"/>
                      <w:sz w:val="21"/>
                      <w:szCs w:val="21"/>
                      <w:lang w:val="en-US" w:eastAsia="zh-CN" w:bidi="ar-SA"/>
                    </w:rPr>
                    <w:t>。</w:t>
                  </w:r>
                </w:p>
              </w:tc>
              <w:tc>
                <w:tcPr>
                  <w:tcW w:w="3074" w:type="dxa"/>
                  <w:shd w:val="clear" w:color="auto" w:fill="FFFFFF"/>
                  <w:noWrap w:val="0"/>
                  <w:vAlign w:val="center"/>
                </w:tcPr>
                <w:p>
                  <w:pPr>
                    <w:jc w:val="both"/>
                    <w:rPr>
                      <w:rFonts w:hint="eastAsia" w:ascii="Times New Roman" w:hAnsi="Times New Roman" w:eastAsia="宋体" w:cs="Times New Roman"/>
                      <w:color w:val="auto"/>
                      <w:sz w:val="21"/>
                      <w:szCs w:val="21"/>
                      <w:lang w:val="en-US" w:eastAsia="zh-CN"/>
                    </w:rPr>
                  </w:pPr>
                  <w:r>
                    <w:rPr>
                      <w:bCs/>
                      <w:color w:val="auto"/>
                      <w:szCs w:val="21"/>
                    </w:rPr>
                    <w:t>危废暂存间</w:t>
                  </w:r>
                  <w:r>
                    <w:rPr>
                      <w:rFonts w:hint="eastAsia"/>
                      <w:bCs/>
                      <w:color w:val="auto"/>
                      <w:szCs w:val="21"/>
                      <w:lang w:val="en-US" w:eastAsia="zh-CN"/>
                    </w:rPr>
                    <w:t>已采取“</w:t>
                  </w:r>
                  <w:r>
                    <w:rPr>
                      <w:color w:val="auto"/>
                      <w:kern w:val="0"/>
                      <w:szCs w:val="21"/>
                    </w:rPr>
                    <w:t>防渗混凝土+2mm厚的</w:t>
                  </w:r>
                  <w:r>
                    <w:rPr>
                      <w:color w:val="auto"/>
                      <w:kern w:val="0"/>
                      <w:szCs w:val="21"/>
                      <w:lang w:bidi="ar"/>
                    </w:rPr>
                    <w:t>HDPE 膜</w:t>
                  </w:r>
                  <w:r>
                    <w:rPr>
                      <w:rFonts w:hint="eastAsia"/>
                      <w:bCs/>
                      <w:color w:val="auto"/>
                      <w:szCs w:val="21"/>
                      <w:lang w:val="en-US" w:eastAsia="zh-CN"/>
                    </w:rPr>
                    <w:t>”，</w:t>
                  </w:r>
                  <w:r>
                    <w:rPr>
                      <w:color w:val="auto"/>
                      <w:szCs w:val="21"/>
                    </w:rPr>
                    <w:t>液态危废采用密闭容器存储，底部设置不锈钢防渗托盘，设置备用空桶，防止液体流失</w:t>
                  </w:r>
                  <w:r>
                    <w:rPr>
                      <w:rFonts w:hint="eastAsia"/>
                      <w:color w:val="auto"/>
                      <w:szCs w:val="21"/>
                      <w:lang w:eastAsia="zh-CN"/>
                    </w:rPr>
                    <w:t>，</w:t>
                  </w:r>
                  <w:r>
                    <w:rPr>
                      <w:rFonts w:hint="eastAsia"/>
                      <w:color w:val="auto"/>
                      <w:szCs w:val="21"/>
                      <w:lang w:val="en-US" w:eastAsia="zh-CN"/>
                    </w:rPr>
                    <w:t>满足</w:t>
                  </w:r>
                  <w:r>
                    <w:rPr>
                      <w:color w:val="auto"/>
                      <w:szCs w:val="21"/>
                    </w:rPr>
                    <w:t>防渗层渗透系数K≤1×10</w:t>
                  </w:r>
                  <w:r>
                    <w:rPr>
                      <w:color w:val="auto"/>
                      <w:szCs w:val="21"/>
                      <w:vertAlign w:val="superscript"/>
                    </w:rPr>
                    <w:t>-10</w:t>
                  </w:r>
                  <w:r>
                    <w:rPr>
                      <w:color w:val="auto"/>
                      <w:szCs w:val="21"/>
                    </w:rPr>
                    <w:t>cm/s</w:t>
                  </w:r>
                  <w:r>
                    <w:rPr>
                      <w:rFonts w:hint="eastAsia"/>
                      <w:color w:val="auto"/>
                      <w:szCs w:val="21"/>
                      <w:lang w:eastAsia="zh-CN"/>
                    </w:rPr>
                    <w:t>；</w:t>
                  </w:r>
                  <w:r>
                    <w:rPr>
                      <w:color w:val="auto"/>
                      <w:szCs w:val="21"/>
                    </w:rPr>
                    <w:t>事故应急池</w:t>
                  </w:r>
                  <w:r>
                    <w:rPr>
                      <w:rFonts w:hint="eastAsia"/>
                      <w:color w:val="auto"/>
                      <w:szCs w:val="21"/>
                      <w:lang w:eastAsia="zh-CN"/>
                    </w:rPr>
                    <w:t>（</w:t>
                  </w:r>
                  <w:r>
                    <w:rPr>
                      <w:rFonts w:hint="eastAsia"/>
                      <w:color w:val="auto"/>
                      <w:szCs w:val="21"/>
                      <w:lang w:val="en-US" w:eastAsia="zh-CN"/>
                    </w:rPr>
                    <w:t>兼</w:t>
                  </w:r>
                  <w:r>
                    <w:rPr>
                      <w:color w:val="auto"/>
                      <w:szCs w:val="21"/>
                    </w:rPr>
                    <w:t>初期雨水收集池</w:t>
                  </w:r>
                  <w:r>
                    <w:rPr>
                      <w:rFonts w:hint="eastAsia"/>
                      <w:color w:val="auto"/>
                      <w:szCs w:val="21"/>
                      <w:lang w:eastAsia="zh-CN"/>
                    </w:rPr>
                    <w:t>）、</w:t>
                  </w:r>
                  <w:r>
                    <w:rPr>
                      <w:rFonts w:hint="eastAsia"/>
                      <w:color w:val="auto"/>
                      <w:szCs w:val="21"/>
                      <w:lang w:val="en-US" w:eastAsia="zh-CN"/>
                    </w:rPr>
                    <w:t>消防水池</w:t>
                  </w:r>
                  <w:r>
                    <w:rPr>
                      <w:rFonts w:hint="eastAsia"/>
                      <w:bCs/>
                      <w:color w:val="auto"/>
                      <w:szCs w:val="21"/>
                      <w:lang w:val="en-US" w:eastAsia="zh-CN"/>
                    </w:rPr>
                    <w:t>已采取“</w:t>
                  </w:r>
                  <w:r>
                    <w:rPr>
                      <w:color w:val="auto"/>
                      <w:kern w:val="0"/>
                      <w:szCs w:val="21"/>
                    </w:rPr>
                    <w:t>防渗混凝土+2mm厚的</w:t>
                  </w:r>
                  <w:r>
                    <w:rPr>
                      <w:color w:val="auto"/>
                      <w:kern w:val="0"/>
                      <w:szCs w:val="21"/>
                      <w:lang w:bidi="ar"/>
                    </w:rPr>
                    <w:t>HDPE 膜</w:t>
                  </w:r>
                  <w:r>
                    <w:rPr>
                      <w:rFonts w:hint="eastAsia"/>
                      <w:bCs/>
                      <w:color w:val="auto"/>
                      <w:szCs w:val="21"/>
                      <w:lang w:val="en-US" w:eastAsia="zh-CN"/>
                    </w:rPr>
                    <w:t>”，满足</w:t>
                  </w:r>
                  <w:r>
                    <w:rPr>
                      <w:color w:val="auto"/>
                      <w:szCs w:val="21"/>
                      <w:lang w:bidi="ar"/>
                    </w:rPr>
                    <w:t>防渗要求为</w:t>
                  </w:r>
                  <w:r>
                    <w:rPr>
                      <w:color w:val="auto"/>
                      <w:szCs w:val="21"/>
                    </w:rPr>
                    <w:t>等效黏土防渗层Mb≥6.0m，K≤1×10</w:t>
                  </w:r>
                  <w:r>
                    <w:rPr>
                      <w:color w:val="auto"/>
                      <w:szCs w:val="21"/>
                      <w:vertAlign w:val="superscript"/>
                    </w:rPr>
                    <w:t>-7</w:t>
                  </w:r>
                  <w:r>
                    <w:rPr>
                      <w:color w:val="auto"/>
                      <w:szCs w:val="21"/>
                    </w:rPr>
                    <w:t>cm/s</w:t>
                  </w:r>
                  <w:r>
                    <w:rPr>
                      <w:rFonts w:hint="eastAsia"/>
                      <w:color w:val="auto"/>
                      <w:szCs w:val="21"/>
                      <w:lang w:eastAsia="zh-CN"/>
                    </w:rPr>
                    <w:t>；</w:t>
                  </w:r>
                  <w:r>
                    <w:rPr>
                      <w:color w:val="auto"/>
                      <w:szCs w:val="21"/>
                    </w:rPr>
                    <w:t>预处理池、一般固废暂存间</w:t>
                  </w:r>
                  <w:r>
                    <w:rPr>
                      <w:rFonts w:hint="eastAsia"/>
                      <w:color w:val="auto"/>
                      <w:szCs w:val="21"/>
                      <w:lang w:eastAsia="zh-CN"/>
                    </w:rPr>
                    <w:t>、中试车间</w:t>
                  </w:r>
                  <w:r>
                    <w:rPr>
                      <w:rFonts w:hint="eastAsia"/>
                      <w:color w:val="auto"/>
                      <w:szCs w:val="21"/>
                      <w:lang w:val="en-US" w:eastAsia="zh-CN"/>
                    </w:rPr>
                    <w:t>地面已采取</w:t>
                  </w:r>
                  <w:r>
                    <w:rPr>
                      <w:color w:val="auto"/>
                      <w:kern w:val="0"/>
                      <w:szCs w:val="21"/>
                    </w:rPr>
                    <w:t>防渗混凝土，</w:t>
                  </w:r>
                  <w:r>
                    <w:rPr>
                      <w:rFonts w:hint="eastAsia"/>
                      <w:color w:val="auto"/>
                      <w:kern w:val="0"/>
                      <w:szCs w:val="21"/>
                      <w:lang w:val="en-US" w:eastAsia="zh-CN"/>
                    </w:rPr>
                    <w:t>满足</w:t>
                  </w:r>
                  <w:r>
                    <w:rPr>
                      <w:bCs/>
                      <w:color w:val="auto"/>
                      <w:szCs w:val="21"/>
                    </w:rPr>
                    <w:t>等效黏土防渗层Mb≥1.5m，防渗层渗透系数</w:t>
                  </w:r>
                  <w:r>
                    <w:rPr>
                      <w:color w:val="auto"/>
                      <w:szCs w:val="21"/>
                    </w:rPr>
                    <w:t>K≤1×10</w:t>
                  </w:r>
                  <w:r>
                    <w:rPr>
                      <w:color w:val="auto"/>
                      <w:szCs w:val="21"/>
                      <w:vertAlign w:val="superscript"/>
                    </w:rPr>
                    <w:t>-7</w:t>
                  </w:r>
                  <w:r>
                    <w:rPr>
                      <w:color w:val="auto"/>
                      <w:szCs w:val="21"/>
                    </w:rPr>
                    <w:t>cm/s</w:t>
                  </w:r>
                  <w:r>
                    <w:rPr>
                      <w:rFonts w:hint="eastAsia"/>
                      <w:color w:val="auto"/>
                      <w:szCs w:val="21"/>
                      <w:lang w:eastAsia="zh-CN"/>
                    </w:rPr>
                    <w:t>；</w:t>
                  </w:r>
                  <w:r>
                    <w:rPr>
                      <w:color w:val="auto"/>
                      <w:szCs w:val="21"/>
                    </w:rPr>
                    <w:t>厂区内道路等</w:t>
                  </w:r>
                  <w:r>
                    <w:rPr>
                      <w:rFonts w:hint="eastAsia"/>
                      <w:color w:val="auto"/>
                      <w:szCs w:val="21"/>
                      <w:lang w:val="en-US" w:eastAsia="zh-CN"/>
                    </w:rPr>
                    <w:t>已采取</w:t>
                  </w:r>
                  <w:r>
                    <w:rPr>
                      <w:color w:val="auto"/>
                      <w:szCs w:val="21"/>
                    </w:rPr>
                    <w:t>一般地面硬化</w:t>
                  </w:r>
                  <w:r>
                    <w:rPr>
                      <w:rFonts w:hint="eastAsia"/>
                      <w:color w:val="auto"/>
                      <w:szCs w:val="21"/>
                      <w:lang w:eastAsia="zh-CN"/>
                    </w:rPr>
                    <w:t>。</w:t>
                  </w:r>
                </w:p>
              </w:tc>
            </w:tr>
          </w:tbl>
          <w:p>
            <w:pPr>
              <w:pStyle w:val="11"/>
              <w:tabs>
                <w:tab w:val="left" w:pos="411"/>
              </w:tabs>
              <w:spacing w:before="0" w:after="0" w:line="360" w:lineRule="auto"/>
              <w:ind w:right="0" w:firstLine="482" w:firstLineChars="200"/>
              <w:rPr>
                <w:b/>
                <w:bCs/>
                <w:color w:val="auto"/>
                <w:sz w:val="24"/>
                <w:szCs w:val="24"/>
              </w:rPr>
            </w:pPr>
            <w:r>
              <w:rPr>
                <w:rFonts w:hint="eastAsia"/>
                <w:b/>
                <w:color w:val="auto"/>
                <w:sz w:val="24"/>
                <w:szCs w:val="24"/>
              </w:rPr>
              <w:t>三</w:t>
            </w:r>
            <w:r>
              <w:rPr>
                <w:b/>
                <w:color w:val="auto"/>
                <w:sz w:val="24"/>
                <w:szCs w:val="24"/>
              </w:rPr>
              <w:t>、主要设备</w:t>
            </w:r>
          </w:p>
          <w:p>
            <w:pPr>
              <w:spacing w:line="360" w:lineRule="auto"/>
              <w:ind w:firstLine="480" w:firstLineChars="200"/>
              <w:rPr>
                <w:rFonts w:hint="eastAsia"/>
                <w:color w:val="auto"/>
                <w:sz w:val="24"/>
              </w:rPr>
            </w:pPr>
            <w:r>
              <w:rPr>
                <w:rFonts w:hint="eastAsia" w:ascii="宋体" w:hAnsi="宋体"/>
                <w:b w:val="0"/>
                <w:bCs/>
                <w:color w:val="auto"/>
                <w:sz w:val="24"/>
                <w:szCs w:val="24"/>
              </w:rPr>
              <w:t>根据建设单位提供资料，</w:t>
            </w:r>
            <w:r>
              <w:rPr>
                <w:rFonts w:hint="eastAsia"/>
                <w:color w:val="auto"/>
                <w:sz w:val="24"/>
              </w:rPr>
              <w:t>本项目的主要设备</w:t>
            </w:r>
            <w:r>
              <w:rPr>
                <w:rFonts w:hint="eastAsia"/>
                <w:color w:val="auto"/>
                <w:sz w:val="24"/>
                <w:lang w:val="en-US" w:eastAsia="zh-CN"/>
              </w:rPr>
              <w:t>及数量</w:t>
            </w:r>
            <w:r>
              <w:rPr>
                <w:rFonts w:hint="eastAsia"/>
                <w:color w:val="auto"/>
                <w:sz w:val="24"/>
              </w:rPr>
              <w:t>见下表</w:t>
            </w:r>
            <w:r>
              <w:rPr>
                <w:color w:val="auto"/>
                <w:sz w:val="24"/>
              </w:rPr>
              <w:t>。</w:t>
            </w:r>
          </w:p>
          <w:p>
            <w:pPr>
              <w:spacing w:line="360" w:lineRule="auto"/>
              <w:jc w:val="center"/>
              <w:rPr>
                <w:b/>
                <w:bCs/>
                <w:color w:val="auto"/>
                <w:szCs w:val="21"/>
              </w:rPr>
            </w:pPr>
            <w:r>
              <w:rPr>
                <w:b/>
                <w:bCs/>
                <w:color w:val="auto"/>
                <w:szCs w:val="21"/>
              </w:rPr>
              <w:t>表2-</w:t>
            </w:r>
            <w:r>
              <w:rPr>
                <w:rFonts w:hint="eastAsia"/>
                <w:b/>
                <w:bCs/>
                <w:color w:val="auto"/>
                <w:szCs w:val="21"/>
                <w:lang w:val="en-US" w:eastAsia="zh-CN"/>
              </w:rPr>
              <w:t>7</w:t>
            </w:r>
            <w:r>
              <w:rPr>
                <w:b/>
                <w:bCs/>
                <w:color w:val="auto"/>
                <w:szCs w:val="21"/>
              </w:rPr>
              <w:t xml:space="preserve"> </w:t>
            </w:r>
            <w:r>
              <w:rPr>
                <w:rFonts w:hint="eastAsia"/>
                <w:b/>
                <w:bCs/>
                <w:color w:val="auto"/>
                <w:szCs w:val="21"/>
                <w:lang w:val="en-US" w:eastAsia="zh-CN"/>
              </w:rPr>
              <w:t>本项目</w:t>
            </w:r>
            <w:r>
              <w:rPr>
                <w:b/>
                <w:bCs/>
                <w:color w:val="auto"/>
                <w:szCs w:val="21"/>
              </w:rPr>
              <w:t>主要设备及数量一览表</w:t>
            </w:r>
          </w:p>
          <w:tbl>
            <w:tblPr>
              <w:tblStyle w:val="37"/>
              <w:tblW w:w="7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442"/>
              <w:gridCol w:w="2400"/>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2442" w:type="dxa"/>
                  <w:noWrap w:val="0"/>
                  <w:vAlign w:val="center"/>
                </w:tcPr>
                <w:p>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设备名称</w:t>
                  </w:r>
                </w:p>
              </w:tc>
              <w:tc>
                <w:tcPr>
                  <w:tcW w:w="2400" w:type="dxa"/>
                  <w:noWrap w:val="0"/>
                  <w:vAlign w:val="center"/>
                </w:tcPr>
                <w:p>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规格型号</w:t>
                  </w:r>
                </w:p>
              </w:tc>
              <w:tc>
                <w:tcPr>
                  <w:tcW w:w="2205" w:type="dxa"/>
                  <w:noWrap w:val="0"/>
                  <w:vAlign w:val="center"/>
                </w:tcPr>
                <w:p>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2442"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进料机</w:t>
                  </w:r>
                </w:p>
              </w:tc>
              <w:tc>
                <w:tcPr>
                  <w:tcW w:w="2400"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w:t>
                  </w:r>
                </w:p>
              </w:tc>
              <w:tc>
                <w:tcPr>
                  <w:tcW w:w="2205"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2442"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膨化炉</w:t>
                  </w:r>
                </w:p>
              </w:tc>
              <w:tc>
                <w:tcPr>
                  <w:tcW w:w="2400"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工艺温度900℃</w:t>
                  </w:r>
                </w:p>
              </w:tc>
              <w:tc>
                <w:tcPr>
                  <w:tcW w:w="2205"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2442"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物料分级系统</w:t>
                  </w:r>
                </w:p>
              </w:tc>
              <w:tc>
                <w:tcPr>
                  <w:tcW w:w="2400"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旋风分离器</w:t>
                  </w:r>
                </w:p>
              </w:tc>
              <w:tc>
                <w:tcPr>
                  <w:tcW w:w="2205"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2442" w:type="dxa"/>
                  <w:noWrap w:val="0"/>
                  <w:vAlign w:val="center"/>
                </w:tcPr>
                <w:p>
                  <w:pPr>
                    <w:widowControl/>
                    <w:jc w:val="center"/>
                    <w:rPr>
                      <w:rFonts w:hint="default"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复配（布料）落料系统</w:t>
                  </w:r>
                </w:p>
              </w:tc>
              <w:tc>
                <w:tcPr>
                  <w:tcW w:w="2400"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w:t>
                  </w:r>
                </w:p>
              </w:tc>
              <w:tc>
                <w:tcPr>
                  <w:tcW w:w="2205"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2442" w:type="dxa"/>
                  <w:noWrap w:val="0"/>
                  <w:vAlign w:val="center"/>
                </w:tcPr>
                <w:p>
                  <w:pPr>
                    <w:widowControl/>
                    <w:jc w:val="center"/>
                    <w:rPr>
                      <w:rFonts w:hint="default"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压延系统</w:t>
                  </w:r>
                </w:p>
              </w:tc>
              <w:tc>
                <w:tcPr>
                  <w:tcW w:w="2400"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对辊直径400</w:t>
                  </w:r>
                  <w:r>
                    <w:rPr>
                      <w:rFonts w:hint="eastAsia"/>
                      <w:color w:val="auto"/>
                      <w:kern w:val="0"/>
                      <w:szCs w:val="21"/>
                      <w:lang w:val="en-US" w:eastAsia="zh-CN" w:bidi="ar"/>
                    </w:rPr>
                    <w:t>mm</w:t>
                  </w:r>
                  <w:r>
                    <w:rPr>
                      <w:rFonts w:hint="eastAsia"/>
                      <w:color w:val="auto"/>
                      <w:kern w:val="0"/>
                      <w:szCs w:val="21"/>
                      <w:lang w:bidi="ar"/>
                    </w:rPr>
                    <w:t>，高铬合金</w:t>
                  </w:r>
                </w:p>
              </w:tc>
              <w:tc>
                <w:tcPr>
                  <w:tcW w:w="2205"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2442" w:type="dxa"/>
                  <w:noWrap w:val="0"/>
                  <w:vAlign w:val="center"/>
                </w:tcPr>
                <w:p>
                  <w:pPr>
                    <w:widowControl/>
                    <w:jc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压延系统</w:t>
                  </w:r>
                </w:p>
              </w:tc>
              <w:tc>
                <w:tcPr>
                  <w:tcW w:w="2400" w:type="dxa"/>
                  <w:noWrap w:val="0"/>
                  <w:vAlign w:val="center"/>
                </w:tcPr>
                <w:p>
                  <w:pPr>
                    <w:widowControl/>
                    <w:jc w:val="center"/>
                    <w:rPr>
                      <w:rFonts w:hint="eastAsia"/>
                      <w:color w:val="auto"/>
                      <w:kern w:val="0"/>
                      <w:szCs w:val="21"/>
                      <w:lang w:bidi="ar"/>
                    </w:rPr>
                  </w:pPr>
                  <w:r>
                    <w:rPr>
                      <w:rFonts w:hint="eastAsia"/>
                      <w:color w:val="auto"/>
                      <w:kern w:val="0"/>
                      <w:szCs w:val="21"/>
                      <w:lang w:bidi="ar"/>
                    </w:rPr>
                    <w:t>对辊直径500</w:t>
                  </w:r>
                  <w:r>
                    <w:rPr>
                      <w:rFonts w:hint="eastAsia"/>
                      <w:color w:val="auto"/>
                      <w:kern w:val="0"/>
                      <w:szCs w:val="21"/>
                      <w:lang w:val="en-US" w:eastAsia="zh-CN" w:bidi="ar"/>
                    </w:rPr>
                    <w:t>mm</w:t>
                  </w:r>
                  <w:r>
                    <w:rPr>
                      <w:rFonts w:hint="eastAsia"/>
                      <w:color w:val="auto"/>
                      <w:kern w:val="0"/>
                      <w:szCs w:val="21"/>
                      <w:lang w:bidi="ar"/>
                    </w:rPr>
                    <w:t>，高铬合金</w:t>
                  </w:r>
                </w:p>
              </w:tc>
              <w:tc>
                <w:tcPr>
                  <w:tcW w:w="2205" w:type="dxa"/>
                  <w:noWrap w:val="0"/>
                  <w:vAlign w:val="center"/>
                </w:tcPr>
                <w:p>
                  <w:pPr>
                    <w:widowControl/>
                    <w:jc w:val="center"/>
                    <w:rPr>
                      <w:rFonts w:hint="default"/>
                      <w:color w:val="auto"/>
                      <w:kern w:val="0"/>
                      <w:szCs w:val="21"/>
                      <w:lang w:val="en-US" w:eastAsia="zh-CN" w:bidi="ar"/>
                    </w:rPr>
                  </w:pPr>
                  <w:r>
                    <w:rPr>
                      <w:rFonts w:hint="eastAsia"/>
                      <w:color w:val="auto"/>
                      <w:kern w:val="0"/>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2442" w:type="dxa"/>
                  <w:noWrap w:val="0"/>
                  <w:vAlign w:val="center"/>
                </w:tcPr>
                <w:p>
                  <w:pPr>
                    <w:widowControl/>
                    <w:jc w:val="center"/>
                    <w:rPr>
                      <w:rFonts w:hint="default"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横切机</w:t>
                  </w:r>
                </w:p>
              </w:tc>
              <w:tc>
                <w:tcPr>
                  <w:tcW w:w="2400"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w:t>
                  </w:r>
                </w:p>
              </w:tc>
              <w:tc>
                <w:tcPr>
                  <w:tcW w:w="2205"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w:t>
                  </w:r>
                </w:p>
              </w:tc>
              <w:tc>
                <w:tcPr>
                  <w:tcW w:w="2442" w:type="dxa"/>
                  <w:noWrap w:val="0"/>
                  <w:vAlign w:val="center"/>
                </w:tcPr>
                <w:p>
                  <w:pPr>
                    <w:widowControl/>
                    <w:jc w:val="center"/>
                    <w:rPr>
                      <w:rFonts w:hint="eastAsia"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卷纸机</w:t>
                  </w:r>
                </w:p>
              </w:tc>
              <w:tc>
                <w:tcPr>
                  <w:tcW w:w="2400" w:type="dxa"/>
                  <w:noWrap w:val="0"/>
                  <w:vAlign w:val="center"/>
                </w:tcPr>
                <w:p>
                  <w:pPr>
                    <w:widowControl/>
                    <w:jc w:val="center"/>
                    <w:rPr>
                      <w:rFonts w:hint="eastAsia"/>
                      <w:color w:val="auto"/>
                      <w:kern w:val="0"/>
                      <w:szCs w:val="21"/>
                      <w:lang w:bidi="ar"/>
                    </w:rPr>
                  </w:pPr>
                  <w:r>
                    <w:rPr>
                      <w:rFonts w:hint="eastAsia"/>
                      <w:color w:val="auto"/>
                      <w:kern w:val="0"/>
                      <w:szCs w:val="21"/>
                      <w:lang w:bidi="ar"/>
                    </w:rPr>
                    <w:t>/</w:t>
                  </w:r>
                </w:p>
              </w:tc>
              <w:tc>
                <w:tcPr>
                  <w:tcW w:w="2205" w:type="dxa"/>
                  <w:noWrap w:val="0"/>
                  <w:vAlign w:val="center"/>
                </w:tcPr>
                <w:p>
                  <w:pPr>
                    <w:widowControl/>
                    <w:jc w:val="center"/>
                    <w:rPr>
                      <w:rFonts w:hint="default"/>
                      <w:color w:val="auto"/>
                      <w:kern w:val="0"/>
                      <w:szCs w:val="21"/>
                      <w:lang w:val="en-US" w:eastAsia="zh-CN" w:bidi="ar"/>
                    </w:rPr>
                  </w:pPr>
                  <w:r>
                    <w:rPr>
                      <w:rFonts w:hint="eastAsia"/>
                      <w:color w:val="auto"/>
                      <w:kern w:val="0"/>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w:t>
                  </w:r>
                </w:p>
              </w:tc>
              <w:tc>
                <w:tcPr>
                  <w:tcW w:w="2442"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除磁机</w:t>
                  </w:r>
                </w:p>
              </w:tc>
              <w:tc>
                <w:tcPr>
                  <w:tcW w:w="2400"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w:t>
                  </w:r>
                </w:p>
              </w:tc>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2442"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气流磨</w:t>
                  </w:r>
                </w:p>
              </w:tc>
              <w:tc>
                <w:tcPr>
                  <w:tcW w:w="2400" w:type="dxa"/>
                  <w:noWrap w:val="0"/>
                  <w:vAlign w:val="center"/>
                </w:tcPr>
                <w:p>
                  <w:pPr>
                    <w:widowControl/>
                    <w:jc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w:t>
                  </w:r>
                </w:p>
              </w:tc>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eastAsia"/>
                      <w:color w:val="auto"/>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vertAlign w:val="baseline"/>
                      <w:lang w:val="en-US" w:eastAsia="zh-CN"/>
                    </w:rPr>
                    <w:t>11</w:t>
                  </w:r>
                </w:p>
              </w:tc>
              <w:tc>
                <w:tcPr>
                  <w:tcW w:w="2442" w:type="dxa"/>
                  <w:noWrap w:val="0"/>
                  <w:vAlign w:val="center"/>
                </w:tcPr>
                <w:p>
                  <w:pPr>
                    <w:widowControl/>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布袋除尘器</w:t>
                  </w:r>
                </w:p>
              </w:tc>
              <w:tc>
                <w:tcPr>
                  <w:tcW w:w="24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kern w:val="0"/>
                      <w:szCs w:val="21"/>
                      <w:lang w:bidi="ar"/>
                    </w:rPr>
                    <w:t>/</w:t>
                  </w:r>
                </w:p>
              </w:tc>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2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vertAlign w:val="baseline"/>
                      <w:lang w:val="en-US" w:eastAsia="zh-CN"/>
                    </w:rPr>
                    <w:t>12</w:t>
                  </w:r>
                </w:p>
              </w:tc>
              <w:tc>
                <w:tcPr>
                  <w:tcW w:w="2442" w:type="dxa"/>
                  <w:noWrap w:val="0"/>
                  <w:vAlign w:val="center"/>
                </w:tcPr>
                <w:p>
                  <w:pPr>
                    <w:widowControl/>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碱液喷淋塔</w:t>
                  </w:r>
                </w:p>
              </w:tc>
              <w:tc>
                <w:tcPr>
                  <w:tcW w:w="24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kern w:val="0"/>
                      <w:szCs w:val="21"/>
                      <w:lang w:bidi="ar"/>
                    </w:rPr>
                    <w:t>/</w:t>
                  </w:r>
                </w:p>
              </w:tc>
              <w:tc>
                <w:tcPr>
                  <w:tcW w:w="220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r>
          </w:tbl>
          <w:p>
            <w:pPr>
              <w:pStyle w:val="121"/>
              <w:spacing w:line="360" w:lineRule="auto"/>
              <w:ind w:firstLine="482" w:firstLineChars="200"/>
              <w:jc w:val="both"/>
              <w:rPr>
                <w:b/>
                <w:bCs/>
                <w:color w:val="auto"/>
              </w:rPr>
            </w:pPr>
            <w:r>
              <w:rPr>
                <w:rFonts w:hint="eastAsia"/>
                <w:b/>
                <w:bCs/>
                <w:color w:val="auto"/>
              </w:rPr>
              <w:t>四、</w:t>
            </w:r>
            <w:r>
              <w:rPr>
                <w:b/>
                <w:bCs/>
                <w:color w:val="auto"/>
              </w:rPr>
              <w:t>主要原辅材料及用量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b/>
                <w:color w:val="auto"/>
                <w:sz w:val="24"/>
                <w:szCs w:val="24"/>
                <w:lang w:eastAsia="zh-CN"/>
              </w:rPr>
            </w:pPr>
            <w:r>
              <w:rPr>
                <w:rFonts w:hint="eastAsia" w:ascii="宋体" w:hAnsi="宋体"/>
                <w:b w:val="0"/>
                <w:bCs/>
                <w:color w:val="auto"/>
                <w:sz w:val="24"/>
                <w:szCs w:val="24"/>
              </w:rPr>
              <w:t>根据建设单位提供资料，本</w:t>
            </w:r>
            <w:r>
              <w:rPr>
                <w:rFonts w:cs="Times New Roman"/>
                <w:b w:val="0"/>
                <w:bCs/>
                <w:color w:val="auto"/>
                <w:sz w:val="24"/>
                <w:szCs w:val="24"/>
              </w:rPr>
              <w:t>项目</w:t>
            </w:r>
            <w:r>
              <w:rPr>
                <w:rFonts w:hint="eastAsia" w:cs="Times New Roman"/>
                <w:b w:val="0"/>
                <w:bCs/>
                <w:color w:val="auto"/>
                <w:sz w:val="24"/>
                <w:szCs w:val="24"/>
                <w:lang w:val="en-US" w:eastAsia="zh-CN"/>
              </w:rPr>
              <w:t>的</w:t>
            </w:r>
            <w:r>
              <w:rPr>
                <w:rFonts w:hint="eastAsia" w:cs="Times New Roman"/>
                <w:b w:val="0"/>
                <w:bCs/>
                <w:color w:val="auto"/>
                <w:sz w:val="24"/>
                <w:szCs w:val="24"/>
              </w:rPr>
              <w:t>主要</w:t>
            </w:r>
            <w:r>
              <w:rPr>
                <w:rFonts w:cs="Times New Roman"/>
                <w:b w:val="0"/>
                <w:bCs/>
                <w:color w:val="auto"/>
                <w:sz w:val="24"/>
                <w:szCs w:val="24"/>
              </w:rPr>
              <w:t>原辅材料年</w:t>
            </w:r>
            <w:r>
              <w:rPr>
                <w:rFonts w:hint="eastAsia" w:cs="Times New Roman"/>
                <w:b w:val="0"/>
                <w:bCs/>
                <w:color w:val="auto"/>
                <w:sz w:val="24"/>
                <w:szCs w:val="24"/>
              </w:rPr>
              <w:t>使</w:t>
            </w:r>
            <w:r>
              <w:rPr>
                <w:rFonts w:cs="Times New Roman"/>
                <w:b w:val="0"/>
                <w:bCs/>
                <w:color w:val="auto"/>
                <w:sz w:val="24"/>
                <w:szCs w:val="24"/>
              </w:rPr>
              <w:t>用量</w:t>
            </w:r>
            <w:r>
              <w:rPr>
                <w:rFonts w:hint="eastAsia" w:cs="Times New Roman"/>
                <w:b w:val="0"/>
                <w:bCs/>
                <w:color w:val="auto"/>
                <w:sz w:val="24"/>
                <w:szCs w:val="24"/>
                <w:lang w:val="en-US" w:eastAsia="zh-CN"/>
              </w:rPr>
              <w:t>及能耗</w:t>
            </w:r>
            <w:r>
              <w:rPr>
                <w:rFonts w:cs="Times New Roman"/>
                <w:b w:val="0"/>
                <w:bCs/>
                <w:color w:val="auto"/>
                <w:sz w:val="24"/>
                <w:szCs w:val="24"/>
              </w:rPr>
              <w:t>如</w:t>
            </w:r>
            <w:r>
              <w:rPr>
                <w:rFonts w:hint="eastAsia" w:ascii="宋体" w:hAnsi="宋体"/>
                <w:b w:val="0"/>
                <w:bCs/>
                <w:color w:val="auto"/>
                <w:sz w:val="24"/>
                <w:szCs w:val="24"/>
              </w:rPr>
              <w:t>下表</w:t>
            </w:r>
            <w:r>
              <w:rPr>
                <w:rFonts w:hint="eastAsia" w:ascii="宋体" w:hAnsi="宋体"/>
                <w:b w:val="0"/>
                <w:bCs/>
                <w:color w:val="auto"/>
                <w:sz w:val="24"/>
                <w:szCs w:val="24"/>
                <w:lang w:eastAsia="zh-CN"/>
              </w:rPr>
              <w:t>。</w:t>
            </w:r>
          </w:p>
          <w:p>
            <w:pPr>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表2-</w:t>
            </w:r>
            <w:r>
              <w:rPr>
                <w:rFonts w:hint="eastAsia"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val="en-US" w:eastAsia="zh-CN"/>
              </w:rPr>
              <w:t>本项目</w:t>
            </w:r>
            <w:r>
              <w:rPr>
                <w:rFonts w:hint="default" w:ascii="Times New Roman" w:hAnsi="Times New Roman" w:cs="Times New Roman"/>
                <w:b/>
                <w:bCs/>
                <w:color w:val="auto"/>
                <w:sz w:val="21"/>
                <w:szCs w:val="21"/>
              </w:rPr>
              <w:t>主要原辅材料使用量一览表</w:t>
            </w:r>
          </w:p>
          <w:tbl>
            <w:tblPr>
              <w:tblStyle w:val="37"/>
              <w:tblW w:w="79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920"/>
              <w:gridCol w:w="974"/>
              <w:gridCol w:w="968"/>
              <w:gridCol w:w="946"/>
              <w:gridCol w:w="1183"/>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1257" w:type="dxa"/>
                  <w:noWrap w:val="0"/>
                  <w:vAlign w:val="center"/>
                </w:tcPr>
                <w:p>
                  <w:pPr>
                    <w:widowControl/>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名称</w:t>
                  </w:r>
                </w:p>
              </w:tc>
              <w:tc>
                <w:tcPr>
                  <w:tcW w:w="920" w:type="dxa"/>
                  <w:noWrap w:val="0"/>
                  <w:vAlign w:val="center"/>
                </w:tcPr>
                <w:p>
                  <w:pPr>
                    <w:widowControl/>
                    <w:jc w:val="center"/>
                    <w:rPr>
                      <w:rFonts w:hint="default" w:ascii="Times New Roman" w:hAnsi="Times New Roman" w:eastAsia="宋体" w:cs="Times New Roman"/>
                      <w:b/>
                      <w:bCs/>
                      <w:color w:val="auto"/>
                      <w:kern w:val="0"/>
                      <w:sz w:val="21"/>
                      <w:szCs w:val="21"/>
                      <w:lang w:eastAsia="zh-CN" w:bidi="ar"/>
                    </w:rPr>
                  </w:pPr>
                  <w:r>
                    <w:rPr>
                      <w:rFonts w:hint="default" w:ascii="Times New Roman" w:hAnsi="Times New Roman" w:cs="Times New Roman"/>
                      <w:b/>
                      <w:bCs/>
                      <w:color w:val="auto"/>
                      <w:kern w:val="0"/>
                      <w:sz w:val="21"/>
                      <w:szCs w:val="21"/>
                      <w:lang w:val="en-US" w:eastAsia="zh-CN" w:bidi="ar"/>
                    </w:rPr>
                    <w:t>年</w:t>
                  </w:r>
                  <w:r>
                    <w:rPr>
                      <w:rFonts w:hint="default" w:ascii="Times New Roman" w:hAnsi="Times New Roman" w:cs="Times New Roman"/>
                      <w:b/>
                      <w:bCs/>
                      <w:color w:val="auto"/>
                      <w:kern w:val="0"/>
                      <w:sz w:val="21"/>
                      <w:szCs w:val="21"/>
                      <w:lang w:bidi="ar"/>
                    </w:rPr>
                    <w:t>用量</w:t>
                  </w:r>
                  <w:r>
                    <w:rPr>
                      <w:rFonts w:hint="default" w:ascii="Times New Roman" w:hAnsi="Times New Roman" w:cs="Times New Roman"/>
                      <w:b/>
                      <w:bCs/>
                      <w:color w:val="auto"/>
                      <w:kern w:val="0"/>
                      <w:sz w:val="21"/>
                      <w:szCs w:val="21"/>
                      <w:lang w:eastAsia="zh-CN" w:bidi="ar"/>
                    </w:rPr>
                    <w:t>（</w:t>
                  </w:r>
                  <w:r>
                    <w:rPr>
                      <w:rFonts w:hint="default" w:ascii="Times New Roman" w:hAnsi="Times New Roman" w:cs="Times New Roman"/>
                      <w:b/>
                      <w:bCs/>
                      <w:color w:val="auto"/>
                      <w:kern w:val="0"/>
                      <w:sz w:val="21"/>
                      <w:szCs w:val="21"/>
                      <w:lang w:val="en-US" w:eastAsia="zh-CN" w:bidi="ar"/>
                    </w:rPr>
                    <w:t>t</w:t>
                  </w:r>
                  <w:r>
                    <w:rPr>
                      <w:rFonts w:hint="default" w:ascii="Times New Roman" w:hAnsi="Times New Roman" w:cs="Times New Roman"/>
                      <w:b/>
                      <w:bCs/>
                      <w:color w:val="auto"/>
                      <w:kern w:val="0"/>
                      <w:sz w:val="21"/>
                      <w:szCs w:val="21"/>
                      <w:lang w:eastAsia="zh-CN" w:bidi="ar"/>
                    </w:rPr>
                    <w:t>）</w:t>
                  </w:r>
                </w:p>
              </w:tc>
              <w:tc>
                <w:tcPr>
                  <w:tcW w:w="974" w:type="dxa"/>
                  <w:noWrap w:val="0"/>
                  <w:vAlign w:val="center"/>
                </w:tcPr>
                <w:p>
                  <w:pPr>
                    <w:widowControl/>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包装形式</w:t>
                  </w:r>
                </w:p>
              </w:tc>
              <w:tc>
                <w:tcPr>
                  <w:tcW w:w="968" w:type="dxa"/>
                  <w:noWrap w:val="0"/>
                  <w:vAlign w:val="center"/>
                </w:tcPr>
                <w:p>
                  <w:pPr>
                    <w:widowControl/>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运输方式</w:t>
                  </w:r>
                </w:p>
              </w:tc>
              <w:tc>
                <w:tcPr>
                  <w:tcW w:w="946" w:type="dxa"/>
                  <w:noWrap w:val="0"/>
                  <w:vAlign w:val="center"/>
                </w:tcPr>
                <w:p>
                  <w:pPr>
                    <w:widowControl/>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暂存区域</w:t>
                  </w:r>
                </w:p>
              </w:tc>
              <w:tc>
                <w:tcPr>
                  <w:tcW w:w="1183" w:type="dxa"/>
                  <w:noWrap w:val="0"/>
                  <w:vAlign w:val="center"/>
                </w:tcPr>
                <w:p>
                  <w:pPr>
                    <w:widowControl/>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来源</w:t>
                  </w:r>
                </w:p>
              </w:tc>
              <w:tc>
                <w:tcPr>
                  <w:tcW w:w="1689" w:type="dxa"/>
                  <w:noWrap w:val="0"/>
                  <w:vAlign w:val="center"/>
                </w:tcPr>
                <w:p>
                  <w:pPr>
                    <w:widowControl/>
                    <w:jc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257" w:type="dxa"/>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可膨胀石墨</w:t>
                  </w:r>
                </w:p>
              </w:tc>
              <w:tc>
                <w:tcPr>
                  <w:tcW w:w="920"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1463</w:t>
                  </w:r>
                </w:p>
              </w:tc>
              <w:tc>
                <w:tcPr>
                  <w:tcW w:w="974" w:type="dxa"/>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袋装</w:t>
                  </w:r>
                </w:p>
              </w:tc>
              <w:tc>
                <w:tcPr>
                  <w:tcW w:w="968" w:type="dxa"/>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汽车</w:t>
                  </w:r>
                </w:p>
              </w:tc>
              <w:tc>
                <w:tcPr>
                  <w:tcW w:w="946"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原料库房</w:t>
                  </w:r>
                </w:p>
              </w:tc>
              <w:tc>
                <w:tcPr>
                  <w:tcW w:w="1183" w:type="dxa"/>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外购</w:t>
                  </w:r>
                </w:p>
              </w:tc>
              <w:tc>
                <w:tcPr>
                  <w:tcW w:w="1689" w:type="dxa"/>
                  <w:noWrap w:val="0"/>
                  <w:vAlign w:val="center"/>
                </w:tcPr>
                <w:p>
                  <w:pPr>
                    <w:adjustRightInd w:val="0"/>
                    <w:snapToGrid w:val="0"/>
                    <w:spacing w:line="240" w:lineRule="auto"/>
                    <w:jc w:val="center"/>
                    <w:rPr>
                      <w:rFonts w:hint="default" w:ascii="Times New Roman" w:hAnsi="Times New Roman" w:cs="Times New Roman"/>
                      <w:bCs/>
                      <w:color w:val="auto"/>
                      <w:sz w:val="21"/>
                      <w:szCs w:val="21"/>
                      <w:lang w:val="en-US"/>
                    </w:rPr>
                  </w:pPr>
                  <w:r>
                    <w:rPr>
                      <w:rFonts w:hint="eastAsia" w:ascii="Times New Roman" w:hAnsi="Times New Roman" w:eastAsia="宋体" w:cs="Times New Roman"/>
                      <w:b w:val="0"/>
                      <w:bCs w:val="0"/>
                      <w:color w:val="auto"/>
                      <w:kern w:val="2"/>
                      <w:sz w:val="21"/>
                      <w:szCs w:val="21"/>
                      <w:lang w:val="en-US" w:eastAsia="zh-CN" w:bidi="ar-SA"/>
                    </w:rPr>
                    <w:t>研发</w:t>
                  </w:r>
                  <w:r>
                    <w:rPr>
                      <w:rFonts w:hint="default" w:ascii="Times New Roman" w:hAnsi="Times New Roman" w:eastAsia="宋体" w:cs="Times New Roman"/>
                      <w:b w:val="0"/>
                      <w:bCs w:val="0"/>
                      <w:color w:val="auto"/>
                      <w:kern w:val="2"/>
                      <w:sz w:val="21"/>
                      <w:szCs w:val="21"/>
                      <w:lang w:val="en-US" w:eastAsia="zh-CN" w:bidi="ar-SA"/>
                    </w:rPr>
                    <w:t>超高纯度柔性石墨纸</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高性能石墨导热膜</w:t>
                  </w:r>
                  <w:r>
                    <w:rPr>
                      <w:rFonts w:hint="eastAsia" w:ascii="Times New Roman" w:hAnsi="Times New Roman" w:eastAsia="宋体" w:cs="Times New Roman"/>
                      <w:b w:val="0"/>
                      <w:bCs w:val="0"/>
                      <w:color w:val="auto"/>
                      <w:kern w:val="2"/>
                      <w:sz w:val="21"/>
                      <w:szCs w:val="21"/>
                      <w:lang w:val="en-US" w:eastAsia="zh-CN" w:bidi="ar-SA"/>
                    </w:rPr>
                    <w:t>及</w:t>
                  </w:r>
                  <w:r>
                    <w:rPr>
                      <w:rFonts w:hint="default" w:ascii="Times New Roman" w:hAnsi="Times New Roman" w:eastAsia="宋体" w:cs="Times New Roman"/>
                      <w:b w:val="0"/>
                      <w:bCs w:val="0"/>
                      <w:color w:val="auto"/>
                      <w:kern w:val="2"/>
                      <w:sz w:val="21"/>
                      <w:szCs w:val="21"/>
                      <w:lang w:val="en-US" w:eastAsia="zh-CN" w:bidi="ar-SA"/>
                    </w:rPr>
                    <w:t>导电石墨烯粉体</w:t>
                  </w:r>
                </w:p>
              </w:tc>
            </w:tr>
          </w:tbl>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表2-</w:t>
            </w:r>
            <w:r>
              <w:rPr>
                <w:rFonts w:hint="eastAsia" w:ascii="Times New Roman" w:hAnsi="Times New Roman" w:eastAsia="宋体" w:cs="Times New Roman"/>
                <w:b/>
                <w:bCs/>
                <w:color w:val="auto"/>
                <w:kern w:val="0"/>
                <w:sz w:val="21"/>
                <w:szCs w:val="21"/>
                <w:lang w:val="en-US" w:eastAsia="zh-CN" w:bidi="ar"/>
              </w:rPr>
              <w:t>9</w:t>
            </w:r>
            <w:r>
              <w:rPr>
                <w:rFonts w:hint="default" w:ascii="Times New Roman" w:hAnsi="Times New Roman" w:eastAsia="宋体" w:cs="Times New Roman"/>
                <w:b/>
                <w:bCs/>
                <w:color w:val="auto"/>
                <w:kern w:val="0"/>
                <w:sz w:val="21"/>
                <w:szCs w:val="21"/>
                <w:lang w:val="en-US" w:eastAsia="zh-CN" w:bidi="ar"/>
              </w:rPr>
              <w:t xml:space="preserve"> 本项目主要能源情况一览表</w:t>
            </w:r>
          </w:p>
          <w:tbl>
            <w:tblPr>
              <w:tblStyle w:val="37"/>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589"/>
              <w:gridCol w:w="1589"/>
              <w:gridCol w:w="1589"/>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名称</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年用量</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形态</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来源</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储存区域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自来水</w:t>
                  </w:r>
                </w:p>
              </w:tc>
              <w:tc>
                <w:tcPr>
                  <w:tcW w:w="1589" w:type="dxa"/>
                  <w:noWrap w:val="0"/>
                  <w:vAlign w:val="center"/>
                </w:tcPr>
                <w:p>
                  <w:pPr>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569</w:t>
                  </w:r>
                  <w:r>
                    <w:rPr>
                      <w:rFonts w:hint="default" w:ascii="Times New Roman" w:hAnsi="Times New Roman" w:eastAsia="宋体" w:cs="Times New Roman"/>
                      <w:b w:val="0"/>
                      <w:bCs w:val="0"/>
                      <w:color w:val="auto"/>
                      <w:kern w:val="0"/>
                      <w:sz w:val="21"/>
                      <w:szCs w:val="21"/>
                      <w:vertAlign w:val="baseline"/>
                      <w:lang w:val="en-US" w:eastAsia="zh-CN" w:bidi="ar"/>
                    </w:rPr>
                    <w:t>t/a</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液态</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市政管网</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电</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cs="Times New Roman"/>
                      <w:color w:val="auto"/>
                      <w:sz w:val="21"/>
                      <w:szCs w:val="21"/>
                      <w:lang w:val="en-US" w:eastAsia="zh-CN"/>
                    </w:rPr>
                    <w:t>438</w:t>
                  </w:r>
                  <w:r>
                    <w:rPr>
                      <w:rFonts w:hint="eastAsia" w:ascii="Times New Roman" w:hAnsi="Times New Roman" w:cs="Times New Roman"/>
                      <w:color w:val="auto"/>
                      <w:sz w:val="21"/>
                      <w:szCs w:val="21"/>
                    </w:rPr>
                    <w:t>000</w:t>
                  </w:r>
                  <w:r>
                    <w:rPr>
                      <w:rFonts w:hint="default" w:ascii="Times New Roman" w:hAnsi="Times New Roman" w:eastAsia="宋体" w:cs="Times New Roman"/>
                      <w:b w:val="0"/>
                      <w:bCs w:val="0"/>
                      <w:color w:val="auto"/>
                      <w:kern w:val="0"/>
                      <w:sz w:val="21"/>
                      <w:szCs w:val="21"/>
                      <w:lang w:val="en-US" w:eastAsia="zh-CN" w:bidi="ar"/>
                    </w:rPr>
                    <w:t>kW.h</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市政电网</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9" w:type="dxa"/>
                  <w:noWrap w:val="0"/>
                  <w:vAlign w:val="center"/>
                </w:tcPr>
                <w:p>
                  <w:pPr>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ascii="Times New Roman" w:hAnsi="Times New Roman" w:cs="Times New Roman"/>
                      <w:color w:val="auto"/>
                      <w:sz w:val="21"/>
                      <w:szCs w:val="21"/>
                    </w:rPr>
                    <w:t>天然气</w:t>
                  </w:r>
                </w:p>
              </w:tc>
              <w:tc>
                <w:tcPr>
                  <w:tcW w:w="1589" w:type="dxa"/>
                  <w:noWrap w:val="0"/>
                  <w:vAlign w:val="center"/>
                </w:tcPr>
                <w:p>
                  <w:pPr>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22.5</w:t>
                  </w:r>
                  <w:r>
                    <w:rPr>
                      <w:rFonts w:ascii="Times New Roman" w:hAnsi="Times New Roman" w:cs="Times New Roman"/>
                      <w:color w:val="auto"/>
                      <w:sz w:val="21"/>
                      <w:szCs w:val="21"/>
                    </w:rPr>
                    <w:t>万立方米</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气态</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color w:val="auto"/>
                      <w:sz w:val="21"/>
                      <w:szCs w:val="21"/>
                    </w:rPr>
                    <w:t>园区天然气管网</w:t>
                  </w:r>
                </w:p>
              </w:tc>
              <w:tc>
                <w:tcPr>
                  <w:tcW w:w="1589"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主要原辅料理化性质分析：</w:t>
            </w:r>
          </w:p>
          <w:p>
            <w:pPr>
              <w:keepNext w:val="0"/>
              <w:keepLines w:val="0"/>
              <w:widowControl/>
              <w:suppressLineNumbers w:val="0"/>
              <w:spacing w:line="360" w:lineRule="auto"/>
              <w:jc w:val="center"/>
              <w:rPr>
                <w:rFonts w:hint="eastAsia" w:ascii="宋体" w:hAnsi="宋体" w:eastAsia="宋体" w:cs="宋体"/>
                <w:b/>
                <w:bCs/>
                <w:color w:val="auto"/>
                <w:kern w:val="0"/>
                <w:sz w:val="21"/>
                <w:szCs w:val="21"/>
                <w:lang w:val="en-US" w:eastAsia="zh-CN" w:bidi="ar"/>
              </w:rPr>
            </w:pPr>
            <w:r>
              <w:rPr>
                <w:rFonts w:hint="eastAsia"/>
                <w:b/>
                <w:bCs/>
                <w:color w:val="auto"/>
                <w:sz w:val="21"/>
                <w:szCs w:val="21"/>
              </w:rPr>
              <w:t>表2-</w:t>
            </w:r>
            <w:r>
              <w:rPr>
                <w:rFonts w:hint="eastAsia"/>
                <w:b/>
                <w:bCs/>
                <w:color w:val="auto"/>
                <w:sz w:val="21"/>
                <w:szCs w:val="21"/>
                <w:lang w:val="en-US" w:eastAsia="zh-CN"/>
              </w:rPr>
              <w:t>10</w:t>
            </w:r>
            <w:r>
              <w:rPr>
                <w:b/>
                <w:bCs/>
                <w:color w:val="auto"/>
                <w:sz w:val="21"/>
                <w:szCs w:val="21"/>
              </w:rPr>
              <w:t xml:space="preserve"> </w:t>
            </w:r>
            <w:r>
              <w:rPr>
                <w:rFonts w:hint="eastAsia" w:ascii="宋体" w:hAnsi="宋体" w:eastAsia="宋体" w:cs="宋体"/>
                <w:b/>
                <w:bCs/>
                <w:color w:val="auto"/>
                <w:kern w:val="0"/>
                <w:sz w:val="21"/>
                <w:szCs w:val="21"/>
                <w:lang w:val="en-US" w:eastAsia="zh-CN" w:bidi="ar"/>
              </w:rPr>
              <w:t>主要原辅料理化性质表</w:t>
            </w:r>
          </w:p>
          <w:tbl>
            <w:tblPr>
              <w:tblStyle w:val="37"/>
              <w:tblW w:w="79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900"/>
              <w:gridCol w:w="6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序号</w:t>
                  </w:r>
                </w:p>
              </w:tc>
              <w:tc>
                <w:tcPr>
                  <w:tcW w:w="900" w:type="dxa"/>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名称</w:t>
                  </w:r>
                </w:p>
              </w:tc>
              <w:tc>
                <w:tcPr>
                  <w:tcW w:w="6406" w:type="dxa"/>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1"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p>
              </w:tc>
              <w:tc>
                <w:tcPr>
                  <w:tcW w:w="900"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cs="Times New Roman"/>
                      <w:bCs/>
                      <w:color w:val="auto"/>
                      <w:sz w:val="21"/>
                      <w:szCs w:val="21"/>
                    </w:rPr>
                    <w:t>可膨胀石墨</w:t>
                  </w:r>
                </w:p>
              </w:tc>
              <w:tc>
                <w:tcPr>
                  <w:tcW w:w="6406" w:type="dxa"/>
                  <w:noWrap w:val="0"/>
                  <w:vAlign w:val="center"/>
                </w:tcPr>
                <w:p>
                  <w:pPr>
                    <w:keepNext w:val="0"/>
                    <w:keepLines w:val="0"/>
                    <w:widowControl/>
                    <w:suppressLineNumbers w:val="0"/>
                    <w:jc w:val="both"/>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 xml:space="preserve">本项目所用原料可膨胀石墨硫酸含量为3%-4%（由于生产技术的原因每批料的硫含量是波动的）；颜色与形态：通常为黑色，呈片状或粉末状，其外观与普通石墨相似，但经过特殊处理后具有可膨胀性；密度：一般密度约为 </w:t>
                  </w:r>
                  <w:r>
                    <w:rPr>
                      <w:rFonts w:hint="default" w:ascii="Times New Roman" w:hAnsi="Times New Roman" w:eastAsia="宋体" w:cs="Times New Roman"/>
                      <w:bCs/>
                      <w:color w:val="auto"/>
                      <w:sz w:val="21"/>
                      <w:szCs w:val="21"/>
                      <w:lang w:val="en-US" w:eastAsia="zh-CN"/>
                    </w:rPr>
                    <w:t>2.3g/cm³</w:t>
                  </w:r>
                  <w:r>
                    <w:rPr>
                      <w:rFonts w:hint="eastAsia" w:ascii="Times New Roman" w:hAnsi="Times New Roman" w:eastAsia="宋体" w:cs="Times New Roman"/>
                      <w:bCs/>
                      <w:color w:val="auto"/>
                      <w:sz w:val="21"/>
                      <w:szCs w:val="21"/>
                      <w:lang w:val="en-US" w:eastAsia="zh-CN"/>
                    </w:rPr>
                    <w:t>左右；硬度：莫氏硬度较低，约为</w:t>
                  </w:r>
                  <w:r>
                    <w:rPr>
                      <w:rFonts w:hint="default" w:ascii="Times New Roman" w:hAnsi="Times New Roman" w:eastAsia="宋体" w:cs="Times New Roman"/>
                      <w:bCs/>
                      <w:color w:val="auto"/>
                      <w:sz w:val="21"/>
                      <w:szCs w:val="21"/>
                      <w:lang w:val="en-US" w:eastAsia="zh-CN"/>
                    </w:rPr>
                    <w:t>1.5</w:t>
                  </w:r>
                  <w:r>
                    <w:rPr>
                      <w:rFonts w:hint="eastAsia" w:ascii="Times New Roman" w:hAnsi="Times New Roman" w:eastAsia="宋体" w:cs="Times New Roman"/>
                      <w:bCs/>
                      <w:color w:val="auto"/>
                      <w:sz w:val="21"/>
                      <w:szCs w:val="21"/>
                      <w:lang w:val="en-US" w:eastAsia="zh-CN"/>
                    </w:rPr>
                    <w:t>左右，质地较软，具有一定的柔韧性和可塑性；导热导电性：具有良好的导热性和导电性，可用于制造需要散热或导电的部件，如电极、导热垫片等；膨胀性：这是可膨胀石墨的重要特性之一。在加热到一定温度时，可膨胀石墨会迅速膨胀，膨胀倍数通常可达数十倍到数百倍，甚至上千倍，膨胀后的石墨呈蠕虫状，体积大幅增加，内部形成大量独特的网络状微孔结构；</w:t>
                  </w:r>
                </w:p>
                <w:p>
                  <w:pPr>
                    <w:keepNext w:val="0"/>
                    <w:keepLines w:val="0"/>
                    <w:widowControl/>
                    <w:suppressLineNumbers w:val="0"/>
                    <w:jc w:val="both"/>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膨胀原理：可膨胀石墨是一种石墨层间化合物。首先，在制备过程中，将硫酸插入石墨的层间，使石墨层间距增大。例如，当用硫酸插层时，硫酸分子进入石墨层间，与碳原子形成新的化合物结构。然后，当这种插层后的石墨受到高温作用时，层间化合物会发生分解反应。以硫酸插层的石墨为例，高温下硫酸会分解产生大量的气体，如二氧化硫等。</w:t>
                  </w:r>
                </w:p>
                <w:p>
                  <w:pPr>
                    <w:keepNext w:val="0"/>
                    <w:keepLines w:val="0"/>
                    <w:widowControl/>
                    <w:suppressLineNumbers w:val="0"/>
                    <w:jc w:val="both"/>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Cs/>
                      <w:color w:val="auto"/>
                      <w:sz w:val="21"/>
                      <w:szCs w:val="21"/>
                      <w:lang w:val="en-US" w:eastAsia="zh-CN"/>
                    </w:rPr>
                    <w:t>这些气体在石墨层间迅速膨胀，产生的压力使石墨层沿层间方向被撑开，从而使石墨在短时间内体积大幅膨胀，膨胀倍数可以达到几十倍甚至数百倍。</w:t>
                  </w:r>
                </w:p>
              </w:tc>
            </w:tr>
          </w:tbl>
          <w:p>
            <w:pPr>
              <w:spacing w:line="360" w:lineRule="auto"/>
              <w:ind w:firstLine="482" w:firstLineChars="200"/>
              <w:rPr>
                <w:b/>
                <w:color w:val="auto"/>
                <w:sz w:val="24"/>
              </w:rPr>
            </w:pPr>
            <w:r>
              <w:rPr>
                <w:rFonts w:hint="eastAsia"/>
                <w:b/>
                <w:color w:val="auto"/>
                <w:sz w:val="24"/>
                <w:lang w:val="en-US" w:eastAsia="zh-CN"/>
              </w:rPr>
              <w:t>五</w:t>
            </w:r>
            <w:r>
              <w:rPr>
                <w:b/>
                <w:color w:val="auto"/>
                <w:sz w:val="24"/>
              </w:rPr>
              <w:t>、公用工程及辅助工程</w:t>
            </w:r>
          </w:p>
          <w:p>
            <w:pPr>
              <w:snapToGrid w:val="0"/>
              <w:spacing w:line="360" w:lineRule="auto"/>
              <w:ind w:firstLine="482" w:firstLineChars="200"/>
              <w:rPr>
                <w:color w:val="auto"/>
                <w:sz w:val="24"/>
              </w:rPr>
            </w:pPr>
            <w:r>
              <w:rPr>
                <w:b/>
                <w:bCs/>
                <w:color w:val="auto"/>
                <w:sz w:val="24"/>
              </w:rPr>
              <w:t>1、供电</w:t>
            </w:r>
            <w:r>
              <w:rPr>
                <w:color w:val="auto"/>
                <w:sz w:val="24"/>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0"/>
                <w:lang w:val="en-US" w:eastAsia="zh-CN" w:bidi="ar-SA"/>
              </w:rPr>
            </w:pPr>
            <w:r>
              <w:rPr>
                <w:color w:val="auto"/>
                <w:sz w:val="24"/>
              </w:rPr>
              <w:t>由</w:t>
            </w:r>
            <w:r>
              <w:rPr>
                <w:rFonts w:hint="eastAsia" w:ascii="Times New Roman" w:hAnsi="Times New Roman" w:eastAsia="宋体" w:cs="Times New Roman"/>
                <w:color w:val="auto"/>
                <w:kern w:val="0"/>
                <w:sz w:val="24"/>
                <w:szCs w:val="20"/>
                <w:lang w:val="en-US" w:eastAsia="zh-CN" w:bidi="ar-SA"/>
              </w:rPr>
              <w:t>市政电网供给。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kern w:val="0"/>
                <w:sz w:val="24"/>
                <w:szCs w:val="20"/>
                <w:lang w:val="en-US" w:eastAsia="zh-CN" w:bidi="ar-SA"/>
              </w:rPr>
            </w:pPr>
            <w:r>
              <w:rPr>
                <w:rFonts w:hint="eastAsia" w:ascii="Times New Roman" w:hAnsi="Times New Roman" w:eastAsia="宋体" w:cs="Times New Roman"/>
                <w:b/>
                <w:bCs/>
                <w:color w:val="auto"/>
                <w:kern w:val="0"/>
                <w:sz w:val="24"/>
                <w:szCs w:val="20"/>
                <w:lang w:val="en-US" w:eastAsia="zh-CN" w:bidi="ar-SA"/>
              </w:rPr>
              <w:t>2、供气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b/>
                <w:bCs/>
                <w:color w:val="auto"/>
                <w:sz w:val="24"/>
              </w:rPr>
            </w:pPr>
            <w:r>
              <w:rPr>
                <w:rFonts w:hint="eastAsia" w:ascii="Times New Roman" w:hAnsi="Times New Roman" w:eastAsia="宋体" w:cs="Times New Roman"/>
                <w:color w:val="auto"/>
                <w:kern w:val="0"/>
                <w:sz w:val="24"/>
                <w:szCs w:val="20"/>
                <w:lang w:val="en-US" w:eastAsia="zh-CN" w:bidi="ar-SA"/>
              </w:rPr>
              <w:t>由园区天然气管网供给。</w:t>
            </w:r>
          </w:p>
          <w:p>
            <w:pPr>
              <w:snapToGrid w:val="0"/>
              <w:spacing w:line="360" w:lineRule="auto"/>
              <w:ind w:firstLine="482" w:firstLineChars="200"/>
              <w:rPr>
                <w:color w:val="auto"/>
                <w:sz w:val="24"/>
              </w:rPr>
            </w:pPr>
            <w:r>
              <w:rPr>
                <w:rFonts w:hint="eastAsia"/>
                <w:b/>
                <w:bCs/>
                <w:color w:val="auto"/>
                <w:sz w:val="24"/>
                <w:lang w:val="en-US" w:eastAsia="zh-CN"/>
              </w:rPr>
              <w:t>3</w:t>
            </w:r>
            <w:r>
              <w:rPr>
                <w:b/>
                <w:bCs/>
                <w:color w:val="auto"/>
                <w:sz w:val="24"/>
              </w:rPr>
              <w:t>、</w:t>
            </w:r>
            <w:r>
              <w:rPr>
                <w:rFonts w:hint="eastAsia"/>
                <w:b/>
                <w:bCs/>
                <w:color w:val="auto"/>
                <w:sz w:val="24"/>
              </w:rPr>
              <w:t>供</w:t>
            </w:r>
            <w:r>
              <w:rPr>
                <w:b/>
                <w:bCs/>
                <w:color w:val="auto"/>
                <w:sz w:val="24"/>
              </w:rPr>
              <w:t>水</w:t>
            </w:r>
            <w:r>
              <w:rPr>
                <w:color w:val="auto"/>
                <w:sz w:val="24"/>
              </w:rPr>
              <w:t>：</w:t>
            </w:r>
          </w:p>
          <w:p>
            <w:pPr>
              <w:pStyle w:val="9"/>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color w:val="auto"/>
                <w:lang w:val="en-US" w:eastAsia="zh-CN"/>
              </w:rPr>
              <w:t>本项目</w:t>
            </w:r>
            <w:r>
              <w:rPr>
                <w:color w:val="auto"/>
              </w:rPr>
              <w:t>地面使用扫帚清扫，不冲洗、不拖地，</w:t>
            </w:r>
            <w:r>
              <w:rPr>
                <w:rFonts w:hint="eastAsia"/>
                <w:color w:val="auto"/>
              </w:rPr>
              <w:t>无地面清洁废水产生</w:t>
            </w:r>
            <w:r>
              <w:rPr>
                <w:rFonts w:hint="eastAsia"/>
                <w:color w:val="auto"/>
                <w:lang w:val="en-US" w:eastAsia="zh-CN"/>
              </w:rPr>
              <w:t>，</w:t>
            </w:r>
            <w:r>
              <w:rPr>
                <w:color w:val="auto"/>
              </w:rPr>
              <w:t>供水</w:t>
            </w:r>
            <w:r>
              <w:rPr>
                <w:rFonts w:ascii="Times New Roman" w:hAnsi="Times New Roman" w:eastAsia="宋体" w:cs="Times New Roman"/>
                <w:color w:val="auto"/>
                <w:kern w:val="2"/>
                <w:sz w:val="24"/>
                <w:szCs w:val="24"/>
                <w:lang w:val="en-US" w:eastAsia="zh-CN" w:bidi="ar-SA"/>
              </w:rPr>
              <w:t>由</w:t>
            </w:r>
            <w:r>
              <w:rPr>
                <w:rFonts w:hint="eastAsia" w:ascii="Times New Roman" w:hAnsi="Times New Roman" w:eastAsia="宋体" w:cs="Times New Roman"/>
                <w:color w:val="auto"/>
                <w:kern w:val="2"/>
                <w:sz w:val="24"/>
                <w:szCs w:val="24"/>
                <w:lang w:val="en-US" w:eastAsia="zh-CN" w:bidi="ar-SA"/>
              </w:rPr>
              <w:t>市政供水管网</w:t>
            </w:r>
            <w:r>
              <w:rPr>
                <w:rFonts w:ascii="Times New Roman" w:hAnsi="Times New Roman" w:eastAsia="宋体" w:cs="Times New Roman"/>
                <w:color w:val="auto"/>
                <w:kern w:val="2"/>
                <w:sz w:val="24"/>
                <w:szCs w:val="24"/>
                <w:lang w:val="en-US" w:eastAsia="zh-CN" w:bidi="ar-SA"/>
              </w:rPr>
              <w:t>供给</w:t>
            </w:r>
            <w:r>
              <w:rPr>
                <w:rFonts w:hint="eastAsia"/>
                <w:color w:val="auto"/>
              </w:rPr>
              <w:t>，</w:t>
            </w:r>
            <w:r>
              <w:rPr>
                <w:color w:val="auto"/>
              </w:rPr>
              <w:t>厂区不设置住宿、淋浴室、食堂等设施</w:t>
            </w:r>
            <w:r>
              <w:rPr>
                <w:rFonts w:hint="eastAsia"/>
                <w:color w:val="auto"/>
              </w:rPr>
              <w:t>，</w:t>
            </w:r>
            <w:r>
              <w:rPr>
                <w:color w:val="auto"/>
              </w:rPr>
              <w:t>主要用水单元为职工生活用水</w:t>
            </w:r>
            <w:r>
              <w:rPr>
                <w:rFonts w:hint="eastAsia"/>
                <w:color w:val="auto"/>
              </w:rPr>
              <w:t>及</w:t>
            </w:r>
            <w:r>
              <w:rPr>
                <w:rFonts w:hint="eastAsia"/>
                <w:color w:val="auto"/>
                <w:lang w:val="en-US" w:eastAsia="zh-CN"/>
              </w:rPr>
              <w:t>碱液</w:t>
            </w:r>
            <w:r>
              <w:rPr>
                <w:rFonts w:hint="eastAsia"/>
                <w:color w:val="auto"/>
              </w:rPr>
              <w:t>喷淋用水</w:t>
            </w:r>
            <w:r>
              <w:rPr>
                <w:rFonts w:hint="eastAsia"/>
                <w:color w:val="auto"/>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（1）生活用水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本项目新增劳动定员10人</w:t>
            </w:r>
            <w:r>
              <w:rPr>
                <w:rFonts w:hint="eastAsia" w:ascii="Times New Roman" w:hAnsi="Times New Roman" w:eastAsia="宋体" w:cs="Times New Roman"/>
                <w:color w:val="auto"/>
                <w:kern w:val="2"/>
                <w:sz w:val="24"/>
                <w:szCs w:val="24"/>
                <w:lang w:val="en-US" w:eastAsia="zh-CN" w:bidi="ar-SA"/>
              </w:rPr>
              <w:t>，年工作330天，</w:t>
            </w:r>
            <w:r>
              <w:rPr>
                <w:rFonts w:hint="eastAsia" w:ascii="Times New Roman" w:hAnsi="Times New Roman" w:eastAsia="宋体" w:cs="Times New Roman"/>
                <w:color w:val="auto"/>
                <w:kern w:val="0"/>
                <w:sz w:val="24"/>
                <w:szCs w:val="20"/>
                <w:lang w:val="en-US" w:eastAsia="zh-CN" w:bidi="ar-SA"/>
              </w:rPr>
              <w:t>参照《四川省人民政府关于印发</w:t>
            </w:r>
            <w:r>
              <w:rPr>
                <w:rFonts w:hint="default" w:ascii="Times New Roman" w:hAnsi="Times New Roman" w:eastAsia="宋体" w:cs="Times New Roman"/>
                <w:color w:val="auto"/>
                <w:kern w:val="0"/>
                <w:sz w:val="24"/>
                <w:szCs w:val="20"/>
                <w:lang w:val="en-US" w:eastAsia="zh-CN" w:bidi="ar-SA"/>
              </w:rPr>
              <w:t>&lt;</w:t>
            </w:r>
            <w:r>
              <w:rPr>
                <w:rFonts w:hint="eastAsia" w:ascii="Times New Roman" w:hAnsi="Times New Roman" w:eastAsia="宋体" w:cs="Times New Roman"/>
                <w:color w:val="auto"/>
                <w:kern w:val="0"/>
                <w:sz w:val="24"/>
                <w:szCs w:val="20"/>
                <w:lang w:val="en-US" w:eastAsia="zh-CN" w:bidi="ar-SA"/>
              </w:rPr>
              <w:t>四川省用水定额</w:t>
            </w:r>
            <w:r>
              <w:rPr>
                <w:rFonts w:hint="default" w:ascii="Times New Roman" w:hAnsi="Times New Roman" w:eastAsia="宋体" w:cs="Times New Roman"/>
                <w:color w:val="auto"/>
                <w:kern w:val="0"/>
                <w:sz w:val="24"/>
                <w:szCs w:val="20"/>
                <w:lang w:val="en-US" w:eastAsia="zh-CN" w:bidi="ar-SA"/>
              </w:rPr>
              <w:t>&gt;</w:t>
            </w:r>
            <w:r>
              <w:rPr>
                <w:rFonts w:hint="eastAsia" w:ascii="Times New Roman" w:hAnsi="Times New Roman" w:eastAsia="宋体" w:cs="Times New Roman"/>
                <w:color w:val="auto"/>
                <w:kern w:val="0"/>
                <w:sz w:val="24"/>
                <w:szCs w:val="20"/>
                <w:lang w:val="en-US" w:eastAsia="zh-CN" w:bidi="ar-SA"/>
              </w:rPr>
              <w:t>的通知》（川府函</w:t>
            </w:r>
            <w:r>
              <w:rPr>
                <w:rFonts w:hint="default" w:ascii="Times New Roman" w:hAnsi="Times New Roman" w:eastAsia="宋体" w:cs="Times New Roman"/>
                <w:color w:val="auto"/>
                <w:kern w:val="0"/>
                <w:sz w:val="24"/>
                <w:szCs w:val="20"/>
                <w:lang w:val="en-US" w:eastAsia="zh-CN" w:bidi="ar-SA"/>
              </w:rPr>
              <w:t>[2021]8</w:t>
            </w:r>
            <w:r>
              <w:rPr>
                <w:rFonts w:hint="eastAsia" w:ascii="Times New Roman" w:hAnsi="Times New Roman" w:eastAsia="宋体" w:cs="Times New Roman"/>
                <w:color w:val="auto"/>
                <w:kern w:val="0"/>
                <w:sz w:val="24"/>
                <w:szCs w:val="20"/>
                <w:lang w:val="en-US" w:eastAsia="zh-CN" w:bidi="ar-SA"/>
              </w:rPr>
              <w:t>号）文件及其附件：生活用水按</w:t>
            </w:r>
            <w:r>
              <w:rPr>
                <w:rFonts w:hint="default" w:ascii="Times New Roman" w:hAnsi="Times New Roman" w:eastAsia="宋体" w:cs="Times New Roman"/>
                <w:color w:val="auto"/>
                <w:kern w:val="0"/>
                <w:sz w:val="24"/>
                <w:szCs w:val="20"/>
                <w:lang w:val="en-US" w:eastAsia="zh-CN" w:bidi="ar-SA"/>
              </w:rPr>
              <w:t>160L/</w:t>
            </w:r>
            <w:r>
              <w:rPr>
                <w:rFonts w:hint="eastAsia" w:ascii="Times New Roman" w:hAnsi="Times New Roman" w:eastAsia="宋体" w:cs="Times New Roman"/>
                <w:color w:val="auto"/>
                <w:kern w:val="0"/>
                <w:sz w:val="24"/>
                <w:szCs w:val="20"/>
                <w:lang w:val="en-US" w:eastAsia="zh-CN" w:bidi="ar-SA"/>
              </w:rPr>
              <w:t>（人•</w:t>
            </w:r>
            <w:r>
              <w:rPr>
                <w:rFonts w:hint="default" w:ascii="Times New Roman" w:hAnsi="Times New Roman" w:eastAsia="宋体" w:cs="Times New Roman"/>
                <w:color w:val="auto"/>
                <w:kern w:val="0"/>
                <w:sz w:val="24"/>
                <w:szCs w:val="20"/>
                <w:lang w:val="en-US" w:eastAsia="zh-CN" w:bidi="ar-SA"/>
              </w:rPr>
              <w:t>d</w:t>
            </w:r>
            <w:r>
              <w:rPr>
                <w:rFonts w:hint="eastAsia" w:ascii="Times New Roman" w:hAnsi="Times New Roman" w:eastAsia="宋体" w:cs="Times New Roman"/>
                <w:color w:val="auto"/>
                <w:kern w:val="0"/>
                <w:sz w:val="24"/>
                <w:szCs w:val="20"/>
                <w:lang w:val="en-US" w:eastAsia="zh-CN" w:bidi="ar-SA"/>
              </w:rPr>
              <w:t>）计，则职工生活用水量为1.6</w:t>
            </w:r>
            <w:r>
              <w:rPr>
                <w:rFonts w:hint="default" w:ascii="Times New Roman" w:hAnsi="Times New Roman" w:eastAsia="宋体" w:cs="Times New Roman"/>
                <w:color w:val="auto"/>
                <w:kern w:val="0"/>
                <w:sz w:val="24"/>
                <w:szCs w:val="20"/>
                <w:lang w:val="en-US" w:eastAsia="zh-CN" w:bidi="ar-SA"/>
              </w:rPr>
              <w:t>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/d</w:t>
            </w:r>
            <w:r>
              <w:rPr>
                <w:rFonts w:hint="eastAsia" w:ascii="Times New Roman" w:hAnsi="Times New Roman" w:eastAsia="宋体" w:cs="Times New Roman"/>
                <w:color w:val="auto"/>
                <w:kern w:val="0"/>
                <w:sz w:val="24"/>
                <w:szCs w:val="20"/>
                <w:lang w:val="en-US" w:eastAsia="zh-CN" w:bidi="ar-SA"/>
              </w:rPr>
              <w:t>、528</w:t>
            </w:r>
            <w:r>
              <w:rPr>
                <w:rFonts w:hint="default" w:ascii="Times New Roman" w:hAnsi="Times New Roman" w:eastAsia="宋体" w:cs="Times New Roman"/>
                <w:color w:val="auto"/>
                <w:kern w:val="0"/>
                <w:sz w:val="24"/>
                <w:szCs w:val="20"/>
                <w:lang w:val="en-US" w:eastAsia="zh-CN" w:bidi="ar-SA"/>
              </w:rPr>
              <w:t>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/a</w:t>
            </w:r>
            <w:r>
              <w:rPr>
                <w:rFonts w:hint="eastAsia" w:ascii="Times New Roman" w:hAnsi="Times New Roman" w:eastAsia="宋体" w:cs="Times New Roman"/>
                <w:color w:val="auto"/>
                <w:kern w:val="0"/>
                <w:sz w:val="24"/>
                <w:szCs w:val="20"/>
                <w:lang w:val="en-US" w:eastAsia="zh-CN" w:bidi="ar-SA"/>
              </w:rPr>
              <w:t>。</w:t>
            </w:r>
          </w:p>
          <w:p>
            <w:pPr>
              <w:pStyle w:val="2"/>
              <w:spacing w:before="0" w:after="0" w:line="360" w:lineRule="auto"/>
              <w:ind w:left="0" w:firstLine="482" w:firstLineChars="200"/>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（2）碱液喷淋塔用水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本项目共设置2座碱液喷淋塔，喷淋塔中碱液配置完成后定期补水和碱剂循环使用，喷淋塔每日补水量约为0.1m</w:t>
            </w:r>
            <w:r>
              <w:rPr>
                <w:rFonts w:hint="eastAsia" w:ascii="Times New Roman" w:hAnsi="Times New Roman" w:eastAsia="宋体" w:cs="Times New Roman"/>
                <w:bCs/>
                <w:color w:val="auto"/>
                <w:sz w:val="24"/>
                <w:vertAlign w:val="superscript"/>
                <w:lang w:val="en-US" w:eastAsia="zh-CN"/>
              </w:rPr>
              <w:t>3</w:t>
            </w:r>
            <w:r>
              <w:rPr>
                <w:rFonts w:hint="eastAsia" w:ascii="Times New Roman" w:hAnsi="Times New Roman" w:eastAsia="宋体" w:cs="Times New Roman"/>
                <w:bCs/>
                <w:color w:val="auto"/>
                <w:sz w:val="24"/>
                <w:lang w:val="en-US" w:eastAsia="zh-CN"/>
              </w:rPr>
              <w:t>，</w:t>
            </w:r>
            <w:r>
              <w:rPr>
                <w:rFonts w:hint="eastAsia" w:ascii="Times New Roman" w:hAnsi="Times New Roman" w:eastAsia="宋体" w:cs="Times New Roman"/>
                <w:color w:val="auto"/>
                <w:kern w:val="0"/>
                <w:sz w:val="24"/>
                <w:szCs w:val="24"/>
                <w:lang w:val="en-US" w:eastAsia="zh-CN"/>
              </w:rPr>
              <w:t>碱喷淋废水</w:t>
            </w:r>
            <w:r>
              <w:rPr>
                <w:rFonts w:hint="eastAsia" w:ascii="Times New Roman" w:hAnsi="Times New Roman" w:eastAsia="宋体" w:cs="Times New Roman"/>
                <w:bCs/>
                <w:color w:val="auto"/>
                <w:sz w:val="24"/>
                <w:lang w:val="en-US" w:eastAsia="zh-CN"/>
              </w:rPr>
              <w:t>每季度整体更换1次，每次更换量为2m</w:t>
            </w:r>
            <w:r>
              <w:rPr>
                <w:rFonts w:hint="eastAsia" w:ascii="Times New Roman" w:hAnsi="Times New Roman" w:eastAsia="宋体" w:cs="Times New Roman"/>
                <w:bCs/>
                <w:color w:val="auto"/>
                <w:sz w:val="24"/>
                <w:vertAlign w:val="superscript"/>
                <w:lang w:val="en-US" w:eastAsia="zh-CN"/>
              </w:rPr>
              <w:t>3</w:t>
            </w:r>
            <w:r>
              <w:rPr>
                <w:rFonts w:hint="eastAsia" w:ascii="Times New Roman" w:hAnsi="Times New Roman" w:eastAsia="宋体" w:cs="Times New Roman"/>
                <w:bCs/>
                <w:color w:val="auto"/>
                <w:sz w:val="24"/>
                <w:lang w:val="en-US" w:eastAsia="zh-CN"/>
              </w:rPr>
              <w:t>，则喷淋塔用水量为41m</w:t>
            </w:r>
            <w:r>
              <w:rPr>
                <w:rFonts w:hint="eastAsia" w:ascii="Times New Roman" w:hAnsi="Times New Roman" w:eastAsia="宋体" w:cs="Times New Roman"/>
                <w:bCs/>
                <w:color w:val="auto"/>
                <w:sz w:val="24"/>
                <w:vertAlign w:val="superscript"/>
                <w:lang w:val="en-US" w:eastAsia="zh-CN"/>
              </w:rPr>
              <w:t>3</w:t>
            </w:r>
            <w:r>
              <w:rPr>
                <w:rFonts w:hint="eastAsia" w:ascii="Times New Roman" w:hAnsi="Times New Roman" w:eastAsia="宋体" w:cs="Times New Roman"/>
                <w:bCs/>
                <w:color w:val="auto"/>
                <w:sz w:val="24"/>
                <w:lang w:val="en-US" w:eastAsia="zh-CN"/>
              </w:rPr>
              <w:t>/a</w:t>
            </w:r>
            <w:r>
              <w:rPr>
                <w:rFonts w:hint="eastAsia"/>
                <w:color w:val="auto"/>
                <w:kern w:val="0"/>
                <w:sz w:val="24"/>
                <w:szCs w:val="24"/>
                <w:lang w:eastAsia="zh-CN"/>
              </w:rPr>
              <w:t>（</w:t>
            </w:r>
            <w:r>
              <w:rPr>
                <w:rFonts w:hint="eastAsia"/>
                <w:color w:val="auto"/>
                <w:kern w:val="0"/>
                <w:sz w:val="24"/>
                <w:szCs w:val="24"/>
                <w:lang w:val="en-US" w:eastAsia="zh-CN"/>
              </w:rPr>
              <w:t>日最大用水量2.1</w:t>
            </w:r>
            <w:r>
              <w:rPr>
                <w:rFonts w:hint="default" w:ascii="Times New Roman" w:hAnsi="Times New Roman" w:eastAsia="宋体" w:cs="Times New Roman"/>
                <w:bCs/>
                <w:color w:val="auto"/>
                <w:sz w:val="24"/>
                <w:szCs w:val="24"/>
                <w:lang w:val="en-US" w:eastAsia="zh-CN"/>
              </w:rPr>
              <w:t>m</w:t>
            </w:r>
            <w:r>
              <w:rPr>
                <w:rFonts w:hint="eastAsia"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/d</w:t>
            </w:r>
            <w:r>
              <w:rPr>
                <w:rFonts w:hint="eastAsia"/>
                <w:color w:val="auto"/>
                <w:kern w:val="0"/>
                <w:sz w:val="24"/>
                <w:szCs w:val="24"/>
                <w:lang w:eastAsia="zh-CN"/>
              </w:rPr>
              <w:t>）。</w:t>
            </w:r>
          </w:p>
          <w:p>
            <w:pPr>
              <w:spacing w:line="360" w:lineRule="auto"/>
              <w:ind w:firstLine="482" w:firstLineChars="200"/>
              <w:rPr>
                <w:color w:val="auto"/>
                <w:sz w:val="24"/>
              </w:rPr>
            </w:pPr>
            <w:r>
              <w:rPr>
                <w:rFonts w:hint="eastAsia"/>
                <w:b/>
                <w:color w:val="auto"/>
                <w:sz w:val="24"/>
                <w:lang w:val="en-US" w:eastAsia="zh-CN"/>
              </w:rPr>
              <w:t>4</w:t>
            </w:r>
            <w:r>
              <w:rPr>
                <w:b/>
                <w:color w:val="auto"/>
                <w:sz w:val="24"/>
              </w:rPr>
              <w:t>、排水</w:t>
            </w:r>
          </w:p>
          <w:p>
            <w:pPr>
              <w:pStyle w:val="160"/>
              <w:spacing w:line="360" w:lineRule="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碱喷淋废水经酸碱中和预处理后，</w:t>
            </w:r>
            <w:r>
              <w:rPr>
                <w:rFonts w:hint="eastAsia" w:cs="Times New Roman"/>
                <w:bCs/>
                <w:color w:val="auto"/>
                <w:kern w:val="2"/>
                <w:sz w:val="24"/>
                <w:szCs w:val="24"/>
                <w:lang w:val="en-US" w:eastAsia="zh-CN" w:bidi="ar-SA"/>
              </w:rPr>
              <w:t>和</w:t>
            </w:r>
            <w:r>
              <w:rPr>
                <w:rFonts w:hint="eastAsia" w:ascii="Times New Roman" w:hAnsi="Times New Roman" w:eastAsia="宋体" w:cs="Times New Roman"/>
                <w:bCs/>
                <w:color w:val="auto"/>
                <w:kern w:val="2"/>
                <w:sz w:val="24"/>
                <w:szCs w:val="24"/>
                <w:lang w:val="en-US" w:eastAsia="zh-CN" w:bidi="ar-SA"/>
              </w:rPr>
              <w:t>生活污水一起排入四川翔丰华新能源材料有限公司已建4#预处理池处理后排入园区污水管网。</w:t>
            </w:r>
          </w:p>
          <w:p>
            <w:pPr>
              <w:spacing w:line="360" w:lineRule="auto"/>
              <w:ind w:firstLine="482" w:firstLineChars="200"/>
              <w:rPr>
                <w:rFonts w:hint="eastAsia"/>
                <w:b/>
                <w:color w:val="auto"/>
                <w:sz w:val="24"/>
              </w:rPr>
            </w:pPr>
            <w:r>
              <w:rPr>
                <w:rFonts w:hint="eastAsia"/>
                <w:b/>
                <w:color w:val="auto"/>
                <w:sz w:val="24"/>
              </w:rPr>
              <w:t>（1）生活污水</w:t>
            </w:r>
          </w:p>
          <w:p>
            <w:pPr>
              <w:spacing w:line="360" w:lineRule="auto"/>
              <w:ind w:firstLine="480" w:firstLineChars="200"/>
              <w:rPr>
                <w:rFonts w:hint="eastAsia"/>
                <w:bCs/>
                <w:color w:val="auto"/>
                <w:sz w:val="24"/>
              </w:rPr>
            </w:pPr>
            <w:r>
              <w:rPr>
                <w:rFonts w:hint="eastAsia"/>
                <w:bCs/>
                <w:color w:val="auto"/>
                <w:sz w:val="24"/>
              </w:rPr>
              <w:t>本</w:t>
            </w:r>
            <w:r>
              <w:rPr>
                <w:bCs/>
                <w:color w:val="auto"/>
                <w:sz w:val="24"/>
              </w:rPr>
              <w:t>项目员工</w:t>
            </w:r>
            <w:r>
              <w:rPr>
                <w:rFonts w:hint="eastAsia"/>
                <w:bCs/>
                <w:color w:val="auto"/>
                <w:sz w:val="24"/>
              </w:rPr>
              <w:t>生活</w:t>
            </w:r>
            <w:r>
              <w:rPr>
                <w:bCs/>
                <w:color w:val="auto"/>
                <w:sz w:val="24"/>
              </w:rPr>
              <w:t>日用水量约为</w:t>
            </w:r>
            <w:r>
              <w:rPr>
                <w:rFonts w:hint="eastAsia"/>
                <w:color w:val="auto"/>
                <w:sz w:val="24"/>
                <w:highlight w:val="none"/>
                <w:lang w:val="en-US" w:eastAsia="zh-CN"/>
              </w:rPr>
              <w:t>1.6</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/d</w:t>
            </w:r>
            <w:r>
              <w:rPr>
                <w:rFonts w:hint="eastAsia"/>
                <w:color w:val="auto"/>
                <w:sz w:val="24"/>
                <w:highlight w:val="none"/>
                <w:lang w:eastAsia="zh-CN"/>
              </w:rPr>
              <w:t>（</w:t>
            </w:r>
            <w:r>
              <w:rPr>
                <w:rFonts w:hint="eastAsia" w:ascii="Times New Roman" w:hAnsi="Times New Roman" w:eastAsia="宋体" w:cs="Times New Roman"/>
                <w:color w:val="auto"/>
                <w:kern w:val="0"/>
                <w:sz w:val="24"/>
                <w:szCs w:val="20"/>
                <w:lang w:val="en-US" w:eastAsia="zh-CN" w:bidi="ar-SA"/>
              </w:rPr>
              <w:t>528</w:t>
            </w:r>
            <w:r>
              <w:rPr>
                <w:rFonts w:hint="default" w:ascii="Times New Roman" w:hAnsi="Times New Roman" w:eastAsia="宋体" w:cs="Times New Roman"/>
                <w:color w:val="auto"/>
                <w:kern w:val="0"/>
                <w:sz w:val="24"/>
                <w:szCs w:val="20"/>
                <w:lang w:val="en-US" w:eastAsia="zh-CN" w:bidi="ar-SA"/>
              </w:rPr>
              <w:t>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/a</w:t>
            </w:r>
            <w:r>
              <w:rPr>
                <w:rFonts w:ascii="宋体" w:hAnsi="宋体"/>
                <w:color w:val="auto"/>
                <w:sz w:val="24"/>
              </w:rPr>
              <w:t>）</w:t>
            </w:r>
            <w:r>
              <w:rPr>
                <w:bCs/>
                <w:color w:val="auto"/>
                <w:sz w:val="24"/>
              </w:rPr>
              <w:t>，</w:t>
            </w:r>
            <w:r>
              <w:rPr>
                <w:rFonts w:hint="eastAsia" w:ascii="Times New Roman" w:hAnsi="Times New Roman" w:eastAsia="宋体" w:cs="Times New Roman"/>
                <w:bCs/>
                <w:color w:val="auto"/>
                <w:sz w:val="24"/>
                <w:lang w:val="en-US" w:eastAsia="zh-CN"/>
              </w:rPr>
              <w:t>产污系数</w:t>
            </w:r>
            <w:r>
              <w:rPr>
                <w:rFonts w:hint="default" w:ascii="Times New Roman" w:hAnsi="Times New Roman" w:eastAsia="宋体" w:cs="Times New Roman"/>
                <w:bCs/>
                <w:color w:val="auto"/>
                <w:sz w:val="24"/>
                <w:lang w:val="en-US" w:eastAsia="zh-CN"/>
              </w:rPr>
              <w:t>0.8</w:t>
            </w:r>
            <w:r>
              <w:rPr>
                <w:rFonts w:hint="eastAsia" w:ascii="Times New Roman" w:hAnsi="Times New Roman" w:eastAsia="宋体" w:cs="Times New Roman"/>
                <w:bCs/>
                <w:color w:val="auto"/>
                <w:sz w:val="24"/>
                <w:lang w:val="en-US" w:eastAsia="zh-CN"/>
              </w:rPr>
              <w:t>5计</w:t>
            </w:r>
            <w:r>
              <w:rPr>
                <w:bCs/>
                <w:color w:val="auto"/>
                <w:sz w:val="24"/>
              </w:rPr>
              <w:t>，即</w:t>
            </w:r>
            <w:r>
              <w:rPr>
                <w:rFonts w:hint="eastAsia"/>
                <w:bCs/>
                <w:color w:val="auto"/>
                <w:sz w:val="24"/>
              </w:rPr>
              <w:t>生活污水</w:t>
            </w:r>
            <w:r>
              <w:rPr>
                <w:bCs/>
                <w:color w:val="auto"/>
                <w:sz w:val="24"/>
              </w:rPr>
              <w:t>排放量为</w:t>
            </w:r>
            <w:r>
              <w:rPr>
                <w:rFonts w:hint="eastAsia"/>
                <w:color w:val="auto"/>
                <w:sz w:val="24"/>
                <w:highlight w:val="none"/>
                <w:lang w:val="en-US" w:eastAsia="zh-CN"/>
              </w:rPr>
              <w:t>1.36</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/d</w:t>
            </w:r>
            <w:r>
              <w:rPr>
                <w:rFonts w:hint="eastAsia"/>
                <w:color w:val="auto"/>
                <w:sz w:val="24"/>
                <w:highlight w:val="none"/>
                <w:lang w:eastAsia="zh-CN"/>
              </w:rPr>
              <w:t>（</w:t>
            </w:r>
            <w:r>
              <w:rPr>
                <w:rFonts w:hint="eastAsia"/>
                <w:color w:val="auto"/>
                <w:sz w:val="24"/>
                <w:lang w:val="en-US" w:eastAsia="zh-CN"/>
              </w:rPr>
              <w:t>448.8</w:t>
            </w:r>
            <w:r>
              <w:rPr>
                <w:rFonts w:hint="eastAsia"/>
                <w:bCs/>
                <w:color w:val="auto"/>
                <w:sz w:val="24"/>
              </w:rPr>
              <w:t>m</w:t>
            </w:r>
            <w:r>
              <w:rPr>
                <w:bCs/>
                <w:color w:val="auto"/>
                <w:sz w:val="24"/>
                <w:vertAlign w:val="superscript"/>
              </w:rPr>
              <w:t>3</w:t>
            </w:r>
            <w:r>
              <w:rPr>
                <w:bCs/>
                <w:color w:val="auto"/>
                <w:sz w:val="24"/>
              </w:rPr>
              <w:t>/a</w:t>
            </w:r>
            <w:r>
              <w:rPr>
                <w:rFonts w:hint="eastAsia"/>
                <w:color w:val="auto"/>
                <w:sz w:val="24"/>
                <w:highlight w:val="none"/>
                <w:lang w:eastAsia="zh-CN"/>
              </w:rPr>
              <w:t>）</w:t>
            </w:r>
            <w:r>
              <w:rPr>
                <w:rFonts w:hint="eastAsia"/>
                <w:bCs/>
                <w:color w:val="auto"/>
                <w:sz w:val="24"/>
              </w:rPr>
              <w:t>。</w:t>
            </w:r>
          </w:p>
          <w:p>
            <w:pPr>
              <w:pStyle w:val="2"/>
              <w:keepLines w:val="0"/>
              <w:pageBreakBefore w:val="0"/>
              <w:widowControl w:val="0"/>
              <w:kinsoku/>
              <w:wordWrap/>
              <w:topLinePunct w:val="0"/>
              <w:autoSpaceDE/>
              <w:autoSpaceDN/>
              <w:bidi w:val="0"/>
              <w:adjustRightInd/>
              <w:spacing w:before="0" w:after="0" w:line="360" w:lineRule="auto"/>
              <w:ind w:left="0" w:firstLine="482" w:firstLineChars="200"/>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（2）碱喷淋废水</w:t>
            </w:r>
          </w:p>
          <w:p>
            <w:pPr>
              <w:keepLines w:val="0"/>
              <w:pageBreakBefore w:val="0"/>
              <w:widowControl w:val="0"/>
              <w:kinsoku/>
              <w:wordWrap/>
              <w:topLinePunct w:val="0"/>
              <w:autoSpaceDE/>
              <w:autoSpaceDN/>
              <w:bidi w:val="0"/>
              <w:adjustRightInd/>
              <w:spacing w:line="360" w:lineRule="auto"/>
              <w:ind w:firstLine="480" w:firstLineChars="200"/>
              <w:textAlignment w:val="auto"/>
              <w:rPr>
                <w:rFonts w:hint="eastAsia"/>
                <w:color w:val="auto"/>
                <w:sz w:val="24"/>
                <w:szCs w:val="24"/>
              </w:rPr>
            </w:pPr>
            <w:r>
              <w:rPr>
                <w:rFonts w:hint="eastAsia" w:ascii="Times New Roman" w:hAnsi="Times New Roman" w:eastAsia="宋体"/>
                <w:color w:val="auto"/>
                <w:kern w:val="0"/>
                <w:sz w:val="24"/>
                <w:szCs w:val="24"/>
              </w:rPr>
              <w:t>本项目共设置2座碱液喷淋塔，喷淋塔中碱液配置完成后定期补水和碱剂循环使用，喷淋塔每日补水量约为0.</w:t>
            </w:r>
            <w:r>
              <w:rPr>
                <w:rFonts w:hint="eastAsia" w:ascii="Times New Roman" w:hAnsi="Times New Roman" w:eastAsia="宋体"/>
                <w:color w:val="auto"/>
                <w:kern w:val="0"/>
                <w:sz w:val="24"/>
                <w:szCs w:val="24"/>
                <w:lang w:val="en-US" w:eastAsia="zh-CN"/>
              </w:rPr>
              <w:t>1</w:t>
            </w:r>
            <w:r>
              <w:rPr>
                <w:rFonts w:hint="eastAsia" w:ascii="Times New Roman" w:hAnsi="Times New Roman" w:eastAsia="宋体"/>
                <w:color w:val="auto"/>
                <w:kern w:val="0"/>
                <w:sz w:val="24"/>
                <w:szCs w:val="24"/>
              </w:rPr>
              <w:t>m</w:t>
            </w:r>
            <w:r>
              <w:rPr>
                <w:rFonts w:hint="eastAsia" w:ascii="Times New Roman" w:hAnsi="Times New Roman" w:eastAsia="宋体"/>
                <w:color w:val="auto"/>
                <w:kern w:val="0"/>
                <w:sz w:val="24"/>
                <w:szCs w:val="24"/>
                <w:vertAlign w:val="superscript"/>
              </w:rPr>
              <w:t>3</w:t>
            </w:r>
            <w:r>
              <w:rPr>
                <w:rFonts w:hint="eastAsia" w:ascii="Times New Roman" w:hAnsi="Times New Roman" w:eastAsia="宋体"/>
                <w:color w:val="auto"/>
                <w:kern w:val="0"/>
                <w:sz w:val="24"/>
                <w:szCs w:val="24"/>
              </w:rPr>
              <w:t>，</w:t>
            </w:r>
            <w:r>
              <w:rPr>
                <w:rFonts w:hint="eastAsia" w:ascii="Times New Roman" w:hAnsi="Times New Roman" w:eastAsia="宋体" w:cs="Times New Roman"/>
                <w:color w:val="auto"/>
                <w:kern w:val="0"/>
                <w:sz w:val="24"/>
                <w:szCs w:val="24"/>
                <w:lang w:val="en-US" w:eastAsia="zh-CN"/>
              </w:rPr>
              <w:t>碱喷淋废水</w:t>
            </w:r>
            <w:r>
              <w:rPr>
                <w:rFonts w:hint="eastAsia" w:ascii="Times New Roman" w:hAnsi="Times New Roman" w:eastAsia="宋体"/>
                <w:color w:val="auto"/>
                <w:kern w:val="0"/>
                <w:sz w:val="24"/>
                <w:szCs w:val="24"/>
              </w:rPr>
              <w:t>每</w:t>
            </w:r>
            <w:r>
              <w:rPr>
                <w:rFonts w:hint="eastAsia" w:ascii="Times New Roman" w:hAnsi="Times New Roman" w:eastAsia="宋体"/>
                <w:color w:val="auto"/>
                <w:kern w:val="0"/>
                <w:sz w:val="24"/>
                <w:szCs w:val="24"/>
                <w:lang w:val="en-US" w:eastAsia="zh-CN"/>
              </w:rPr>
              <w:t>季度</w:t>
            </w:r>
            <w:r>
              <w:rPr>
                <w:rFonts w:hint="eastAsia" w:ascii="Times New Roman" w:hAnsi="Times New Roman" w:eastAsia="宋体"/>
                <w:color w:val="auto"/>
                <w:kern w:val="0"/>
                <w:sz w:val="24"/>
                <w:szCs w:val="24"/>
              </w:rPr>
              <w:t>整体更换1次，每次更换量为</w:t>
            </w:r>
            <w:r>
              <w:rPr>
                <w:rFonts w:hint="eastAsia" w:ascii="Times New Roman" w:hAnsi="Times New Roman" w:eastAsia="宋体"/>
                <w:color w:val="auto"/>
                <w:kern w:val="0"/>
                <w:sz w:val="24"/>
                <w:szCs w:val="24"/>
                <w:lang w:val="en-US" w:eastAsia="zh-CN"/>
              </w:rPr>
              <w:t>2</w:t>
            </w:r>
            <w:r>
              <w:rPr>
                <w:rFonts w:hint="eastAsia" w:ascii="Times New Roman" w:hAnsi="Times New Roman" w:eastAsia="宋体"/>
                <w:color w:val="auto"/>
                <w:kern w:val="0"/>
                <w:sz w:val="24"/>
                <w:szCs w:val="24"/>
              </w:rPr>
              <w:t>m</w:t>
            </w:r>
            <w:r>
              <w:rPr>
                <w:rFonts w:hint="eastAsia" w:ascii="Times New Roman" w:hAnsi="Times New Roman" w:eastAsia="宋体"/>
                <w:color w:val="auto"/>
                <w:kern w:val="0"/>
                <w:sz w:val="24"/>
                <w:szCs w:val="24"/>
                <w:vertAlign w:val="superscript"/>
              </w:rPr>
              <w:t>3</w:t>
            </w:r>
            <w:r>
              <w:rPr>
                <w:rFonts w:hint="eastAsia" w:ascii="Times New Roman" w:hAnsi="Times New Roman" w:eastAsia="宋体"/>
                <w:color w:val="auto"/>
                <w:kern w:val="0"/>
                <w:sz w:val="24"/>
                <w:szCs w:val="24"/>
              </w:rPr>
              <w:t>，</w:t>
            </w:r>
            <w:r>
              <w:rPr>
                <w:rFonts w:hint="eastAsia" w:ascii="Times New Roman" w:hAnsi="Times New Roman" w:eastAsia="宋体" w:cs="Times New Roman"/>
                <w:color w:val="auto"/>
                <w:kern w:val="0"/>
                <w:sz w:val="24"/>
                <w:szCs w:val="24"/>
                <w:lang w:val="en-US" w:eastAsia="zh-CN"/>
              </w:rPr>
              <w:t>碱喷淋废水排放</w:t>
            </w:r>
            <w:r>
              <w:rPr>
                <w:rFonts w:hint="eastAsia"/>
                <w:color w:val="auto"/>
                <w:kern w:val="0"/>
                <w:sz w:val="24"/>
                <w:szCs w:val="24"/>
              </w:rPr>
              <w:t>量为</w:t>
            </w:r>
            <w:r>
              <w:rPr>
                <w:rFonts w:hint="eastAsia"/>
                <w:color w:val="auto"/>
                <w:kern w:val="0"/>
                <w:sz w:val="24"/>
                <w:szCs w:val="24"/>
                <w:lang w:val="en-US" w:eastAsia="zh-CN"/>
              </w:rPr>
              <w:t>8</w:t>
            </w:r>
            <w:r>
              <w:rPr>
                <w:rFonts w:hint="eastAsia"/>
                <w:color w:val="auto"/>
                <w:kern w:val="0"/>
                <w:sz w:val="24"/>
                <w:szCs w:val="24"/>
              </w:rPr>
              <w:t>m</w:t>
            </w:r>
            <w:r>
              <w:rPr>
                <w:rFonts w:hint="eastAsia"/>
                <w:color w:val="auto"/>
                <w:kern w:val="0"/>
                <w:sz w:val="24"/>
                <w:szCs w:val="24"/>
                <w:vertAlign w:val="superscript"/>
              </w:rPr>
              <w:t>3</w:t>
            </w:r>
            <w:r>
              <w:rPr>
                <w:rFonts w:hint="eastAsia"/>
                <w:color w:val="auto"/>
                <w:kern w:val="0"/>
                <w:sz w:val="24"/>
                <w:szCs w:val="24"/>
              </w:rPr>
              <w:t>/a</w:t>
            </w:r>
            <w:r>
              <w:rPr>
                <w:rFonts w:hint="eastAsia"/>
                <w:color w:val="auto"/>
                <w:kern w:val="0"/>
                <w:sz w:val="24"/>
                <w:szCs w:val="24"/>
                <w:lang w:eastAsia="zh-CN"/>
              </w:rPr>
              <w:t>（</w:t>
            </w:r>
            <w:r>
              <w:rPr>
                <w:rFonts w:hint="eastAsia"/>
                <w:color w:val="auto"/>
                <w:kern w:val="0"/>
                <w:sz w:val="24"/>
                <w:szCs w:val="24"/>
                <w:lang w:val="en-US" w:eastAsia="zh-CN"/>
              </w:rPr>
              <w:t>日最大排水量2</w:t>
            </w:r>
            <w:r>
              <w:rPr>
                <w:rFonts w:hint="default" w:ascii="Times New Roman" w:hAnsi="Times New Roman" w:eastAsia="宋体" w:cs="Times New Roman"/>
                <w:bCs/>
                <w:color w:val="auto"/>
                <w:sz w:val="24"/>
                <w:szCs w:val="24"/>
                <w:lang w:val="en-US" w:eastAsia="zh-CN"/>
              </w:rPr>
              <w:t>m</w:t>
            </w:r>
            <w:r>
              <w:rPr>
                <w:rFonts w:hint="eastAsia"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/d</w:t>
            </w:r>
            <w:r>
              <w:rPr>
                <w:rFonts w:hint="eastAsia"/>
                <w:color w:val="auto"/>
                <w:kern w:val="0"/>
                <w:sz w:val="24"/>
                <w:szCs w:val="24"/>
                <w:lang w:eastAsia="zh-CN"/>
              </w:rPr>
              <w:t>）。</w:t>
            </w:r>
          </w:p>
          <w:p>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六</w:t>
            </w:r>
            <w:r>
              <w:rPr>
                <w:rFonts w:hint="default" w:ascii="Times New Roman" w:hAnsi="Times New Roman" w:eastAsia="宋体" w:cs="Times New Roman"/>
                <w:b/>
                <w:color w:val="auto"/>
                <w:sz w:val="24"/>
              </w:rPr>
              <w:t>、水平衡</w:t>
            </w:r>
          </w:p>
          <w:p>
            <w:pPr>
              <w:spacing w:line="360" w:lineRule="auto"/>
              <w:ind w:firstLine="480" w:firstLineChars="200"/>
              <w:rPr>
                <w:rFonts w:hint="default" w:ascii="Times New Roman" w:hAnsi="Times New Roman" w:cs="Times New Roman"/>
                <w:b/>
                <w:color w:val="auto"/>
                <w:sz w:val="24"/>
                <w:szCs w:val="24"/>
              </w:rPr>
            </w:pPr>
            <w:r>
              <w:rPr>
                <w:rFonts w:hint="default" w:ascii="Times New Roman" w:hAnsi="Times New Roman" w:cs="Times New Roman"/>
                <w:bCs/>
                <w:color w:val="auto"/>
                <w:sz w:val="24"/>
                <w:szCs w:val="24"/>
              </w:rPr>
              <w:t>本项目用排水情况一览表见下表。</w:t>
            </w:r>
          </w:p>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表2-</w:t>
            </w:r>
            <w:r>
              <w:rPr>
                <w:rFonts w:hint="eastAsia" w:ascii="Times New Roman" w:hAnsi="Times New Roman" w:cs="Times New Roman"/>
                <w:b/>
                <w:color w:val="auto"/>
                <w:sz w:val="21"/>
                <w:szCs w:val="21"/>
                <w:lang w:val="en-US" w:eastAsia="zh-CN"/>
              </w:rPr>
              <w:t>8</w:t>
            </w:r>
            <w:r>
              <w:rPr>
                <w:rFonts w:hint="default"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val="en-US" w:eastAsia="zh-CN"/>
              </w:rPr>
              <w:t>本</w:t>
            </w:r>
            <w:r>
              <w:rPr>
                <w:rFonts w:hint="default" w:ascii="Times New Roman" w:hAnsi="Times New Roman" w:cs="Times New Roman"/>
                <w:b/>
                <w:color w:val="auto"/>
                <w:sz w:val="21"/>
                <w:szCs w:val="21"/>
              </w:rPr>
              <w:t>项目用排水情况一览表</w:t>
            </w:r>
          </w:p>
          <w:tbl>
            <w:tblPr>
              <w:tblStyle w:val="36"/>
              <w:tblW w:w="80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735"/>
              <w:gridCol w:w="390"/>
              <w:gridCol w:w="735"/>
              <w:gridCol w:w="660"/>
              <w:gridCol w:w="780"/>
              <w:gridCol w:w="921"/>
              <w:gridCol w:w="660"/>
              <w:gridCol w:w="652"/>
              <w:gridCol w:w="653"/>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6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类型</w:t>
                  </w:r>
                </w:p>
              </w:tc>
              <w:tc>
                <w:tcPr>
                  <w:tcW w:w="3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日最大容量</w:t>
                  </w:r>
                </w:p>
              </w:tc>
              <w:tc>
                <w:tcPr>
                  <w:tcW w:w="6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用水标准</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最大日用水量（m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9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年</w:t>
                  </w:r>
                  <w:r>
                    <w:rPr>
                      <w:rFonts w:hint="default" w:ascii="Times New Roman" w:hAnsi="Times New Roman" w:cs="Times New Roman"/>
                      <w:b/>
                      <w:bCs/>
                      <w:color w:val="auto"/>
                      <w:sz w:val="21"/>
                      <w:szCs w:val="21"/>
                    </w:rPr>
                    <w:t>用水量（m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6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排放系数</w:t>
                  </w:r>
                </w:p>
              </w:tc>
              <w:tc>
                <w:tcPr>
                  <w:tcW w:w="6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w:t>
                  </w:r>
                  <w:r>
                    <w:rPr>
                      <w:rFonts w:hint="eastAsia" w:ascii="Times New Roman" w:hAnsi="Times New Roman" w:cs="Times New Roman"/>
                      <w:b/>
                      <w:bCs/>
                      <w:color w:val="auto"/>
                      <w:sz w:val="21"/>
                      <w:szCs w:val="21"/>
                      <w:lang w:val="en-US" w:eastAsia="zh-CN"/>
                    </w:rPr>
                    <w:t>最大</w:t>
                  </w:r>
                  <w:r>
                    <w:rPr>
                      <w:rFonts w:hint="default" w:ascii="Times New Roman" w:hAnsi="Times New Roman" w:cs="Times New Roman"/>
                      <w:b/>
                      <w:bCs/>
                      <w:color w:val="auto"/>
                      <w:sz w:val="21"/>
                      <w:szCs w:val="21"/>
                    </w:rPr>
                    <w:t>排水量（m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6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年排</w:t>
                  </w:r>
                  <w:r>
                    <w:rPr>
                      <w:rFonts w:hint="default" w:ascii="Times New Roman" w:hAnsi="Times New Roman" w:cs="Times New Roman"/>
                      <w:b/>
                      <w:bCs/>
                      <w:color w:val="auto"/>
                      <w:sz w:val="21"/>
                      <w:szCs w:val="21"/>
                    </w:rPr>
                    <w:t>水量（m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5" w:hRule="atLeast"/>
                <w:jc w:val="center"/>
              </w:trPr>
              <w:tc>
                <w:tcPr>
                  <w:tcW w:w="6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用水</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办公生活</w:t>
                  </w:r>
                </w:p>
              </w:tc>
              <w:tc>
                <w:tcPr>
                  <w:tcW w:w="3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0L/人·d</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9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528</w:t>
                  </w:r>
                </w:p>
              </w:tc>
              <w:tc>
                <w:tcPr>
                  <w:tcW w:w="6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85%</w:t>
                  </w:r>
                </w:p>
              </w:tc>
              <w:tc>
                <w:tcPr>
                  <w:tcW w:w="6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1.36</w:t>
                  </w:r>
                </w:p>
              </w:tc>
              <w:tc>
                <w:tcPr>
                  <w:tcW w:w="6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448.8</w:t>
                  </w:r>
                </w:p>
              </w:tc>
              <w:tc>
                <w:tcPr>
                  <w:tcW w:w="1186" w:type="dxa"/>
                  <w:vMerge w:val="restart"/>
                  <w:tcBorders>
                    <w:top w:val="single" w:color="auto" w:sz="4" w:space="0"/>
                    <w:left w:val="single" w:color="auto" w:sz="4" w:space="0"/>
                    <w:right w:val="single" w:color="auto" w:sz="4" w:space="0"/>
                  </w:tcBorders>
                  <w:noWrap w:val="0"/>
                  <w:vAlign w:val="center"/>
                </w:tcPr>
                <w:p>
                  <w:pPr>
                    <w:pStyle w:val="11"/>
                    <w:spacing w:before="0" w:after="0" w:line="240" w:lineRule="auto"/>
                    <w:ind w:right="0"/>
                    <w:jc w:val="center"/>
                    <w:rPr>
                      <w:rFonts w:hint="default" w:ascii="Times New Roman" w:hAnsi="Times New Roman" w:cs="Times New Roman"/>
                      <w:color w:val="auto"/>
                      <w:sz w:val="21"/>
                      <w:szCs w:val="21"/>
                    </w:rPr>
                  </w:pPr>
                  <w:r>
                    <w:rPr>
                      <w:rFonts w:hint="eastAsia" w:ascii="Times New Roman" w:hAnsi="Times New Roman" w:eastAsia="宋体" w:cs="Times New Roman"/>
                      <w:bCs/>
                      <w:color w:val="auto"/>
                      <w:kern w:val="2"/>
                      <w:sz w:val="21"/>
                      <w:szCs w:val="21"/>
                      <w:lang w:val="en-US" w:eastAsia="zh-CN" w:bidi="ar-SA"/>
                    </w:rPr>
                    <w:t>碱喷淋废水经酸碱中和预处理后，</w:t>
                  </w:r>
                  <w:r>
                    <w:rPr>
                      <w:rFonts w:hint="eastAsia" w:cs="Times New Roman"/>
                      <w:bCs/>
                      <w:color w:val="auto"/>
                      <w:kern w:val="2"/>
                      <w:sz w:val="21"/>
                      <w:szCs w:val="21"/>
                      <w:lang w:val="en-US" w:eastAsia="zh-CN" w:bidi="ar-SA"/>
                    </w:rPr>
                    <w:t>和</w:t>
                  </w:r>
                  <w:r>
                    <w:rPr>
                      <w:rFonts w:hint="eastAsia" w:ascii="Times New Roman" w:hAnsi="Times New Roman" w:eastAsia="宋体" w:cs="Times New Roman"/>
                      <w:bCs/>
                      <w:color w:val="auto"/>
                      <w:kern w:val="2"/>
                      <w:sz w:val="21"/>
                      <w:szCs w:val="21"/>
                      <w:lang w:val="en-US" w:eastAsia="zh-CN" w:bidi="ar-SA"/>
                    </w:rPr>
                    <w:t>生活污水一起排入四川翔丰华新能源材料有限公司已建4#预处理池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5" w:hRule="atLeast"/>
                <w:jc w:val="center"/>
              </w:trPr>
              <w:tc>
                <w:tcPr>
                  <w:tcW w:w="64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碱液</w:t>
                  </w:r>
                  <w:r>
                    <w:rPr>
                      <w:rFonts w:hint="eastAsia" w:ascii="Times New Roman" w:hAnsi="Times New Roman" w:eastAsia="宋体"/>
                      <w:color w:val="auto"/>
                      <w:kern w:val="0"/>
                      <w:sz w:val="21"/>
                      <w:szCs w:val="21"/>
                      <w:lang w:bidi="ar"/>
                    </w:rPr>
                    <w:t>喷淋塔用水</w:t>
                  </w:r>
                </w:p>
              </w:tc>
              <w:tc>
                <w:tcPr>
                  <w:tcW w:w="735" w:type="dxa"/>
                  <w:tcBorders>
                    <w:top w:val="single" w:color="auto" w:sz="4" w:space="0"/>
                    <w:left w:val="single" w:color="auto" w:sz="4" w:space="0"/>
                    <w:bottom w:val="single" w:color="auto" w:sz="4" w:space="0"/>
                    <w:right w:val="single" w:color="auto" w:sz="4" w:space="0"/>
                  </w:tcBorders>
                  <w:noWrap w:val="0"/>
                  <w:vAlign w:val="center"/>
                </w:tcPr>
                <w:p>
                  <w:pPr>
                    <w:pStyle w:val="35"/>
                    <w:spacing w:after="0"/>
                    <w:ind w:left="0" w:leftChars="0" w:firstLine="0" w:firstLineChars="0"/>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废气处理</w:t>
                  </w:r>
                </w:p>
              </w:tc>
              <w:tc>
                <w:tcPr>
                  <w:tcW w:w="1785"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val="0"/>
                      <w:bCs w:val="0"/>
                      <w:color w:val="auto"/>
                      <w:sz w:val="21"/>
                      <w:szCs w:val="21"/>
                      <w:lang w:val="en-US" w:eastAsia="zh-CN"/>
                    </w:rPr>
                  </w:pPr>
                  <w:r>
                    <w:rPr>
                      <w:rFonts w:hint="eastAsia" w:ascii="Times New Roman" w:hAnsi="Times New Roman" w:eastAsia="宋体"/>
                      <w:color w:val="auto"/>
                      <w:sz w:val="21"/>
                      <w:szCs w:val="21"/>
                    </w:rPr>
                    <w:t>2座喷淋塔配置碱性溶液</w:t>
                  </w:r>
                  <w:r>
                    <w:rPr>
                      <w:rFonts w:hint="eastAsia" w:ascii="Times New Roman" w:hAnsi="Times New Roman" w:eastAsia="宋体"/>
                      <w:color w:val="auto"/>
                      <w:sz w:val="21"/>
                      <w:szCs w:val="21"/>
                      <w:lang w:val="en-US" w:eastAsia="zh-CN"/>
                    </w:rPr>
                    <w:t>2</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3</w:t>
                  </w:r>
                  <w:r>
                    <w:rPr>
                      <w:rFonts w:hint="eastAsia" w:ascii="Times New Roman" w:hAnsi="Times New Roman" w:eastAsia="宋体"/>
                      <w:color w:val="auto"/>
                      <w:sz w:val="21"/>
                      <w:szCs w:val="21"/>
                    </w:rPr>
                    <w:t>，每日补水约0.</w:t>
                  </w:r>
                  <w:r>
                    <w:rPr>
                      <w:rFonts w:hint="eastAsia" w:ascii="Times New Roman" w:hAnsi="Times New Roman" w:eastAsia="宋体"/>
                      <w:color w:val="auto"/>
                      <w:sz w:val="21"/>
                      <w:szCs w:val="21"/>
                      <w:lang w:val="en-US" w:eastAsia="zh-CN"/>
                    </w:rPr>
                    <w:t>1</w:t>
                  </w:r>
                  <w:r>
                    <w:rPr>
                      <w:rFonts w:hint="eastAsia" w:ascii="Times New Roman" w:hAnsi="Times New Roman" w:eastAsia="宋体"/>
                      <w:color w:val="auto"/>
                      <w:sz w:val="21"/>
                      <w:szCs w:val="21"/>
                    </w:rPr>
                    <w:t>m</w:t>
                  </w:r>
                  <w:r>
                    <w:rPr>
                      <w:rFonts w:hint="eastAsia" w:ascii="Times New Roman" w:hAnsi="Times New Roman" w:eastAsia="宋体"/>
                      <w:color w:val="auto"/>
                      <w:sz w:val="21"/>
                      <w:szCs w:val="21"/>
                      <w:vertAlign w:val="superscript"/>
                    </w:rPr>
                    <w:t>3</w:t>
                  </w:r>
                  <w:r>
                    <w:rPr>
                      <w:rFonts w:hint="eastAsia" w:ascii="Times New Roman" w:hAnsi="Times New Roman" w:eastAsia="宋体"/>
                      <w:color w:val="auto"/>
                      <w:sz w:val="21"/>
                      <w:szCs w:val="21"/>
                    </w:rPr>
                    <w:t>，每</w:t>
                  </w:r>
                  <w:r>
                    <w:rPr>
                      <w:rFonts w:hint="eastAsia" w:ascii="Times New Roman" w:hAnsi="Times New Roman" w:eastAsia="宋体"/>
                      <w:color w:val="auto"/>
                      <w:sz w:val="21"/>
                      <w:szCs w:val="21"/>
                      <w:lang w:val="en-US" w:eastAsia="zh-CN"/>
                    </w:rPr>
                    <w:t>季度</w:t>
                  </w:r>
                  <w:r>
                    <w:rPr>
                      <w:rFonts w:hint="eastAsia" w:ascii="Times New Roman" w:hAnsi="Times New Roman" w:eastAsia="宋体"/>
                      <w:color w:val="auto"/>
                      <w:sz w:val="21"/>
                      <w:szCs w:val="21"/>
                    </w:rPr>
                    <w:t>整体更换1次</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2.1</w:t>
                  </w:r>
                </w:p>
              </w:tc>
              <w:tc>
                <w:tcPr>
                  <w:tcW w:w="9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41</w:t>
                  </w:r>
                </w:p>
              </w:tc>
              <w:tc>
                <w:tcPr>
                  <w:tcW w:w="6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cs="Times New Roman"/>
                      <w:b w:val="0"/>
                      <w:bCs w:val="0"/>
                      <w:color w:val="auto"/>
                      <w:sz w:val="21"/>
                      <w:szCs w:val="21"/>
                      <w:lang w:val="en-US" w:eastAsia="zh-CN"/>
                    </w:rPr>
                  </w:pPr>
                  <w:r>
                    <w:rPr>
                      <w:rFonts w:hint="eastAsia"/>
                      <w:color w:val="auto"/>
                      <w:sz w:val="21"/>
                      <w:szCs w:val="21"/>
                    </w:rPr>
                    <w:t>/</w:t>
                  </w:r>
                </w:p>
              </w:tc>
              <w:tc>
                <w:tcPr>
                  <w:tcW w:w="6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color w:val="auto"/>
                      <w:sz w:val="21"/>
                      <w:szCs w:val="21"/>
                      <w:lang w:val="en-US" w:eastAsia="zh-CN"/>
                    </w:rPr>
                    <w:t>2</w:t>
                  </w:r>
                </w:p>
              </w:tc>
              <w:tc>
                <w:tcPr>
                  <w:tcW w:w="6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eastAsia="宋体"/>
                      <w:color w:val="auto"/>
                      <w:sz w:val="21"/>
                      <w:szCs w:val="21"/>
                      <w:lang w:val="en-US" w:eastAsia="zh-CN"/>
                    </w:rPr>
                    <w:t>8</w:t>
                  </w:r>
                </w:p>
              </w:tc>
              <w:tc>
                <w:tcPr>
                  <w:tcW w:w="1186"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val="0"/>
                      <w:bCs w:val="0"/>
                      <w:color w:val="auto"/>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jc w:val="center"/>
              </w:trPr>
              <w:tc>
                <w:tcPr>
                  <w:tcW w:w="3163"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szCs w:val="21"/>
                    </w:rPr>
                  </w:pPr>
                  <w:r>
                    <w:rPr>
                      <w:bCs/>
                      <w:color w:val="auto"/>
                      <w:szCs w:val="21"/>
                    </w:rPr>
                    <w:t>合计</w:t>
                  </w:r>
                </w:p>
              </w:tc>
              <w:tc>
                <w:tcPr>
                  <w:tcW w:w="7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3.7</w:t>
                  </w:r>
                </w:p>
              </w:tc>
              <w:tc>
                <w:tcPr>
                  <w:tcW w:w="9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569</w:t>
                  </w:r>
                </w:p>
              </w:tc>
              <w:tc>
                <w:tcPr>
                  <w:tcW w:w="66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szCs w:val="21"/>
                    </w:rPr>
                  </w:pPr>
                  <w:r>
                    <w:rPr>
                      <w:rFonts w:hint="eastAsia"/>
                      <w:color w:val="auto"/>
                      <w:szCs w:val="21"/>
                    </w:rPr>
                    <w:t>/</w:t>
                  </w:r>
                </w:p>
              </w:tc>
              <w:tc>
                <w:tcPr>
                  <w:tcW w:w="6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3.36</w:t>
                  </w:r>
                </w:p>
              </w:tc>
              <w:tc>
                <w:tcPr>
                  <w:tcW w:w="6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456.8</w:t>
                  </w:r>
                </w:p>
              </w:tc>
              <w:tc>
                <w:tcPr>
                  <w:tcW w:w="1186" w:type="dxa"/>
                  <w:tcBorders>
                    <w:top w:val="single" w:color="auto" w:sz="4" w:space="0"/>
                    <w:left w:val="single" w:color="auto" w:sz="4" w:space="0"/>
                    <w:right w:val="single" w:color="auto" w:sz="4" w:space="0"/>
                  </w:tcBorders>
                  <w:noWrap w:val="0"/>
                  <w:vAlign w:val="center"/>
                </w:tcPr>
                <w:p>
                  <w:pPr>
                    <w:jc w:val="center"/>
                    <w:rPr>
                      <w:color w:val="auto"/>
                      <w:szCs w:val="21"/>
                    </w:rPr>
                  </w:pPr>
                  <w:r>
                    <w:rPr>
                      <w:rFonts w:hint="eastAsia"/>
                      <w:color w:val="auto"/>
                      <w:szCs w:val="21"/>
                    </w:rPr>
                    <w:t>/</w:t>
                  </w:r>
                </w:p>
              </w:tc>
            </w:tr>
          </w:tbl>
          <w:p>
            <w:pPr>
              <w:spacing w:line="360" w:lineRule="auto"/>
              <w:ind w:firstLine="480" w:firstLineChars="200"/>
              <w:rPr>
                <w:rFonts w:hint="eastAsia"/>
                <w:b/>
                <w:color w:val="auto"/>
                <w:sz w:val="24"/>
              </w:rPr>
            </w:pPr>
            <w:r>
              <w:rPr>
                <w:rFonts w:hint="eastAsia"/>
                <w:bCs/>
                <w:color w:val="auto"/>
                <w:sz w:val="24"/>
              </w:rPr>
              <w:t>本项目水平衡图见下图：</w:t>
            </w:r>
          </w:p>
          <w:p>
            <w:pPr>
              <w:spacing w:line="360" w:lineRule="auto"/>
              <w:rPr>
                <w:rFonts w:hint="eastAsia"/>
                <w:b/>
                <w:color w:val="auto"/>
                <w:sz w:val="24"/>
              </w:rPr>
            </w:pPr>
            <w:r>
              <w:rPr>
                <w:color w:val="auto"/>
              </w:rPr>
              <w:drawing>
                <wp:inline distT="0" distB="0" distL="114300" distR="114300">
                  <wp:extent cx="5039995" cy="1182370"/>
                  <wp:effectExtent l="0" t="0" r="8255" b="17780"/>
                  <wp:docPr id="33"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5"/>
                          <pic:cNvPicPr>
                            <a:picLocks noChangeAspect="1"/>
                          </pic:cNvPicPr>
                        </pic:nvPicPr>
                        <pic:blipFill>
                          <a:blip r:embed="rId13"/>
                          <a:stretch>
                            <a:fillRect/>
                          </a:stretch>
                        </pic:blipFill>
                        <pic:spPr>
                          <a:xfrm>
                            <a:off x="0" y="0"/>
                            <a:ext cx="5039995" cy="1182370"/>
                          </a:xfrm>
                          <a:prstGeom prst="rect">
                            <a:avLst/>
                          </a:prstGeom>
                          <a:noFill/>
                          <a:ln>
                            <a:noFill/>
                          </a:ln>
                        </pic:spPr>
                      </pic:pic>
                    </a:graphicData>
                  </a:graphic>
                </wp:inline>
              </w:drawing>
            </w:r>
          </w:p>
          <w:p>
            <w:pPr>
              <w:spacing w:line="360" w:lineRule="auto"/>
              <w:jc w:val="center"/>
              <w:rPr>
                <w:rFonts w:hint="eastAsia"/>
                <w:b/>
                <w:color w:val="auto"/>
                <w:sz w:val="21"/>
                <w:szCs w:val="21"/>
              </w:rPr>
            </w:pPr>
            <w:r>
              <w:rPr>
                <w:b/>
                <w:bCs/>
                <w:color w:val="auto"/>
                <w:szCs w:val="21"/>
              </w:rPr>
              <w:t>图2-</w:t>
            </w:r>
            <w:r>
              <w:rPr>
                <w:rFonts w:hint="eastAsia"/>
                <w:b/>
                <w:bCs/>
                <w:color w:val="auto"/>
                <w:szCs w:val="21"/>
              </w:rPr>
              <w:t>1</w:t>
            </w:r>
            <w:r>
              <w:rPr>
                <w:b/>
                <w:bCs/>
                <w:color w:val="auto"/>
                <w:szCs w:val="21"/>
              </w:rPr>
              <w:t xml:space="preserve"> </w:t>
            </w:r>
            <w:r>
              <w:rPr>
                <w:rFonts w:hint="eastAsia"/>
                <w:b/>
                <w:bCs/>
                <w:color w:val="auto"/>
                <w:szCs w:val="21"/>
              </w:rPr>
              <w:t>本项目水平衡</w:t>
            </w:r>
            <w:r>
              <w:rPr>
                <w:b/>
                <w:bCs/>
                <w:color w:val="auto"/>
                <w:szCs w:val="21"/>
              </w:rPr>
              <w:t>图</w:t>
            </w:r>
            <w:r>
              <w:rPr>
                <w:rFonts w:hint="eastAsia"/>
                <w:b/>
                <w:bCs/>
                <w:color w:val="auto"/>
                <w:szCs w:val="21"/>
              </w:rPr>
              <w:t>（m</w:t>
            </w:r>
            <w:r>
              <w:rPr>
                <w:rFonts w:hint="eastAsia"/>
                <w:b/>
                <w:bCs/>
                <w:color w:val="auto"/>
                <w:szCs w:val="21"/>
                <w:vertAlign w:val="superscript"/>
              </w:rPr>
              <w:t>3</w:t>
            </w:r>
            <w:r>
              <w:rPr>
                <w:rFonts w:hint="eastAsia"/>
                <w:b/>
                <w:bCs/>
                <w:color w:val="auto"/>
                <w:szCs w:val="21"/>
              </w:rPr>
              <w:t>/</w:t>
            </w:r>
            <w:r>
              <w:rPr>
                <w:rFonts w:hint="eastAsia"/>
                <w:b/>
                <w:bCs/>
                <w:color w:val="auto"/>
                <w:szCs w:val="21"/>
                <w:lang w:val="en-US" w:eastAsia="zh-CN"/>
              </w:rPr>
              <w:t>a</w:t>
            </w:r>
            <w:r>
              <w:rPr>
                <w:rFonts w:hint="eastAsia"/>
                <w:b/>
                <w:bCs/>
                <w:color w:val="auto"/>
                <w:szCs w:val="21"/>
              </w:rPr>
              <w:t>）</w:t>
            </w:r>
          </w:p>
          <w:p>
            <w:pPr>
              <w:pStyle w:val="134"/>
              <w:keepNext w:val="0"/>
              <w:keepLines w:val="0"/>
              <w:pageBreakBefore w:val="0"/>
              <w:kinsoku/>
              <w:wordWrap/>
              <w:overflowPunct/>
              <w:topLinePunct w:val="0"/>
              <w:autoSpaceDE/>
              <w:autoSpaceDN/>
              <w:bidi w:val="0"/>
              <w:ind w:firstLine="482" w:firstLineChars="200"/>
              <w:textAlignment w:val="auto"/>
              <w:rPr>
                <w:b/>
                <w:color w:val="auto"/>
              </w:rPr>
            </w:pPr>
            <w:r>
              <w:rPr>
                <w:rFonts w:hint="eastAsia"/>
                <w:b/>
                <w:color w:val="auto"/>
                <w:sz w:val="24"/>
                <w:lang w:val="en-US" w:eastAsia="zh-CN"/>
              </w:rPr>
              <w:t>七</w:t>
            </w:r>
            <w:r>
              <w:rPr>
                <w:b/>
                <w:color w:val="auto"/>
                <w:sz w:val="24"/>
              </w:rPr>
              <w:t>、</w:t>
            </w:r>
            <w:r>
              <w:rPr>
                <w:rFonts w:hint="eastAsia"/>
                <w:b/>
                <w:color w:val="auto"/>
                <w:szCs w:val="21"/>
                <w:lang w:val="en-US" w:eastAsia="zh-CN"/>
              </w:rPr>
              <w:t>物料</w:t>
            </w:r>
            <w:r>
              <w:rPr>
                <w:rFonts w:hint="eastAsia"/>
                <w:b/>
                <w:color w:val="auto"/>
                <w:szCs w:val="21"/>
              </w:rPr>
              <w:t>平衡</w:t>
            </w:r>
          </w:p>
          <w:p>
            <w:pPr>
              <w:pStyle w:val="177"/>
              <w:keepNext w:val="0"/>
              <w:keepLines w:val="0"/>
              <w:pageBreakBefore w:val="0"/>
              <w:kinsoku/>
              <w:wordWrap/>
              <w:overflowPunct/>
              <w:topLinePunct w:val="0"/>
              <w:autoSpaceDE/>
              <w:autoSpaceDN/>
              <w:bidi w:val="0"/>
              <w:adjustRightInd w:val="0"/>
              <w:snapToGrid w:val="0"/>
              <w:spacing w:before="0" w:beforeLines="0" w:line="360" w:lineRule="auto"/>
              <w:ind w:firstLine="480" w:firstLineChars="200"/>
              <w:jc w:val="left"/>
              <w:textAlignment w:val="auto"/>
              <w:rPr>
                <w:rFonts w:hint="eastAsia" w:ascii="Times New Roman" w:hAnsi="Times New Roman" w:eastAsia="宋体" w:cs="Times New Roman"/>
                <w:b w:val="0"/>
                <w:color w:val="auto"/>
                <w:szCs w:val="24"/>
                <w:lang w:val="en-US" w:eastAsia="zh-CN"/>
              </w:rPr>
            </w:pPr>
            <w:r>
              <w:rPr>
                <w:rFonts w:hint="eastAsia" w:eastAsia="宋体" w:cs="Times New Roman"/>
                <w:b w:val="0"/>
                <w:color w:val="auto"/>
                <w:szCs w:val="24"/>
                <w:lang w:val="en-US" w:eastAsia="zh-CN"/>
              </w:rPr>
              <w:t>本项目物料平衡见下</w:t>
            </w:r>
            <w:r>
              <w:rPr>
                <w:rFonts w:hint="eastAsia" w:ascii="Times New Roman" w:hAnsi="Times New Roman" w:eastAsia="宋体" w:cs="Times New Roman"/>
                <w:b w:val="0"/>
                <w:color w:val="auto"/>
                <w:szCs w:val="24"/>
                <w:lang w:val="en-US" w:eastAsia="zh-CN"/>
              </w:rPr>
              <w:t>。</w:t>
            </w:r>
          </w:p>
          <w:p>
            <w:pPr>
              <w:pStyle w:val="15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center"/>
              <w:textAlignment w:val="auto"/>
              <w:rPr>
                <w:b/>
                <w:bCs/>
                <w:color w:val="auto"/>
                <w:sz w:val="21"/>
                <w:szCs w:val="21"/>
              </w:rPr>
            </w:pPr>
            <w:r>
              <w:rPr>
                <w:rFonts w:hint="default" w:ascii="Times New Roman" w:hAnsi="Times New Roman" w:cs="Times New Roman"/>
                <w:b/>
                <w:bCs/>
                <w:color w:val="auto"/>
                <w:sz w:val="21"/>
                <w:szCs w:val="21"/>
                <w:lang w:val="en-US" w:eastAsia="zh-CN"/>
              </w:rPr>
              <w:t>表2-</w:t>
            </w:r>
            <w:r>
              <w:rPr>
                <w:rFonts w:hint="eastAsia" w:ascii="Times New Roman" w:hAnsi="Times New Roman" w:cs="Times New Roman"/>
                <w:b/>
                <w:bCs/>
                <w:color w:val="auto"/>
                <w:sz w:val="21"/>
                <w:szCs w:val="21"/>
                <w:lang w:val="en-US" w:eastAsia="zh-CN"/>
              </w:rPr>
              <w:t>9</w:t>
            </w:r>
            <w:r>
              <w:rPr>
                <w:rFonts w:hint="default" w:ascii="Times New Roman" w:hAnsi="Times New Roman" w:cs="Times New Roman"/>
                <w:b/>
                <w:bCs/>
                <w:color w:val="auto"/>
                <w:sz w:val="21"/>
                <w:szCs w:val="21"/>
                <w:lang w:val="en-US" w:eastAsia="zh-CN"/>
              </w:rPr>
              <w:t xml:space="preserve"> </w:t>
            </w:r>
            <w:r>
              <w:rPr>
                <w:b/>
                <w:bCs/>
                <w:color w:val="auto"/>
                <w:sz w:val="21"/>
                <w:szCs w:val="21"/>
              </w:rPr>
              <w:t>物料平衡表</w:t>
            </w:r>
          </w:p>
          <w:tbl>
            <w:tblPr>
              <w:tblStyle w:val="36"/>
              <w:tblW w:w="79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2166"/>
              <w:gridCol w:w="2102"/>
              <w:gridCol w:w="2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31" w:type="dxa"/>
                  <w:gridSpan w:val="2"/>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输入</w:t>
                  </w:r>
                </w:p>
              </w:tc>
              <w:tc>
                <w:tcPr>
                  <w:tcW w:w="4104" w:type="dxa"/>
                  <w:gridSpan w:val="2"/>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物质</w:t>
                  </w:r>
                </w:p>
              </w:tc>
              <w:tc>
                <w:tcPr>
                  <w:tcW w:w="2166"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数量（</w:t>
                  </w:r>
                  <w:r>
                    <w:rPr>
                      <w:rFonts w:hint="eastAsia" w:ascii="Times New Roman" w:hAnsi="Times New Roman" w:eastAsia="宋体" w:cs="Times New Roman"/>
                      <w:b/>
                      <w:bCs w:val="0"/>
                      <w:color w:val="auto"/>
                      <w:sz w:val="21"/>
                      <w:szCs w:val="21"/>
                      <w:lang w:val="en-US" w:eastAsia="zh-CN"/>
                    </w:rPr>
                    <w:t>t</w:t>
                  </w:r>
                  <w:r>
                    <w:rPr>
                      <w:rFonts w:hint="default" w:ascii="Times New Roman" w:hAnsi="Times New Roman" w:eastAsia="宋体" w:cs="Times New Roman"/>
                      <w:b/>
                      <w:bCs w:val="0"/>
                      <w:color w:val="auto"/>
                      <w:sz w:val="21"/>
                      <w:szCs w:val="21"/>
                    </w:rPr>
                    <w:t>/</w:t>
                  </w:r>
                  <w:r>
                    <w:rPr>
                      <w:rFonts w:hint="eastAsia" w:ascii="Times New Roman" w:hAnsi="Times New Roman" w:eastAsia="宋体" w:cs="Times New Roman"/>
                      <w:b/>
                      <w:bCs w:val="0"/>
                      <w:color w:val="auto"/>
                      <w:sz w:val="21"/>
                      <w:szCs w:val="21"/>
                      <w:lang w:val="en-US" w:eastAsia="zh-CN"/>
                    </w:rPr>
                    <w:t>a</w:t>
                  </w:r>
                  <w:r>
                    <w:rPr>
                      <w:rFonts w:hint="default" w:ascii="Times New Roman" w:hAnsi="Times New Roman" w:eastAsia="宋体" w:cs="Times New Roman"/>
                      <w:b/>
                      <w:bCs w:val="0"/>
                      <w:color w:val="auto"/>
                      <w:sz w:val="21"/>
                      <w:szCs w:val="21"/>
                    </w:rPr>
                    <w:t>）</w:t>
                  </w:r>
                </w:p>
              </w:tc>
              <w:tc>
                <w:tcPr>
                  <w:tcW w:w="2102"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物质</w:t>
                  </w:r>
                </w:p>
              </w:tc>
              <w:tc>
                <w:tcPr>
                  <w:tcW w:w="2002"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数量（</w:t>
                  </w:r>
                  <w:r>
                    <w:rPr>
                      <w:rFonts w:hint="eastAsia" w:ascii="Times New Roman" w:hAnsi="Times New Roman" w:eastAsia="宋体" w:cs="Times New Roman"/>
                      <w:b/>
                      <w:bCs w:val="0"/>
                      <w:color w:val="auto"/>
                      <w:sz w:val="21"/>
                      <w:szCs w:val="21"/>
                      <w:lang w:val="en-US" w:eastAsia="zh-CN"/>
                    </w:rPr>
                    <w:t>t</w:t>
                  </w:r>
                  <w:r>
                    <w:rPr>
                      <w:rFonts w:hint="default" w:ascii="Times New Roman" w:hAnsi="Times New Roman" w:eastAsia="宋体" w:cs="Times New Roman"/>
                      <w:b/>
                      <w:bCs w:val="0"/>
                      <w:color w:val="auto"/>
                      <w:sz w:val="21"/>
                      <w:szCs w:val="21"/>
                    </w:rPr>
                    <w:t>/</w:t>
                  </w:r>
                  <w:r>
                    <w:rPr>
                      <w:rFonts w:hint="eastAsia" w:ascii="Times New Roman" w:hAnsi="Times New Roman" w:eastAsia="宋体" w:cs="Times New Roman"/>
                      <w:b/>
                      <w:bCs w:val="0"/>
                      <w:color w:val="auto"/>
                      <w:sz w:val="21"/>
                      <w:szCs w:val="21"/>
                      <w:lang w:val="en-US" w:eastAsia="zh-CN"/>
                    </w:rPr>
                    <w:t>a</w:t>
                  </w:r>
                  <w:r>
                    <w:rPr>
                      <w:rFonts w:hint="default" w:ascii="Times New Roman" w:hAnsi="Times New Roman" w:eastAsia="宋体" w:cs="Times New Roman"/>
                      <w:b/>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lang w:val="en-US"/>
                    </w:rPr>
                  </w:pPr>
                  <w:r>
                    <w:rPr>
                      <w:rFonts w:hint="eastAsia" w:ascii="Times New Roman" w:hAnsi="Times New Roman" w:eastAsia="宋体" w:cs="Times New Roman"/>
                      <w:b w:val="0"/>
                      <w:bCs/>
                      <w:color w:val="auto"/>
                      <w:sz w:val="21"/>
                      <w:szCs w:val="21"/>
                      <w:lang w:val="en-US" w:eastAsia="zh-CN"/>
                    </w:rPr>
                    <w:t>可膨胀石墨</w:t>
                  </w:r>
                </w:p>
              </w:tc>
              <w:tc>
                <w:tcPr>
                  <w:tcW w:w="2166"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1463</w:t>
                  </w:r>
                </w:p>
              </w:tc>
              <w:tc>
                <w:tcPr>
                  <w:tcW w:w="21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超高纯度柔性石墨纸</w:t>
                  </w:r>
                </w:p>
              </w:tc>
              <w:tc>
                <w:tcPr>
                  <w:tcW w:w="20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val="0"/>
                      <w:bCs/>
                      <w:color w:val="auto"/>
                      <w:sz w:val="21"/>
                      <w:szCs w:val="21"/>
                      <w:lang w:val="en-US" w:eastAsia="zh-CN"/>
                    </w:rPr>
                  </w:pPr>
                </w:p>
              </w:tc>
              <w:tc>
                <w:tcPr>
                  <w:tcW w:w="2166" w:type="dxa"/>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auto"/>
                      <w:sz w:val="21"/>
                      <w:szCs w:val="21"/>
                      <w:lang w:val="en-US" w:eastAsia="zh-CN"/>
                    </w:rPr>
                  </w:pPr>
                </w:p>
              </w:tc>
              <w:tc>
                <w:tcPr>
                  <w:tcW w:w="2102" w:type="dxa"/>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高性能石墨导热膜</w:t>
                  </w:r>
                </w:p>
              </w:tc>
              <w:tc>
                <w:tcPr>
                  <w:tcW w:w="20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b w:val="0"/>
                      <w:bCs/>
                      <w:color w:val="auto"/>
                      <w:sz w:val="21"/>
                      <w:szCs w:val="21"/>
                      <w:lang w:val="en-US" w:eastAsia="zh-CN"/>
                    </w:rPr>
                  </w:pPr>
                </w:p>
              </w:tc>
              <w:tc>
                <w:tcPr>
                  <w:tcW w:w="2166" w:type="dxa"/>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auto"/>
                      <w:sz w:val="21"/>
                      <w:szCs w:val="21"/>
                      <w:lang w:val="en-US" w:eastAsia="zh-CN"/>
                    </w:rPr>
                  </w:pPr>
                </w:p>
              </w:tc>
              <w:tc>
                <w:tcPr>
                  <w:tcW w:w="2102" w:type="dxa"/>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导电石墨烯粉体</w:t>
                  </w:r>
                </w:p>
              </w:tc>
              <w:tc>
                <w:tcPr>
                  <w:tcW w:w="20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lang w:val="en-US" w:eastAsia="zh-CN"/>
                    </w:rPr>
                  </w:pPr>
                </w:p>
              </w:tc>
              <w:tc>
                <w:tcPr>
                  <w:tcW w:w="2166"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2102" w:type="dxa"/>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G1-投料粉尘</w:t>
                  </w:r>
                </w:p>
              </w:tc>
              <w:tc>
                <w:tcPr>
                  <w:tcW w:w="2002" w:type="dxa"/>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lang w:val="en-US" w:eastAsia="zh-CN"/>
                    </w:rPr>
                  </w:pPr>
                </w:p>
              </w:tc>
              <w:tc>
                <w:tcPr>
                  <w:tcW w:w="2166"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2102" w:type="dxa"/>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水蒸气、氧气</w:t>
                  </w:r>
                </w:p>
              </w:tc>
              <w:tc>
                <w:tcPr>
                  <w:tcW w:w="20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lang w:val="en-US" w:eastAsia="zh-CN"/>
                    </w:rPr>
                  </w:pPr>
                </w:p>
              </w:tc>
              <w:tc>
                <w:tcPr>
                  <w:tcW w:w="2166"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21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G2-膨化废气</w:t>
                  </w:r>
                </w:p>
              </w:tc>
              <w:tc>
                <w:tcPr>
                  <w:tcW w:w="20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38.3216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lang w:val="en-US" w:eastAsia="zh-CN"/>
                    </w:rPr>
                  </w:pPr>
                </w:p>
              </w:tc>
              <w:tc>
                <w:tcPr>
                  <w:tcW w:w="2166"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21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G3-分级废气</w:t>
                  </w:r>
                </w:p>
              </w:tc>
              <w:tc>
                <w:tcPr>
                  <w:tcW w:w="20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lang w:val="en-US" w:eastAsia="zh-CN"/>
                    </w:rPr>
                  </w:pPr>
                </w:p>
              </w:tc>
              <w:tc>
                <w:tcPr>
                  <w:tcW w:w="2166"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2102" w:type="dxa"/>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G4-切割粉尘</w:t>
                  </w:r>
                </w:p>
              </w:tc>
              <w:tc>
                <w:tcPr>
                  <w:tcW w:w="20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lang w:val="en-US" w:eastAsia="zh-CN"/>
                    </w:rPr>
                  </w:pPr>
                </w:p>
              </w:tc>
              <w:tc>
                <w:tcPr>
                  <w:tcW w:w="2166"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21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G5-研磨废气</w:t>
                  </w:r>
                </w:p>
              </w:tc>
              <w:tc>
                <w:tcPr>
                  <w:tcW w:w="20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lang w:val="en-US" w:eastAsia="zh-CN"/>
                    </w:rPr>
                  </w:pPr>
                </w:p>
              </w:tc>
              <w:tc>
                <w:tcPr>
                  <w:tcW w:w="2166"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2102" w:type="dxa"/>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S1-</w:t>
                  </w:r>
                  <w:r>
                    <w:rPr>
                      <w:rFonts w:hint="eastAsia" w:ascii="Times New Roman" w:hAnsi="Times New Roman" w:eastAsia="宋体" w:cs="Times New Roman"/>
                      <w:color w:val="auto"/>
                      <w:sz w:val="21"/>
                      <w:szCs w:val="21"/>
                      <w:lang w:val="zh-CN" w:eastAsia="zh-CN"/>
                    </w:rPr>
                    <w:t>废边角料</w:t>
                  </w:r>
                </w:p>
              </w:tc>
              <w:tc>
                <w:tcPr>
                  <w:tcW w:w="20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lang w:val="en-US" w:eastAsia="zh-CN"/>
                    </w:rPr>
                  </w:pPr>
                </w:p>
              </w:tc>
              <w:tc>
                <w:tcPr>
                  <w:tcW w:w="2166"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21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S2-</w:t>
                  </w:r>
                  <w:r>
                    <w:rPr>
                      <w:rFonts w:hint="eastAsia" w:ascii="Times New Roman" w:hAnsi="Times New Roman" w:eastAsia="宋体" w:cs="Times New Roman"/>
                      <w:color w:val="auto"/>
                      <w:sz w:val="21"/>
                      <w:szCs w:val="21"/>
                      <w:lang w:val="zh-CN" w:eastAsia="zh-CN"/>
                    </w:rPr>
                    <w:t>磁性杂质物</w:t>
                  </w:r>
                </w:p>
              </w:tc>
              <w:tc>
                <w:tcPr>
                  <w:tcW w:w="2002"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65" w:type="dxa"/>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合计</w:t>
                  </w:r>
                </w:p>
              </w:tc>
              <w:tc>
                <w:tcPr>
                  <w:tcW w:w="2166" w:type="dxa"/>
                  <w:noWrap w:val="0"/>
                  <w:tcMar>
                    <w:top w:w="0" w:type="dxa"/>
                    <w:left w:w="0" w:type="dxa"/>
                    <w:bottom w:w="0" w:type="dxa"/>
                    <w:right w:w="0" w:type="dxa"/>
                  </w:tcMar>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1463</w:t>
                  </w:r>
                </w:p>
              </w:tc>
              <w:tc>
                <w:tcPr>
                  <w:tcW w:w="2102" w:type="dxa"/>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合计</w:t>
                  </w:r>
                </w:p>
              </w:tc>
              <w:tc>
                <w:tcPr>
                  <w:tcW w:w="2002" w:type="dxa"/>
                  <w:noWrap w:val="0"/>
                  <w:tcMar>
                    <w:top w:w="0" w:type="dxa"/>
                    <w:left w:w="0" w:type="dxa"/>
                    <w:bottom w:w="0" w:type="dxa"/>
                    <w:right w:w="0" w:type="dxa"/>
                  </w:tcMar>
                  <w:vAlign w:val="center"/>
                </w:tcPr>
                <w:p>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1463</w:t>
                  </w:r>
                </w:p>
              </w:tc>
            </w:tr>
          </w:tbl>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b/>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24"/>
                <w:szCs w:val="24"/>
                <w:lang w:val="en-US" w:eastAsia="zh-CN"/>
              </w:rPr>
            </w:pPr>
            <w:r>
              <w:rPr>
                <w:rFonts w:hint="eastAsia"/>
                <w:b/>
                <w:bCs/>
                <w:color w:val="auto"/>
                <w:sz w:val="21"/>
                <w:szCs w:val="21"/>
              </w:rPr>
              <w:object>
                <v:shape id="_x0000_i1025" o:spt="75" type="#_x0000_t75" style="height:303.5pt;width:397.25pt;" o:ole="t" filled="f" o:preferrelative="t" stroked="f" coordsize="21600,21600">
                  <v:path/>
                  <v:fill on="f" focussize="0,0"/>
                  <v:stroke on="f"/>
                  <v:imagedata r:id="rId15" o:title=""/>
                  <o:lock v:ext="edit" aspectratio="f"/>
                  <w10:wrap type="none"/>
                  <w10:anchorlock/>
                </v:shape>
                <o:OLEObject Type="Embed" ProgID="Visio.Drawing.15" ShapeID="_x0000_i1025" DrawAspect="Content" ObjectID="_1468075725" r:id="rId14">
                  <o:LockedField>false</o:LockedField>
                </o:OLEObject>
              </w:object>
            </w:r>
            <w:r>
              <w:rPr>
                <w:rFonts w:hint="eastAsia"/>
                <w:b/>
                <w:bCs/>
                <w:color w:val="auto"/>
                <w:sz w:val="21"/>
                <w:szCs w:val="21"/>
              </w:rPr>
              <w:t>图2-</w:t>
            </w:r>
            <w:r>
              <w:rPr>
                <w:rFonts w:hint="eastAsia"/>
                <w:b/>
                <w:bCs/>
                <w:color w:val="auto"/>
                <w:sz w:val="21"/>
                <w:szCs w:val="21"/>
                <w:lang w:val="en-US" w:eastAsia="zh-CN"/>
              </w:rPr>
              <w:t>2</w:t>
            </w:r>
            <w:r>
              <w:rPr>
                <w:rFonts w:hint="eastAsia"/>
                <w:b/>
                <w:bCs/>
                <w:color w:val="auto"/>
                <w:sz w:val="21"/>
                <w:szCs w:val="21"/>
              </w:rPr>
              <w:t xml:space="preserve"> 项目</w:t>
            </w:r>
            <w:r>
              <w:rPr>
                <w:rFonts w:hint="eastAsia"/>
                <w:b/>
                <w:bCs/>
                <w:color w:val="auto"/>
                <w:sz w:val="21"/>
                <w:szCs w:val="21"/>
                <w:lang w:val="en-US" w:eastAsia="zh-CN"/>
              </w:rPr>
              <w:t>物料平衡</w:t>
            </w:r>
            <w:r>
              <w:rPr>
                <w:rFonts w:hint="eastAsia"/>
                <w:b/>
                <w:bCs/>
                <w:color w:val="auto"/>
                <w:sz w:val="21"/>
                <w:szCs w:val="21"/>
              </w:rPr>
              <w:t>图</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b/>
                <w:color w:val="auto"/>
                <w:sz w:val="24"/>
                <w:szCs w:val="24"/>
              </w:rPr>
            </w:pPr>
            <w:r>
              <w:rPr>
                <w:rFonts w:hint="eastAsia"/>
                <w:b/>
                <w:color w:val="auto"/>
                <w:sz w:val="24"/>
                <w:szCs w:val="24"/>
                <w:lang w:val="en-US" w:eastAsia="zh-CN"/>
              </w:rPr>
              <w:t>八</w:t>
            </w:r>
            <w:r>
              <w:rPr>
                <w:b/>
                <w:color w:val="auto"/>
                <w:sz w:val="24"/>
                <w:szCs w:val="24"/>
              </w:rPr>
              <w:t>、总平面布置合理性分析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bookmarkStart w:id="1" w:name="_Toc185474449"/>
            <w:r>
              <w:rPr>
                <w:color w:val="auto"/>
                <w:sz w:val="24"/>
                <w:szCs w:val="24"/>
              </w:rPr>
              <w:t>本项目</w:t>
            </w:r>
            <w:r>
              <w:rPr>
                <w:rFonts w:hint="eastAsia" w:ascii="Times New Roman" w:hAnsi="Times New Roman" w:eastAsia="宋体" w:cs="Times New Roman"/>
                <w:b w:val="0"/>
                <w:bCs/>
                <w:color w:val="auto"/>
                <w:kern w:val="2"/>
                <w:sz w:val="24"/>
                <w:szCs w:val="24"/>
                <w:lang w:val="en-US" w:eastAsia="zh-CN" w:bidi="ar-SA"/>
              </w:rPr>
              <w:t>租</w:t>
            </w:r>
            <w:r>
              <w:rPr>
                <w:rFonts w:hint="eastAsia" w:ascii="Times New Roman" w:hAnsi="Times New Roman" w:eastAsia="宋体" w:cs="Times New Roman"/>
                <w:color w:val="auto"/>
                <w:sz w:val="24"/>
                <w:szCs w:val="24"/>
                <w:lang w:val="en-US" w:eastAsia="zh-CN"/>
              </w:rPr>
              <w:t>赁四川翔丰华新能源材料有限公司位于四川省遂宁市蓬溪县金桥镇创业四支路1号已建厂房建设中试车间，内设进料机、膨化炉等设备，总体</w:t>
            </w:r>
            <w:r>
              <w:rPr>
                <w:rFonts w:hint="default" w:ascii="Times New Roman" w:hAnsi="Times New Roman" w:eastAsia="宋体" w:cs="Times New Roman"/>
                <w:color w:val="auto"/>
                <w:sz w:val="24"/>
                <w:szCs w:val="24"/>
                <w:lang w:val="en-US" w:eastAsia="zh-CN"/>
              </w:rPr>
              <w:t>按照“合理分区、工艺流程”的原则，并结合</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特点，综合考虑环保、卫生等要求对平面进行了合理布置。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color w:val="auto"/>
                <w:sz w:val="24"/>
                <w:szCs w:val="24"/>
              </w:rPr>
            </w:pPr>
            <w:r>
              <w:rPr>
                <w:rFonts w:hint="eastAsia" w:ascii="宋体" w:hAnsi="宋体" w:eastAsia="宋体" w:cs="宋体"/>
                <w:b/>
                <w:bCs/>
                <w:color w:val="auto"/>
                <w:kern w:val="0"/>
                <w:sz w:val="24"/>
                <w:szCs w:val="24"/>
                <w:lang w:val="en-US" w:eastAsia="zh-CN" w:bidi="ar"/>
              </w:rPr>
              <w:t>环保措施布局：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根据中试车间平面布置，本项目产生的投料粉尘、膨化炉废气及分级粉尘经集气罩或管道收集至2套“布袋除尘器+碱喷淋”处理后，通过2根15m高排气筒（DA001、DA002）达标排放</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切割粉尘产生量小，直接无组织排放；研磨粉尘经设备自带布袋除尘器处理后无组织排放，本项目500m范围内无大气环境保护目标；本项目危废依托四川翔丰华新能源材料有限公司位于厂区西北侧已建危废暂存间储存，定期交具有危废处理资质的单位处置；本项目产生的碱喷淋废水经酸碱中和预处理后，</w:t>
            </w:r>
            <w:r>
              <w:rPr>
                <w:rFonts w:hint="eastAsia" w:cs="Times New Roman"/>
                <w:b w:val="0"/>
                <w:bCs/>
                <w:color w:val="auto"/>
                <w:kern w:val="2"/>
                <w:sz w:val="24"/>
                <w:szCs w:val="24"/>
                <w:lang w:val="en-US" w:eastAsia="zh-CN" w:bidi="ar-SA"/>
              </w:rPr>
              <w:t>和</w:t>
            </w:r>
            <w:r>
              <w:rPr>
                <w:rFonts w:hint="eastAsia" w:ascii="Times New Roman" w:hAnsi="Times New Roman" w:eastAsia="宋体" w:cs="Times New Roman"/>
                <w:b w:val="0"/>
                <w:bCs/>
                <w:color w:val="auto"/>
                <w:kern w:val="2"/>
                <w:sz w:val="24"/>
                <w:szCs w:val="24"/>
                <w:lang w:val="en-US" w:eastAsia="zh-CN" w:bidi="ar-SA"/>
              </w:rPr>
              <w:t>生活污水一起排入四川翔丰华新能源材料有限公司已建4#预处理池处置。各环保设施对周围影响较小。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hAnsi="宋体" w:cs="宋体"/>
                <w:bCs/>
                <w:color w:val="auto"/>
                <w:szCs w:val="21"/>
              </w:rPr>
            </w:pPr>
            <w:r>
              <w:rPr>
                <w:rFonts w:hint="eastAsia" w:ascii="Times New Roman" w:hAnsi="Times New Roman" w:eastAsia="宋体" w:cs="Times New Roman"/>
                <w:b w:val="0"/>
                <w:bCs/>
                <w:color w:val="auto"/>
                <w:kern w:val="2"/>
                <w:sz w:val="24"/>
                <w:szCs w:val="24"/>
                <w:lang w:val="en-US" w:eastAsia="zh-CN" w:bidi="ar-SA"/>
              </w:rPr>
              <w:t>综上，本项目总</w:t>
            </w:r>
            <w:r>
              <w:rPr>
                <w:rFonts w:hint="eastAsia" w:cs="Times New Roman"/>
                <w:b w:val="0"/>
                <w:bCs/>
                <w:color w:val="auto"/>
                <w:kern w:val="2"/>
                <w:sz w:val="24"/>
                <w:szCs w:val="24"/>
                <w:lang w:val="en-US" w:eastAsia="zh-CN" w:bidi="ar-SA"/>
              </w:rPr>
              <w:t>体</w:t>
            </w:r>
            <w:r>
              <w:rPr>
                <w:rFonts w:hint="eastAsia" w:ascii="Times New Roman" w:hAnsi="Times New Roman" w:eastAsia="宋体" w:cs="Times New Roman"/>
                <w:b w:val="0"/>
                <w:bCs/>
                <w:color w:val="auto"/>
                <w:kern w:val="2"/>
                <w:sz w:val="24"/>
                <w:szCs w:val="24"/>
                <w:lang w:val="en-US" w:eastAsia="zh-CN" w:bidi="ar-SA"/>
              </w:rPr>
              <w:t>布置分区明确，交通顺畅，实验路线简明；废气、废水、噪声、固废布局对周围影响较小。</w:t>
            </w:r>
            <w:bookmarkEnd w:id="1"/>
          </w:p>
        </w:tc>
      </w:tr>
    </w:tbl>
    <w:p>
      <w:pPr>
        <w:pStyle w:val="32"/>
        <w:adjustRightInd w:val="0"/>
        <w:snapToGrid w:val="0"/>
        <w:spacing w:before="0" w:beforeAutospacing="0" w:after="0" w:afterAutospacing="0"/>
        <w:jc w:val="center"/>
        <w:rPr>
          <w:rFonts w:hint="eastAsia" w:cs="宋体"/>
          <w:color w:val="auto"/>
          <w:sz w:val="21"/>
          <w:szCs w:val="21"/>
        </w:rPr>
        <w:sectPr>
          <w:pgSz w:w="11906" w:h="16838"/>
          <w:pgMar w:top="1701" w:right="1531" w:bottom="1701" w:left="1531" w:header="851" w:footer="851" w:gutter="0"/>
          <w:cols w:space="720" w:num="1"/>
          <w:docGrid w:linePitch="312" w:charSpace="0"/>
        </w:sectPr>
      </w:pPr>
    </w:p>
    <w:tbl>
      <w:tblPr>
        <w:tblStyle w:val="36"/>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58" w:hRule="atLeast"/>
          <w:jc w:val="center"/>
        </w:trPr>
        <w:tc>
          <w:tcPr>
            <w:tcW w:w="459" w:type="dxa"/>
            <w:noWrap w:val="0"/>
            <w:vAlign w:val="center"/>
          </w:tcPr>
          <w:p>
            <w:pPr>
              <w:pStyle w:val="32"/>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525" w:type="dxa"/>
            <w:noWrap w:val="0"/>
            <w:vAlign w:val="top"/>
          </w:tcPr>
          <w:p>
            <w:pPr>
              <w:widowControl/>
              <w:spacing w:line="360" w:lineRule="auto"/>
              <w:ind w:firstLine="482" w:firstLineChars="200"/>
              <w:rPr>
                <w:color w:val="auto"/>
                <w:sz w:val="24"/>
              </w:rPr>
            </w:pPr>
            <w:r>
              <w:rPr>
                <w:rFonts w:hint="eastAsia" w:ascii="宋体" w:hAnsi="宋体" w:cs="宋体"/>
                <w:b/>
                <w:bCs/>
                <w:color w:val="auto"/>
                <w:kern w:val="0"/>
                <w:sz w:val="24"/>
                <w:lang w:bidi="ar"/>
              </w:rPr>
              <w:t>工艺流程和产排污环节</w:t>
            </w:r>
          </w:p>
          <w:p>
            <w:pPr>
              <w:pStyle w:val="154"/>
              <w:ind w:firstLine="482"/>
              <w:rPr>
                <w:rFonts w:hint="eastAsia"/>
                <w:b/>
                <w:color w:val="auto"/>
                <w:sz w:val="24"/>
                <w:szCs w:val="24"/>
              </w:rPr>
            </w:pPr>
            <w:r>
              <w:rPr>
                <w:rFonts w:hint="eastAsia" w:ascii="宋体" w:hAnsi="宋体" w:cs="宋体"/>
                <w:b/>
                <w:bCs/>
                <w:color w:val="auto"/>
                <w:kern w:val="0"/>
                <w:sz w:val="24"/>
                <w:szCs w:val="24"/>
                <w:lang w:bidi="ar"/>
              </w:rPr>
              <w:t>一、</w:t>
            </w:r>
            <w:r>
              <w:rPr>
                <w:rFonts w:hint="eastAsia"/>
                <w:b/>
                <w:color w:val="auto"/>
                <w:sz w:val="24"/>
                <w:szCs w:val="24"/>
              </w:rPr>
              <w:t>施工期工艺流程及产污环节分析</w:t>
            </w:r>
          </w:p>
          <w:p>
            <w:pPr>
              <w:topLinePunct/>
              <w:adjustRightInd w:val="0"/>
              <w:snapToGrid w:val="0"/>
              <w:spacing w:line="360" w:lineRule="auto"/>
              <w:ind w:firstLine="480" w:firstLineChars="200"/>
              <w:jc w:val="both"/>
              <w:rPr>
                <w:rFonts w:hint="eastAsia" w:ascii="宋体" w:hAnsi="宋体" w:eastAsia="宋体" w:cs="宋体"/>
                <w:color w:val="auto"/>
                <w:kern w:val="0"/>
                <w:sz w:val="24"/>
                <w:szCs w:val="24"/>
                <w:lang w:bidi="ar"/>
              </w:rPr>
            </w:pPr>
            <w:r>
              <w:rPr>
                <w:rFonts w:hint="eastAsia" w:ascii="宋体" w:hAnsi="宋体" w:cs="宋体"/>
                <w:color w:val="auto"/>
                <w:kern w:val="0"/>
                <w:sz w:val="24"/>
                <w:szCs w:val="24"/>
                <w:lang w:bidi="ar"/>
              </w:rPr>
              <w:t>本</w:t>
            </w:r>
            <w:r>
              <w:rPr>
                <w:rFonts w:hint="eastAsia" w:ascii="宋体" w:hAnsi="宋体" w:eastAsia="宋体" w:cs="宋体"/>
                <w:color w:val="auto"/>
                <w:kern w:val="0"/>
                <w:sz w:val="24"/>
                <w:szCs w:val="24"/>
                <w:lang w:bidi="ar"/>
              </w:rPr>
              <w:t>项目租用已建成厂房进行建设，项目施工期主要为厂房适应性改造及设备安装，施工期主要污染为噪声、扬尘、</w:t>
            </w:r>
            <w:r>
              <w:rPr>
                <w:rFonts w:hint="eastAsia" w:ascii="宋体" w:hAnsi="宋体" w:eastAsia="宋体" w:cs="宋体"/>
                <w:color w:val="auto"/>
                <w:kern w:val="0"/>
                <w:sz w:val="24"/>
                <w:szCs w:val="24"/>
                <w:lang w:eastAsia="zh-CN" w:bidi="ar"/>
              </w:rPr>
              <w:t>生活污水</w:t>
            </w:r>
            <w:r>
              <w:rPr>
                <w:rFonts w:hint="eastAsia" w:ascii="宋体" w:hAnsi="宋体" w:eastAsia="宋体" w:cs="宋体"/>
                <w:color w:val="auto"/>
                <w:kern w:val="0"/>
                <w:sz w:val="24"/>
                <w:szCs w:val="24"/>
                <w:lang w:bidi="ar"/>
              </w:rPr>
              <w:t>、生活垃圾等。施工流程及产污位置如下图所示。</w:t>
            </w:r>
          </w:p>
          <w:p>
            <w:pPr>
              <w:widowControl/>
              <w:spacing w:line="360" w:lineRule="auto"/>
              <w:ind w:firstLine="360" w:firstLineChars="200"/>
              <w:rPr>
                <w:color w:val="auto"/>
                <w:szCs w:val="21"/>
              </w:rPr>
            </w:pPr>
            <w:r>
              <w:rPr>
                <w:color w:val="auto"/>
                <w:sz w:val="18"/>
                <w:szCs w:val="18"/>
              </w:rPr>
              <mc:AlternateContent>
                <mc:Choice Requires="wpc">
                  <w:drawing>
                    <wp:inline distT="0" distB="0" distL="114300" distR="114300">
                      <wp:extent cx="5011420" cy="1408430"/>
                      <wp:effectExtent l="0" t="0" r="302895" b="0"/>
                      <wp:docPr id="24" name="画布 3047"/>
                      <wp:cNvGraphicFramePr/>
                      <a:graphic xmlns:a="http://schemas.openxmlformats.org/drawingml/2006/main">
                        <a:graphicData uri="http://schemas.microsoft.com/office/word/2010/wordprocessingCanvas">
                          <wpc:wpc>
                            <wpc:bg>
                              <a:noFill/>
                            </wpc:bg>
                            <wpc:whole>
                              <a:ln>
                                <a:noFill/>
                              </a:ln>
                            </wpc:whole>
                            <wps:wsp>
                              <wps:cNvPr id="13" name="文本框 3059"/>
                              <wps:cNvSpPr txBox="1">
                                <a:spLocks noChangeArrowheads="1"/>
                              </wps:cNvSpPr>
                              <wps:spPr bwMode="auto">
                                <a:xfrm>
                                  <a:off x="408003" y="757955"/>
                                  <a:ext cx="1433509" cy="265819"/>
                                </a:xfrm>
                                <a:prstGeom prst="rect">
                                  <a:avLst/>
                                </a:prstGeom>
                                <a:noFill/>
                                <a:ln w="9525">
                                  <a:solidFill>
                                    <a:srgbClr val="000000"/>
                                  </a:solidFill>
                                  <a:miter lim="800000"/>
                                </a:ln>
                                <a:effectLst/>
                              </wps:spPr>
                              <wps:txbx>
                                <w:txbxContent>
                                  <w:p>
                                    <w:pPr>
                                      <w:spacing w:line="360" w:lineRule="exact"/>
                                      <w:jc w:val="center"/>
                                      <w:rPr>
                                        <w:szCs w:val="21"/>
                                      </w:rPr>
                                    </w:pPr>
                                    <w:r>
                                      <w:rPr>
                                        <w:rFonts w:hint="eastAsia"/>
                                        <w:szCs w:val="21"/>
                                      </w:rPr>
                                      <w:t>厂房适应性改造工程</w:t>
                                    </w:r>
                                  </w:p>
                                </w:txbxContent>
                              </wps:txbx>
                              <wps:bodyPr rot="0" vert="horz" wrap="square" lIns="0" tIns="0" rIns="0" bIns="0" anchor="t" anchorCtr="0" upright="1">
                                <a:noAutofit/>
                              </wps:bodyPr>
                            </wps:wsp>
                            <wps:wsp>
                              <wps:cNvPr id="14" name="文本框 3060"/>
                              <wps:cNvSpPr txBox="1">
                                <a:spLocks noChangeArrowheads="1"/>
                              </wps:cNvSpPr>
                              <wps:spPr bwMode="auto">
                                <a:xfrm>
                                  <a:off x="2193414" y="757955"/>
                                  <a:ext cx="695804" cy="265819"/>
                                </a:xfrm>
                                <a:prstGeom prst="rect">
                                  <a:avLst/>
                                </a:prstGeom>
                                <a:noFill/>
                                <a:ln w="9525">
                                  <a:solidFill>
                                    <a:srgbClr val="000000"/>
                                  </a:solidFill>
                                  <a:miter lim="800000"/>
                                </a:ln>
                                <a:effectLst/>
                              </wps:spPr>
                              <wps:txbx>
                                <w:txbxContent>
                                  <w:p>
                                    <w:pPr>
                                      <w:spacing w:line="360" w:lineRule="exact"/>
                                      <w:jc w:val="center"/>
                                      <w:rPr>
                                        <w:szCs w:val="21"/>
                                      </w:rPr>
                                    </w:pPr>
                                    <w:r>
                                      <w:rPr>
                                        <w:rFonts w:hint="eastAsia"/>
                                        <w:szCs w:val="21"/>
                                      </w:rPr>
                                      <w:t>设备安装</w:t>
                                    </w:r>
                                  </w:p>
                                </w:txbxContent>
                              </wps:txbx>
                              <wps:bodyPr rot="0" vert="horz" wrap="square" lIns="0" tIns="0" rIns="0" bIns="0" anchor="t" anchorCtr="0" upright="1">
                                <a:noAutofit/>
                              </wps:bodyPr>
                            </wps:wsp>
                            <wps:wsp>
                              <wps:cNvPr id="15" name="直线 3061"/>
                              <wps:cNvCnPr>
                                <a:cxnSpLocks noChangeShapeType="1"/>
                              </wps:cNvCnPr>
                              <wps:spPr bwMode="auto">
                                <a:xfrm flipV="1">
                                  <a:off x="1265908" y="509537"/>
                                  <a:ext cx="800" cy="253918"/>
                                </a:xfrm>
                                <a:prstGeom prst="line">
                                  <a:avLst/>
                                </a:prstGeom>
                                <a:noFill/>
                                <a:ln w="9525">
                                  <a:solidFill>
                                    <a:srgbClr val="000000"/>
                                  </a:solidFill>
                                  <a:prstDash val="lgDash"/>
                                  <a:round/>
                                  <a:tailEnd type="triangle" w="med" len="med"/>
                                </a:ln>
                                <a:effectLst/>
                              </wps:spPr>
                              <wps:bodyPr/>
                            </wps:wsp>
                            <wps:wsp>
                              <wps:cNvPr id="16" name="直线 3071"/>
                              <wps:cNvCnPr>
                                <a:cxnSpLocks noChangeShapeType="1"/>
                              </wps:cNvCnPr>
                              <wps:spPr bwMode="auto">
                                <a:xfrm>
                                  <a:off x="2905018" y="888465"/>
                                  <a:ext cx="355102" cy="800"/>
                                </a:xfrm>
                                <a:prstGeom prst="line">
                                  <a:avLst/>
                                </a:prstGeom>
                                <a:noFill/>
                                <a:ln w="9525">
                                  <a:solidFill>
                                    <a:srgbClr val="000000"/>
                                  </a:solidFill>
                                  <a:round/>
                                  <a:tailEnd type="triangle" w="med" len="med"/>
                                </a:ln>
                                <a:effectLst/>
                              </wps:spPr>
                              <wps:bodyPr/>
                            </wps:wsp>
                            <wps:wsp>
                              <wps:cNvPr id="17" name="文本框 3079"/>
                              <wps:cNvSpPr txBox="1">
                                <a:spLocks noChangeArrowheads="1"/>
                              </wps:cNvSpPr>
                              <wps:spPr bwMode="auto">
                                <a:xfrm>
                                  <a:off x="3275120" y="762655"/>
                                  <a:ext cx="828705" cy="268220"/>
                                </a:xfrm>
                                <a:prstGeom prst="rect">
                                  <a:avLst/>
                                </a:prstGeom>
                                <a:noFill/>
                                <a:ln w="9525">
                                  <a:solidFill>
                                    <a:srgbClr val="000000"/>
                                  </a:solidFill>
                                  <a:miter lim="800000"/>
                                </a:ln>
                                <a:effectLst/>
                              </wps:spPr>
                              <wps:txbx>
                                <w:txbxContent>
                                  <w:p>
                                    <w:pPr>
                                      <w:spacing w:line="360" w:lineRule="exact"/>
                                      <w:jc w:val="center"/>
                                      <w:rPr>
                                        <w:szCs w:val="21"/>
                                      </w:rPr>
                                    </w:pPr>
                                    <w:r>
                                      <w:rPr>
                                        <w:rFonts w:hint="eastAsia"/>
                                        <w:szCs w:val="21"/>
                                      </w:rPr>
                                      <w:t>工程验收</w:t>
                                    </w:r>
                                  </w:p>
                                </w:txbxContent>
                              </wps:txbx>
                              <wps:bodyPr rot="0" vert="horz" wrap="square" lIns="0" tIns="0" rIns="0" bIns="0" anchor="t" anchorCtr="0" upright="1">
                                <a:noAutofit/>
                              </wps:bodyPr>
                            </wps:wsp>
                            <wps:wsp>
                              <wps:cNvPr id="18" name="直线 3061"/>
                              <wps:cNvCnPr>
                                <a:cxnSpLocks noChangeShapeType="1"/>
                              </wps:cNvCnPr>
                              <wps:spPr bwMode="auto">
                                <a:xfrm flipV="1">
                                  <a:off x="2541316" y="502337"/>
                                  <a:ext cx="1600" cy="255619"/>
                                </a:xfrm>
                                <a:prstGeom prst="line">
                                  <a:avLst/>
                                </a:prstGeom>
                                <a:noFill/>
                                <a:ln w="9525">
                                  <a:solidFill>
                                    <a:srgbClr val="000000"/>
                                  </a:solidFill>
                                  <a:prstDash val="lgDash"/>
                                  <a:round/>
                                  <a:tailEnd type="triangle" w="med" len="med"/>
                                </a:ln>
                                <a:effectLst/>
                              </wps:spPr>
                              <wps:bodyPr/>
                            </wps:wsp>
                            <wps:wsp>
                              <wps:cNvPr id="19" name="直线 3071"/>
                              <wps:cNvCnPr>
                                <a:cxnSpLocks noChangeShapeType="1"/>
                              </wps:cNvCnPr>
                              <wps:spPr bwMode="auto">
                                <a:xfrm>
                                  <a:off x="4103826" y="889265"/>
                                  <a:ext cx="355802" cy="1600"/>
                                </a:xfrm>
                                <a:prstGeom prst="line">
                                  <a:avLst/>
                                </a:prstGeom>
                                <a:noFill/>
                                <a:ln w="9525">
                                  <a:solidFill>
                                    <a:srgbClr val="000000"/>
                                  </a:solidFill>
                                  <a:round/>
                                  <a:tailEnd type="triangle" w="med" len="med"/>
                                </a:ln>
                                <a:effectLst/>
                              </wps:spPr>
                              <wps:bodyPr/>
                            </wps:wsp>
                            <wps:wsp>
                              <wps:cNvPr id="20" name="文本框 3079"/>
                              <wps:cNvSpPr txBox="1">
                                <a:spLocks noChangeArrowheads="1"/>
                              </wps:cNvSpPr>
                              <wps:spPr bwMode="auto">
                                <a:xfrm>
                                  <a:off x="4474628" y="763456"/>
                                  <a:ext cx="829505" cy="269020"/>
                                </a:xfrm>
                                <a:prstGeom prst="rect">
                                  <a:avLst/>
                                </a:prstGeom>
                                <a:noFill/>
                                <a:ln w="9525">
                                  <a:solidFill>
                                    <a:srgbClr val="000000"/>
                                  </a:solidFill>
                                  <a:miter lim="800000"/>
                                </a:ln>
                                <a:effectLst/>
                              </wps:spPr>
                              <wps:txbx>
                                <w:txbxContent>
                                  <w:p>
                                    <w:pPr>
                                      <w:spacing w:line="360" w:lineRule="exact"/>
                                      <w:jc w:val="center"/>
                                      <w:rPr>
                                        <w:szCs w:val="21"/>
                                      </w:rPr>
                                    </w:pPr>
                                    <w:r>
                                      <w:rPr>
                                        <w:rFonts w:hint="eastAsia"/>
                                        <w:szCs w:val="21"/>
                                      </w:rPr>
                                      <w:t>工程运营</w:t>
                                    </w:r>
                                  </w:p>
                                </w:txbxContent>
                              </wps:txbx>
                              <wps:bodyPr rot="0" vert="horz" wrap="square" lIns="0" tIns="0" rIns="0" bIns="0" anchor="t" anchorCtr="0" upright="1">
                                <a:noAutofit/>
                              </wps:bodyPr>
                            </wps:wsp>
                            <wps:wsp>
                              <wps:cNvPr id="21" name="文本框 3059"/>
                              <wps:cNvSpPr txBox="1">
                                <a:spLocks noChangeArrowheads="1"/>
                              </wps:cNvSpPr>
                              <wps:spPr bwMode="auto">
                                <a:xfrm>
                                  <a:off x="562103" y="37903"/>
                                  <a:ext cx="1276308" cy="505637"/>
                                </a:xfrm>
                                <a:prstGeom prst="rect">
                                  <a:avLst/>
                                </a:prstGeom>
                                <a:noFill/>
                                <a:ln>
                                  <a:noFill/>
                                </a:ln>
                                <a:effectLst/>
                              </wps:spPr>
                              <wps:txbx>
                                <w:txbxContent>
                                  <w:p>
                                    <w:pPr>
                                      <w:spacing w:line="360" w:lineRule="exact"/>
                                      <w:jc w:val="center"/>
                                      <w:rPr>
                                        <w:szCs w:val="21"/>
                                      </w:rPr>
                                    </w:pPr>
                                    <w:r>
                                      <w:rPr>
                                        <w:rFonts w:hint="eastAsia"/>
                                        <w:szCs w:val="21"/>
                                      </w:rPr>
                                      <w:t>噪声、扬尘、生活污水、</w:t>
                                    </w:r>
                                    <w:r>
                                      <w:rPr>
                                        <w:szCs w:val="21"/>
                                      </w:rPr>
                                      <w:t>生活垃圾</w:t>
                                    </w:r>
                                  </w:p>
                                </w:txbxContent>
                              </wps:txbx>
                              <wps:bodyPr rot="0" vert="horz" wrap="square" lIns="0" tIns="0" rIns="0" bIns="0" anchor="t" anchorCtr="0" upright="1">
                                <a:noAutofit/>
                              </wps:bodyPr>
                            </wps:wsp>
                            <wps:wsp>
                              <wps:cNvPr id="22" name="文本框 3059"/>
                              <wps:cNvSpPr txBox="1">
                                <a:spLocks noChangeArrowheads="1"/>
                              </wps:cNvSpPr>
                              <wps:spPr bwMode="auto">
                                <a:xfrm>
                                  <a:off x="2193414" y="62505"/>
                                  <a:ext cx="961506" cy="446232"/>
                                </a:xfrm>
                                <a:prstGeom prst="rect">
                                  <a:avLst/>
                                </a:prstGeom>
                                <a:noFill/>
                                <a:ln>
                                  <a:noFill/>
                                </a:ln>
                                <a:effectLst/>
                              </wps:spPr>
                              <wps:txbx>
                                <w:txbxContent>
                                  <w:p>
                                    <w:pPr>
                                      <w:spacing w:line="360" w:lineRule="exact"/>
                                      <w:jc w:val="center"/>
                                      <w:rPr>
                                        <w:szCs w:val="21"/>
                                      </w:rPr>
                                    </w:pPr>
                                    <w:r>
                                      <w:rPr>
                                        <w:rFonts w:hint="eastAsia"/>
                                        <w:szCs w:val="21"/>
                                      </w:rPr>
                                      <w:t>噪声、生活污水、生活垃圾</w:t>
                                    </w:r>
                                  </w:p>
                                </w:txbxContent>
                              </wps:txbx>
                              <wps:bodyPr rot="0" vert="horz" wrap="square" lIns="0" tIns="0" rIns="0" bIns="0" anchor="t" anchorCtr="0" upright="1">
                                <a:noAutofit/>
                              </wps:bodyPr>
                            </wps:wsp>
                            <wps:wsp>
                              <wps:cNvPr id="23" name="直线 3071"/>
                              <wps:cNvCnPr>
                                <a:cxnSpLocks noChangeShapeType="1"/>
                              </wps:cNvCnPr>
                              <wps:spPr bwMode="auto">
                                <a:xfrm>
                                  <a:off x="2905018" y="888465"/>
                                  <a:ext cx="355102" cy="800"/>
                                </a:xfrm>
                                <a:prstGeom prst="line">
                                  <a:avLst/>
                                </a:prstGeom>
                                <a:noFill/>
                                <a:ln w="9525">
                                  <a:solidFill>
                                    <a:srgbClr val="000000"/>
                                  </a:solidFill>
                                  <a:round/>
                                  <a:tailEnd type="triangle" w="med" len="med"/>
                                </a:ln>
                                <a:effectLst/>
                              </wps:spPr>
                              <wps:bodyPr/>
                            </wps:wsp>
                          </wpc:wpc>
                        </a:graphicData>
                      </a:graphic>
                    </wp:inline>
                  </w:drawing>
                </mc:Choice>
                <mc:Fallback>
                  <w:pict>
                    <v:group id="画布 3047" o:spid="_x0000_s1026" o:spt="203" style="height:110.9pt;width:394.6pt;" coordsize="5011420,1408430" editas="canvas" o:gfxdata="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">
                      <o:lock v:ext="edit" aspectratio="f"/>
                      <v:shape id="画布 3047" o:spid="_x0000_s1026" style="position:absolute;left:0;top:0;height:1408430;width:5011420;" filled="f" stroked="f" coordsize="21600,21600" o:gfxdata="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ApVvBh1wAAAAUBAAAPAAAAAAAAAAEAIAAAACIAAABkcnMvZG93&#10;bnJldi54bWxQSwECFAAUAAAACACHTuJA6pq0FXQEAACHGwAADgAAAAAAAAABACAAAAAmAQAAZHJz&#10;L2Uyb0RvYy54bWxQSwUGAAAAAAYABgBZAQAADAgAAAAA&#10;">
                        <v:fill on="f" focussize="0,0"/>
                        <v:stroke on="f"/>
                        <v:imagedata o:title=""/>
                        <o:lock v:ext="edit" aspectratio="f"/>
                      </v:shape>
                      <v:shape id="文本框 3059" o:spid="_x0000_s1026" o:spt="202" type="#_x0000_t202" style="position:absolute;left:408003;top:757955;height:265819;width:1433509;" filled="f" stroked="t" coordsize="21600,21600" o:gfxdata="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X02lrVAAAABQEAAA8AAAAAAAAAAQAgAAAAIgAAAGRycy9kb3ducmV2LnhtbFBLAQIU&#10;ABQAAAAIAIdO4kBi5z4WLwIAABwEAAAOAAAAAAAAAAEAIAAAACQBAABkcnMvZTJvRG9jLnhtbFBL&#10;BQYAAAAABgAGAFkBAADFBQAAAAA=&#10;">
                        <v:fill on="f" focussize="0,0"/>
                        <v:stroke color="#000000" miterlimit="8" joinstyle="miter"/>
                        <v:imagedata o:title=""/>
                        <o:lock v:ext="edit" aspectratio="f"/>
                        <v:textbox inset="0mm,0mm,0mm,0mm">
                          <w:txbxContent>
                            <w:p>
                              <w:pPr>
                                <w:spacing w:line="360" w:lineRule="exact"/>
                                <w:jc w:val="center"/>
                                <w:rPr>
                                  <w:szCs w:val="21"/>
                                </w:rPr>
                              </w:pPr>
                              <w:r>
                                <w:rPr>
                                  <w:rFonts w:hint="eastAsia"/>
                                  <w:szCs w:val="21"/>
                                </w:rPr>
                                <w:t>厂房适应性改造工程</w:t>
                              </w:r>
                            </w:p>
                          </w:txbxContent>
                        </v:textbox>
                      </v:shape>
                      <v:shape id="文本框 3060" o:spid="_x0000_s1026" o:spt="202" type="#_x0000_t202" style="position:absolute;left:2193414;top:757955;height:265819;width:695804;" filled="f" stroked="t" coordsize="21600,21600" o:gfxdata="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fTaWtUAAAAFAQAADwAAAAAAAAABACAAAAAiAAAAZHJzL2Rvd25yZXYueG1sUEsBAhQAFAAA&#10;AAgAh07iQBgO5LsrAgAAHAQAAA4AAAAAAAAAAQAgAAAAJAEAAGRycy9lMm9Eb2MueG1sUEsFBgAA&#10;AAAGAAYAWQEAAMEFAAAAAA==&#10;">
                        <v:fill on="f" focussize="0,0"/>
                        <v:stroke color="#000000" miterlimit="8" joinstyle="miter"/>
                        <v:imagedata o:title=""/>
                        <o:lock v:ext="edit" aspectratio="f"/>
                        <v:textbox inset="0mm,0mm,0mm,0mm">
                          <w:txbxContent>
                            <w:p>
                              <w:pPr>
                                <w:spacing w:line="360" w:lineRule="exact"/>
                                <w:jc w:val="center"/>
                                <w:rPr>
                                  <w:szCs w:val="21"/>
                                </w:rPr>
                              </w:pPr>
                              <w:r>
                                <w:rPr>
                                  <w:rFonts w:hint="eastAsia"/>
                                  <w:szCs w:val="21"/>
                                </w:rPr>
                                <w:t>设备安装</w:t>
                              </w:r>
                            </w:p>
                          </w:txbxContent>
                        </v:textbox>
                      </v:shape>
                      <v:line id="直线 3061" o:spid="_x0000_s1026" o:spt="20" style="position:absolute;left:1265908;top:509537;flip:y;height:253918;width:800;" filled="f" stroked="t" coordsize="21600,21600" o:gfxdata="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rk+mbSAAAABQEAAA8AAAAAAAAAAQAgAAAAIgAAAGRycy9kb3ducmV2LnhtbFBL&#10;AQIUABQAAAAIAIdO4kCXHOTa/AEAAMMDAAAOAAAAAAAAAAEAIAAAACEBAABkcnMvZTJvRG9jLnht&#10;bFBLBQYAAAAABgAGAFkBAACPBQAAAAA=&#10;">
                        <v:fill on="f" focussize="0,0"/>
                        <v:stroke color="#000000" joinstyle="round" dashstyle="longDash" endarrow="block"/>
                        <v:imagedata o:title=""/>
                        <o:lock v:ext="edit" aspectratio="f"/>
                      </v:line>
                      <v:line id="直线 3071" o:spid="_x0000_s1026" o:spt="20" style="position:absolute;left:2905018;top:888465;height:800;width:355102;" filled="f" stroked="t" coordsize="21600,21600" o:gfxdata="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k&#10;Jm1+1gAAAAUBAAAPAAAAAAAAAAEAIAAAACIAAABkcnMvZG93bnJldi54bWxQSwECFAAUAAAACACH&#10;TuJAyTcHxO0BAACfAwAADgAAAAAAAAABACAAAAAlAQAAZHJzL2Uyb0RvYy54bWxQSwUGAAAAAAYA&#10;BgBZAQAAhAUAAAAA&#10;">
                        <v:fill on="f" focussize="0,0"/>
                        <v:stroke color="#000000" joinstyle="round" endarrow="block"/>
                        <v:imagedata o:title=""/>
                        <o:lock v:ext="edit" aspectratio="f"/>
                      </v:line>
                      <v:shape id="文本框 3079" o:spid="_x0000_s1026" o:spt="202" type="#_x0000_t202" style="position:absolute;left:3275120;top:762655;height:268220;width:828705;" filled="f" stroked="t" coordsize="21600,21600" o:gfxdata="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fTaWtUAAAAFAQAADwAAAAAAAAABACAAAAAiAAAAZHJzL2Rvd25yZXYueG1sUEsBAhQAFAAA&#10;AAgAh07iQHq1LX8rAgAAHAQAAA4AAAAAAAAAAQAgAAAAJAEAAGRycy9lMm9Eb2MueG1sUEsFBgAA&#10;AAAGAAYAWQEAAMEFAAAAAA==&#10;">
                        <v:fill on="f" focussize="0,0"/>
                        <v:stroke color="#000000" miterlimit="8" joinstyle="miter"/>
                        <v:imagedata o:title=""/>
                        <o:lock v:ext="edit" aspectratio="f"/>
                        <v:textbox inset="0mm,0mm,0mm,0mm">
                          <w:txbxContent>
                            <w:p>
                              <w:pPr>
                                <w:spacing w:line="360" w:lineRule="exact"/>
                                <w:jc w:val="center"/>
                                <w:rPr>
                                  <w:szCs w:val="21"/>
                                </w:rPr>
                              </w:pPr>
                              <w:r>
                                <w:rPr>
                                  <w:rFonts w:hint="eastAsia"/>
                                  <w:szCs w:val="21"/>
                                </w:rPr>
                                <w:t>工程验收</w:t>
                              </w:r>
                            </w:p>
                          </w:txbxContent>
                        </v:textbox>
                      </v:shape>
                      <v:line id="直线 3061" o:spid="_x0000_s1026" o:spt="20" style="position:absolute;left:2541316;top:502337;flip:y;height:255619;width:1600;" filled="f" stroked="t" coordsize="21600,21600" o:gfxdata="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uT6ZtIAAAAFAQAADwAAAAAAAAABACAAAAAiAAAAZHJzL2Rvd25yZXYueG1s&#10;UEsBAhQAFAAAAAgAh07iQHZCSCn+AQAAxAMAAA4AAAAAAAAAAQAgAAAAIQEAAGRycy9lMm9Eb2Mu&#10;eG1sUEsFBgAAAAAGAAYAWQEAAJEFAAAAAA==&#10;">
                        <v:fill on="f" focussize="0,0"/>
                        <v:stroke color="#000000" joinstyle="round" dashstyle="longDash" endarrow="block"/>
                        <v:imagedata o:title=""/>
                        <o:lock v:ext="edit" aspectratio="f"/>
                      </v:line>
                      <v:line id="直线 3071" o:spid="_x0000_s1026" o:spt="20" style="position:absolute;left:4103826;top:889265;height:1600;width:355802;" filled="f" stroked="t" coordsize="21600,21600" o:gfxdata="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CZtftYAAAAFAQAADwAAAAAAAAABACAAAAAiAAAAZHJzL2Rvd25yZXYueG1sUEsBAhQAFAAAAAgA&#10;h07iQLysBAjuAQAAoAMAAA4AAAAAAAAAAQAgAAAAJQEAAGRycy9lMm9Eb2MueG1sUEsFBgAAAAAG&#10;AAYAWQEAAIUFAAAAAA==&#10;">
                        <v:fill on="f" focussize="0,0"/>
                        <v:stroke color="#000000" joinstyle="round" endarrow="block"/>
                        <v:imagedata o:title=""/>
                        <o:lock v:ext="edit" aspectratio="f"/>
                      </v:line>
                      <v:shape id="文本框 3079" o:spid="_x0000_s1026" o:spt="202" type="#_x0000_t202" style="position:absolute;left:4474628;top:763456;height:269020;width:829505;" filled="f" stroked="t" coordsize="21600,21600" o:gfxdata="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X02lrVAAAABQEAAA8AAAAAAAAAAQAgAAAAIgAAAGRycy9kb3ducmV2LnhtbFBLAQIUABQA&#10;AAAIAIdO4kD8R1D2LAIAABwEAAAOAAAAAAAAAAEAIAAAACQBAABkcnMvZTJvRG9jLnhtbFBLBQYA&#10;AAAABgAGAFkBAADCBQAAAAA=&#10;">
                        <v:fill on="f" focussize="0,0"/>
                        <v:stroke color="#000000" miterlimit="8" joinstyle="miter"/>
                        <v:imagedata o:title=""/>
                        <o:lock v:ext="edit" aspectratio="f"/>
                        <v:textbox inset="0mm,0mm,0mm,0mm">
                          <w:txbxContent>
                            <w:p>
                              <w:pPr>
                                <w:spacing w:line="360" w:lineRule="exact"/>
                                <w:jc w:val="center"/>
                                <w:rPr>
                                  <w:szCs w:val="21"/>
                                </w:rPr>
                              </w:pPr>
                              <w:r>
                                <w:rPr>
                                  <w:rFonts w:hint="eastAsia"/>
                                  <w:szCs w:val="21"/>
                                </w:rPr>
                                <w:t>工程运营</w:t>
                              </w:r>
                            </w:p>
                          </w:txbxContent>
                        </v:textbox>
                      </v:shape>
                      <v:shape id="文本框 3059" o:spid="_x0000_s1026" o:spt="202" type="#_x0000_t202" style="position:absolute;left:562103;top:37903;height:505637;width:1276308;" filled="f" stroked="f" coordsize="21600,21600" o:gfxdata="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g0ySXWAAAABQEAAA8AAAAAAAAAAQAgAAAAIgAAAGRycy9k&#10;b3ducmV2LnhtbFBLAQIUABQAAAAIAIdO4kAkN799BAIAANIDAAAOAAAAAAAAAAEAIAAAACUBAABk&#10;cnMvZTJvRG9jLnhtbFBLBQYAAAAABgAGAFkBAACbBQAAAAA=&#10;">
                        <v:fill on="f" focussize="0,0"/>
                        <v:stroke on="f"/>
                        <v:imagedata o:title=""/>
                        <o:lock v:ext="edit" aspectratio="f"/>
                        <v:textbox inset="0mm,0mm,0mm,0mm">
                          <w:txbxContent>
                            <w:p>
                              <w:pPr>
                                <w:spacing w:line="360" w:lineRule="exact"/>
                                <w:jc w:val="center"/>
                                <w:rPr>
                                  <w:szCs w:val="21"/>
                                </w:rPr>
                              </w:pPr>
                              <w:r>
                                <w:rPr>
                                  <w:rFonts w:hint="eastAsia"/>
                                  <w:szCs w:val="21"/>
                                </w:rPr>
                                <w:t>噪声、扬尘、生活污水、</w:t>
                              </w:r>
                              <w:r>
                                <w:rPr>
                                  <w:szCs w:val="21"/>
                                </w:rPr>
                                <w:t>生活垃圾</w:t>
                              </w:r>
                            </w:p>
                          </w:txbxContent>
                        </v:textbox>
                      </v:shape>
                      <v:shape id="文本框 3059" o:spid="_x0000_s1026" o:spt="202" type="#_x0000_t202" style="position:absolute;left:2193414;top:62505;height:446232;width:961506;" filled="f" stroked="f" coordsize="21600,21600" o:gfxdata="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NMkl1gAAAAUBAAAPAAAAAAAAAAEAIAAAACIAAABkcnMv&#10;ZG93bnJldi54bWxQSwECFAAUAAAACACHTuJAY29kTQUCAADSAwAADgAAAAAAAAABACAAAAAlAQAA&#10;ZHJzL2Uyb0RvYy54bWxQSwUGAAAAAAYABgBZAQAAnAUAAAAA&#10;">
                        <v:fill on="f" focussize="0,0"/>
                        <v:stroke on="f"/>
                        <v:imagedata o:title=""/>
                        <o:lock v:ext="edit" aspectratio="f"/>
                        <v:textbox inset="0mm,0mm,0mm,0mm">
                          <w:txbxContent>
                            <w:p>
                              <w:pPr>
                                <w:spacing w:line="360" w:lineRule="exact"/>
                                <w:jc w:val="center"/>
                                <w:rPr>
                                  <w:szCs w:val="21"/>
                                </w:rPr>
                              </w:pPr>
                              <w:r>
                                <w:rPr>
                                  <w:rFonts w:hint="eastAsia"/>
                                  <w:szCs w:val="21"/>
                                </w:rPr>
                                <w:t>噪声、生活污水、生活垃圾</w:t>
                              </w:r>
                            </w:p>
                          </w:txbxContent>
                        </v:textbox>
                      </v:shape>
                      <v:line id="直线 3071" o:spid="_x0000_s1026" o:spt="20" style="position:absolute;left:2905018;top:888465;height:800;width:355102;" filled="f" stroked="t" coordsize="21600,21600" o:gfxdata="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Qm&#10;bX7WAAAABQEAAA8AAAAAAAAAAQAgAAAAIgAAAGRycy9kb3ducmV2LnhtbFBLAQIUABQAAAAIAIdO&#10;4kDAfXd97AEAAJ8DAAAOAAAAAAAAAAEAIAAAACUBAABkcnMvZTJvRG9jLnhtbFBLBQYAAAAABgAG&#10;AFkBAACDBQAAAAA=&#10;">
                        <v:fill on="f" focussize="0,0"/>
                        <v:stroke color="#000000" joinstyle="round" endarrow="block"/>
                        <v:imagedata o:title=""/>
                        <o:lock v:ext="edit" aspectratio="f"/>
                      </v:line>
                      <w10:wrap type="none"/>
                      <w10:anchorlock/>
                    </v:group>
                  </w:pict>
                </mc:Fallback>
              </mc:AlternateContent>
            </w:r>
          </w:p>
          <w:p>
            <w:pPr>
              <w:pStyle w:val="7"/>
              <w:keepNext/>
              <w:rPr>
                <w:rFonts w:hint="eastAsia"/>
                <w:color w:val="auto"/>
                <w:sz w:val="21"/>
                <w:szCs w:val="21"/>
              </w:rPr>
            </w:pPr>
            <w:r>
              <w:rPr>
                <w:rFonts w:hint="eastAsia"/>
                <w:color w:val="auto"/>
                <w:sz w:val="21"/>
                <w:szCs w:val="21"/>
              </w:rPr>
              <w:t>图2-</w:t>
            </w:r>
            <w:r>
              <w:rPr>
                <w:rFonts w:hint="eastAsia"/>
                <w:color w:val="auto"/>
                <w:sz w:val="21"/>
                <w:szCs w:val="21"/>
                <w:lang w:val="en-US" w:eastAsia="zh-CN"/>
              </w:rPr>
              <w:t>3</w:t>
            </w:r>
            <w:r>
              <w:rPr>
                <w:rFonts w:hint="eastAsia"/>
                <w:color w:val="auto"/>
                <w:sz w:val="21"/>
                <w:szCs w:val="21"/>
              </w:rPr>
              <w:t xml:space="preserve"> 项目施工工艺流程图</w:t>
            </w:r>
          </w:p>
          <w:p>
            <w:pPr>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b/>
                <w:bCs/>
                <w:color w:val="auto"/>
                <w:sz w:val="24"/>
              </w:rPr>
            </w:pPr>
            <w:r>
              <w:rPr>
                <w:rFonts w:hint="eastAsia"/>
                <w:b/>
                <w:bCs/>
                <w:color w:val="auto"/>
                <w:sz w:val="24"/>
              </w:rPr>
              <w:t>二、运营期工艺流程及产污环节分析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lang w:val="en-US" w:eastAsia="zh-CN"/>
              </w:rPr>
              <w:t>本项目</w:t>
            </w:r>
            <w:r>
              <w:rPr>
                <w:rFonts w:hint="eastAsia" w:ascii="Times New Roman" w:hAnsi="Times New Roman" w:eastAsia="宋体" w:cs="Times New Roman"/>
                <w:b w:val="0"/>
                <w:bCs/>
                <w:color w:val="auto"/>
                <w:kern w:val="2"/>
                <w:sz w:val="24"/>
                <w:szCs w:val="24"/>
                <w:lang w:val="en-US" w:eastAsia="zh-CN" w:bidi="ar-SA"/>
              </w:rPr>
              <w:t>拟购置进料机、膨化炉、物料分级系统、延压系统等设备，进行超高纯度柔性石墨纸、高性能石墨导热膜及导电石墨烯粉体中试研发，项目建成后，预计达到年研发高纯度柔性石墨纸600吨</w:t>
            </w:r>
            <w:r>
              <w:rPr>
                <w:rFonts w:hint="eastAsia" w:ascii="Times New Roman" w:hAnsi="Times New Roman" w:eastAsia="宋体" w:cs="Times New Roman"/>
                <w:color w:val="auto"/>
                <w:sz w:val="24"/>
                <w:lang w:val="en-US" w:eastAsia="zh-CN"/>
              </w:rPr>
              <w:t>、高性能</w:t>
            </w:r>
            <w:r>
              <w:rPr>
                <w:rFonts w:hint="eastAsia" w:ascii="Times New Roman" w:hAnsi="Times New Roman" w:eastAsia="宋体" w:cs="Times New Roman"/>
                <w:color w:val="auto"/>
                <w:sz w:val="24"/>
                <w:szCs w:val="24"/>
                <w:lang w:val="en-US" w:eastAsia="zh-CN"/>
              </w:rPr>
              <w:t>石墨导热膜600吨及导电石墨烯粉体200吨的中试规模</w:t>
            </w:r>
            <w:r>
              <w:rPr>
                <w:rFonts w:hint="eastAsia" w:ascii="Times New Roman" w:hAnsi="Times New Roman" w:eastAsia="宋体" w:cs="Times New Roman"/>
                <w:color w:val="auto"/>
                <w:sz w:val="24"/>
                <w:szCs w:val="24"/>
              </w:rPr>
              <w:t>，研发周期预计为3年</w:t>
            </w:r>
            <w:r>
              <w:rPr>
                <w:rFonts w:hint="eastAsia" w:ascii="Times New Roman" w:hAnsi="Times New Roman" w:eastAsia="宋体" w:cs="Times New Roman"/>
                <w:color w:val="auto"/>
                <w:sz w:val="24"/>
                <w:szCs w:val="24"/>
                <w:lang w:eastAsia="zh-CN"/>
              </w:rPr>
              <w:t>，</w:t>
            </w:r>
            <w:r>
              <w:rPr>
                <w:color w:val="auto"/>
                <w:sz w:val="24"/>
                <w:szCs w:val="24"/>
              </w:rPr>
              <w:t>中试研发</w:t>
            </w:r>
            <w:r>
              <w:rPr>
                <w:rFonts w:hint="eastAsia"/>
                <w:color w:val="auto"/>
                <w:sz w:val="24"/>
                <w:szCs w:val="24"/>
              </w:rPr>
              <w:t>样</w:t>
            </w:r>
            <w:r>
              <w:rPr>
                <w:color w:val="auto"/>
                <w:sz w:val="24"/>
                <w:szCs w:val="24"/>
              </w:rPr>
              <w:t>品供应给下游检测机构</w:t>
            </w:r>
            <w:r>
              <w:rPr>
                <w:rFonts w:hint="eastAsia"/>
                <w:color w:val="auto"/>
                <w:sz w:val="24"/>
                <w:szCs w:val="24"/>
              </w:rPr>
              <w:t>测试其性能指标，最后根据产品质量情况分类外售</w:t>
            </w:r>
            <w:r>
              <w:rPr>
                <w:rFonts w:hint="eastAsia" w:ascii="Times New Roman" w:hAnsi="Times New Roman" w:eastAsia="宋体" w:cs="Times New Roman"/>
                <w:color w:val="auto"/>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bCs/>
                <w:color w:val="auto"/>
                <w:sz w:val="24"/>
                <w:szCs w:val="24"/>
                <w:lang w:val="en-US" w:eastAsia="zh-CN"/>
              </w:rPr>
            </w:pPr>
            <w:r>
              <w:rPr>
                <w:rFonts w:hint="eastAsia" w:ascii="Times New Roman" w:hAnsi="Times New Roman" w:eastAsia="宋体" w:cs="Times New Roman"/>
                <w:color w:val="auto"/>
                <w:sz w:val="24"/>
                <w:szCs w:val="24"/>
                <w:lang w:val="en-US" w:eastAsia="zh-CN"/>
              </w:rPr>
              <w:t>本项目三种研发品投料、膨化、分级工序一致</w:t>
            </w:r>
            <w:r>
              <w:rPr>
                <w:rFonts w:hint="eastAsia"/>
                <w:color w:val="auto"/>
                <w:sz w:val="24"/>
                <w:szCs w:val="24"/>
                <w:lang w:val="en-US" w:eastAsia="zh-CN"/>
              </w:rPr>
              <w:t>，</w:t>
            </w:r>
            <w:r>
              <w:rPr>
                <w:rFonts w:hint="eastAsia"/>
                <w:color w:val="auto"/>
                <w:sz w:val="24"/>
                <w:szCs w:val="24"/>
              </w:rPr>
              <w:t>其中</w:t>
            </w:r>
            <w:r>
              <w:rPr>
                <w:rFonts w:hint="eastAsia"/>
                <w:color w:val="auto"/>
                <w:sz w:val="24"/>
              </w:rPr>
              <w:t>超高纯度柔性石墨纸与高性能石墨导热膜研发工艺流程</w:t>
            </w:r>
            <w:r>
              <w:rPr>
                <w:rFonts w:hint="eastAsia"/>
                <w:color w:val="auto"/>
                <w:sz w:val="24"/>
                <w:lang w:val="en-US" w:eastAsia="zh-CN"/>
              </w:rPr>
              <w:t>完全</w:t>
            </w:r>
            <w:r>
              <w:rPr>
                <w:rFonts w:hint="eastAsia"/>
                <w:color w:val="auto"/>
                <w:sz w:val="24"/>
              </w:rPr>
              <w:t>一致，仅压延系统高铬合金的对辊直径不一致，超高纯度柔性石墨纸采取对辊的直径为400</w:t>
            </w:r>
            <w:r>
              <w:rPr>
                <w:rFonts w:hint="eastAsia"/>
                <w:color w:val="auto"/>
                <w:sz w:val="24"/>
                <w:lang w:val="en-US" w:eastAsia="zh-CN"/>
              </w:rPr>
              <w:t>mm</w:t>
            </w:r>
            <w:r>
              <w:rPr>
                <w:rFonts w:hint="eastAsia"/>
                <w:color w:val="auto"/>
                <w:sz w:val="24"/>
              </w:rPr>
              <w:t>，高性能石墨导热膜采取对辊的直径为500</w:t>
            </w:r>
            <w:r>
              <w:rPr>
                <w:rFonts w:hint="eastAsia"/>
                <w:color w:val="auto"/>
                <w:sz w:val="24"/>
                <w:lang w:val="en-US" w:eastAsia="zh-CN"/>
              </w:rPr>
              <w:t>mm</w:t>
            </w:r>
            <w:r>
              <w:rPr>
                <w:rFonts w:hint="eastAsia"/>
                <w:color w:val="auto"/>
                <w:sz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sz w:val="24"/>
                <w:szCs w:val="24"/>
                <w:lang w:val="en-US" w:eastAsia="zh-CN"/>
              </w:rPr>
            </w:pPr>
            <w:r>
              <w:rPr>
                <w:rFonts w:hint="eastAsia"/>
                <w:b/>
                <w:bCs/>
                <w:color w:val="auto"/>
                <w:sz w:val="24"/>
              </w:rPr>
              <w:t>1、超高纯度柔性石墨纸</w:t>
            </w:r>
            <w:r>
              <w:rPr>
                <w:rFonts w:hint="eastAsia" w:ascii="Times New Roman" w:hAnsi="Times New Roman" w:cs="Times New Roman"/>
                <w:b/>
                <w:bCs/>
                <w:color w:val="auto"/>
                <w:sz w:val="24"/>
                <w:szCs w:val="24"/>
                <w:lang w:val="en-US" w:eastAsia="zh-CN"/>
              </w:rPr>
              <w:t>工艺流程</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bCs/>
                <w:color w:val="auto"/>
                <w:sz w:val="24"/>
                <w:szCs w:val="24"/>
                <w:lang w:val="en-US" w:eastAsia="zh-CN"/>
              </w:rPr>
            </w:pPr>
          </w:p>
          <w:p>
            <w:pPr>
              <w:pStyle w:val="7"/>
              <w:keepNext/>
              <w:jc w:val="center"/>
              <w:rPr>
                <w:rFonts w:hint="eastAsia"/>
                <w:color w:val="auto"/>
                <w:sz w:val="21"/>
                <w:szCs w:val="21"/>
              </w:rPr>
            </w:pPr>
            <w:r>
              <w:rPr>
                <w:rFonts w:hint="eastAsia" w:ascii="Times New Roman" w:hAnsi="Times New Roman" w:eastAsia="宋体" w:cs="Times New Roman"/>
                <w:b/>
                <w:color w:val="auto"/>
                <w:sz w:val="21"/>
                <w:szCs w:val="21"/>
              </w:rPr>
              <w:t>图2-</w:t>
            </w:r>
            <w:r>
              <w:rPr>
                <w:rFonts w:hint="eastAsia" w:ascii="Times New Roman" w:hAnsi="Times New Roman" w:eastAsia="宋体" w:cs="Times New Roman"/>
                <w:b/>
                <w:color w:val="auto"/>
                <w:sz w:val="21"/>
                <w:szCs w:val="21"/>
                <w:lang w:val="en-US" w:eastAsia="zh-CN"/>
              </w:rPr>
              <w:t>4</w:t>
            </w:r>
            <w:r>
              <w:rPr>
                <w:rFonts w:hint="eastAsia" w:ascii="Times New Roman" w:hAnsi="Times New Roman" w:eastAsia="宋体" w:cs="Times New Roman"/>
                <w:b/>
                <w:color w:val="auto"/>
                <w:sz w:val="21"/>
                <w:szCs w:val="21"/>
              </w:rPr>
              <w:t xml:space="preserve"> </w:t>
            </w:r>
            <w:r>
              <w:rPr>
                <w:rFonts w:hint="eastAsia"/>
                <w:color w:val="auto"/>
                <w:sz w:val="21"/>
                <w:szCs w:val="21"/>
              </w:rPr>
              <w:t>超高纯度柔性石墨纸</w:t>
            </w:r>
            <w:r>
              <w:rPr>
                <w:rFonts w:hint="eastAsia" w:ascii="Times New Roman" w:hAnsi="Times New Roman" w:eastAsia="宋体" w:cs="Times New Roman"/>
                <w:b/>
                <w:color w:val="auto"/>
                <w:sz w:val="21"/>
                <w:szCs w:val="21"/>
              </w:rPr>
              <w:t>工艺流程图</w:t>
            </w:r>
          </w:p>
          <w:p>
            <w:pPr>
              <w:spacing w:line="360" w:lineRule="auto"/>
              <w:ind w:firstLine="482" w:firstLineChars="200"/>
              <w:rPr>
                <w:rFonts w:hint="default" w:ascii="Times New Roman" w:hAnsi="Times New Roman" w:cs="Times New Roman"/>
                <w:color w:val="auto"/>
                <w:sz w:val="24"/>
                <w:szCs w:val="24"/>
              </w:rPr>
            </w:pPr>
            <w:r>
              <w:rPr>
                <w:rFonts w:hint="eastAsia" w:ascii="Times New Roman" w:hAnsi="Times New Roman" w:eastAsia="宋体" w:cs="Times New Roman"/>
                <w:b/>
                <w:bCs/>
                <w:color w:val="auto"/>
                <w:sz w:val="24"/>
              </w:rPr>
              <w:t>超高</w:t>
            </w:r>
            <w:r>
              <w:rPr>
                <w:rFonts w:hint="default" w:ascii="Times New Roman" w:hAnsi="Times New Roman" w:eastAsia="宋体" w:cs="Times New Roman"/>
                <w:b/>
                <w:bCs/>
                <w:color w:val="auto"/>
                <w:sz w:val="24"/>
                <w:szCs w:val="24"/>
              </w:rPr>
              <w:t>纯度柔性石墨纸工艺</w:t>
            </w:r>
            <w:r>
              <w:rPr>
                <w:rFonts w:hint="default" w:ascii="Times New Roman" w:hAnsi="Times New Roman" w:cs="Times New Roman"/>
                <w:b/>
                <w:bCs/>
                <w:color w:val="auto"/>
                <w:sz w:val="24"/>
                <w:szCs w:val="24"/>
              </w:rPr>
              <w:t>流程及产污环节描述：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、高性能石墨导热膜</w:t>
            </w:r>
            <w:r>
              <w:rPr>
                <w:rFonts w:hint="default" w:ascii="Times New Roman" w:hAnsi="Times New Roman" w:cs="Times New Roman"/>
                <w:b/>
                <w:bCs/>
                <w:color w:val="auto"/>
                <w:sz w:val="24"/>
                <w:szCs w:val="24"/>
                <w:lang w:val="en-US" w:eastAsia="zh-CN"/>
              </w:rPr>
              <w:t>工艺流程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z w:val="24"/>
                <w:szCs w:val="24"/>
                <w:lang w:val="en-US" w:eastAsia="zh-CN"/>
              </w:rPr>
            </w:pPr>
          </w:p>
          <w:p>
            <w:pPr>
              <w:pStyle w:val="7"/>
              <w:keepNext/>
              <w:rPr>
                <w:rFonts w:hint="eastAsia"/>
                <w:color w:val="auto"/>
                <w:sz w:val="21"/>
                <w:szCs w:val="21"/>
              </w:rPr>
            </w:pPr>
            <w:r>
              <w:rPr>
                <w:rFonts w:hint="eastAsia" w:ascii="Times New Roman" w:hAnsi="Times New Roman" w:eastAsia="宋体" w:cs="Times New Roman"/>
                <w:b/>
                <w:color w:val="auto"/>
                <w:sz w:val="21"/>
                <w:szCs w:val="21"/>
              </w:rPr>
              <w:t>图2-</w:t>
            </w:r>
            <w:r>
              <w:rPr>
                <w:rFonts w:hint="eastAsia" w:ascii="Times New Roman" w:hAnsi="Times New Roman" w:eastAsia="宋体" w:cs="Times New Roman"/>
                <w:b/>
                <w:color w:val="auto"/>
                <w:sz w:val="21"/>
                <w:szCs w:val="21"/>
                <w:lang w:val="en-US" w:eastAsia="zh-CN"/>
              </w:rPr>
              <w:t>5</w:t>
            </w:r>
            <w:r>
              <w:rPr>
                <w:rFonts w:hint="eastAsia"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高性能石墨导热膜</w:t>
            </w:r>
            <w:r>
              <w:rPr>
                <w:rFonts w:hint="eastAsia" w:ascii="Times New Roman" w:hAnsi="Times New Roman" w:eastAsia="宋体" w:cs="Times New Roman"/>
                <w:b/>
                <w:color w:val="auto"/>
                <w:sz w:val="21"/>
                <w:szCs w:val="21"/>
              </w:rPr>
              <w:t>工艺流程图</w:t>
            </w:r>
          </w:p>
          <w:p>
            <w:pPr>
              <w:spacing w:line="360" w:lineRule="auto"/>
              <w:ind w:firstLine="482" w:firstLineChars="200"/>
              <w:rPr>
                <w:rFonts w:hint="eastAsia"/>
                <w:color w:val="auto"/>
                <w:sz w:val="24"/>
              </w:rPr>
            </w:pPr>
            <w:r>
              <w:rPr>
                <w:rFonts w:hint="eastAsia" w:ascii="Times New Roman" w:hAnsi="Times New Roman" w:eastAsia="宋体" w:cs="Times New Roman"/>
                <w:b/>
                <w:bCs/>
                <w:color w:val="auto"/>
                <w:sz w:val="24"/>
                <w:lang w:val="en-US" w:eastAsia="zh-CN"/>
              </w:rPr>
              <w:t>高性能石墨导热膜</w:t>
            </w:r>
            <w:r>
              <w:rPr>
                <w:rFonts w:ascii="Times New Roman" w:hAnsi="Times New Roman" w:eastAsia="宋体" w:cs="Times New Roman"/>
                <w:b/>
                <w:bCs/>
                <w:color w:val="auto"/>
                <w:sz w:val="24"/>
              </w:rPr>
              <w:t>工</w:t>
            </w:r>
            <w:r>
              <w:rPr>
                <w:b/>
                <w:bCs/>
                <w:color w:val="auto"/>
                <w:sz w:val="24"/>
              </w:rPr>
              <w:t>艺流程及产污环节描述：</w:t>
            </w:r>
          </w:p>
          <w:p>
            <w:pPr>
              <w:widowControl/>
              <w:spacing w:line="360" w:lineRule="auto"/>
              <w:ind w:firstLine="482" w:firstLineChars="200"/>
              <w:rPr>
                <w:rFonts w:hint="default" w:ascii="Times New Roman" w:hAnsi="Times New Roman" w:eastAsia="宋体" w:cs="Times New Roman"/>
                <w:color w:val="auto"/>
                <w:kern w:val="0"/>
                <w:sz w:val="24"/>
                <w:lang w:val="en-US" w:bidi="ar"/>
              </w:rPr>
            </w:pPr>
            <w:r>
              <w:rPr>
                <w:rFonts w:hint="eastAsia" w:ascii="Times New Roman" w:hAnsi="Times New Roman"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、导电石墨烯粉体</w:t>
            </w:r>
            <w:r>
              <w:rPr>
                <w:rFonts w:hint="eastAsia" w:ascii="Times New Roman" w:hAnsi="Times New Roman" w:cs="Times New Roman"/>
                <w:b/>
                <w:bCs/>
                <w:color w:val="auto"/>
                <w:sz w:val="24"/>
                <w:szCs w:val="24"/>
                <w:lang w:val="en-US" w:eastAsia="zh-CN"/>
              </w:rPr>
              <w:t>工艺流程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z w:val="24"/>
                <w:szCs w:val="24"/>
                <w:lang w:val="en-US" w:eastAsia="zh-CN"/>
              </w:rPr>
            </w:pPr>
          </w:p>
          <w:p>
            <w:pPr>
              <w:pStyle w:val="7"/>
              <w:keepNext/>
              <w:rPr>
                <w:rFonts w:hint="eastAsia"/>
                <w:color w:val="auto"/>
                <w:sz w:val="21"/>
                <w:szCs w:val="21"/>
              </w:rPr>
            </w:pPr>
            <w:r>
              <w:rPr>
                <w:rFonts w:hint="eastAsia" w:ascii="Times New Roman" w:hAnsi="Times New Roman" w:eastAsia="宋体" w:cs="Times New Roman"/>
                <w:b/>
                <w:color w:val="auto"/>
                <w:sz w:val="21"/>
                <w:szCs w:val="21"/>
              </w:rPr>
              <w:t>图2-</w:t>
            </w:r>
            <w:r>
              <w:rPr>
                <w:rFonts w:hint="eastAsia" w:ascii="Times New Roman" w:hAnsi="Times New Roman" w:eastAsia="宋体" w:cs="Times New Roman"/>
                <w:b/>
                <w:color w:val="auto"/>
                <w:sz w:val="21"/>
                <w:szCs w:val="21"/>
                <w:lang w:val="en-US" w:eastAsia="zh-CN"/>
              </w:rPr>
              <w:t>6</w:t>
            </w:r>
            <w:r>
              <w:rPr>
                <w:rFonts w:hint="eastAsia"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导电石墨烯粉体</w:t>
            </w:r>
            <w:r>
              <w:rPr>
                <w:rFonts w:hint="eastAsia" w:ascii="Times New Roman" w:hAnsi="Times New Roman" w:eastAsia="宋体" w:cs="Times New Roman"/>
                <w:b/>
                <w:color w:val="auto"/>
                <w:sz w:val="21"/>
                <w:szCs w:val="21"/>
              </w:rPr>
              <w:t>工艺流程图</w:t>
            </w:r>
          </w:p>
          <w:p>
            <w:pPr>
              <w:spacing w:line="360" w:lineRule="auto"/>
              <w:ind w:firstLine="482" w:firstLineChars="200"/>
              <w:rPr>
                <w:rFonts w:hint="eastAsia"/>
                <w:color w:val="auto"/>
                <w:sz w:val="24"/>
              </w:rPr>
            </w:pPr>
            <w:r>
              <w:rPr>
                <w:rFonts w:hint="eastAsia" w:ascii="Times New Roman" w:hAnsi="Times New Roman" w:eastAsia="宋体" w:cs="Times New Roman"/>
                <w:b/>
                <w:bCs/>
                <w:color w:val="auto"/>
                <w:sz w:val="24"/>
                <w:lang w:val="en-US" w:eastAsia="zh-CN"/>
              </w:rPr>
              <w:t>导电石墨烯粉体中试</w:t>
            </w:r>
            <w:r>
              <w:rPr>
                <w:rFonts w:ascii="Times New Roman" w:hAnsi="Times New Roman" w:eastAsia="宋体" w:cs="Times New Roman"/>
                <w:b/>
                <w:bCs/>
                <w:color w:val="auto"/>
                <w:sz w:val="24"/>
              </w:rPr>
              <w:t>工</w:t>
            </w:r>
            <w:r>
              <w:rPr>
                <w:b/>
                <w:bCs/>
                <w:color w:val="auto"/>
                <w:sz w:val="24"/>
              </w:rPr>
              <w:t>艺流程及产污环节描述：</w:t>
            </w:r>
          </w:p>
          <w:p>
            <w:pPr>
              <w:adjustRightInd w:val="0"/>
              <w:snapToGrid w:val="0"/>
              <w:spacing w:line="360" w:lineRule="auto"/>
              <w:ind w:firstLine="482" w:firstLineChars="200"/>
              <w:rPr>
                <w:rFonts w:hint="eastAsia"/>
                <w:b/>
                <w:bCs/>
                <w:color w:val="auto"/>
                <w:sz w:val="24"/>
              </w:rPr>
            </w:pPr>
            <w:r>
              <w:rPr>
                <w:rFonts w:hint="eastAsia"/>
                <w:b/>
                <w:bCs/>
                <w:color w:val="auto"/>
                <w:sz w:val="24"/>
              </w:rPr>
              <w:t>三、</w:t>
            </w:r>
            <w:r>
              <w:rPr>
                <w:b/>
                <w:bCs/>
                <w:color w:val="auto"/>
                <w:sz w:val="24"/>
              </w:rPr>
              <w:t>产污环节分析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根据对项目中试工艺流程和原辅材料的分析，确定本项目在运营期产生的污染因子</w:t>
            </w:r>
            <w:r>
              <w:rPr>
                <w:rFonts w:hint="default" w:ascii="Times New Roman" w:hAnsi="Times New Roman" w:eastAsia="宋体" w:cs="Times New Roman"/>
                <w:color w:val="auto"/>
                <w:kern w:val="0"/>
                <w:sz w:val="24"/>
                <w:szCs w:val="24"/>
                <w:lang w:val="en-US" w:eastAsia="zh-CN" w:bidi="ar"/>
              </w:rPr>
              <w:t>见</w:t>
            </w:r>
            <w:r>
              <w:rPr>
                <w:rFonts w:hint="eastAsia" w:ascii="Times New Roman" w:hAnsi="Times New Roman" w:eastAsia="宋体" w:cs="Times New Roman"/>
                <w:color w:val="auto"/>
                <w:kern w:val="0"/>
                <w:sz w:val="24"/>
                <w:szCs w:val="24"/>
                <w:lang w:val="en-US" w:eastAsia="zh-CN" w:bidi="ar"/>
              </w:rPr>
              <w:t>下表</w:t>
            </w:r>
            <w:r>
              <w:rPr>
                <w:rFonts w:hint="default" w:ascii="Times New Roman" w:hAnsi="Times New Roman" w:eastAsia="宋体" w:cs="Times New Roman"/>
                <w:color w:val="auto"/>
                <w:kern w:val="0"/>
                <w:sz w:val="24"/>
                <w:szCs w:val="24"/>
                <w:lang w:val="en-US" w:eastAsia="zh-CN" w:bidi="ar"/>
              </w:rPr>
              <w:t>。</w:t>
            </w:r>
          </w:p>
          <w:p>
            <w:pPr>
              <w:pStyle w:val="121"/>
              <w:spacing w:line="360" w:lineRule="auto"/>
              <w:rPr>
                <w:rFonts w:ascii="Times New Roman" w:cs="Times New Roman"/>
                <w:b/>
                <w:bCs/>
                <w:color w:val="auto"/>
                <w:sz w:val="21"/>
                <w:szCs w:val="21"/>
              </w:rPr>
            </w:pPr>
            <w:r>
              <w:rPr>
                <w:rFonts w:ascii="Times New Roman" w:cs="Times New Roman"/>
                <w:b/>
                <w:bCs/>
                <w:color w:val="auto"/>
                <w:sz w:val="21"/>
                <w:szCs w:val="21"/>
              </w:rPr>
              <w:t>表2-</w:t>
            </w:r>
            <w:r>
              <w:rPr>
                <w:rFonts w:hint="eastAsia" w:ascii="Times New Roman" w:cs="Times New Roman"/>
                <w:b/>
                <w:bCs/>
                <w:color w:val="auto"/>
                <w:sz w:val="21"/>
                <w:szCs w:val="21"/>
                <w:lang w:val="en-US" w:eastAsia="zh-CN"/>
              </w:rPr>
              <w:t>38</w:t>
            </w:r>
            <w:r>
              <w:rPr>
                <w:rFonts w:hint="eastAsia" w:ascii="Times New Roman" w:cs="Times New Roman"/>
                <w:b/>
                <w:bCs/>
                <w:color w:val="auto"/>
                <w:sz w:val="21"/>
                <w:szCs w:val="21"/>
              </w:rPr>
              <w:t xml:space="preserve"> 项目产污环节分析一览</w:t>
            </w:r>
            <w:r>
              <w:rPr>
                <w:rFonts w:ascii="Times New Roman" w:cs="Times New Roman"/>
                <w:b/>
                <w:bCs/>
                <w:color w:val="auto"/>
                <w:sz w:val="21"/>
                <w:szCs w:val="21"/>
              </w:rPr>
              <w:t>表</w:t>
            </w:r>
          </w:p>
          <w:tbl>
            <w:tblPr>
              <w:tblStyle w:val="36"/>
              <w:tblW w:w="8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260"/>
              <w:gridCol w:w="2240"/>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729" w:type="dxa"/>
                  <w:noWrap w:val="0"/>
                  <w:vAlign w:val="center"/>
                </w:tcPr>
                <w:p>
                  <w:pPr>
                    <w:jc w:val="center"/>
                    <w:rPr>
                      <w:b/>
                      <w:bCs/>
                      <w:color w:val="auto"/>
                      <w:szCs w:val="21"/>
                    </w:rPr>
                  </w:pPr>
                  <w:r>
                    <w:rPr>
                      <w:b/>
                      <w:bCs/>
                      <w:color w:val="auto"/>
                      <w:szCs w:val="21"/>
                    </w:rPr>
                    <w:t>类别</w:t>
                  </w:r>
                </w:p>
              </w:tc>
              <w:tc>
                <w:tcPr>
                  <w:tcW w:w="1260" w:type="dxa"/>
                  <w:noWrap w:val="0"/>
                  <w:vAlign w:val="center"/>
                </w:tcPr>
                <w:p>
                  <w:pPr>
                    <w:jc w:val="center"/>
                    <w:rPr>
                      <w:b/>
                      <w:bCs/>
                      <w:color w:val="auto"/>
                      <w:szCs w:val="21"/>
                    </w:rPr>
                  </w:pPr>
                  <w:r>
                    <w:rPr>
                      <w:b/>
                      <w:bCs/>
                      <w:color w:val="auto"/>
                      <w:szCs w:val="21"/>
                    </w:rPr>
                    <w:t>产污环节</w:t>
                  </w:r>
                </w:p>
              </w:tc>
              <w:tc>
                <w:tcPr>
                  <w:tcW w:w="2240" w:type="dxa"/>
                  <w:noWrap w:val="0"/>
                  <w:vAlign w:val="center"/>
                </w:tcPr>
                <w:p>
                  <w:pPr>
                    <w:jc w:val="center"/>
                    <w:rPr>
                      <w:b/>
                      <w:bCs/>
                      <w:color w:val="auto"/>
                      <w:szCs w:val="21"/>
                    </w:rPr>
                  </w:pPr>
                  <w:r>
                    <w:rPr>
                      <w:b/>
                      <w:bCs/>
                      <w:color w:val="auto"/>
                      <w:szCs w:val="21"/>
                    </w:rPr>
                    <w:t>污染物名称</w:t>
                  </w:r>
                </w:p>
              </w:tc>
              <w:tc>
                <w:tcPr>
                  <w:tcW w:w="4065" w:type="dxa"/>
                  <w:noWrap w:val="0"/>
                  <w:vAlign w:val="center"/>
                </w:tcPr>
                <w:p>
                  <w:pPr>
                    <w:jc w:val="center"/>
                    <w:rPr>
                      <w:b/>
                      <w:bCs/>
                      <w:color w:val="auto"/>
                      <w:szCs w:val="21"/>
                    </w:rPr>
                  </w:pPr>
                  <w:r>
                    <w:rPr>
                      <w:b/>
                      <w:bCs/>
                      <w:color w:val="auto"/>
                      <w:szCs w:val="21"/>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restart"/>
                  <w:noWrap w:val="0"/>
                  <w:vAlign w:val="center"/>
                </w:tcPr>
                <w:p>
                  <w:pPr>
                    <w:jc w:val="center"/>
                    <w:rPr>
                      <w:color w:val="auto"/>
                      <w:sz w:val="21"/>
                      <w:szCs w:val="21"/>
                    </w:rPr>
                  </w:pPr>
                  <w:r>
                    <w:rPr>
                      <w:color w:val="auto"/>
                      <w:sz w:val="21"/>
                      <w:szCs w:val="21"/>
                    </w:rPr>
                    <w:t>废气</w:t>
                  </w:r>
                </w:p>
              </w:tc>
              <w:tc>
                <w:tcPr>
                  <w:tcW w:w="1260"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投料</w:t>
                  </w:r>
                </w:p>
              </w:tc>
              <w:tc>
                <w:tcPr>
                  <w:tcW w:w="2240" w:type="dxa"/>
                  <w:noWrap w:val="0"/>
                  <w:vAlign w:val="center"/>
                </w:tcPr>
                <w:p>
                  <w:pPr>
                    <w:jc w:val="center"/>
                    <w:rPr>
                      <w:rFonts w:hint="eastAsia" w:eastAsia="宋体"/>
                      <w:color w:val="auto"/>
                      <w:sz w:val="21"/>
                      <w:szCs w:val="21"/>
                      <w:lang w:eastAsia="zh-CN"/>
                    </w:rPr>
                  </w:pPr>
                  <w:r>
                    <w:rPr>
                      <w:rFonts w:hint="eastAsia"/>
                      <w:color w:val="auto"/>
                      <w:sz w:val="21"/>
                      <w:szCs w:val="21"/>
                      <w:lang w:val="en-US" w:eastAsia="zh-CN"/>
                    </w:rPr>
                    <w:t>G1-投料粉尘</w:t>
                  </w:r>
                </w:p>
              </w:tc>
              <w:tc>
                <w:tcPr>
                  <w:tcW w:w="4065" w:type="dxa"/>
                  <w:noWrap w:val="0"/>
                  <w:vAlign w:val="center"/>
                </w:tcPr>
                <w:p>
                  <w:pPr>
                    <w:jc w:val="center"/>
                    <w:rPr>
                      <w:rFonts w:hint="eastAsia" w:eastAsia="宋体"/>
                      <w:color w:val="auto"/>
                      <w:sz w:val="21"/>
                      <w:szCs w:val="21"/>
                      <w:lang w:val="en-US" w:eastAsia="zh-CN"/>
                    </w:rPr>
                  </w:pPr>
                  <w:r>
                    <w:rPr>
                      <w:rFonts w:hint="eastAsia" w:eastAsia="宋体"/>
                      <w:color w:val="auto"/>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continue"/>
                  <w:noWrap w:val="0"/>
                  <w:vAlign w:val="center"/>
                </w:tcPr>
                <w:p>
                  <w:pPr>
                    <w:jc w:val="center"/>
                    <w:rPr>
                      <w:color w:val="auto"/>
                      <w:sz w:val="21"/>
                      <w:szCs w:val="21"/>
                    </w:rPr>
                  </w:pPr>
                </w:p>
              </w:tc>
              <w:tc>
                <w:tcPr>
                  <w:tcW w:w="1260" w:type="dxa"/>
                  <w:noWrap w:val="0"/>
                  <w:vAlign w:val="center"/>
                </w:tcPr>
                <w:p>
                  <w:pPr>
                    <w:jc w:val="center"/>
                    <w:rPr>
                      <w:rFonts w:hint="eastAsia"/>
                      <w:color w:val="auto"/>
                      <w:sz w:val="21"/>
                      <w:szCs w:val="21"/>
                      <w:lang w:val="en-US" w:eastAsia="zh-CN"/>
                    </w:rPr>
                  </w:pPr>
                  <w:r>
                    <w:rPr>
                      <w:rFonts w:hint="eastAsia"/>
                      <w:color w:val="auto"/>
                      <w:sz w:val="21"/>
                      <w:szCs w:val="21"/>
                      <w:lang w:val="en-US" w:eastAsia="zh-CN"/>
                    </w:rPr>
                    <w:t>膨化</w:t>
                  </w:r>
                </w:p>
              </w:tc>
              <w:tc>
                <w:tcPr>
                  <w:tcW w:w="2240" w:type="dxa"/>
                  <w:noWrap w:val="0"/>
                  <w:vAlign w:val="center"/>
                </w:tcPr>
                <w:p>
                  <w:pPr>
                    <w:jc w:val="center"/>
                    <w:rPr>
                      <w:rFonts w:hint="eastAsia"/>
                      <w:color w:val="auto"/>
                      <w:sz w:val="21"/>
                      <w:szCs w:val="21"/>
                      <w:lang w:val="en-US" w:eastAsia="zh-CN"/>
                    </w:rPr>
                  </w:pPr>
                  <w:r>
                    <w:rPr>
                      <w:rFonts w:hint="eastAsia"/>
                      <w:color w:val="auto"/>
                      <w:sz w:val="21"/>
                      <w:szCs w:val="21"/>
                      <w:lang w:val="en-US" w:eastAsia="zh-CN"/>
                    </w:rPr>
                    <w:t>G2-膨化炉废气</w:t>
                  </w:r>
                </w:p>
              </w:tc>
              <w:tc>
                <w:tcPr>
                  <w:tcW w:w="4065"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、NO</w:t>
                  </w:r>
                  <w:r>
                    <w:rPr>
                      <w:rFonts w:ascii="Times New Roman" w:hAnsi="Times New Roman" w:eastAsia="宋体" w:cs="Times New Roman"/>
                      <w:color w:val="auto"/>
                      <w:sz w:val="21"/>
                      <w:szCs w:val="21"/>
                      <w:vertAlign w:val="subscript"/>
                    </w:rPr>
                    <w:t>X</w:t>
                  </w:r>
                  <w:r>
                    <w:rPr>
                      <w:rFonts w:hint="eastAsia" w:ascii="Times New Roman" w:hAnsi="Times New Roman" w:eastAsia="宋体"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烟气黑度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continue"/>
                  <w:noWrap w:val="0"/>
                  <w:vAlign w:val="center"/>
                </w:tcPr>
                <w:p>
                  <w:pPr>
                    <w:jc w:val="center"/>
                    <w:rPr>
                      <w:color w:val="auto"/>
                      <w:sz w:val="21"/>
                      <w:szCs w:val="21"/>
                    </w:rPr>
                  </w:pPr>
                </w:p>
              </w:tc>
              <w:tc>
                <w:tcPr>
                  <w:tcW w:w="1260" w:type="dxa"/>
                  <w:noWrap w:val="0"/>
                  <w:vAlign w:val="center"/>
                </w:tcPr>
                <w:p>
                  <w:pPr>
                    <w:jc w:val="center"/>
                    <w:rPr>
                      <w:rFonts w:hint="eastAsia"/>
                      <w:color w:val="auto"/>
                      <w:sz w:val="21"/>
                      <w:szCs w:val="21"/>
                      <w:lang w:val="en-US" w:eastAsia="zh-CN"/>
                    </w:rPr>
                  </w:pPr>
                  <w:r>
                    <w:rPr>
                      <w:rFonts w:hint="eastAsia"/>
                      <w:color w:val="auto"/>
                      <w:sz w:val="21"/>
                      <w:szCs w:val="21"/>
                      <w:lang w:val="en-US" w:eastAsia="zh-CN"/>
                    </w:rPr>
                    <w:t>分级</w:t>
                  </w:r>
                </w:p>
              </w:tc>
              <w:tc>
                <w:tcPr>
                  <w:tcW w:w="2240" w:type="dxa"/>
                  <w:noWrap w:val="0"/>
                  <w:vAlign w:val="center"/>
                </w:tcPr>
                <w:p>
                  <w:pPr>
                    <w:jc w:val="center"/>
                    <w:rPr>
                      <w:rFonts w:hint="eastAsia"/>
                      <w:color w:val="auto"/>
                      <w:sz w:val="21"/>
                      <w:szCs w:val="21"/>
                      <w:lang w:val="en-US" w:eastAsia="zh-CN"/>
                    </w:rPr>
                  </w:pPr>
                  <w:r>
                    <w:rPr>
                      <w:rFonts w:hint="eastAsia"/>
                      <w:color w:val="auto"/>
                      <w:sz w:val="21"/>
                      <w:szCs w:val="21"/>
                      <w:lang w:val="en-US" w:eastAsia="zh-CN"/>
                    </w:rPr>
                    <w:t>G3-分级粉尘</w:t>
                  </w:r>
                </w:p>
              </w:tc>
              <w:tc>
                <w:tcPr>
                  <w:tcW w:w="4065"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continue"/>
                  <w:noWrap w:val="0"/>
                  <w:vAlign w:val="center"/>
                </w:tcPr>
                <w:p>
                  <w:pPr>
                    <w:jc w:val="center"/>
                    <w:rPr>
                      <w:color w:val="auto"/>
                      <w:sz w:val="21"/>
                      <w:szCs w:val="21"/>
                    </w:rPr>
                  </w:pPr>
                </w:p>
              </w:tc>
              <w:tc>
                <w:tcPr>
                  <w:tcW w:w="1260" w:type="dxa"/>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rPr>
                    <w:t>切割</w:t>
                  </w:r>
                </w:p>
              </w:tc>
              <w:tc>
                <w:tcPr>
                  <w:tcW w:w="2240"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G4-切割粉尘</w:t>
                  </w:r>
                </w:p>
              </w:tc>
              <w:tc>
                <w:tcPr>
                  <w:tcW w:w="4065" w:type="dxa"/>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continue"/>
                  <w:noWrap w:val="0"/>
                  <w:vAlign w:val="center"/>
                </w:tcPr>
                <w:p>
                  <w:pPr>
                    <w:jc w:val="center"/>
                    <w:rPr>
                      <w:color w:val="auto"/>
                      <w:sz w:val="21"/>
                      <w:szCs w:val="21"/>
                    </w:rPr>
                  </w:pPr>
                </w:p>
              </w:tc>
              <w:tc>
                <w:tcPr>
                  <w:tcW w:w="1260" w:type="dxa"/>
                  <w:noWrap w:val="0"/>
                  <w:vAlign w:val="center"/>
                </w:tcPr>
                <w:p>
                  <w:pPr>
                    <w:jc w:val="center"/>
                    <w:rPr>
                      <w:rFonts w:hint="eastAsia" w:eastAsia="宋体"/>
                      <w:color w:val="auto"/>
                      <w:sz w:val="21"/>
                      <w:szCs w:val="21"/>
                      <w:lang w:val="en-US" w:eastAsia="zh-CN"/>
                    </w:rPr>
                  </w:pPr>
                  <w:r>
                    <w:rPr>
                      <w:rFonts w:hint="eastAsia" w:eastAsia="宋体"/>
                      <w:color w:val="auto"/>
                      <w:kern w:val="0"/>
                      <w:sz w:val="21"/>
                      <w:szCs w:val="21"/>
                      <w:lang w:val="en-US" w:eastAsia="zh-CN" w:bidi="ar"/>
                    </w:rPr>
                    <w:t>研磨</w:t>
                  </w:r>
                </w:p>
              </w:tc>
              <w:tc>
                <w:tcPr>
                  <w:tcW w:w="2240" w:type="dxa"/>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G5-研磨粉尘</w:t>
                  </w:r>
                </w:p>
              </w:tc>
              <w:tc>
                <w:tcPr>
                  <w:tcW w:w="4065" w:type="dxa"/>
                  <w:noWrap w:val="0"/>
                  <w:vAlign w:val="center"/>
                </w:tcPr>
                <w:p>
                  <w:pPr>
                    <w:jc w:val="center"/>
                    <w:rPr>
                      <w:rFonts w:hint="eastAsia" w:eastAsia="宋体"/>
                      <w:color w:val="auto"/>
                      <w:sz w:val="21"/>
                      <w:szCs w:val="21"/>
                      <w:lang w:eastAsia="zh-CN"/>
                    </w:rPr>
                  </w:pPr>
                  <w:r>
                    <w:rPr>
                      <w:rFonts w:hint="eastAsia" w:eastAsia="宋体"/>
                      <w:color w:val="auto"/>
                      <w:sz w:val="21"/>
                      <w:szCs w:val="21"/>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restart"/>
                  <w:noWrap w:val="0"/>
                  <w:vAlign w:val="center"/>
                </w:tcPr>
                <w:p>
                  <w:pPr>
                    <w:jc w:val="center"/>
                    <w:rPr>
                      <w:color w:val="auto"/>
                      <w:sz w:val="21"/>
                      <w:szCs w:val="21"/>
                    </w:rPr>
                  </w:pPr>
                  <w:r>
                    <w:rPr>
                      <w:color w:val="auto"/>
                      <w:sz w:val="21"/>
                      <w:szCs w:val="21"/>
                    </w:rPr>
                    <w:t>废水</w:t>
                  </w:r>
                </w:p>
              </w:tc>
              <w:tc>
                <w:tcPr>
                  <w:tcW w:w="1260" w:type="dxa"/>
                  <w:noWrap w:val="0"/>
                  <w:vAlign w:val="center"/>
                </w:tcPr>
                <w:p>
                  <w:pPr>
                    <w:jc w:val="center"/>
                    <w:rPr>
                      <w:color w:val="auto"/>
                      <w:sz w:val="21"/>
                      <w:szCs w:val="21"/>
                    </w:rPr>
                  </w:pPr>
                  <w:r>
                    <w:rPr>
                      <w:color w:val="auto"/>
                      <w:sz w:val="21"/>
                      <w:szCs w:val="21"/>
                    </w:rPr>
                    <w:t>办公生活</w:t>
                  </w:r>
                </w:p>
              </w:tc>
              <w:tc>
                <w:tcPr>
                  <w:tcW w:w="2240" w:type="dxa"/>
                  <w:noWrap w:val="0"/>
                  <w:vAlign w:val="center"/>
                </w:tcPr>
                <w:p>
                  <w:pPr>
                    <w:jc w:val="center"/>
                    <w:rPr>
                      <w:color w:val="auto"/>
                      <w:sz w:val="21"/>
                      <w:szCs w:val="21"/>
                    </w:rPr>
                  </w:pPr>
                  <w:r>
                    <w:rPr>
                      <w:color w:val="auto"/>
                      <w:sz w:val="21"/>
                      <w:szCs w:val="21"/>
                    </w:rPr>
                    <w:t>生活污水</w:t>
                  </w:r>
                </w:p>
              </w:tc>
              <w:tc>
                <w:tcPr>
                  <w:tcW w:w="4065" w:type="dxa"/>
                  <w:noWrap w:val="0"/>
                  <w:vAlign w:val="center"/>
                </w:tcPr>
                <w:p>
                  <w:pPr>
                    <w:jc w:val="center"/>
                    <w:rPr>
                      <w:color w:val="auto"/>
                      <w:sz w:val="21"/>
                      <w:szCs w:val="21"/>
                    </w:rPr>
                  </w:pPr>
                  <w:r>
                    <w:rPr>
                      <w:color w:val="auto"/>
                      <w:sz w:val="21"/>
                      <w:szCs w:val="21"/>
                    </w:rPr>
                    <w:t>COD、BOD</w:t>
                  </w:r>
                  <w:r>
                    <w:rPr>
                      <w:color w:val="auto"/>
                      <w:sz w:val="21"/>
                      <w:szCs w:val="21"/>
                      <w:vertAlign w:val="subscript"/>
                    </w:rPr>
                    <w:t>5</w:t>
                  </w:r>
                  <w:r>
                    <w:rPr>
                      <w:color w:val="auto"/>
                      <w:sz w:val="21"/>
                      <w:szCs w:val="21"/>
                    </w:rPr>
                    <w:t>、SS、氨氮等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continue"/>
                  <w:noWrap w:val="0"/>
                  <w:vAlign w:val="center"/>
                </w:tcPr>
                <w:p>
                  <w:pPr>
                    <w:jc w:val="center"/>
                    <w:rPr>
                      <w:color w:val="auto"/>
                      <w:sz w:val="21"/>
                      <w:szCs w:val="21"/>
                    </w:rPr>
                  </w:pPr>
                </w:p>
              </w:tc>
              <w:tc>
                <w:tcPr>
                  <w:tcW w:w="1260" w:type="dxa"/>
                  <w:noWrap w:val="0"/>
                  <w:vAlign w:val="center"/>
                </w:tcPr>
                <w:p>
                  <w:pPr>
                    <w:jc w:val="center"/>
                    <w:rPr>
                      <w:color w:val="auto"/>
                      <w:sz w:val="21"/>
                      <w:szCs w:val="21"/>
                    </w:rPr>
                  </w:pPr>
                  <w:r>
                    <w:rPr>
                      <w:rFonts w:ascii="Times New Roman" w:hAnsi="Times New Roman" w:eastAsia="宋体" w:cs="Times New Roman"/>
                      <w:color w:val="auto"/>
                      <w:sz w:val="21"/>
                      <w:szCs w:val="21"/>
                    </w:rPr>
                    <w:t>废气处理</w:t>
                  </w:r>
                </w:p>
              </w:tc>
              <w:tc>
                <w:tcPr>
                  <w:tcW w:w="2240" w:type="dxa"/>
                  <w:noWrap w:val="0"/>
                  <w:vAlign w:val="center"/>
                </w:tcPr>
                <w:p>
                  <w:pPr>
                    <w:jc w:val="center"/>
                    <w:rPr>
                      <w:color w:val="auto"/>
                      <w:sz w:val="21"/>
                      <w:szCs w:val="21"/>
                    </w:rPr>
                  </w:pPr>
                  <w:r>
                    <w:rPr>
                      <w:rFonts w:hint="eastAsia" w:ascii="Times New Roman" w:hAnsi="Times New Roman" w:eastAsia="宋体" w:cs="Times New Roman"/>
                      <w:color w:val="auto"/>
                      <w:sz w:val="21"/>
                      <w:szCs w:val="21"/>
                      <w:lang w:val="en-US" w:eastAsia="zh-CN"/>
                    </w:rPr>
                    <w:t>碱喷淋废水</w:t>
                  </w:r>
                </w:p>
              </w:tc>
              <w:tc>
                <w:tcPr>
                  <w:tcW w:w="4065" w:type="dxa"/>
                  <w:noWrap w:val="0"/>
                  <w:vAlign w:val="center"/>
                </w:tcPr>
                <w:p>
                  <w:pPr>
                    <w:jc w:val="center"/>
                    <w:rPr>
                      <w:color w:val="auto"/>
                      <w:sz w:val="21"/>
                      <w:szCs w:val="21"/>
                    </w:rPr>
                  </w:pPr>
                  <w:r>
                    <w:rPr>
                      <w:rFonts w:hint="eastAsia"/>
                      <w:color w:val="auto"/>
                      <w:sz w:val="21"/>
                      <w:szCs w:val="21"/>
                      <w:lang w:val="en-US" w:eastAsia="zh-CN"/>
                    </w:rPr>
                    <w:t>pH</w:t>
                  </w:r>
                  <w:r>
                    <w:rPr>
                      <w:rFonts w:hint="eastAsia"/>
                      <w:color w:val="auto"/>
                      <w:sz w:val="21"/>
                      <w:szCs w:val="21"/>
                      <w:lang w:eastAsia="zh-CN"/>
                    </w:rPr>
                    <w:t>、</w:t>
                  </w:r>
                  <w:r>
                    <w:rPr>
                      <w:color w:val="auto"/>
                      <w:sz w:val="21"/>
                      <w:szCs w:val="21"/>
                    </w:rPr>
                    <w:t>SS等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noWrap w:val="0"/>
                  <w:vAlign w:val="center"/>
                </w:tcPr>
                <w:p>
                  <w:pPr>
                    <w:jc w:val="center"/>
                    <w:rPr>
                      <w:color w:val="auto"/>
                      <w:sz w:val="21"/>
                      <w:szCs w:val="21"/>
                    </w:rPr>
                  </w:pPr>
                  <w:r>
                    <w:rPr>
                      <w:color w:val="auto"/>
                      <w:sz w:val="21"/>
                      <w:szCs w:val="21"/>
                    </w:rPr>
                    <w:t>噪声</w:t>
                  </w:r>
                </w:p>
              </w:tc>
              <w:tc>
                <w:tcPr>
                  <w:tcW w:w="1260" w:type="dxa"/>
                  <w:noWrap w:val="0"/>
                  <w:vAlign w:val="center"/>
                </w:tcPr>
                <w:p>
                  <w:pPr>
                    <w:jc w:val="center"/>
                    <w:rPr>
                      <w:color w:val="auto"/>
                      <w:sz w:val="21"/>
                      <w:szCs w:val="21"/>
                    </w:rPr>
                  </w:pPr>
                  <w:r>
                    <w:rPr>
                      <w:color w:val="auto"/>
                      <w:sz w:val="21"/>
                      <w:szCs w:val="21"/>
                    </w:rPr>
                    <w:t>设备噪声</w:t>
                  </w:r>
                </w:p>
              </w:tc>
              <w:tc>
                <w:tcPr>
                  <w:tcW w:w="2240" w:type="dxa"/>
                  <w:noWrap w:val="0"/>
                  <w:vAlign w:val="center"/>
                </w:tcPr>
                <w:p>
                  <w:pPr>
                    <w:keepNext w:val="0"/>
                    <w:keepLines w:val="0"/>
                    <w:widowControl/>
                    <w:suppressLineNumbers w:val="0"/>
                    <w:jc w:val="left"/>
                    <w:rPr>
                      <w:color w:val="auto"/>
                      <w:sz w:val="21"/>
                      <w:szCs w:val="21"/>
                    </w:rPr>
                  </w:pPr>
                  <w:r>
                    <w:rPr>
                      <w:rFonts w:hint="eastAsia" w:ascii="宋体" w:hAnsi="宋体" w:eastAsia="宋体" w:cs="宋体"/>
                      <w:color w:val="auto"/>
                      <w:kern w:val="0"/>
                      <w:sz w:val="21"/>
                      <w:szCs w:val="21"/>
                      <w:lang w:val="en-US" w:eastAsia="zh-CN" w:bidi="ar"/>
                    </w:rPr>
                    <w:t>研发设备、风机等运行噪声</w:t>
                  </w:r>
                </w:p>
              </w:tc>
              <w:tc>
                <w:tcPr>
                  <w:tcW w:w="4065" w:type="dxa"/>
                  <w:noWrap w:val="0"/>
                  <w:vAlign w:val="center"/>
                </w:tcPr>
                <w:p>
                  <w:pPr>
                    <w:jc w:val="center"/>
                    <w:rPr>
                      <w:color w:val="auto"/>
                      <w:sz w:val="21"/>
                      <w:szCs w:val="21"/>
                    </w:rPr>
                  </w:pPr>
                  <w:r>
                    <w:rPr>
                      <w:color w:val="auto"/>
                      <w:sz w:val="21"/>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restart"/>
                  <w:noWrap w:val="0"/>
                  <w:vAlign w:val="center"/>
                </w:tcPr>
                <w:p>
                  <w:pPr>
                    <w:jc w:val="center"/>
                    <w:rPr>
                      <w:color w:val="auto"/>
                      <w:sz w:val="21"/>
                      <w:szCs w:val="21"/>
                    </w:rPr>
                  </w:pPr>
                  <w:r>
                    <w:rPr>
                      <w:color w:val="auto"/>
                      <w:sz w:val="21"/>
                      <w:szCs w:val="21"/>
                    </w:rPr>
                    <w:t>固废</w:t>
                  </w:r>
                </w:p>
              </w:tc>
              <w:tc>
                <w:tcPr>
                  <w:tcW w:w="12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研发</w:t>
                  </w:r>
                  <w:r>
                    <w:rPr>
                      <w:rFonts w:ascii="Times New Roman" w:hAnsi="Times New Roman" w:eastAsia="宋体" w:cs="Times New Roman"/>
                      <w:color w:val="auto"/>
                      <w:sz w:val="21"/>
                      <w:szCs w:val="21"/>
                    </w:rPr>
                    <w:t>过程</w:t>
                  </w:r>
                </w:p>
              </w:tc>
              <w:tc>
                <w:tcPr>
                  <w:tcW w:w="2240"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S1-废边角料</w:t>
                  </w:r>
                </w:p>
              </w:tc>
              <w:tc>
                <w:tcPr>
                  <w:tcW w:w="4065" w:type="dxa"/>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continue"/>
                  <w:noWrap w:val="0"/>
                  <w:vAlign w:val="center"/>
                </w:tcPr>
                <w:p>
                  <w:pPr>
                    <w:jc w:val="center"/>
                    <w:rPr>
                      <w:color w:val="auto"/>
                      <w:sz w:val="21"/>
                      <w:szCs w:val="21"/>
                    </w:rPr>
                  </w:pPr>
                </w:p>
              </w:tc>
              <w:tc>
                <w:tcPr>
                  <w:tcW w:w="1260"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研发</w:t>
                  </w:r>
                  <w:r>
                    <w:rPr>
                      <w:rFonts w:ascii="Times New Roman" w:hAnsi="Times New Roman" w:eastAsia="宋体" w:cs="Times New Roman"/>
                      <w:color w:val="auto"/>
                      <w:sz w:val="21"/>
                      <w:szCs w:val="21"/>
                    </w:rPr>
                    <w:t>过程</w:t>
                  </w:r>
                </w:p>
              </w:tc>
              <w:tc>
                <w:tcPr>
                  <w:tcW w:w="2240"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S2-</w:t>
                  </w:r>
                  <w:r>
                    <w:rPr>
                      <w:rFonts w:hint="eastAsia" w:ascii="Times New Roman" w:hAnsi="Times New Roman" w:eastAsia="宋体" w:cs="Times New Roman"/>
                      <w:color w:val="auto"/>
                      <w:sz w:val="21"/>
                      <w:szCs w:val="21"/>
                    </w:rPr>
                    <w:t>磁性杂质物</w:t>
                  </w:r>
                </w:p>
              </w:tc>
              <w:tc>
                <w:tcPr>
                  <w:tcW w:w="4065" w:type="dxa"/>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continue"/>
                  <w:noWrap w:val="0"/>
                  <w:vAlign w:val="center"/>
                </w:tcPr>
                <w:p>
                  <w:pPr>
                    <w:jc w:val="center"/>
                    <w:rPr>
                      <w:color w:val="auto"/>
                      <w:sz w:val="21"/>
                      <w:szCs w:val="21"/>
                    </w:rPr>
                  </w:pPr>
                </w:p>
              </w:tc>
              <w:tc>
                <w:tcPr>
                  <w:tcW w:w="126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废气处理</w:t>
                  </w:r>
                </w:p>
              </w:tc>
              <w:tc>
                <w:tcPr>
                  <w:tcW w:w="224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S3-布袋除尘器收集粉尘</w:t>
                  </w:r>
                </w:p>
              </w:tc>
              <w:tc>
                <w:tcPr>
                  <w:tcW w:w="4065" w:type="dxa"/>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continue"/>
                  <w:noWrap w:val="0"/>
                  <w:vAlign w:val="center"/>
                </w:tcPr>
                <w:p>
                  <w:pPr>
                    <w:jc w:val="center"/>
                    <w:rPr>
                      <w:color w:val="auto"/>
                      <w:sz w:val="21"/>
                      <w:szCs w:val="21"/>
                    </w:rPr>
                  </w:pPr>
                </w:p>
              </w:tc>
              <w:tc>
                <w:tcPr>
                  <w:tcW w:w="1260" w:type="dxa"/>
                  <w:noWrap w:val="0"/>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研发</w:t>
                  </w:r>
                  <w:r>
                    <w:rPr>
                      <w:rFonts w:ascii="Times New Roman" w:hAnsi="Times New Roman" w:eastAsia="宋体" w:cs="Times New Roman"/>
                      <w:color w:val="auto"/>
                      <w:sz w:val="21"/>
                      <w:szCs w:val="21"/>
                    </w:rPr>
                    <w:t>过程</w:t>
                  </w:r>
                </w:p>
              </w:tc>
              <w:tc>
                <w:tcPr>
                  <w:tcW w:w="2240" w:type="dxa"/>
                  <w:noWrap w:val="0"/>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S4-</w:t>
                  </w:r>
                  <w:r>
                    <w:rPr>
                      <w:rFonts w:ascii="Times New Roman" w:hAnsi="Times New Roman" w:eastAsia="宋体" w:cs="Times New Roman"/>
                      <w:color w:val="auto"/>
                      <w:sz w:val="21"/>
                      <w:szCs w:val="21"/>
                    </w:rPr>
                    <w:t>未沾染具有危险特性物质的废包</w:t>
                  </w:r>
                  <w:r>
                    <w:rPr>
                      <w:rFonts w:ascii="Times New Roman" w:hAnsi="Times New Roman" w:eastAsia="宋体" w:cs="Times New Roman"/>
                      <w:color w:val="auto"/>
                      <w:sz w:val="21"/>
                      <w:szCs w:val="21"/>
                    </w:rPr>
                    <w:cr/>
                  </w:r>
                  <w:r>
                    <w:rPr>
                      <w:rFonts w:ascii="Times New Roman" w:hAnsi="Times New Roman" w:eastAsia="宋体" w:cs="Times New Roman"/>
                      <w:color w:val="auto"/>
                      <w:sz w:val="21"/>
                      <w:szCs w:val="21"/>
                    </w:rPr>
                    <w:t>材料</w:t>
                  </w:r>
                </w:p>
              </w:tc>
              <w:tc>
                <w:tcPr>
                  <w:tcW w:w="4065" w:type="dxa"/>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continue"/>
                  <w:noWrap w:val="0"/>
                  <w:vAlign w:val="center"/>
                </w:tcPr>
                <w:p>
                  <w:pPr>
                    <w:jc w:val="center"/>
                    <w:rPr>
                      <w:color w:val="auto"/>
                      <w:sz w:val="21"/>
                      <w:szCs w:val="21"/>
                    </w:rPr>
                  </w:pPr>
                </w:p>
              </w:tc>
              <w:tc>
                <w:tcPr>
                  <w:tcW w:w="1260" w:type="dxa"/>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办公生活</w:t>
                  </w:r>
                </w:p>
              </w:tc>
              <w:tc>
                <w:tcPr>
                  <w:tcW w:w="2240" w:type="dxa"/>
                  <w:noWrap w:val="0"/>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S5-</w:t>
                  </w:r>
                  <w:r>
                    <w:rPr>
                      <w:rFonts w:ascii="Times New Roman" w:hAnsi="Times New Roman" w:eastAsia="宋体" w:cs="Times New Roman"/>
                      <w:color w:val="auto"/>
                      <w:sz w:val="21"/>
                      <w:szCs w:val="21"/>
                    </w:rPr>
                    <w:t>生活垃圾</w:t>
                  </w:r>
                </w:p>
              </w:tc>
              <w:tc>
                <w:tcPr>
                  <w:tcW w:w="4065" w:type="dxa"/>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729" w:type="dxa"/>
                  <w:vMerge w:val="continue"/>
                  <w:noWrap w:val="0"/>
                  <w:vAlign w:val="center"/>
                </w:tcPr>
                <w:p>
                  <w:pPr>
                    <w:jc w:val="center"/>
                    <w:rPr>
                      <w:color w:val="auto"/>
                      <w:sz w:val="21"/>
                      <w:szCs w:val="21"/>
                    </w:rPr>
                  </w:pPr>
                </w:p>
              </w:tc>
              <w:tc>
                <w:tcPr>
                  <w:tcW w:w="1260" w:type="dxa"/>
                  <w:noWrap w:val="0"/>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设备检修</w:t>
                  </w:r>
                </w:p>
              </w:tc>
              <w:tc>
                <w:tcPr>
                  <w:tcW w:w="2240"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S6-废机油/废机油桶</w:t>
                  </w:r>
                </w:p>
              </w:tc>
              <w:tc>
                <w:tcPr>
                  <w:tcW w:w="4065" w:type="dxa"/>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29" w:type="dxa"/>
                  <w:vMerge w:val="continue"/>
                  <w:noWrap w:val="0"/>
                  <w:vAlign w:val="center"/>
                </w:tcPr>
                <w:p>
                  <w:pPr>
                    <w:jc w:val="center"/>
                    <w:rPr>
                      <w:color w:val="auto"/>
                      <w:sz w:val="21"/>
                      <w:szCs w:val="21"/>
                    </w:rPr>
                  </w:pPr>
                </w:p>
              </w:tc>
              <w:tc>
                <w:tcPr>
                  <w:tcW w:w="1260" w:type="dxa"/>
                  <w:noWrap w:val="0"/>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设备检修</w:t>
                  </w:r>
                </w:p>
              </w:tc>
              <w:tc>
                <w:tcPr>
                  <w:tcW w:w="2240" w:type="dxa"/>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S7-含油手套及抹布</w:t>
                  </w:r>
                </w:p>
              </w:tc>
              <w:tc>
                <w:tcPr>
                  <w:tcW w:w="4065" w:type="dxa"/>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危险废物</w:t>
                  </w:r>
                </w:p>
              </w:tc>
            </w:tr>
          </w:tbl>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color w:val="auto"/>
                <w:kern w:val="0"/>
                <w:sz w:val="24"/>
                <w:szCs w:val="24"/>
                <w:lang w:val="en-US" w:eastAsia="zh-CN" w:bidi="ar"/>
              </w:rPr>
            </w:pP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color w:val="auto"/>
                <w:kern w:val="0"/>
                <w:sz w:val="24"/>
                <w:szCs w:val="24"/>
                <w:lang w:val="en-US" w:eastAsia="zh-CN" w:bidi="ar"/>
              </w:rPr>
            </w:pP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color w:val="auto"/>
                <w:kern w:val="0"/>
                <w:sz w:val="24"/>
                <w:szCs w:val="24"/>
                <w:lang w:val="en-US" w:eastAsia="zh-CN" w:bidi="ar"/>
              </w:rPr>
            </w:pPr>
          </w:p>
        </w:tc>
      </w:tr>
    </w:tbl>
    <w:p>
      <w:pPr>
        <w:pStyle w:val="32"/>
        <w:adjustRightInd w:val="0"/>
        <w:snapToGrid w:val="0"/>
        <w:spacing w:before="0" w:beforeAutospacing="0" w:after="0" w:afterAutospacing="0"/>
        <w:jc w:val="center"/>
        <w:rPr>
          <w:rFonts w:hint="eastAsia" w:cs="宋体"/>
          <w:color w:val="auto"/>
          <w:sz w:val="21"/>
          <w:szCs w:val="21"/>
        </w:rPr>
        <w:sectPr>
          <w:pgSz w:w="11906" w:h="16838"/>
          <w:pgMar w:top="1701" w:right="1531" w:bottom="1701" w:left="1531" w:header="851" w:footer="851" w:gutter="0"/>
          <w:cols w:space="720" w:num="1"/>
          <w:docGrid w:linePitch="312" w:charSpace="0"/>
        </w:sectPr>
      </w:pPr>
    </w:p>
    <w:tbl>
      <w:tblPr>
        <w:tblStyle w:val="36"/>
        <w:tblW w:w="898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823" w:type="dxa"/>
            <w:noWrap w:val="0"/>
            <w:vAlign w:val="center"/>
          </w:tcPr>
          <w:p>
            <w:pPr>
              <w:pStyle w:val="32"/>
              <w:adjustRightInd w:val="0"/>
              <w:snapToGrid w:val="0"/>
              <w:spacing w:before="0" w:beforeAutospacing="0" w:after="0" w:afterAutospacing="0"/>
              <w:jc w:val="center"/>
              <w:rPr>
                <w:rFonts w:cs="宋体"/>
                <w:color w:val="auto"/>
                <w:sz w:val="21"/>
                <w:szCs w:val="21"/>
              </w:rPr>
            </w:pPr>
            <w:r>
              <w:rPr>
                <w:rFonts w:hint="eastAsia" w:cs="宋体"/>
                <w:bCs/>
                <w:color w:val="auto"/>
                <w:kern w:val="2"/>
                <w:szCs w:val="24"/>
              </w:rPr>
              <w:t>与项目有关的原有环境污染问题</w:t>
            </w:r>
          </w:p>
        </w:tc>
        <w:tc>
          <w:tcPr>
            <w:tcW w:w="8161" w:type="dxa"/>
            <w:noWrap w:val="0"/>
            <w:vAlign w:val="top"/>
          </w:tcPr>
          <w:p>
            <w:pPr>
              <w:adjustRightInd w:val="0"/>
              <w:snapToGrid w:val="0"/>
              <w:spacing w:before="120" w:beforeLines="50" w:line="360" w:lineRule="auto"/>
              <w:ind w:firstLine="480" w:firstLineChars="200"/>
              <w:jc w:val="left"/>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本项目租用</w:t>
            </w:r>
            <w:r>
              <w:rPr>
                <w:rFonts w:hint="eastAsia" w:ascii="Times New Roman" w:hAnsi="Times New Roman" w:eastAsia="宋体" w:cs="Times New Roman"/>
                <w:b w:val="0"/>
                <w:bCs/>
                <w:color w:val="auto"/>
                <w:kern w:val="2"/>
                <w:sz w:val="24"/>
                <w:szCs w:val="24"/>
                <w:lang w:val="en-US" w:eastAsia="zh-CN" w:bidi="ar-SA"/>
              </w:rPr>
              <w:t>四川翔丰华新能源材料有限公司位于四川省遂宁市蓬溪县金桥镇创业四支路1号已建厂房</w:t>
            </w:r>
            <w:r>
              <w:rPr>
                <w:rFonts w:hint="eastAsia" w:ascii="Times New Roman" w:hAnsi="Times New Roman" w:eastAsia="宋体" w:cs="Times New Roman"/>
                <w:color w:val="auto"/>
                <w:sz w:val="24"/>
                <w:lang w:val="en-US" w:eastAsia="zh-CN"/>
              </w:rPr>
              <w:t>进行建设</w:t>
            </w:r>
            <w:r>
              <w:rPr>
                <w:rFonts w:hint="default" w:ascii="Times New Roman" w:hAnsi="Times New Roman" w:eastAsia="宋体" w:cs="Times New Roman"/>
                <w:color w:val="auto"/>
                <w:sz w:val="24"/>
                <w:lang w:val="en-US" w:eastAsia="zh-CN"/>
              </w:rPr>
              <w:t>，该厂房刚建成</w:t>
            </w:r>
            <w:r>
              <w:rPr>
                <w:rFonts w:hint="eastAsia" w:ascii="Times New Roman" w:hAnsi="Times New Roman" w:eastAsia="宋体" w:cs="Times New Roman"/>
                <w:color w:val="auto"/>
                <w:sz w:val="24"/>
                <w:lang w:val="en-US" w:eastAsia="zh-CN"/>
              </w:rPr>
              <w:t>未曾投入使用</w:t>
            </w:r>
            <w:r>
              <w:rPr>
                <w:rFonts w:hint="default" w:ascii="Times New Roman" w:hAnsi="Times New Roman" w:eastAsia="宋体" w:cs="Times New Roman"/>
                <w:color w:val="auto"/>
                <w:sz w:val="24"/>
                <w:lang w:val="en-US" w:eastAsia="zh-CN"/>
              </w:rPr>
              <w:t>。本项目租赁厂房目前为空置厂房，无环境遗留问题</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现场照片如下</w:t>
            </w:r>
            <w:r>
              <w:rPr>
                <w:rFonts w:hint="eastAsia" w:ascii="Times New Roman" w:hAnsi="Times New Roman" w:eastAsia="宋体" w:cs="Times New Roman"/>
                <w:color w:val="auto"/>
                <w:sz w:val="24"/>
                <w:lang w:val="en-US" w:eastAsia="zh-CN"/>
              </w:rPr>
              <w:t>：</w:t>
            </w:r>
          </w:p>
          <w:tbl>
            <w:tblPr>
              <w:tblStyle w:val="37"/>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2"/>
              <w:gridCol w:w="3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2" w:type="dxa"/>
                  <w:noWrap w:val="0"/>
                  <w:vAlign w:val="top"/>
                </w:tcPr>
                <w:p>
                  <w:pPr>
                    <w:jc w:val="center"/>
                    <w:rPr>
                      <w:rFonts w:hint="eastAsia" w:eastAsia="宋体"/>
                      <w:color w:val="auto"/>
                      <w:vertAlign w:val="baseline"/>
                      <w:lang w:eastAsia="zh-CN"/>
                    </w:rPr>
                  </w:pPr>
                  <w:r>
                    <w:rPr>
                      <w:rFonts w:hint="eastAsia" w:eastAsia="宋体"/>
                      <w:color w:val="auto"/>
                      <w:vertAlign w:val="baseline"/>
                      <w:lang w:eastAsia="zh-CN"/>
                    </w:rPr>
                    <w:drawing>
                      <wp:inline distT="0" distB="0" distL="114300" distR="114300">
                        <wp:extent cx="2372360" cy="1778635"/>
                        <wp:effectExtent l="0" t="0" r="8890" b="12065"/>
                        <wp:docPr id="34" name="图片 242" descr="a83ae88797cd6c6be063c42466024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2" descr="a83ae88797cd6c6be063c424660247f9"/>
                                <pic:cNvPicPr>
                                  <a:picLocks noChangeAspect="1"/>
                                </pic:cNvPicPr>
                              </pic:nvPicPr>
                              <pic:blipFill>
                                <a:blip r:embed="rId16"/>
                                <a:stretch>
                                  <a:fillRect/>
                                </a:stretch>
                              </pic:blipFill>
                              <pic:spPr>
                                <a:xfrm>
                                  <a:off x="0" y="0"/>
                                  <a:ext cx="2372360" cy="1778635"/>
                                </a:xfrm>
                                <a:prstGeom prst="rect">
                                  <a:avLst/>
                                </a:prstGeom>
                                <a:noFill/>
                                <a:ln>
                                  <a:noFill/>
                                </a:ln>
                              </pic:spPr>
                            </pic:pic>
                          </a:graphicData>
                        </a:graphic>
                      </wp:inline>
                    </w:drawing>
                  </w:r>
                </w:p>
              </w:tc>
              <w:tc>
                <w:tcPr>
                  <w:tcW w:w="3973" w:type="dxa"/>
                  <w:noWrap w:val="0"/>
                  <w:vAlign w:val="top"/>
                </w:tcPr>
                <w:p>
                  <w:pPr>
                    <w:jc w:val="center"/>
                    <w:rPr>
                      <w:rFonts w:hint="eastAsia" w:eastAsia="宋体"/>
                      <w:color w:val="auto"/>
                      <w:vertAlign w:val="baseline"/>
                      <w:lang w:eastAsia="zh-CN"/>
                    </w:rPr>
                  </w:pPr>
                  <w:r>
                    <w:rPr>
                      <w:rFonts w:hint="eastAsia" w:eastAsia="宋体"/>
                      <w:color w:val="auto"/>
                      <w:vertAlign w:val="baseline"/>
                      <w:lang w:eastAsia="zh-CN"/>
                    </w:rPr>
                    <w:drawing>
                      <wp:inline distT="0" distB="0" distL="114300" distR="114300">
                        <wp:extent cx="2372360" cy="1778635"/>
                        <wp:effectExtent l="0" t="0" r="8890" b="12065"/>
                        <wp:docPr id="35" name="图片 243" descr="8637ee399e9d875eab9491e32e79d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3" descr="8637ee399e9d875eab9491e32e79d87c"/>
                                <pic:cNvPicPr>
                                  <a:picLocks noChangeAspect="1"/>
                                </pic:cNvPicPr>
                              </pic:nvPicPr>
                              <pic:blipFill>
                                <a:blip r:embed="rId17"/>
                                <a:stretch>
                                  <a:fillRect/>
                                </a:stretch>
                              </pic:blipFill>
                              <pic:spPr>
                                <a:xfrm>
                                  <a:off x="0" y="0"/>
                                  <a:ext cx="2372360" cy="1778635"/>
                                </a:xfrm>
                                <a:prstGeom prst="rect">
                                  <a:avLst/>
                                </a:prstGeom>
                                <a:noFill/>
                                <a:ln>
                                  <a:noFill/>
                                </a:ln>
                              </pic:spPr>
                            </pic:pic>
                          </a:graphicData>
                        </a:graphic>
                      </wp:inline>
                    </w:drawing>
                  </w:r>
                </w:p>
              </w:tc>
            </w:tr>
          </w:tbl>
          <w:p>
            <w:pPr>
              <w:jc w:val="center"/>
              <w:rPr>
                <w:color w:val="auto"/>
              </w:rPr>
            </w:pPr>
          </w:p>
          <w:p>
            <w:pPr>
              <w:pStyle w:val="163"/>
              <w:spacing w:line="360" w:lineRule="auto"/>
              <w:ind w:firstLine="480"/>
              <w:rPr>
                <w:rFonts w:ascii="宋体" w:hAnsi="宋体"/>
                <w:bCs/>
                <w:color w:val="auto"/>
                <w:szCs w:val="21"/>
              </w:rPr>
            </w:pPr>
          </w:p>
        </w:tc>
      </w:tr>
    </w:tbl>
    <w:p>
      <w:pPr>
        <w:pStyle w:val="32"/>
        <w:jc w:val="center"/>
        <w:rPr>
          <w:rFonts w:ascii="黑体" w:hAnsi="黑体" w:eastAsia="黑体"/>
          <w:snapToGrid w:val="0"/>
          <w:color w:val="auto"/>
          <w:sz w:val="36"/>
          <w:szCs w:val="36"/>
        </w:rPr>
        <w:sectPr>
          <w:pgSz w:w="11906" w:h="16838"/>
          <w:pgMar w:top="1701" w:right="1531" w:bottom="1701" w:left="1531" w:header="851" w:footer="851" w:gutter="0"/>
          <w:cols w:space="720" w:num="1"/>
          <w:docGrid w:linePitch="312" w:charSpace="0"/>
        </w:sectPr>
      </w:pPr>
    </w:p>
    <w:p>
      <w:pPr>
        <w:pStyle w:val="3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36"/>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311" w:hRule="atLeast"/>
          <w:jc w:val="center"/>
        </w:trPr>
        <w:tc>
          <w:tcPr>
            <w:tcW w:w="800" w:type="dxa"/>
            <w:noWrap w:val="0"/>
            <w:vAlign w:val="center"/>
          </w:tcPr>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区域</w:t>
            </w:r>
          </w:p>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环境</w:t>
            </w:r>
          </w:p>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质量</w:t>
            </w:r>
          </w:p>
          <w:p>
            <w:pPr>
              <w:adjustRightInd w:val="0"/>
              <w:snapToGrid w:val="0"/>
              <w:jc w:val="center"/>
              <w:rPr>
                <w:rFonts w:ascii="宋体" w:hAnsi="宋体" w:cs="宋体"/>
                <w:color w:val="auto"/>
                <w:kern w:val="0"/>
                <w:szCs w:val="21"/>
              </w:rPr>
            </w:pPr>
            <w:r>
              <w:rPr>
                <w:rFonts w:hint="eastAsia" w:ascii="宋体" w:hAnsi="宋体" w:cs="宋体"/>
                <w:color w:val="auto"/>
                <w:kern w:val="0"/>
                <w:sz w:val="24"/>
              </w:rPr>
              <w:t>现状</w:t>
            </w:r>
          </w:p>
        </w:tc>
        <w:tc>
          <w:tcPr>
            <w:tcW w:w="8190" w:type="dxa"/>
            <w:noWrap w:val="0"/>
            <w:vAlign w:val="center"/>
          </w:tcPr>
          <w:p>
            <w:pPr>
              <w:spacing w:line="360" w:lineRule="auto"/>
              <w:ind w:firstLine="482" w:firstLineChars="200"/>
              <w:rPr>
                <w:b/>
                <w:bCs/>
                <w:color w:val="auto"/>
                <w:sz w:val="24"/>
              </w:rPr>
            </w:pPr>
            <w:r>
              <w:rPr>
                <w:b/>
                <w:bCs/>
                <w:color w:val="auto"/>
                <w:sz w:val="24"/>
              </w:rPr>
              <w:t>一、环境空气质量</w:t>
            </w:r>
          </w:p>
          <w:p>
            <w:pPr>
              <w:widowControl/>
              <w:spacing w:line="360" w:lineRule="auto"/>
              <w:ind w:firstLine="482" w:firstLineChars="200"/>
              <w:rPr>
                <w:color w:val="auto"/>
                <w:sz w:val="24"/>
              </w:rPr>
            </w:pPr>
            <w:r>
              <w:rPr>
                <w:b/>
                <w:bCs/>
                <w:color w:val="auto"/>
                <w:sz w:val="24"/>
              </w:rPr>
              <w:t>1、</w:t>
            </w:r>
            <w:r>
              <w:rPr>
                <w:b/>
                <w:bCs/>
                <w:color w:val="auto"/>
                <w:kern w:val="0"/>
                <w:sz w:val="24"/>
                <w:lang w:bidi="ar"/>
              </w:rPr>
              <w:t>环境空气质量达标区判定</w:t>
            </w:r>
          </w:p>
          <w:p>
            <w:pPr>
              <w:pStyle w:val="11"/>
              <w:spacing w:before="0" w:after="0" w:line="360" w:lineRule="auto"/>
              <w:ind w:right="0" w:firstLine="480" w:firstLineChars="200"/>
              <w:rPr>
                <w:color w:val="auto"/>
                <w:spacing w:val="-3"/>
                <w:sz w:val="24"/>
                <w:szCs w:val="24"/>
              </w:rPr>
            </w:pPr>
            <w:r>
              <w:rPr>
                <w:color w:val="auto"/>
                <w:sz w:val="24"/>
                <w:szCs w:val="24"/>
              </w:rPr>
              <w:t>根据《建设项目环境影响报告表编制技术指南（污染影响类）》，常规污染物引用与建设项目距离近的有效数据，包括近3年的规划环境影响评价的监测数据，国家、地方环境空气质量监测网数据或生态环境主管部门公开发布的质量数据等。</w:t>
            </w:r>
            <w:r>
              <w:rPr>
                <w:rStyle w:val="48"/>
                <w:color w:val="auto"/>
                <w:sz w:val="24"/>
                <w:szCs w:val="24"/>
              </w:rPr>
              <w:t>排放国家、地方环境空气质量标准中有标准限值要求的特征污染物时，引用建设项目周边5千米范围内近3年的现有监测数据，无相关数据的选择当季主导风向下风向1个点位补充不少于3天的监测数据。</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rPr>
              <w:t>年遂宁市环境质量公告》，202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rPr>
              <w:t>年遂宁市城区环境空气质量155天优、188天良、20天轻度污染、1天中度污染、2天重度污染，空气质量达标率为93.7%，主要污染物SO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、NO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、PM</w:t>
            </w:r>
            <w:r>
              <w:rPr>
                <w:rFonts w:hint="default" w:ascii="Times New Roman" w:hAnsi="Times New Roman" w:cs="Times New Roman"/>
                <w:bCs/>
                <w:color w:val="auto"/>
                <w:sz w:val="24"/>
                <w:vertAlign w:val="subscript"/>
              </w:rPr>
              <w:t>10</w:t>
            </w:r>
            <w:r>
              <w:rPr>
                <w:rFonts w:hint="default" w:ascii="Times New Roman" w:hAnsi="Times New Roman" w:cs="Times New Roman"/>
                <w:bCs/>
                <w:color w:val="auto"/>
                <w:sz w:val="24"/>
              </w:rPr>
              <w:t>、PM</w:t>
            </w:r>
            <w:r>
              <w:rPr>
                <w:rFonts w:hint="default" w:ascii="Times New Roman" w:hAnsi="Times New Roman" w:cs="Times New Roman"/>
                <w:bCs/>
                <w:color w:val="auto"/>
                <w:sz w:val="24"/>
                <w:vertAlign w:val="subscript"/>
              </w:rPr>
              <w:t>2.5</w:t>
            </w:r>
            <w:r>
              <w:rPr>
                <w:rFonts w:hint="default" w:ascii="Times New Roman" w:hAnsi="Times New Roman" w:cs="Times New Roman"/>
                <w:bCs/>
                <w:color w:val="auto"/>
                <w:sz w:val="24"/>
              </w:rPr>
              <w:t>、CO和O</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的</w:t>
            </w:r>
            <w:r>
              <w:rPr>
                <w:rFonts w:hint="eastAsia" w:ascii="Times New Roman" w:hAnsi="Times New Roman" w:cs="Times New Roman"/>
                <w:bCs/>
                <w:color w:val="auto"/>
                <w:sz w:val="24"/>
                <w:lang w:val="en-US" w:eastAsia="zh-CN"/>
              </w:rPr>
              <w:t>年</w:t>
            </w:r>
            <w:r>
              <w:rPr>
                <w:rFonts w:hint="default" w:ascii="Times New Roman" w:hAnsi="Times New Roman" w:cs="Times New Roman"/>
                <w:bCs/>
                <w:color w:val="auto"/>
                <w:sz w:val="24"/>
              </w:rPr>
              <w:t>均值分别为9.6微克/立方米、20.5微克/立方米、46.0微克/立方米、26.5微克/立方米、0.8毫克/立方米和143.5微克/立方米。同比NO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、PM</w:t>
            </w:r>
            <w:r>
              <w:rPr>
                <w:rFonts w:hint="default" w:ascii="Times New Roman" w:hAnsi="Times New Roman" w:cs="Times New Roman"/>
                <w:bCs/>
                <w:color w:val="auto"/>
                <w:sz w:val="24"/>
                <w:vertAlign w:val="subscript"/>
              </w:rPr>
              <w:t>10</w:t>
            </w:r>
            <w:r>
              <w:rPr>
                <w:rFonts w:hint="default" w:ascii="Times New Roman" w:hAnsi="Times New Roman" w:cs="Times New Roman"/>
                <w:bCs/>
                <w:color w:val="auto"/>
                <w:sz w:val="24"/>
              </w:rPr>
              <w:t>、PM</w:t>
            </w:r>
            <w:r>
              <w:rPr>
                <w:rFonts w:hint="default" w:ascii="Times New Roman" w:hAnsi="Times New Roman" w:cs="Times New Roman"/>
                <w:bCs/>
                <w:color w:val="auto"/>
                <w:sz w:val="24"/>
                <w:vertAlign w:val="subscript"/>
              </w:rPr>
              <w:t>2.5</w:t>
            </w:r>
            <w:r>
              <w:rPr>
                <w:rFonts w:hint="default" w:ascii="Times New Roman" w:hAnsi="Times New Roman" w:cs="Times New Roman"/>
                <w:bCs/>
                <w:color w:val="auto"/>
                <w:sz w:val="24"/>
              </w:rPr>
              <w:t>、CO、O</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浓度分别下降16.7%、11.0%、11.7%、20.0%、0.6%，SO</w:t>
            </w:r>
            <w:r>
              <w:rPr>
                <w:rFonts w:hint="default" w:ascii="Times New Roman" w:hAnsi="Times New Roman" w:cs="Times New Roman"/>
                <w:bCs/>
                <w:color w:val="auto"/>
                <w:sz w:val="24"/>
                <w:vertAlign w:val="subscript"/>
              </w:rPr>
              <w:t>2</w:t>
            </w:r>
            <w:r>
              <w:rPr>
                <w:rFonts w:hint="eastAsia" w:ascii="Times New Roman" w:hAnsi="Times New Roman" w:cs="Times New Roman"/>
                <w:bCs/>
                <w:color w:val="auto"/>
                <w:sz w:val="24"/>
                <w:vertAlign w:val="subscript"/>
                <w:lang w:eastAsia="zh-CN"/>
              </w:rPr>
              <w:t>浓度</w:t>
            </w:r>
            <w:r>
              <w:rPr>
                <w:rFonts w:hint="eastAsia" w:ascii="Times New Roman" w:hAnsi="Times New Roman" w:cs="Times New Roman"/>
                <w:bCs/>
                <w:color w:val="auto"/>
                <w:sz w:val="24"/>
                <w:lang w:val="en-US" w:eastAsia="zh-CN"/>
              </w:rPr>
              <w:t>升高</w:t>
            </w:r>
            <w:r>
              <w:rPr>
                <w:rFonts w:hint="default" w:ascii="Times New Roman" w:hAnsi="Times New Roman" w:cs="Times New Roman"/>
                <w:bCs/>
                <w:color w:val="auto"/>
                <w:sz w:val="24"/>
              </w:rPr>
              <w:t>24.7%。202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rPr>
              <w:t>年遂宁市环境空气质量检测结果见下表。</w:t>
            </w:r>
          </w:p>
          <w:p>
            <w:pPr>
              <w:widowControl/>
              <w:spacing w:line="360" w:lineRule="auto"/>
              <w:jc w:val="center"/>
              <w:rPr>
                <w:color w:val="auto"/>
                <w:szCs w:val="21"/>
              </w:rPr>
            </w:pPr>
            <w:r>
              <w:rPr>
                <w:b/>
                <w:bCs/>
                <w:color w:val="auto"/>
                <w:szCs w:val="21"/>
              </w:rPr>
              <w:t>表</w:t>
            </w:r>
            <w:r>
              <w:rPr>
                <w:b/>
                <w:bCs/>
                <w:color w:val="auto"/>
                <w:spacing w:val="-54"/>
                <w:szCs w:val="21"/>
              </w:rPr>
              <w:t xml:space="preserve"> </w:t>
            </w:r>
            <w:r>
              <w:rPr>
                <w:b/>
                <w:bCs/>
                <w:color w:val="auto"/>
                <w:szCs w:val="21"/>
              </w:rPr>
              <w:t xml:space="preserve">3-1 </w:t>
            </w:r>
            <w:r>
              <w:rPr>
                <w:rFonts w:hint="eastAsia"/>
                <w:b/>
                <w:bCs/>
                <w:color w:val="auto"/>
                <w:kern w:val="0"/>
                <w:szCs w:val="21"/>
                <w:lang w:eastAsia="zh-CN" w:bidi="ar"/>
              </w:rPr>
              <w:t>遂宁</w:t>
            </w:r>
            <w:r>
              <w:rPr>
                <w:rFonts w:hint="eastAsia"/>
                <w:b/>
                <w:bCs/>
                <w:color w:val="auto"/>
                <w:kern w:val="0"/>
                <w:szCs w:val="21"/>
                <w:lang w:bidi="ar"/>
              </w:rPr>
              <w:t>市环境</w:t>
            </w:r>
            <w:r>
              <w:rPr>
                <w:b/>
                <w:bCs/>
                <w:color w:val="auto"/>
                <w:kern w:val="0"/>
                <w:szCs w:val="21"/>
                <w:lang w:bidi="ar"/>
              </w:rPr>
              <w:t>空气质量现状评价表</w:t>
            </w:r>
          </w:p>
          <w:tbl>
            <w:tblPr>
              <w:tblStyle w:val="36"/>
              <w:tblW w:w="79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2087"/>
              <w:gridCol w:w="963"/>
              <w:gridCol w:w="963"/>
              <w:gridCol w:w="963"/>
              <w:gridCol w:w="963"/>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8" w:type="dxa"/>
                  <w:noWrap w:val="0"/>
                  <w:vAlign w:val="center"/>
                </w:tcPr>
                <w:p>
                  <w:pPr>
                    <w:pStyle w:val="157"/>
                    <w:spacing w:before="0"/>
                    <w:ind w:left="0"/>
                    <w:rPr>
                      <w:rFonts w:ascii="Times New Roman" w:hAnsi="Times New Roman" w:eastAsia="宋体" w:cs="Times New Roman"/>
                      <w:color w:val="auto"/>
                      <w:szCs w:val="21"/>
                    </w:rPr>
                  </w:pPr>
                  <w:r>
                    <w:rPr>
                      <w:rFonts w:ascii="Times New Roman" w:hAnsi="Times New Roman" w:eastAsia="宋体" w:cs="Times New Roman"/>
                      <w:b/>
                      <w:bCs/>
                      <w:color w:val="auto"/>
                      <w:szCs w:val="21"/>
                    </w:rPr>
                    <w:t>污染物</w:t>
                  </w:r>
                </w:p>
              </w:tc>
              <w:tc>
                <w:tcPr>
                  <w:tcW w:w="2087" w:type="dxa"/>
                  <w:noWrap w:val="0"/>
                  <w:vAlign w:val="center"/>
                </w:tcPr>
                <w:p>
                  <w:pPr>
                    <w:pStyle w:val="157"/>
                    <w:spacing w:before="0"/>
                    <w:ind w:left="0"/>
                    <w:rPr>
                      <w:rFonts w:ascii="Times New Roman" w:hAnsi="Times New Roman" w:eastAsia="宋体" w:cs="Times New Roman"/>
                      <w:color w:val="auto"/>
                      <w:szCs w:val="21"/>
                    </w:rPr>
                  </w:pPr>
                  <w:r>
                    <w:rPr>
                      <w:rFonts w:ascii="Times New Roman" w:hAnsi="Times New Roman" w:eastAsia="宋体" w:cs="Times New Roman"/>
                      <w:b/>
                      <w:bCs/>
                      <w:color w:val="auto"/>
                      <w:szCs w:val="21"/>
                    </w:rPr>
                    <w:t>年</w:t>
                  </w:r>
                  <w:r>
                    <w:rPr>
                      <w:rFonts w:hint="eastAsia" w:ascii="Times New Roman" w:hAnsi="Times New Roman" w:eastAsia="宋体" w:cs="Times New Roman"/>
                      <w:b/>
                      <w:bCs/>
                      <w:color w:val="auto"/>
                      <w:szCs w:val="21"/>
                      <w:lang w:val="en-US" w:eastAsia="zh-CN"/>
                    </w:rPr>
                    <w:t>度</w:t>
                  </w:r>
                  <w:r>
                    <w:rPr>
                      <w:rFonts w:ascii="Times New Roman" w:hAnsi="Times New Roman" w:eastAsia="宋体" w:cs="Times New Roman"/>
                      <w:b/>
                      <w:bCs/>
                      <w:color w:val="auto"/>
                      <w:szCs w:val="21"/>
                    </w:rPr>
                    <w:t>评价指标</w:t>
                  </w:r>
                </w:p>
              </w:tc>
              <w:tc>
                <w:tcPr>
                  <w:tcW w:w="963" w:type="dxa"/>
                  <w:noWrap w:val="0"/>
                  <w:vAlign w:val="center"/>
                </w:tcPr>
                <w:p>
                  <w:pPr>
                    <w:pStyle w:val="133"/>
                    <w:spacing w:before="0" w:line="240" w:lineRule="auto"/>
                    <w:ind w:right="0"/>
                    <w:rPr>
                      <w:color w:val="auto"/>
                      <w:szCs w:val="21"/>
                    </w:rPr>
                  </w:pPr>
                  <w:r>
                    <w:rPr>
                      <w:b/>
                      <w:color w:val="auto"/>
                      <w:szCs w:val="21"/>
                    </w:rPr>
                    <w:t>单位</w:t>
                  </w:r>
                </w:p>
              </w:tc>
              <w:tc>
                <w:tcPr>
                  <w:tcW w:w="963" w:type="dxa"/>
                  <w:noWrap w:val="0"/>
                  <w:vAlign w:val="center"/>
                </w:tcPr>
                <w:p>
                  <w:pPr>
                    <w:pStyle w:val="133"/>
                    <w:spacing w:before="0" w:line="240" w:lineRule="auto"/>
                    <w:ind w:right="0"/>
                    <w:rPr>
                      <w:color w:val="auto"/>
                      <w:szCs w:val="21"/>
                    </w:rPr>
                  </w:pPr>
                  <w:r>
                    <w:rPr>
                      <w:rFonts w:hint="eastAsia"/>
                      <w:b/>
                      <w:color w:val="auto"/>
                      <w:szCs w:val="21"/>
                    </w:rPr>
                    <w:t>现状</w:t>
                  </w:r>
                  <w:r>
                    <w:rPr>
                      <w:b/>
                      <w:color w:val="auto"/>
                      <w:szCs w:val="21"/>
                    </w:rPr>
                    <w:t>值</w:t>
                  </w:r>
                </w:p>
              </w:tc>
              <w:tc>
                <w:tcPr>
                  <w:tcW w:w="963" w:type="dxa"/>
                  <w:noWrap w:val="0"/>
                  <w:vAlign w:val="center"/>
                </w:tcPr>
                <w:p>
                  <w:pPr>
                    <w:pStyle w:val="133"/>
                    <w:spacing w:before="0" w:line="240" w:lineRule="auto"/>
                    <w:ind w:right="0"/>
                    <w:rPr>
                      <w:color w:val="auto"/>
                      <w:szCs w:val="21"/>
                    </w:rPr>
                  </w:pPr>
                  <w:r>
                    <w:rPr>
                      <w:b/>
                      <w:color w:val="auto"/>
                      <w:szCs w:val="21"/>
                    </w:rPr>
                    <w:t>标准值</w:t>
                  </w:r>
                </w:p>
              </w:tc>
              <w:tc>
                <w:tcPr>
                  <w:tcW w:w="963" w:type="dxa"/>
                  <w:noWrap w:val="0"/>
                  <w:vAlign w:val="center"/>
                </w:tcPr>
                <w:p>
                  <w:pPr>
                    <w:pStyle w:val="133"/>
                    <w:spacing w:before="0" w:line="240" w:lineRule="auto"/>
                    <w:ind w:right="0"/>
                    <w:rPr>
                      <w:rFonts w:hint="eastAsia"/>
                      <w:color w:val="auto"/>
                      <w:szCs w:val="21"/>
                    </w:rPr>
                  </w:pPr>
                  <w:r>
                    <w:rPr>
                      <w:b/>
                      <w:color w:val="auto"/>
                      <w:szCs w:val="21"/>
                    </w:rPr>
                    <w:t>占标率Pi值</w:t>
                  </w:r>
                </w:p>
              </w:tc>
              <w:tc>
                <w:tcPr>
                  <w:tcW w:w="967" w:type="dxa"/>
                  <w:noWrap w:val="0"/>
                  <w:vAlign w:val="center"/>
                </w:tcPr>
                <w:p>
                  <w:pPr>
                    <w:pStyle w:val="133"/>
                    <w:spacing w:before="0" w:line="240" w:lineRule="auto"/>
                    <w:ind w:right="0"/>
                    <w:rPr>
                      <w:color w:val="auto"/>
                      <w:szCs w:val="21"/>
                    </w:rPr>
                  </w:pPr>
                  <w:r>
                    <w:rPr>
                      <w:b/>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8" w:type="dxa"/>
                  <w:noWrap w:val="0"/>
                  <w:vAlign w:val="center"/>
                </w:tcPr>
                <w:p>
                  <w:pPr>
                    <w:pStyle w:val="101"/>
                    <w:adjustRightInd/>
                    <w:snapToGrid/>
                    <w:spacing w:beforeLines="0" w:afterLines="0" w:line="240" w:lineRule="auto"/>
                    <w:ind w:left="0" w:leftChars="0" w:firstLine="0" w:firstLineChars="0"/>
                    <w:rPr>
                      <w:color w:val="auto"/>
                      <w:szCs w:val="21"/>
                    </w:rPr>
                  </w:pPr>
                  <w:r>
                    <w:rPr>
                      <w:rFonts w:hint="default" w:ascii="Times New Roman" w:hAnsi="Times New Roman" w:cs="Times New Roman"/>
                      <w:color w:val="auto"/>
                      <w:kern w:val="2"/>
                    </w:rPr>
                    <w:t>SO</w:t>
                  </w:r>
                  <w:r>
                    <w:rPr>
                      <w:rFonts w:hint="default" w:ascii="Times New Roman" w:hAnsi="Times New Roman" w:cs="Times New Roman"/>
                      <w:color w:val="auto"/>
                      <w:kern w:val="2"/>
                      <w:vertAlign w:val="subscript"/>
                    </w:rPr>
                    <w:t>2</w:t>
                  </w:r>
                </w:p>
              </w:tc>
              <w:tc>
                <w:tcPr>
                  <w:tcW w:w="2087" w:type="dxa"/>
                  <w:noWrap w:val="0"/>
                  <w:vAlign w:val="center"/>
                </w:tcPr>
                <w:p>
                  <w:pPr>
                    <w:pStyle w:val="157"/>
                    <w:spacing w:before="0"/>
                    <w:ind w:left="0"/>
                    <w:rPr>
                      <w:rFonts w:ascii="Times New Roman" w:hAnsi="Times New Roman" w:eastAsia="宋体" w:cs="Times New Roman"/>
                      <w:color w:val="auto"/>
                      <w:szCs w:val="21"/>
                    </w:rPr>
                  </w:pPr>
                  <w:r>
                    <w:rPr>
                      <w:rFonts w:ascii="Times New Roman" w:hAnsi="Times New Roman" w:eastAsia="宋体" w:cs="Times New Roman"/>
                      <w:color w:val="auto"/>
                      <w:szCs w:val="21"/>
                    </w:rPr>
                    <w:t>年平均质量浓度</w:t>
                  </w:r>
                </w:p>
              </w:tc>
              <w:tc>
                <w:tcPr>
                  <w:tcW w:w="963" w:type="dxa"/>
                  <w:noWrap w:val="0"/>
                  <w:vAlign w:val="center"/>
                </w:tcPr>
                <w:p>
                  <w:pPr>
                    <w:jc w:val="center"/>
                    <w:rPr>
                      <w:color w:val="auto"/>
                      <w:szCs w:val="21"/>
                    </w:rPr>
                  </w:pPr>
                  <w:r>
                    <w:rPr>
                      <w:color w:val="auto"/>
                      <w:szCs w:val="21"/>
                    </w:rPr>
                    <w:t>µg/m</w:t>
                  </w:r>
                  <w:r>
                    <w:rPr>
                      <w:color w:val="auto"/>
                      <w:szCs w:val="21"/>
                      <w:vertAlign w:val="superscript"/>
                    </w:rPr>
                    <w:t>3</w:t>
                  </w:r>
                </w:p>
              </w:tc>
              <w:tc>
                <w:tcPr>
                  <w:tcW w:w="963" w:type="dxa"/>
                  <w:noWrap w:val="0"/>
                  <w:vAlign w:val="center"/>
                </w:tcPr>
                <w:p>
                  <w:pPr>
                    <w:pStyle w:val="188"/>
                    <w:spacing w:before="0" w:beforeLines="0"/>
                    <w:rPr>
                      <w:color w:val="auto"/>
                      <w:szCs w:val="21"/>
                    </w:rPr>
                  </w:pPr>
                  <w:r>
                    <w:rPr>
                      <w:rFonts w:hint="eastAsia" w:ascii="Times New Roman" w:hAnsi="Times New Roman" w:eastAsia="宋体" w:cs="Times New Roman"/>
                      <w:b w:val="0"/>
                      <w:bCs w:val="0"/>
                      <w:snapToGrid/>
                      <w:color w:val="auto"/>
                      <w:kern w:val="2"/>
                      <w:sz w:val="21"/>
                      <w:szCs w:val="24"/>
                      <w:lang w:val="en-US" w:eastAsia="zh-CN" w:bidi="ar-SA"/>
                    </w:rPr>
                    <w:t>9.6</w:t>
                  </w:r>
                </w:p>
              </w:tc>
              <w:tc>
                <w:tcPr>
                  <w:tcW w:w="963" w:type="dxa"/>
                  <w:noWrap w:val="0"/>
                  <w:vAlign w:val="center"/>
                </w:tcPr>
                <w:p>
                  <w:pPr>
                    <w:pStyle w:val="188"/>
                    <w:spacing w:before="0" w:beforeLines="0"/>
                    <w:rPr>
                      <w:color w:val="auto"/>
                      <w:szCs w:val="21"/>
                    </w:rPr>
                  </w:pPr>
                  <w:r>
                    <w:rPr>
                      <w:rFonts w:hint="default" w:ascii="Times New Roman" w:hAnsi="Times New Roman" w:eastAsia="宋体" w:cs="Times New Roman"/>
                      <w:b w:val="0"/>
                      <w:bCs w:val="0"/>
                      <w:snapToGrid/>
                      <w:color w:val="auto"/>
                      <w:kern w:val="2"/>
                      <w:sz w:val="21"/>
                      <w:szCs w:val="24"/>
                      <w:lang w:val="en-US" w:eastAsia="zh-CN" w:bidi="ar-SA"/>
                    </w:rPr>
                    <w:t>60</w:t>
                  </w:r>
                </w:p>
              </w:tc>
              <w:tc>
                <w:tcPr>
                  <w:tcW w:w="963" w:type="dxa"/>
                  <w:noWrap w:val="0"/>
                  <w:vAlign w:val="center"/>
                </w:tcPr>
                <w:p>
                  <w:pPr>
                    <w:jc w:val="center"/>
                    <w:rPr>
                      <w:color w:val="auto"/>
                      <w:szCs w:val="21"/>
                    </w:rPr>
                  </w:pPr>
                  <w:r>
                    <w:rPr>
                      <w:rFonts w:hint="eastAsia" w:ascii="Times New Roman" w:hAnsi="Times New Roman" w:eastAsia="宋体" w:cs="Times New Roman"/>
                      <w:color w:val="auto"/>
                      <w:kern w:val="2"/>
                      <w:lang w:val="en-US" w:eastAsia="zh-CN"/>
                    </w:rPr>
                    <w:t>16</w:t>
                  </w:r>
                </w:p>
              </w:tc>
              <w:tc>
                <w:tcPr>
                  <w:tcW w:w="967" w:type="dxa"/>
                  <w:noWrap w:val="0"/>
                  <w:vAlign w:val="center"/>
                </w:tcPr>
                <w:p>
                  <w:pPr>
                    <w:pStyle w:val="188"/>
                    <w:spacing w:before="0" w:beforeLines="0"/>
                    <w:rPr>
                      <w:color w:val="auto"/>
                      <w:szCs w:val="21"/>
                    </w:rPr>
                  </w:pPr>
                  <w:r>
                    <w:rPr>
                      <w:rFonts w:hint="default" w:ascii="Times New Roman" w:hAnsi="Times New Roman" w:eastAsia="宋体" w:cs="Times New Roman"/>
                      <w:b w:val="0"/>
                      <w:bCs w:val="0"/>
                      <w:snapToGrid/>
                      <w:color w:val="auto"/>
                      <w:kern w:val="2"/>
                      <w:sz w:val="21"/>
                      <w:szCs w:val="24"/>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8" w:type="dxa"/>
                  <w:noWrap w:val="0"/>
                  <w:vAlign w:val="center"/>
                </w:tcPr>
                <w:p>
                  <w:pPr>
                    <w:pStyle w:val="101"/>
                    <w:adjustRightInd/>
                    <w:snapToGrid/>
                    <w:spacing w:beforeLines="0" w:afterLines="0" w:line="240" w:lineRule="auto"/>
                    <w:ind w:left="0" w:leftChars="0" w:firstLine="0" w:firstLineChars="0"/>
                    <w:rPr>
                      <w:color w:val="auto"/>
                      <w:szCs w:val="21"/>
                    </w:rPr>
                  </w:pPr>
                  <w:r>
                    <w:rPr>
                      <w:rFonts w:hint="default" w:ascii="Times New Roman" w:hAnsi="Times New Roman" w:cs="Times New Roman"/>
                      <w:color w:val="auto"/>
                      <w:kern w:val="2"/>
                    </w:rPr>
                    <w:t>NO</w:t>
                  </w:r>
                  <w:r>
                    <w:rPr>
                      <w:rFonts w:hint="default" w:ascii="Times New Roman" w:hAnsi="Times New Roman" w:cs="Times New Roman"/>
                      <w:color w:val="auto"/>
                      <w:kern w:val="2"/>
                      <w:vertAlign w:val="subscript"/>
                    </w:rPr>
                    <w:t>2</w:t>
                  </w:r>
                </w:p>
              </w:tc>
              <w:tc>
                <w:tcPr>
                  <w:tcW w:w="2087" w:type="dxa"/>
                  <w:noWrap w:val="0"/>
                  <w:vAlign w:val="center"/>
                </w:tcPr>
                <w:p>
                  <w:pPr>
                    <w:jc w:val="center"/>
                    <w:rPr>
                      <w:color w:val="auto"/>
                      <w:szCs w:val="21"/>
                      <w:lang w:val="zh-CN" w:bidi="zh-CN"/>
                    </w:rPr>
                  </w:pPr>
                  <w:r>
                    <w:rPr>
                      <w:rFonts w:ascii="Times New Roman" w:hAnsi="Times New Roman" w:eastAsia="宋体" w:cs="Times New Roman"/>
                      <w:color w:val="auto"/>
                      <w:szCs w:val="21"/>
                    </w:rPr>
                    <w:t>年平均质量浓度</w:t>
                  </w:r>
                </w:p>
              </w:tc>
              <w:tc>
                <w:tcPr>
                  <w:tcW w:w="963" w:type="dxa"/>
                  <w:noWrap w:val="0"/>
                  <w:vAlign w:val="center"/>
                </w:tcPr>
                <w:p>
                  <w:pPr>
                    <w:jc w:val="center"/>
                    <w:rPr>
                      <w:color w:val="auto"/>
                      <w:szCs w:val="21"/>
                    </w:rPr>
                  </w:pPr>
                  <w:r>
                    <w:rPr>
                      <w:color w:val="auto"/>
                      <w:szCs w:val="21"/>
                    </w:rPr>
                    <w:t>µg/m</w:t>
                  </w:r>
                  <w:r>
                    <w:rPr>
                      <w:color w:val="auto"/>
                      <w:szCs w:val="21"/>
                      <w:vertAlign w:val="superscript"/>
                    </w:rPr>
                    <w:t>3</w:t>
                  </w:r>
                </w:p>
              </w:tc>
              <w:tc>
                <w:tcPr>
                  <w:tcW w:w="963" w:type="dxa"/>
                  <w:noWrap w:val="0"/>
                  <w:vAlign w:val="center"/>
                </w:tcPr>
                <w:p>
                  <w:pPr>
                    <w:jc w:val="center"/>
                    <w:rPr>
                      <w:rFonts w:hint="default" w:eastAsia="宋体"/>
                      <w:color w:val="auto"/>
                      <w:szCs w:val="21"/>
                      <w:lang w:val="en-US" w:eastAsia="zh-CN"/>
                    </w:rPr>
                  </w:pPr>
                  <w:r>
                    <w:rPr>
                      <w:rFonts w:hint="eastAsia" w:ascii="Times New Roman" w:hAnsi="Times New Roman" w:eastAsia="宋体" w:cs="Times New Roman"/>
                      <w:color w:val="auto"/>
                      <w:kern w:val="2"/>
                      <w:lang w:val="en-US" w:eastAsia="zh-CN"/>
                    </w:rPr>
                    <w:t>20.5</w:t>
                  </w:r>
                </w:p>
              </w:tc>
              <w:tc>
                <w:tcPr>
                  <w:tcW w:w="963" w:type="dxa"/>
                  <w:noWrap w:val="0"/>
                  <w:vAlign w:val="center"/>
                </w:tcPr>
                <w:p>
                  <w:pPr>
                    <w:jc w:val="center"/>
                    <w:rPr>
                      <w:color w:val="auto"/>
                      <w:szCs w:val="21"/>
                    </w:rPr>
                  </w:pPr>
                  <w:r>
                    <w:rPr>
                      <w:rFonts w:hint="default" w:ascii="Times New Roman" w:hAnsi="Times New Roman" w:eastAsia="宋体" w:cs="Times New Roman"/>
                      <w:color w:val="auto"/>
                      <w:kern w:val="2"/>
                    </w:rPr>
                    <w:t>40</w:t>
                  </w:r>
                </w:p>
              </w:tc>
              <w:tc>
                <w:tcPr>
                  <w:tcW w:w="963" w:type="dxa"/>
                  <w:noWrap w:val="0"/>
                  <w:vAlign w:val="center"/>
                </w:tcPr>
                <w:p>
                  <w:pPr>
                    <w:jc w:val="center"/>
                    <w:rPr>
                      <w:color w:val="auto"/>
                      <w:szCs w:val="21"/>
                    </w:rPr>
                  </w:pPr>
                  <w:r>
                    <w:rPr>
                      <w:rFonts w:hint="eastAsia" w:ascii="Times New Roman" w:hAnsi="Times New Roman" w:eastAsia="宋体" w:cs="Times New Roman"/>
                      <w:color w:val="auto"/>
                      <w:kern w:val="2"/>
                      <w:lang w:val="en-US" w:eastAsia="zh-CN"/>
                    </w:rPr>
                    <w:t>51.3</w:t>
                  </w:r>
                </w:p>
              </w:tc>
              <w:tc>
                <w:tcPr>
                  <w:tcW w:w="967" w:type="dxa"/>
                  <w:noWrap w:val="0"/>
                  <w:vAlign w:val="center"/>
                </w:tcPr>
                <w:p>
                  <w:pPr>
                    <w:jc w:val="center"/>
                    <w:rPr>
                      <w:color w:val="auto"/>
                      <w:szCs w:val="21"/>
                    </w:rPr>
                  </w:pPr>
                  <w:r>
                    <w:rPr>
                      <w:rFonts w:hint="default" w:ascii="Times New Roman" w:hAnsi="Times New Roman" w:eastAsia="宋体" w:cs="Times New Roman"/>
                      <w:color w:val="auto"/>
                      <w:kern w:val="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8" w:type="dxa"/>
                  <w:noWrap w:val="0"/>
                  <w:vAlign w:val="center"/>
                </w:tcPr>
                <w:p>
                  <w:pPr>
                    <w:pStyle w:val="101"/>
                    <w:adjustRightInd/>
                    <w:snapToGrid/>
                    <w:spacing w:beforeLines="0" w:afterLines="0" w:line="240" w:lineRule="auto"/>
                    <w:ind w:left="0" w:leftChars="0" w:firstLine="0" w:firstLineChars="0"/>
                    <w:rPr>
                      <w:color w:val="auto"/>
                      <w:szCs w:val="21"/>
                    </w:rPr>
                  </w:pPr>
                  <w:r>
                    <w:rPr>
                      <w:rFonts w:hint="default" w:ascii="Times New Roman" w:hAnsi="Times New Roman" w:cs="Times New Roman"/>
                      <w:color w:val="auto"/>
                      <w:kern w:val="2"/>
                    </w:rPr>
                    <w:t>PM</w:t>
                  </w:r>
                  <w:r>
                    <w:rPr>
                      <w:rFonts w:hint="default" w:ascii="Times New Roman" w:hAnsi="Times New Roman" w:cs="Times New Roman"/>
                      <w:color w:val="auto"/>
                      <w:kern w:val="2"/>
                      <w:vertAlign w:val="subscript"/>
                    </w:rPr>
                    <w:t>10</w:t>
                  </w:r>
                </w:p>
              </w:tc>
              <w:tc>
                <w:tcPr>
                  <w:tcW w:w="2087" w:type="dxa"/>
                  <w:noWrap w:val="0"/>
                  <w:vAlign w:val="center"/>
                </w:tcPr>
                <w:p>
                  <w:pPr>
                    <w:jc w:val="center"/>
                    <w:rPr>
                      <w:color w:val="auto"/>
                      <w:szCs w:val="21"/>
                      <w:lang w:val="zh-CN" w:bidi="zh-CN"/>
                    </w:rPr>
                  </w:pPr>
                  <w:r>
                    <w:rPr>
                      <w:rFonts w:ascii="Times New Roman" w:hAnsi="Times New Roman" w:eastAsia="宋体" w:cs="Times New Roman"/>
                      <w:color w:val="auto"/>
                      <w:szCs w:val="21"/>
                    </w:rPr>
                    <w:t>年平均质量浓度</w:t>
                  </w:r>
                </w:p>
              </w:tc>
              <w:tc>
                <w:tcPr>
                  <w:tcW w:w="963" w:type="dxa"/>
                  <w:noWrap w:val="0"/>
                  <w:vAlign w:val="center"/>
                </w:tcPr>
                <w:p>
                  <w:pPr>
                    <w:jc w:val="center"/>
                    <w:rPr>
                      <w:color w:val="auto"/>
                      <w:szCs w:val="21"/>
                    </w:rPr>
                  </w:pPr>
                  <w:r>
                    <w:rPr>
                      <w:color w:val="auto"/>
                      <w:szCs w:val="21"/>
                    </w:rPr>
                    <w:t>µg/m</w:t>
                  </w:r>
                  <w:r>
                    <w:rPr>
                      <w:color w:val="auto"/>
                      <w:szCs w:val="21"/>
                      <w:vertAlign w:val="superscript"/>
                    </w:rPr>
                    <w:t>3</w:t>
                  </w:r>
                </w:p>
              </w:tc>
              <w:tc>
                <w:tcPr>
                  <w:tcW w:w="963" w:type="dxa"/>
                  <w:noWrap w:val="0"/>
                  <w:vAlign w:val="center"/>
                </w:tcPr>
                <w:p>
                  <w:pPr>
                    <w:jc w:val="center"/>
                    <w:rPr>
                      <w:rFonts w:hint="default" w:eastAsia="宋体"/>
                      <w:color w:val="auto"/>
                      <w:szCs w:val="21"/>
                      <w:lang w:val="en-US" w:eastAsia="zh-CN"/>
                    </w:rPr>
                  </w:pPr>
                  <w:r>
                    <w:rPr>
                      <w:rFonts w:hint="eastAsia" w:ascii="Times New Roman" w:hAnsi="Times New Roman" w:eastAsia="宋体" w:cs="Times New Roman"/>
                      <w:color w:val="auto"/>
                      <w:kern w:val="2"/>
                      <w:lang w:val="en-US" w:eastAsia="zh-CN"/>
                    </w:rPr>
                    <w:t>46</w:t>
                  </w:r>
                </w:p>
              </w:tc>
              <w:tc>
                <w:tcPr>
                  <w:tcW w:w="963" w:type="dxa"/>
                  <w:noWrap w:val="0"/>
                  <w:vAlign w:val="center"/>
                </w:tcPr>
                <w:p>
                  <w:pPr>
                    <w:jc w:val="center"/>
                    <w:rPr>
                      <w:color w:val="auto"/>
                      <w:szCs w:val="21"/>
                    </w:rPr>
                  </w:pPr>
                  <w:r>
                    <w:rPr>
                      <w:rFonts w:hint="default" w:ascii="Times New Roman" w:hAnsi="Times New Roman" w:eastAsia="宋体" w:cs="Times New Roman"/>
                      <w:color w:val="auto"/>
                      <w:kern w:val="2"/>
                    </w:rPr>
                    <w:t>70</w:t>
                  </w:r>
                </w:p>
              </w:tc>
              <w:tc>
                <w:tcPr>
                  <w:tcW w:w="963" w:type="dxa"/>
                  <w:noWrap w:val="0"/>
                  <w:vAlign w:val="center"/>
                </w:tcPr>
                <w:p>
                  <w:pPr>
                    <w:jc w:val="center"/>
                    <w:rPr>
                      <w:color w:val="auto"/>
                      <w:szCs w:val="21"/>
                    </w:rPr>
                  </w:pPr>
                  <w:r>
                    <w:rPr>
                      <w:rFonts w:hint="eastAsia" w:ascii="Times New Roman" w:hAnsi="Times New Roman" w:eastAsia="宋体" w:cs="Times New Roman"/>
                      <w:color w:val="auto"/>
                      <w:kern w:val="2"/>
                      <w:lang w:val="en-US" w:eastAsia="zh-CN"/>
                    </w:rPr>
                    <w:t xml:space="preserve">65.7 </w:t>
                  </w:r>
                </w:p>
              </w:tc>
              <w:tc>
                <w:tcPr>
                  <w:tcW w:w="967" w:type="dxa"/>
                  <w:noWrap w:val="0"/>
                  <w:vAlign w:val="center"/>
                </w:tcPr>
                <w:p>
                  <w:pPr>
                    <w:jc w:val="center"/>
                    <w:rPr>
                      <w:color w:val="auto"/>
                      <w:szCs w:val="21"/>
                    </w:rPr>
                  </w:pPr>
                  <w:r>
                    <w:rPr>
                      <w:rFonts w:hint="default" w:ascii="Times New Roman" w:hAnsi="Times New Roman" w:eastAsia="宋体" w:cs="Times New Roman"/>
                      <w:color w:val="auto"/>
                      <w:kern w:val="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8" w:type="dxa"/>
                  <w:noWrap w:val="0"/>
                  <w:vAlign w:val="center"/>
                </w:tcPr>
                <w:p>
                  <w:pPr>
                    <w:pStyle w:val="101"/>
                    <w:adjustRightInd/>
                    <w:snapToGrid/>
                    <w:spacing w:beforeLines="0" w:afterLines="0" w:line="240" w:lineRule="auto"/>
                    <w:ind w:left="0" w:leftChars="0" w:firstLine="0" w:firstLineChars="0"/>
                    <w:rPr>
                      <w:color w:val="auto"/>
                      <w:szCs w:val="21"/>
                    </w:rPr>
                  </w:pPr>
                  <w:r>
                    <w:rPr>
                      <w:rFonts w:hint="default" w:ascii="Times New Roman" w:hAnsi="Times New Roman" w:cs="Times New Roman"/>
                      <w:color w:val="auto"/>
                      <w:kern w:val="2"/>
                    </w:rPr>
                    <w:t>PM</w:t>
                  </w:r>
                  <w:r>
                    <w:rPr>
                      <w:rFonts w:hint="default" w:ascii="Times New Roman" w:hAnsi="Times New Roman" w:cs="Times New Roman"/>
                      <w:color w:val="auto"/>
                      <w:kern w:val="2"/>
                      <w:vertAlign w:val="subscript"/>
                    </w:rPr>
                    <w:t>2.5</w:t>
                  </w:r>
                </w:p>
              </w:tc>
              <w:tc>
                <w:tcPr>
                  <w:tcW w:w="2087" w:type="dxa"/>
                  <w:noWrap w:val="0"/>
                  <w:vAlign w:val="center"/>
                </w:tcPr>
                <w:p>
                  <w:pPr>
                    <w:jc w:val="center"/>
                    <w:rPr>
                      <w:color w:val="auto"/>
                      <w:szCs w:val="21"/>
                      <w:lang w:val="zh-CN" w:bidi="zh-CN"/>
                    </w:rPr>
                  </w:pPr>
                  <w:r>
                    <w:rPr>
                      <w:rFonts w:ascii="Times New Roman" w:hAnsi="Times New Roman" w:eastAsia="宋体" w:cs="Times New Roman"/>
                      <w:color w:val="auto"/>
                      <w:szCs w:val="21"/>
                    </w:rPr>
                    <w:t>年平均质量浓度</w:t>
                  </w:r>
                </w:p>
              </w:tc>
              <w:tc>
                <w:tcPr>
                  <w:tcW w:w="963" w:type="dxa"/>
                  <w:noWrap w:val="0"/>
                  <w:vAlign w:val="center"/>
                </w:tcPr>
                <w:p>
                  <w:pPr>
                    <w:jc w:val="center"/>
                    <w:rPr>
                      <w:color w:val="auto"/>
                      <w:szCs w:val="21"/>
                    </w:rPr>
                  </w:pPr>
                  <w:r>
                    <w:rPr>
                      <w:color w:val="auto"/>
                      <w:szCs w:val="21"/>
                    </w:rPr>
                    <w:t>µg/m</w:t>
                  </w:r>
                  <w:r>
                    <w:rPr>
                      <w:color w:val="auto"/>
                      <w:szCs w:val="21"/>
                      <w:vertAlign w:val="superscript"/>
                    </w:rPr>
                    <w:t>3</w:t>
                  </w:r>
                </w:p>
              </w:tc>
              <w:tc>
                <w:tcPr>
                  <w:tcW w:w="963" w:type="dxa"/>
                  <w:noWrap w:val="0"/>
                  <w:vAlign w:val="center"/>
                </w:tcPr>
                <w:p>
                  <w:pPr>
                    <w:jc w:val="center"/>
                    <w:rPr>
                      <w:rFonts w:hint="default" w:eastAsia="宋体"/>
                      <w:color w:val="auto"/>
                      <w:szCs w:val="21"/>
                      <w:lang w:val="en-US" w:eastAsia="zh-CN"/>
                    </w:rPr>
                  </w:pPr>
                  <w:r>
                    <w:rPr>
                      <w:rFonts w:hint="eastAsia" w:ascii="Times New Roman" w:hAnsi="Times New Roman" w:eastAsia="宋体" w:cs="Times New Roman"/>
                      <w:color w:val="auto"/>
                      <w:kern w:val="2"/>
                      <w:lang w:val="en-US" w:eastAsia="zh-CN"/>
                    </w:rPr>
                    <w:t>26.5</w:t>
                  </w:r>
                </w:p>
              </w:tc>
              <w:tc>
                <w:tcPr>
                  <w:tcW w:w="963" w:type="dxa"/>
                  <w:noWrap w:val="0"/>
                  <w:vAlign w:val="center"/>
                </w:tcPr>
                <w:p>
                  <w:pPr>
                    <w:jc w:val="center"/>
                    <w:rPr>
                      <w:color w:val="auto"/>
                      <w:szCs w:val="21"/>
                    </w:rPr>
                  </w:pPr>
                  <w:r>
                    <w:rPr>
                      <w:rFonts w:hint="default" w:ascii="Times New Roman" w:hAnsi="Times New Roman" w:eastAsia="宋体" w:cs="Times New Roman"/>
                      <w:color w:val="auto"/>
                      <w:kern w:val="2"/>
                    </w:rPr>
                    <w:t>35</w:t>
                  </w:r>
                </w:p>
              </w:tc>
              <w:tc>
                <w:tcPr>
                  <w:tcW w:w="963" w:type="dxa"/>
                  <w:noWrap w:val="0"/>
                  <w:vAlign w:val="center"/>
                </w:tcPr>
                <w:p>
                  <w:pPr>
                    <w:jc w:val="center"/>
                    <w:rPr>
                      <w:color w:val="auto"/>
                      <w:szCs w:val="21"/>
                    </w:rPr>
                  </w:pPr>
                  <w:r>
                    <w:rPr>
                      <w:rFonts w:hint="eastAsia" w:ascii="Times New Roman" w:hAnsi="Times New Roman" w:eastAsia="宋体" w:cs="Times New Roman"/>
                      <w:color w:val="auto"/>
                      <w:kern w:val="2"/>
                      <w:lang w:val="en-US" w:eastAsia="zh-CN"/>
                    </w:rPr>
                    <w:t xml:space="preserve">75.7 </w:t>
                  </w:r>
                </w:p>
              </w:tc>
              <w:tc>
                <w:tcPr>
                  <w:tcW w:w="967" w:type="dxa"/>
                  <w:noWrap w:val="0"/>
                  <w:vAlign w:val="center"/>
                </w:tcPr>
                <w:p>
                  <w:pPr>
                    <w:jc w:val="center"/>
                    <w:rPr>
                      <w:color w:val="auto"/>
                      <w:szCs w:val="21"/>
                    </w:rPr>
                  </w:pPr>
                  <w:r>
                    <w:rPr>
                      <w:rFonts w:hint="default" w:ascii="Times New Roman" w:hAnsi="Times New Roman" w:eastAsia="宋体" w:cs="Times New Roman"/>
                      <w:color w:val="auto"/>
                      <w:kern w:val="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8" w:type="dxa"/>
                  <w:noWrap w:val="0"/>
                  <w:vAlign w:val="center"/>
                </w:tcPr>
                <w:p>
                  <w:pPr>
                    <w:pStyle w:val="101"/>
                    <w:adjustRightInd/>
                    <w:snapToGrid/>
                    <w:spacing w:beforeLines="0" w:afterLines="0" w:line="240" w:lineRule="auto"/>
                    <w:ind w:left="0" w:leftChars="0" w:firstLine="0" w:firstLineChars="0"/>
                    <w:rPr>
                      <w:color w:val="auto"/>
                      <w:szCs w:val="21"/>
                    </w:rPr>
                  </w:pPr>
                  <w:r>
                    <w:rPr>
                      <w:rFonts w:hint="default" w:ascii="Times New Roman" w:hAnsi="Times New Roman" w:cs="Times New Roman"/>
                      <w:color w:val="auto"/>
                      <w:kern w:val="2"/>
                    </w:rPr>
                    <w:t>CO</w:t>
                  </w:r>
                </w:p>
              </w:tc>
              <w:tc>
                <w:tcPr>
                  <w:tcW w:w="2087" w:type="dxa"/>
                  <w:noWrap w:val="0"/>
                  <w:vAlign w:val="center"/>
                </w:tcPr>
                <w:p>
                  <w:pPr>
                    <w:spacing w:before="0" w:line="240" w:lineRule="auto"/>
                    <w:ind w:right="0"/>
                    <w:rPr>
                      <w:color w:val="auto"/>
                      <w:kern w:val="2"/>
                      <w:szCs w:val="21"/>
                      <w:lang w:val="zh-CN" w:bidi="zh-CN"/>
                    </w:rPr>
                  </w:pPr>
                  <w:r>
                    <w:rPr>
                      <w:rFonts w:ascii="Times New Roman" w:hAnsi="Times New Roman" w:eastAsia="宋体" w:cs="Times New Roman"/>
                      <w:color w:val="auto"/>
                      <w:szCs w:val="21"/>
                    </w:rPr>
                    <w:t>年平均质量浓度</w:t>
                  </w:r>
                </w:p>
              </w:tc>
              <w:tc>
                <w:tcPr>
                  <w:tcW w:w="963" w:type="dxa"/>
                  <w:noWrap w:val="0"/>
                  <w:vAlign w:val="center"/>
                </w:tcPr>
                <w:p>
                  <w:pPr>
                    <w:pStyle w:val="133"/>
                    <w:spacing w:before="0" w:line="240" w:lineRule="auto"/>
                    <w:ind w:right="0"/>
                    <w:rPr>
                      <w:color w:val="auto"/>
                      <w:szCs w:val="21"/>
                    </w:rPr>
                  </w:pPr>
                  <w:r>
                    <w:rPr>
                      <w:bCs/>
                      <w:color w:val="auto"/>
                      <w:kern w:val="24"/>
                      <w:szCs w:val="21"/>
                    </w:rPr>
                    <w:t>mg/m</w:t>
                  </w:r>
                  <w:r>
                    <w:rPr>
                      <w:bCs/>
                      <w:color w:val="auto"/>
                      <w:kern w:val="24"/>
                      <w:szCs w:val="21"/>
                      <w:vertAlign w:val="superscript"/>
                    </w:rPr>
                    <w:t>3</w:t>
                  </w:r>
                </w:p>
              </w:tc>
              <w:tc>
                <w:tcPr>
                  <w:tcW w:w="963" w:type="dxa"/>
                  <w:noWrap w:val="0"/>
                  <w:vAlign w:val="center"/>
                </w:tcPr>
                <w:p>
                  <w:pPr>
                    <w:jc w:val="center"/>
                    <w:rPr>
                      <w:rFonts w:hint="default" w:eastAsia="宋体"/>
                      <w:color w:val="auto"/>
                      <w:szCs w:val="21"/>
                      <w:lang w:val="en-US" w:eastAsia="zh-CN"/>
                    </w:rPr>
                  </w:pPr>
                  <w:r>
                    <w:rPr>
                      <w:rFonts w:hint="eastAsia" w:ascii="Times New Roman" w:hAnsi="Times New Roman" w:eastAsia="宋体" w:cs="Times New Roman"/>
                      <w:color w:val="auto"/>
                      <w:kern w:val="2"/>
                      <w:lang w:val="en-US" w:eastAsia="zh-CN"/>
                    </w:rPr>
                    <w:t>8</w:t>
                  </w:r>
                  <w:r>
                    <w:rPr>
                      <w:rFonts w:hint="default" w:ascii="Times New Roman" w:hAnsi="Times New Roman" w:eastAsia="宋体" w:cs="Times New Roman"/>
                      <w:color w:val="auto"/>
                      <w:kern w:val="2"/>
                      <w:lang w:val="en-US" w:eastAsia="zh-CN"/>
                    </w:rPr>
                    <w:t>00</w:t>
                  </w:r>
                </w:p>
              </w:tc>
              <w:tc>
                <w:tcPr>
                  <w:tcW w:w="963" w:type="dxa"/>
                  <w:noWrap w:val="0"/>
                  <w:vAlign w:val="center"/>
                </w:tcPr>
                <w:p>
                  <w:pPr>
                    <w:jc w:val="center"/>
                    <w:rPr>
                      <w:color w:val="auto"/>
                      <w:szCs w:val="21"/>
                    </w:rPr>
                  </w:pPr>
                  <w:r>
                    <w:rPr>
                      <w:rFonts w:hint="default" w:ascii="Times New Roman" w:hAnsi="Times New Roman" w:eastAsia="宋体" w:cs="Times New Roman"/>
                      <w:color w:val="auto"/>
                      <w:kern w:val="2"/>
                    </w:rPr>
                    <w:t>4</w:t>
                  </w:r>
                  <w:r>
                    <w:rPr>
                      <w:rFonts w:hint="default" w:ascii="Times New Roman" w:hAnsi="Times New Roman" w:eastAsia="宋体" w:cs="Times New Roman"/>
                      <w:color w:val="auto"/>
                      <w:kern w:val="2"/>
                      <w:lang w:val="en-US" w:eastAsia="zh-CN"/>
                    </w:rPr>
                    <w:t>000</w:t>
                  </w:r>
                </w:p>
              </w:tc>
              <w:tc>
                <w:tcPr>
                  <w:tcW w:w="963" w:type="dxa"/>
                  <w:noWrap w:val="0"/>
                  <w:vAlign w:val="center"/>
                </w:tcPr>
                <w:p>
                  <w:pPr>
                    <w:jc w:val="center"/>
                    <w:rPr>
                      <w:color w:val="auto"/>
                      <w:szCs w:val="21"/>
                    </w:rPr>
                  </w:pPr>
                  <w:r>
                    <w:rPr>
                      <w:rFonts w:hint="eastAsia" w:ascii="Times New Roman" w:hAnsi="Times New Roman" w:eastAsia="宋体" w:cs="Times New Roman"/>
                      <w:color w:val="auto"/>
                      <w:kern w:val="2"/>
                      <w:lang w:val="en-US" w:eastAsia="zh-CN"/>
                    </w:rPr>
                    <w:t>20</w:t>
                  </w:r>
                </w:p>
              </w:tc>
              <w:tc>
                <w:tcPr>
                  <w:tcW w:w="967" w:type="dxa"/>
                  <w:noWrap w:val="0"/>
                  <w:vAlign w:val="center"/>
                </w:tcPr>
                <w:p>
                  <w:pPr>
                    <w:jc w:val="center"/>
                    <w:rPr>
                      <w:color w:val="auto"/>
                      <w:szCs w:val="21"/>
                    </w:rPr>
                  </w:pPr>
                  <w:r>
                    <w:rPr>
                      <w:rFonts w:hint="default" w:ascii="Times New Roman" w:hAnsi="Times New Roman" w:eastAsia="宋体" w:cs="Times New Roman"/>
                      <w:color w:val="auto"/>
                      <w:kern w:val="2"/>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8" w:type="dxa"/>
                  <w:noWrap w:val="0"/>
                  <w:vAlign w:val="center"/>
                </w:tcPr>
                <w:p>
                  <w:pPr>
                    <w:pStyle w:val="101"/>
                    <w:adjustRightInd/>
                    <w:snapToGrid/>
                    <w:spacing w:beforeLines="0" w:afterLines="0" w:line="240" w:lineRule="auto"/>
                    <w:ind w:left="0" w:leftChars="0" w:firstLine="0" w:firstLineChars="0"/>
                    <w:rPr>
                      <w:color w:val="auto"/>
                      <w:szCs w:val="21"/>
                    </w:rPr>
                  </w:pPr>
                  <w:r>
                    <w:rPr>
                      <w:rFonts w:hint="default" w:ascii="Times New Roman" w:hAnsi="Times New Roman" w:cs="Times New Roman"/>
                      <w:color w:val="auto"/>
                      <w:kern w:val="2"/>
                    </w:rPr>
                    <w:t>O</w:t>
                  </w:r>
                  <w:r>
                    <w:rPr>
                      <w:rFonts w:hint="default" w:ascii="Times New Roman" w:hAnsi="Times New Roman" w:cs="Times New Roman"/>
                      <w:color w:val="auto"/>
                      <w:kern w:val="2"/>
                      <w:vertAlign w:val="subscript"/>
                    </w:rPr>
                    <w:t>3</w:t>
                  </w:r>
                </w:p>
              </w:tc>
              <w:tc>
                <w:tcPr>
                  <w:tcW w:w="2087" w:type="dxa"/>
                  <w:noWrap w:val="0"/>
                  <w:vAlign w:val="center"/>
                </w:tcPr>
                <w:p>
                  <w:pPr>
                    <w:spacing w:before="0" w:line="240" w:lineRule="auto"/>
                    <w:ind w:right="0"/>
                    <w:rPr>
                      <w:color w:val="auto"/>
                      <w:kern w:val="2"/>
                      <w:szCs w:val="21"/>
                      <w:lang w:val="zh-CN" w:bidi="zh-CN"/>
                    </w:rPr>
                  </w:pPr>
                  <w:r>
                    <w:rPr>
                      <w:rFonts w:ascii="Times New Roman" w:hAnsi="Times New Roman" w:eastAsia="宋体" w:cs="Times New Roman"/>
                      <w:color w:val="auto"/>
                      <w:szCs w:val="21"/>
                    </w:rPr>
                    <w:t>年平均质量浓度</w:t>
                  </w:r>
                </w:p>
              </w:tc>
              <w:tc>
                <w:tcPr>
                  <w:tcW w:w="963" w:type="dxa"/>
                  <w:noWrap w:val="0"/>
                  <w:vAlign w:val="center"/>
                </w:tcPr>
                <w:p>
                  <w:pPr>
                    <w:pStyle w:val="133"/>
                    <w:spacing w:before="0" w:line="240" w:lineRule="auto"/>
                    <w:ind w:right="0"/>
                    <w:rPr>
                      <w:color w:val="auto"/>
                      <w:szCs w:val="21"/>
                    </w:rPr>
                  </w:pPr>
                  <w:r>
                    <w:rPr>
                      <w:bCs/>
                      <w:color w:val="auto"/>
                      <w:szCs w:val="21"/>
                    </w:rPr>
                    <w:t>µg/m</w:t>
                  </w:r>
                  <w:r>
                    <w:rPr>
                      <w:bCs/>
                      <w:color w:val="auto"/>
                      <w:szCs w:val="21"/>
                      <w:vertAlign w:val="superscript"/>
                    </w:rPr>
                    <w:t>3</w:t>
                  </w:r>
                </w:p>
              </w:tc>
              <w:tc>
                <w:tcPr>
                  <w:tcW w:w="963" w:type="dxa"/>
                  <w:noWrap w:val="0"/>
                  <w:vAlign w:val="center"/>
                </w:tcPr>
                <w:p>
                  <w:pPr>
                    <w:jc w:val="center"/>
                    <w:rPr>
                      <w:rFonts w:hint="default" w:eastAsia="宋体"/>
                      <w:color w:val="auto"/>
                      <w:szCs w:val="21"/>
                      <w:lang w:val="en-US" w:eastAsia="zh-CN"/>
                    </w:rPr>
                  </w:pPr>
                  <w:r>
                    <w:rPr>
                      <w:rFonts w:hint="default" w:ascii="Times New Roman" w:hAnsi="Times New Roman" w:eastAsia="宋体" w:cs="Times New Roman"/>
                      <w:color w:val="auto"/>
                      <w:kern w:val="2"/>
                      <w:lang w:val="en-US" w:eastAsia="zh-CN"/>
                    </w:rPr>
                    <w:t>14</w:t>
                  </w:r>
                  <w:r>
                    <w:rPr>
                      <w:rFonts w:hint="eastAsia" w:ascii="Times New Roman" w:hAnsi="Times New Roman" w:eastAsia="宋体" w:cs="Times New Roman"/>
                      <w:color w:val="auto"/>
                      <w:kern w:val="2"/>
                      <w:lang w:val="en-US" w:eastAsia="zh-CN"/>
                    </w:rPr>
                    <w:t>3.5</w:t>
                  </w:r>
                </w:p>
              </w:tc>
              <w:tc>
                <w:tcPr>
                  <w:tcW w:w="963" w:type="dxa"/>
                  <w:noWrap w:val="0"/>
                  <w:vAlign w:val="center"/>
                </w:tcPr>
                <w:p>
                  <w:pPr>
                    <w:jc w:val="center"/>
                    <w:rPr>
                      <w:color w:val="auto"/>
                      <w:szCs w:val="21"/>
                    </w:rPr>
                  </w:pPr>
                  <w:r>
                    <w:rPr>
                      <w:rFonts w:hint="default" w:ascii="Times New Roman" w:hAnsi="Times New Roman" w:eastAsia="宋体" w:cs="Times New Roman"/>
                      <w:color w:val="auto"/>
                      <w:kern w:val="2"/>
                    </w:rPr>
                    <w:t>160</w:t>
                  </w:r>
                </w:p>
              </w:tc>
              <w:tc>
                <w:tcPr>
                  <w:tcW w:w="963" w:type="dxa"/>
                  <w:noWrap w:val="0"/>
                  <w:vAlign w:val="center"/>
                </w:tcPr>
                <w:p>
                  <w:pPr>
                    <w:jc w:val="center"/>
                    <w:rPr>
                      <w:color w:val="auto"/>
                      <w:szCs w:val="21"/>
                    </w:rPr>
                  </w:pPr>
                  <w:r>
                    <w:rPr>
                      <w:rFonts w:hint="eastAsia" w:ascii="Times New Roman" w:hAnsi="Times New Roman" w:eastAsia="宋体" w:cs="Times New Roman"/>
                      <w:color w:val="auto"/>
                      <w:kern w:val="2"/>
                      <w:lang w:val="en-US" w:eastAsia="zh-CN"/>
                    </w:rPr>
                    <w:t xml:space="preserve">89.7 </w:t>
                  </w:r>
                </w:p>
              </w:tc>
              <w:tc>
                <w:tcPr>
                  <w:tcW w:w="967" w:type="dxa"/>
                  <w:noWrap w:val="0"/>
                  <w:vAlign w:val="center"/>
                </w:tcPr>
                <w:p>
                  <w:pPr>
                    <w:jc w:val="center"/>
                    <w:rPr>
                      <w:color w:val="auto"/>
                      <w:szCs w:val="21"/>
                    </w:rPr>
                  </w:pPr>
                  <w:r>
                    <w:rPr>
                      <w:rFonts w:hint="default" w:ascii="Times New Roman" w:hAnsi="Times New Roman" w:eastAsia="宋体" w:cs="Times New Roman"/>
                      <w:color w:val="auto"/>
                      <w:kern w:val="2"/>
                    </w:rPr>
                    <w:t>达标</w:t>
                  </w:r>
                </w:p>
              </w:tc>
            </w:tr>
          </w:tbl>
          <w:p>
            <w:pPr>
              <w:pStyle w:val="12"/>
              <w:widowControl/>
              <w:spacing w:after="0" w:line="360" w:lineRule="auto"/>
              <w:ind w:left="0" w:leftChars="0" w:firstLine="480" w:firstLineChars="200"/>
              <w:rPr>
                <w:color w:val="auto"/>
                <w:szCs w:val="24"/>
              </w:rPr>
            </w:pPr>
            <w:r>
              <w:rPr>
                <w:color w:val="auto"/>
                <w:szCs w:val="24"/>
              </w:rPr>
              <w:t>由上表可知，</w:t>
            </w:r>
            <w:r>
              <w:rPr>
                <w:color w:val="auto"/>
                <w:szCs w:val="24"/>
                <w:lang w:bidi="ar"/>
              </w:rPr>
              <w:t>202</w:t>
            </w:r>
            <w:r>
              <w:rPr>
                <w:rFonts w:hint="eastAsia"/>
                <w:color w:val="auto"/>
                <w:szCs w:val="24"/>
                <w:lang w:val="en-US" w:eastAsia="zh-CN" w:bidi="ar"/>
              </w:rPr>
              <w:t>4</w:t>
            </w:r>
            <w:r>
              <w:rPr>
                <w:color w:val="auto"/>
                <w:szCs w:val="24"/>
                <w:lang w:bidi="ar"/>
              </w:rPr>
              <w:t>年</w:t>
            </w:r>
            <w:r>
              <w:rPr>
                <w:rFonts w:hint="eastAsia"/>
                <w:color w:val="auto"/>
                <w:szCs w:val="24"/>
                <w:lang w:eastAsia="zh-CN" w:bidi="ar"/>
              </w:rPr>
              <w:t>遂宁</w:t>
            </w:r>
            <w:r>
              <w:rPr>
                <w:color w:val="auto"/>
                <w:szCs w:val="24"/>
                <w:lang w:bidi="ar"/>
              </w:rPr>
              <w:t>市</w:t>
            </w:r>
            <w:r>
              <w:rPr>
                <w:color w:val="auto"/>
                <w:szCs w:val="24"/>
              </w:rPr>
              <w:t>SO</w:t>
            </w:r>
            <w:r>
              <w:rPr>
                <w:color w:val="auto"/>
                <w:szCs w:val="24"/>
                <w:vertAlign w:val="subscript"/>
              </w:rPr>
              <w:t>2</w:t>
            </w:r>
            <w:r>
              <w:rPr>
                <w:color w:val="auto"/>
                <w:szCs w:val="24"/>
              </w:rPr>
              <w:t>、NO</w:t>
            </w:r>
            <w:r>
              <w:rPr>
                <w:color w:val="auto"/>
                <w:szCs w:val="24"/>
                <w:vertAlign w:val="subscript"/>
              </w:rPr>
              <w:t>2</w:t>
            </w:r>
            <w:r>
              <w:rPr>
                <w:color w:val="auto"/>
                <w:szCs w:val="24"/>
              </w:rPr>
              <w:t>、CO、</w:t>
            </w:r>
            <w:r>
              <w:rPr>
                <w:bCs/>
                <w:color w:val="auto"/>
                <w:szCs w:val="21"/>
              </w:rPr>
              <w:t>PM</w:t>
            </w:r>
            <w:r>
              <w:rPr>
                <w:bCs/>
                <w:color w:val="auto"/>
                <w:szCs w:val="21"/>
                <w:vertAlign w:val="subscript"/>
              </w:rPr>
              <w:t>2.5</w:t>
            </w:r>
            <w:r>
              <w:rPr>
                <w:rFonts w:hint="eastAsia"/>
                <w:color w:val="auto"/>
                <w:szCs w:val="24"/>
                <w:lang w:eastAsia="zh-CN"/>
              </w:rPr>
              <w:t>、</w:t>
            </w:r>
            <w:r>
              <w:rPr>
                <w:color w:val="auto"/>
                <w:szCs w:val="24"/>
              </w:rPr>
              <w:t>PM</w:t>
            </w:r>
            <w:r>
              <w:rPr>
                <w:color w:val="auto"/>
                <w:szCs w:val="24"/>
                <w:vertAlign w:val="subscript"/>
              </w:rPr>
              <w:t>10</w:t>
            </w:r>
            <w:r>
              <w:rPr>
                <w:rFonts w:hint="eastAsia"/>
                <w:color w:val="auto"/>
                <w:szCs w:val="24"/>
                <w:vertAlign w:val="baseline"/>
                <w:lang w:eastAsia="zh-CN"/>
              </w:rPr>
              <w:t>、</w:t>
            </w:r>
            <w:r>
              <w:rPr>
                <w:color w:val="auto"/>
                <w:szCs w:val="24"/>
              </w:rPr>
              <w:t>O</w:t>
            </w:r>
            <w:r>
              <w:rPr>
                <w:color w:val="auto"/>
                <w:szCs w:val="24"/>
                <w:vertAlign w:val="subscript"/>
              </w:rPr>
              <w:t>3</w:t>
            </w:r>
            <w:r>
              <w:rPr>
                <w:color w:val="auto"/>
                <w:szCs w:val="24"/>
              </w:rPr>
              <w:t>浓度达到《环境空气质量标准》</w:t>
            </w:r>
            <w:r>
              <w:rPr>
                <w:rFonts w:hint="eastAsia"/>
                <w:color w:val="auto"/>
                <w:szCs w:val="24"/>
              </w:rPr>
              <w:t>（</w:t>
            </w:r>
            <w:r>
              <w:rPr>
                <w:color w:val="auto"/>
                <w:szCs w:val="24"/>
              </w:rPr>
              <w:t>GB3095-2012</w:t>
            </w:r>
            <w:r>
              <w:rPr>
                <w:rFonts w:hint="eastAsia"/>
                <w:color w:val="auto"/>
                <w:szCs w:val="24"/>
              </w:rPr>
              <w:t>）</w:t>
            </w:r>
            <w:r>
              <w:rPr>
                <w:color w:val="auto"/>
                <w:szCs w:val="24"/>
              </w:rPr>
              <w:t>二级标准，故项目所在区域空气质量达标，属于达标区。</w:t>
            </w:r>
          </w:p>
          <w:p>
            <w:pPr>
              <w:widowControl/>
              <w:spacing w:line="360" w:lineRule="auto"/>
              <w:ind w:firstLine="482" w:firstLineChars="200"/>
              <w:rPr>
                <w:rFonts w:hint="default" w:eastAsia="宋体"/>
                <w:b/>
                <w:bCs/>
                <w:color w:val="auto"/>
                <w:kern w:val="0"/>
                <w:sz w:val="24"/>
                <w:lang w:val="en-US" w:eastAsia="zh-CN" w:bidi="ar"/>
              </w:rPr>
            </w:pPr>
            <w:r>
              <w:rPr>
                <w:rFonts w:hint="eastAsia"/>
                <w:b/>
                <w:bCs/>
                <w:color w:val="auto"/>
                <w:sz w:val="24"/>
                <w:lang w:val="en-US" w:eastAsia="zh-CN"/>
              </w:rPr>
              <w:t>2、</w:t>
            </w:r>
            <w:r>
              <w:rPr>
                <w:rFonts w:hint="eastAsia"/>
                <w:b/>
                <w:bCs/>
                <w:color w:val="auto"/>
                <w:kern w:val="0"/>
                <w:sz w:val="24"/>
                <w:lang w:val="en-US" w:eastAsia="zh-CN" w:bidi="ar"/>
              </w:rPr>
              <w:t>本项目特征因子</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本项目排放的废气污染因子有：</w:t>
            </w:r>
            <w:r>
              <w:rPr>
                <w:rFonts w:hint="eastAsia" w:ascii="Times New Roman" w:hAnsi="Times New Roman" w:eastAsia="宋体" w:cs="Times New Roman"/>
                <w:color w:val="auto"/>
                <w:kern w:val="0"/>
                <w:sz w:val="24"/>
                <w:lang w:val="en-US" w:eastAsia="zh-CN" w:bidi="ar"/>
              </w:rPr>
              <w:t>颗</w:t>
            </w:r>
            <w:r>
              <w:rPr>
                <w:rFonts w:hint="eastAsia" w:ascii="Times New Roman" w:hAnsi="Times New Roman" w:eastAsia="宋体" w:cs="Times New Roman"/>
                <w:color w:val="auto"/>
                <w:kern w:val="0"/>
                <w:sz w:val="24"/>
                <w:szCs w:val="24"/>
                <w:lang w:val="en-US" w:eastAsia="zh-CN" w:bidi="ar"/>
              </w:rPr>
              <w:t>粒物</w:t>
            </w:r>
            <w:r>
              <w:rPr>
                <w:rFonts w:hint="default" w:ascii="Times New Roman" w:hAnsi="Times New Roman" w:eastAsia="宋体" w:cs="Times New Roman"/>
                <w:color w:val="auto"/>
                <w:kern w:val="0"/>
                <w:sz w:val="24"/>
                <w:szCs w:val="24"/>
                <w:lang w:val="en-US" w:eastAsia="zh-CN" w:bidi="ar"/>
              </w:rPr>
              <w:t>、</w:t>
            </w:r>
            <w:r>
              <w:rPr>
                <w:rFonts w:ascii="Times New Roman" w:hAnsi="Times New Roman" w:eastAsia="宋体" w:cs="Times New Roman"/>
                <w:color w:val="auto"/>
                <w:sz w:val="24"/>
                <w:szCs w:val="24"/>
              </w:rPr>
              <w:t>SO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、NO</w:t>
            </w:r>
            <w:r>
              <w:rPr>
                <w:rFonts w:ascii="Times New Roman" w:hAnsi="Times New Roman" w:eastAsia="宋体" w:cs="Times New Roman"/>
                <w:color w:val="auto"/>
                <w:sz w:val="24"/>
                <w:szCs w:val="24"/>
                <w:vertAlign w:val="subscript"/>
              </w:rPr>
              <w:t>X</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vertAlign w:val="baseline"/>
                <w:lang w:val="en-US" w:eastAsia="zh-CN"/>
              </w:rPr>
              <w:t>以</w:t>
            </w:r>
            <w:r>
              <w:rPr>
                <w:rFonts w:hint="eastAsia"/>
                <w:sz w:val="24"/>
                <w:szCs w:val="24"/>
                <w:lang w:val="en-US" w:eastAsia="zh-CN"/>
              </w:rPr>
              <w:t xml:space="preserve"> NO</w:t>
            </w:r>
            <w:r>
              <w:rPr>
                <w:rFonts w:hint="eastAsia"/>
                <w:sz w:val="24"/>
                <w:szCs w:val="24"/>
                <w:vertAlign w:val="subscript"/>
                <w:lang w:val="en-US" w:eastAsia="zh-CN"/>
              </w:rPr>
              <w:t>2</w:t>
            </w:r>
            <w:r>
              <w:rPr>
                <w:rFonts w:hint="eastAsia"/>
                <w:sz w:val="24"/>
                <w:szCs w:val="24"/>
                <w:lang w:val="en-US" w:eastAsia="zh-CN"/>
              </w:rPr>
              <w:t>计</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vertAlign w:val="baseline"/>
                <w:lang w:val="en-US" w:eastAsia="zh-CN"/>
              </w:rPr>
              <w:t>烟气黑度</w:t>
            </w:r>
            <w:r>
              <w:rPr>
                <w:rFonts w:hint="eastAsia" w:ascii="Times New Roman" w:hAnsi="Times New Roman" w:eastAsia="宋体" w:cs="Times New Roman"/>
                <w:color w:val="auto"/>
                <w:kern w:val="0"/>
                <w:sz w:val="24"/>
                <w:szCs w:val="24"/>
                <w:lang w:val="en-US" w:eastAsia="zh-CN" w:bidi="ar"/>
              </w:rPr>
              <w:t>。</w:t>
            </w:r>
          </w:p>
          <w:p>
            <w:pPr>
              <w:spacing w:line="360" w:lineRule="auto"/>
              <w:ind w:firstLine="480" w:firstLineChars="200"/>
              <w:rPr>
                <w:rFonts w:hint="eastAsia"/>
                <w:color w:val="auto"/>
                <w:sz w:val="24"/>
                <w:szCs w:val="24"/>
                <w:lang w:val="zh-CN"/>
              </w:rPr>
            </w:pPr>
            <w:r>
              <w:rPr>
                <w:rFonts w:hint="eastAsia" w:ascii="Times New Roman" w:hAnsi="Times New Roman" w:eastAsia="宋体" w:cs="Times New Roman"/>
                <w:color w:val="auto"/>
                <w:sz w:val="24"/>
                <w:szCs w:val="24"/>
                <w:lang w:val="en-US" w:eastAsia="zh-CN"/>
              </w:rPr>
              <w:t>根据</w:t>
            </w:r>
            <w:r>
              <w:rPr>
                <w:rFonts w:hint="eastAsia" w:ascii="Times New Roman" w:hAnsi="Times New Roman" w:eastAsia="宋体"/>
                <w:color w:val="auto"/>
                <w:kern w:val="2"/>
                <w:sz w:val="24"/>
                <w:szCs w:val="24"/>
              </w:rPr>
              <w:t>《环境影响评价技术导则 大气环境》（</w:t>
            </w:r>
            <w:r>
              <w:rPr>
                <w:rFonts w:ascii="Times New Roman" w:hAnsi="Times New Roman" w:eastAsia="宋体"/>
                <w:color w:val="auto"/>
                <w:kern w:val="2"/>
                <w:sz w:val="24"/>
                <w:szCs w:val="24"/>
              </w:rPr>
              <w:t>HJ 2.2-2018</w:t>
            </w:r>
            <w:r>
              <w:rPr>
                <w:rFonts w:hint="eastAsia" w:ascii="Times New Roman" w:hAnsi="Times New Roman" w:eastAsia="宋体"/>
                <w:color w:val="auto"/>
                <w:kern w:val="2"/>
                <w:sz w:val="24"/>
                <w:szCs w:val="24"/>
              </w:rPr>
              <w:t>）</w:t>
            </w:r>
            <w:r>
              <w:rPr>
                <w:rFonts w:hint="eastAsia" w:ascii="Times New Roman" w:hAnsi="Times New Roman" w:eastAsia="宋体"/>
                <w:color w:val="auto"/>
                <w:kern w:val="2"/>
                <w:sz w:val="24"/>
                <w:szCs w:val="24"/>
                <w:lang w:val="en-US" w:eastAsia="zh-CN"/>
              </w:rPr>
              <w:t>及项目特点，本项目监测的</w:t>
            </w:r>
            <w:r>
              <w:rPr>
                <w:rFonts w:hint="eastAsia" w:ascii="Times New Roman" w:hAnsi="Times New Roman" w:eastAsia="宋体" w:cs="Times New Roman"/>
                <w:color w:val="auto"/>
                <w:sz w:val="24"/>
                <w:szCs w:val="24"/>
                <w:lang w:val="en-US" w:eastAsia="zh-CN"/>
              </w:rPr>
              <w:t>特征因子有</w:t>
            </w:r>
            <w:r>
              <w:rPr>
                <w:rFonts w:hint="eastAsia" w:ascii="Times New Roman" w:hAnsi="Times New Roman" w:eastAsia="宋体" w:cs="Times New Roman"/>
                <w:color w:val="auto"/>
                <w:kern w:val="0"/>
                <w:sz w:val="24"/>
                <w:szCs w:val="24"/>
                <w:lang w:val="en-US" w:eastAsia="zh-CN" w:bidi="ar"/>
              </w:rPr>
              <w:t>TSP</w:t>
            </w:r>
            <w:r>
              <w:rPr>
                <w:rFonts w:hint="eastAsia" w:ascii="Times New Roman" w:hAnsi="Times New Roman" w:eastAsia="宋体" w:cs="Times New Roman"/>
                <w:color w:val="auto"/>
                <w:sz w:val="24"/>
                <w:szCs w:val="24"/>
                <w:lang w:val="en-US" w:eastAsia="zh-CN"/>
              </w:rPr>
              <w:t>。</w:t>
            </w:r>
          </w:p>
          <w:p>
            <w:pPr>
              <w:spacing w:line="360" w:lineRule="auto"/>
              <w:ind w:firstLine="480" w:firstLineChars="200"/>
              <w:rPr>
                <w:rFonts w:hint="eastAsia" w:eastAsia="宋体"/>
                <w:color w:val="auto"/>
                <w:sz w:val="24"/>
                <w:lang w:val="en-US" w:eastAsia="zh-CN"/>
              </w:rPr>
            </w:pPr>
            <w:r>
              <w:rPr>
                <w:rFonts w:hint="eastAsia"/>
                <w:color w:val="auto"/>
                <w:sz w:val="24"/>
                <w:szCs w:val="24"/>
                <w:lang w:val="zh-CN"/>
              </w:rPr>
              <w:t>本</w:t>
            </w:r>
            <w:r>
              <w:rPr>
                <w:rFonts w:hint="eastAsia"/>
                <w:color w:val="auto"/>
                <w:sz w:val="24"/>
                <w:szCs w:val="24"/>
                <w:lang w:val="en-US" w:eastAsia="zh-CN"/>
              </w:rPr>
              <w:t>次评价TSP</w:t>
            </w:r>
            <w:r>
              <w:rPr>
                <w:rFonts w:hint="eastAsia" w:ascii="Times New Roman" w:hAnsi="Times New Roman" w:eastAsia="宋体" w:cs="Times New Roman"/>
                <w:color w:val="auto"/>
                <w:sz w:val="24"/>
                <w:szCs w:val="24"/>
                <w:lang w:val="zh-CN" w:eastAsia="zh-CN"/>
              </w:rPr>
              <w:t>的环境质量现状引用《</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zh-CN" w:eastAsia="zh-CN"/>
              </w:rPr>
              <w:t>0万吨/年锂离子电池正极材料磷酸铁锂前驱体技改项目</w:t>
            </w:r>
            <w:r>
              <w:rPr>
                <w:rFonts w:hint="eastAsia" w:ascii="Times New Roman" w:hAnsi="Times New Roman" w:eastAsia="宋体" w:cs="Times New Roman"/>
                <w:color w:val="auto"/>
                <w:sz w:val="24"/>
                <w:szCs w:val="24"/>
                <w:lang w:val="en-US" w:eastAsia="zh-CN"/>
              </w:rPr>
              <w:t>监测</w:t>
            </w:r>
            <w:r>
              <w:rPr>
                <w:rFonts w:hint="eastAsia" w:ascii="Times New Roman" w:hAnsi="Times New Roman" w:eastAsia="宋体" w:cs="Times New Roman"/>
                <w:color w:val="auto"/>
                <w:sz w:val="24"/>
                <w:szCs w:val="24"/>
                <w:lang w:val="zh-CN" w:eastAsia="zh-CN"/>
              </w:rPr>
              <w:t>报告》（HH25040102）中相关数据，</w:t>
            </w:r>
            <w:r>
              <w:rPr>
                <w:rFonts w:hint="eastAsia" w:ascii="Times New Roman" w:hAnsi="Times New Roman" w:eastAsia="宋体" w:cs="Times New Roman"/>
                <w:color w:val="auto"/>
                <w:sz w:val="24"/>
                <w:szCs w:val="24"/>
                <w:lang w:val="en-US" w:eastAsia="zh-CN"/>
              </w:rPr>
              <w:t>引用监测点位位于本项目东北侧约835m处，</w:t>
            </w:r>
            <w:r>
              <w:rPr>
                <w:rFonts w:hint="eastAsia" w:ascii="Times New Roman" w:hAnsi="Times New Roman" w:eastAsia="宋体" w:cs="Times New Roman"/>
                <w:color w:val="auto"/>
                <w:sz w:val="24"/>
                <w:szCs w:val="24"/>
                <w:lang w:val="zh-CN" w:eastAsia="zh-CN"/>
              </w:rPr>
              <w:t>监测时间为202</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val="zh-CN" w:eastAsia="zh-CN"/>
              </w:rPr>
              <w:t>年</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zh-CN" w:eastAsia="zh-CN"/>
              </w:rPr>
              <w:t>月</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zh-CN" w:eastAsia="zh-CN"/>
              </w:rPr>
              <w:t>日至202</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val="zh-CN" w:eastAsia="zh-CN"/>
              </w:rPr>
              <w:t>年</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zh-CN" w:eastAsia="zh-CN"/>
              </w:rPr>
              <w:t>月</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val="zh-CN" w:eastAsia="zh-CN"/>
              </w:rPr>
              <w:t>日</w:t>
            </w:r>
            <w:r>
              <w:rPr>
                <w:rFonts w:hint="eastAsia" w:ascii="Times New Roman" w:hAnsi="Times New Roman" w:eastAsia="宋体" w:cs="Times New Roman"/>
                <w:color w:val="auto"/>
                <w:sz w:val="24"/>
                <w:szCs w:val="24"/>
                <w:lang w:val="en-US" w:eastAsia="zh-CN"/>
              </w:rPr>
              <w:t>，符合《建设项目环境影响报告表编制技术指南》（2021</w:t>
            </w:r>
            <w:r>
              <w:rPr>
                <w:rFonts w:hint="eastAsia"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试行）引用监测数据要求。</w:t>
            </w:r>
          </w:p>
          <w:p>
            <w:pPr>
              <w:pStyle w:val="173"/>
              <w:jc w:val="center"/>
              <w:rPr>
                <w:color w:val="auto"/>
              </w:rPr>
            </w:pPr>
            <w:r>
              <w:rPr>
                <w:color w:val="auto"/>
              </w:rPr>
              <w:drawing>
                <wp:inline distT="0" distB="0" distL="114300" distR="114300">
                  <wp:extent cx="5062855" cy="2873375"/>
                  <wp:effectExtent l="0" t="0" r="4445" b="3175"/>
                  <wp:docPr id="36"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7"/>
                          <pic:cNvPicPr>
                            <a:picLocks noChangeAspect="1"/>
                          </pic:cNvPicPr>
                        </pic:nvPicPr>
                        <pic:blipFill>
                          <a:blip r:embed="rId18"/>
                          <a:stretch>
                            <a:fillRect/>
                          </a:stretch>
                        </pic:blipFill>
                        <pic:spPr>
                          <a:xfrm>
                            <a:off x="0" y="0"/>
                            <a:ext cx="5062855" cy="2873375"/>
                          </a:xfrm>
                          <a:prstGeom prst="rect">
                            <a:avLst/>
                          </a:prstGeom>
                          <a:noFill/>
                          <a:ln>
                            <a:noFill/>
                          </a:ln>
                        </pic:spPr>
                      </pic:pic>
                    </a:graphicData>
                  </a:graphic>
                </wp:inline>
              </w:drawing>
            </w:r>
          </w:p>
          <w:p>
            <w:pPr>
              <w:pStyle w:val="181"/>
              <w:numPr>
                <w:ilvl w:val="0"/>
                <w:numId w:val="0"/>
              </w:numPr>
              <w:spacing w:line="360" w:lineRule="auto"/>
              <w:ind w:lef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图3-1</w:t>
            </w:r>
            <w:r>
              <w:rPr>
                <w:rFonts w:hint="default" w:ascii="Times New Roman" w:hAnsi="Times New Roman" w:eastAsia="宋体" w:cs="Times New Roman"/>
                <w:b/>
                <w:bCs/>
                <w:color w:val="auto"/>
                <w:sz w:val="21"/>
                <w:szCs w:val="21"/>
              </w:rPr>
              <w:t xml:space="preserve"> 本项目</w:t>
            </w:r>
            <w:r>
              <w:rPr>
                <w:rFonts w:hint="default" w:ascii="Times New Roman" w:hAnsi="Times New Roman" w:eastAsia="宋体" w:cs="Times New Roman"/>
                <w:b/>
                <w:bCs/>
                <w:color w:val="auto"/>
                <w:sz w:val="21"/>
                <w:szCs w:val="21"/>
                <w:lang w:val="en-US" w:eastAsia="zh-CN"/>
              </w:rPr>
              <w:t>与引用监测点位位置关系</w:t>
            </w:r>
            <w:r>
              <w:rPr>
                <w:rFonts w:hint="default" w:ascii="Times New Roman" w:hAnsi="Times New Roman" w:eastAsia="宋体" w:cs="Times New Roman"/>
                <w:b/>
                <w:bCs/>
                <w:color w:val="auto"/>
                <w:sz w:val="21"/>
                <w:szCs w:val="21"/>
              </w:rPr>
              <w:t>图</w:t>
            </w:r>
          </w:p>
          <w:p>
            <w:pPr>
              <w:pStyle w:val="182"/>
              <w:rPr>
                <w:color w:val="auto"/>
              </w:rPr>
            </w:pPr>
            <w:r>
              <w:rPr>
                <w:color w:val="auto"/>
              </w:rPr>
              <w:t>（1）监测点位基本信息</w:t>
            </w:r>
          </w:p>
          <w:p>
            <w:pPr>
              <w:pStyle w:val="181"/>
              <w:numPr>
                <w:ilvl w:val="0"/>
                <w:numId w:val="0"/>
              </w:numPr>
              <w:spacing w:line="360" w:lineRule="auto"/>
              <w:ind w:leftChars="0"/>
              <w:jc w:val="center"/>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lang w:val="en-US" w:eastAsia="zh-CN"/>
              </w:rPr>
              <w:t>表3-</w:t>
            </w:r>
            <w:r>
              <w:rPr>
                <w:rFonts w:hint="eastAsia" w:ascii="Times New Roman" w:hAnsi="Times New Roman" w:eastAsia="宋体" w:cs="Times New Roman"/>
                <w:b/>
                <w:bCs/>
                <w:color w:val="auto"/>
                <w:sz w:val="21"/>
                <w:szCs w:val="21"/>
                <w:shd w:val="clear" w:color="auto" w:fill="FFFFFF"/>
                <w:lang w:val="en-US" w:eastAsia="zh-CN"/>
              </w:rPr>
              <w:t>2</w:t>
            </w:r>
            <w:r>
              <w:rPr>
                <w:rFonts w:hint="default" w:ascii="Times New Roman" w:hAnsi="Times New Roman" w:eastAsia="宋体" w:cs="Times New Roman"/>
                <w:b/>
                <w:bCs/>
                <w:color w:val="auto"/>
                <w:sz w:val="21"/>
                <w:szCs w:val="21"/>
                <w:shd w:val="clear" w:color="auto" w:fill="FFFFFF"/>
                <w:lang w:val="en-US" w:eastAsia="zh-CN"/>
              </w:rPr>
              <w:t xml:space="preserve"> </w:t>
            </w:r>
            <w:r>
              <w:rPr>
                <w:rFonts w:hint="default" w:ascii="Times New Roman" w:hAnsi="Times New Roman" w:eastAsia="宋体" w:cs="Times New Roman"/>
                <w:b/>
                <w:bCs/>
                <w:color w:val="auto"/>
                <w:sz w:val="21"/>
                <w:szCs w:val="21"/>
                <w:shd w:val="clear" w:color="auto" w:fill="FFFFFF"/>
              </w:rPr>
              <w:t>监测点位基本信息</w:t>
            </w:r>
          </w:p>
          <w:tbl>
            <w:tblPr>
              <w:tblStyle w:val="36"/>
              <w:tblW w:w="79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937"/>
              <w:gridCol w:w="1800"/>
              <w:gridCol w:w="1425"/>
              <w:gridCol w:w="3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39" w:type="dxa"/>
                  <w:noWrap w:val="0"/>
                  <w:vAlign w:val="center"/>
                </w:tcPr>
                <w:p>
                  <w:pPr>
                    <w:pStyle w:val="18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点位编号</w:t>
                  </w:r>
                </w:p>
              </w:tc>
              <w:tc>
                <w:tcPr>
                  <w:tcW w:w="937" w:type="dxa"/>
                  <w:noWrap w:val="0"/>
                  <w:vAlign w:val="center"/>
                </w:tcPr>
                <w:p>
                  <w:pPr>
                    <w:pStyle w:val="18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数据来源</w:t>
                  </w:r>
                </w:p>
              </w:tc>
              <w:tc>
                <w:tcPr>
                  <w:tcW w:w="1800" w:type="dxa"/>
                  <w:noWrap w:val="0"/>
                  <w:vAlign w:val="center"/>
                </w:tcPr>
                <w:p>
                  <w:pPr>
                    <w:pStyle w:val="18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425" w:type="dxa"/>
                  <w:noWrap w:val="0"/>
                  <w:vAlign w:val="center"/>
                </w:tcPr>
                <w:p>
                  <w:pPr>
                    <w:pStyle w:val="18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监测指标</w:t>
                  </w:r>
                </w:p>
              </w:tc>
              <w:tc>
                <w:tcPr>
                  <w:tcW w:w="3064" w:type="dxa"/>
                  <w:noWrap w:val="0"/>
                  <w:vAlign w:val="center"/>
                </w:tcPr>
                <w:p>
                  <w:pPr>
                    <w:pStyle w:val="18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39" w:type="dxa"/>
                  <w:noWrap w:val="0"/>
                  <w:vAlign w:val="center"/>
                </w:tcPr>
                <w:p>
                  <w:pPr>
                    <w:pStyle w:val="183"/>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937" w:type="dxa"/>
                  <w:noWrap w:val="0"/>
                  <w:vAlign w:val="center"/>
                </w:tcPr>
                <w:p>
                  <w:pPr>
                    <w:pStyle w:val="183"/>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引用</w:t>
                  </w:r>
                </w:p>
              </w:tc>
              <w:tc>
                <w:tcPr>
                  <w:tcW w:w="1800" w:type="dxa"/>
                  <w:noWrap w:val="0"/>
                  <w:vAlign w:val="center"/>
                </w:tcPr>
                <w:p>
                  <w:pPr>
                    <w:pStyle w:val="183"/>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东北侧监测点</w:t>
                  </w:r>
                </w:p>
              </w:tc>
              <w:tc>
                <w:tcPr>
                  <w:tcW w:w="1425" w:type="dxa"/>
                  <w:noWrap w:val="0"/>
                  <w:vAlign w:val="center"/>
                </w:tcPr>
                <w:p>
                  <w:pPr>
                    <w:pStyle w:val="183"/>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TSP</w:t>
                  </w:r>
                </w:p>
              </w:tc>
              <w:tc>
                <w:tcPr>
                  <w:tcW w:w="3064" w:type="dxa"/>
                  <w:noWrap w:val="0"/>
                  <w:vAlign w:val="center"/>
                </w:tcPr>
                <w:p>
                  <w:pPr>
                    <w:pStyle w:val="183"/>
                    <w:rPr>
                      <w:rFonts w:hint="default" w:ascii="Times New Roman" w:hAnsi="Times New Roman" w:eastAsia="宋体" w:cs="Times New Roman"/>
                      <w:color w:val="auto"/>
                      <w:sz w:val="21"/>
                      <w:szCs w:val="21"/>
                      <w:lang w:eastAsia="zh-TW"/>
                    </w:rPr>
                  </w:pPr>
                  <w:r>
                    <w:rPr>
                      <w:rFonts w:hint="default" w:ascii="Times New Roman" w:hAnsi="Times New Roman" w:eastAsia="宋体" w:cs="Times New Roman"/>
                      <w:color w:val="auto"/>
                      <w:sz w:val="21"/>
                      <w:szCs w:val="21"/>
                    </w:rPr>
                    <w:t>连续监测7</w:t>
                  </w:r>
                  <w:r>
                    <w:rPr>
                      <w:rFonts w:hint="eastAsia" w:ascii="Times New Roman" w:hAnsi="Times New Roman" w:eastAsia="宋体" w:cs="Times New Roman"/>
                      <w:color w:val="auto"/>
                      <w:sz w:val="21"/>
                      <w:szCs w:val="21"/>
                      <w:lang w:val="en-US" w:eastAsia="zh-CN"/>
                    </w:rPr>
                    <w:t>天</w:t>
                  </w:r>
                  <w:r>
                    <w:rPr>
                      <w:rFonts w:hint="default" w:ascii="Times New Roman" w:hAnsi="Times New Roman" w:eastAsia="宋体" w:cs="Times New Roman"/>
                      <w:color w:val="auto"/>
                      <w:sz w:val="21"/>
                      <w:szCs w:val="21"/>
                    </w:rPr>
                    <w:t>，监测日平均值</w:t>
                  </w:r>
                </w:p>
              </w:tc>
            </w:tr>
          </w:tbl>
          <w:p>
            <w:pPr>
              <w:pStyle w:val="182"/>
              <w:spacing w:before="120" w:beforeLines="50"/>
              <w:rPr>
                <w:color w:val="auto"/>
              </w:rPr>
            </w:pPr>
            <w:r>
              <w:rPr>
                <w:color w:val="auto"/>
              </w:rPr>
              <w:t>（2）环境质量现状评价方法</w:t>
            </w:r>
          </w:p>
          <w:p>
            <w:pPr>
              <w:pStyle w:val="182"/>
              <w:spacing w:line="360" w:lineRule="auto"/>
              <w:rPr>
                <w:color w:val="auto"/>
              </w:rPr>
            </w:pPr>
            <w:r>
              <w:rPr>
                <w:color w:val="auto"/>
              </w:rPr>
              <w:t>大气环境现状采用单项指数法进行评价，其计算模式为：</w:t>
            </w:r>
          </w:p>
          <w:p>
            <w:pPr>
              <w:pStyle w:val="182"/>
              <w:spacing w:line="360" w:lineRule="auto"/>
              <w:ind w:firstLine="0" w:firstLineChars="0"/>
              <w:jc w:val="center"/>
              <w:rPr>
                <w:color w:val="auto"/>
              </w:rPr>
            </w:pPr>
            <m:oMathPara>
              <m:oMath>
                <m:sSub>
                  <m:sSubPr>
                    <m:ctrlPr>
                      <w:rPr>
                        <w:rFonts w:hint="default" w:ascii="Cambria Math" w:hAnsi="Cambria Math"/>
                        <w:color w:val="auto"/>
                      </w:rPr>
                    </m:ctrlPr>
                  </m:sSubPr>
                  <m:e>
                    <m:r>
                      <w:rPr>
                        <w:rFonts w:hint="default" w:ascii="Cambria Math" w:hAnsi="Cambria Math"/>
                        <w:color w:val="auto"/>
                      </w:rPr>
                      <m:t>P</m:t>
                    </m:r>
                    <m:ctrlPr>
                      <w:rPr>
                        <w:rFonts w:hint="default" w:ascii="Cambria Math" w:hAnsi="Cambria Math"/>
                        <w:color w:val="auto"/>
                      </w:rPr>
                    </m:ctrlPr>
                  </m:e>
                  <m:sub>
                    <m:r>
                      <w:rPr>
                        <w:rFonts w:hint="eastAsia" w:ascii="Cambria Math" w:hAnsi="Cambria Math"/>
                        <w:color w:val="auto"/>
                      </w:rPr>
                      <m:t>i</m:t>
                    </m:r>
                    <m:ctrlPr>
                      <w:rPr>
                        <w:rFonts w:hint="default" w:ascii="Cambria Math" w:hAnsi="Cambria Math"/>
                        <w:color w:val="auto"/>
                      </w:rPr>
                    </m:ctrlPr>
                  </m:sub>
                </m:sSub>
                <m:r>
                  <w:rPr>
                    <w:rFonts w:hint="eastAsia" w:ascii="Cambria Math" w:hAnsi="Cambria Math"/>
                    <w:color w:val="auto"/>
                  </w:rPr>
                  <m:t>=</m:t>
                </m:r>
                <m:f>
                  <m:fPr>
                    <m:ctrlPr>
                      <w:rPr>
                        <w:rFonts w:hint="default" w:ascii="Cambria Math" w:hAnsi="Cambria Math"/>
                        <w:i/>
                        <w:color w:val="auto"/>
                      </w:rPr>
                    </m:ctrlPr>
                  </m:fPr>
                  <m:num>
                    <m:sSub>
                      <m:sSubPr>
                        <m:ctrlPr>
                          <w:rPr>
                            <w:rFonts w:hint="default" w:ascii="Cambria Math" w:hAnsi="Cambria Math"/>
                            <w:i/>
                            <w:color w:val="auto"/>
                          </w:rPr>
                        </m:ctrlPr>
                      </m:sSubPr>
                      <m:e>
                        <m:r>
                          <w:rPr>
                            <w:rFonts w:hint="default" w:ascii="Cambria Math" w:hAnsi="Cambria Math"/>
                            <w:color w:val="auto"/>
                          </w:rPr>
                          <m:t>C</m:t>
                        </m:r>
                        <m:ctrlPr>
                          <w:rPr>
                            <w:rFonts w:hint="default" w:ascii="Cambria Math" w:hAnsi="Cambria Math"/>
                            <w:i/>
                            <w:color w:val="auto"/>
                          </w:rPr>
                        </m:ctrlPr>
                      </m:e>
                      <m:sub>
                        <m:r>
                          <w:rPr>
                            <w:rFonts w:hint="eastAsia" w:ascii="Cambria Math" w:hAnsi="Cambria Math"/>
                            <w:color w:val="auto"/>
                          </w:rPr>
                          <m:t>i</m:t>
                        </m:r>
                        <m:ctrlPr>
                          <w:rPr>
                            <w:rFonts w:hint="default" w:ascii="Cambria Math" w:hAnsi="Cambria Math"/>
                            <w:i/>
                            <w:color w:val="auto"/>
                          </w:rPr>
                        </m:ctrlPr>
                      </m:sub>
                    </m:sSub>
                    <m:ctrlPr>
                      <w:rPr>
                        <w:rFonts w:hint="default" w:ascii="Cambria Math" w:hAnsi="Cambria Math"/>
                        <w:i/>
                        <w:color w:val="auto"/>
                      </w:rPr>
                    </m:ctrlPr>
                  </m:num>
                  <m:den>
                    <m:sSub>
                      <m:sSubPr>
                        <m:ctrlPr>
                          <w:rPr>
                            <w:rFonts w:hint="default" w:ascii="Cambria Math" w:hAnsi="Cambria Math"/>
                            <w:i/>
                            <w:color w:val="auto"/>
                          </w:rPr>
                        </m:ctrlPr>
                      </m:sSubPr>
                      <m:e>
                        <m:r>
                          <w:rPr>
                            <w:rFonts w:hint="default" w:ascii="Cambria Math" w:hAnsi="Cambria Math"/>
                            <w:color w:val="auto"/>
                          </w:rPr>
                          <m:t>C</m:t>
                        </m:r>
                        <m:ctrlPr>
                          <w:rPr>
                            <w:rFonts w:hint="default" w:ascii="Cambria Math" w:hAnsi="Cambria Math"/>
                            <w:i/>
                            <w:color w:val="auto"/>
                          </w:rPr>
                        </m:ctrlPr>
                      </m:e>
                      <m:sub>
                        <m:r>
                          <w:rPr>
                            <w:rFonts w:hint="eastAsia" w:ascii="Cambria Math" w:hAnsi="Cambria Math"/>
                            <w:color w:val="auto"/>
                          </w:rPr>
                          <m:t>si</m:t>
                        </m:r>
                        <m:ctrlPr>
                          <w:rPr>
                            <w:rFonts w:hint="default" w:ascii="Cambria Math" w:hAnsi="Cambria Math"/>
                            <w:i/>
                            <w:color w:val="auto"/>
                          </w:rPr>
                        </m:ctrlPr>
                      </m:sub>
                    </m:sSub>
                    <m:ctrlPr>
                      <w:rPr>
                        <w:rFonts w:hint="default" w:ascii="Cambria Math" w:hAnsi="Cambria Math"/>
                        <w:i/>
                        <w:color w:val="auto"/>
                      </w:rPr>
                    </m:ctrlPr>
                  </m:den>
                </m:f>
              </m:oMath>
            </m:oMathPara>
          </w:p>
          <w:p>
            <w:pPr>
              <w:pStyle w:val="182"/>
              <w:spacing w:line="360" w:lineRule="auto"/>
              <w:rPr>
                <w:color w:val="auto"/>
              </w:rPr>
            </w:pPr>
            <w:r>
              <w:rPr>
                <w:color w:val="auto"/>
              </w:rPr>
              <w:t>式中：P</w:t>
            </w:r>
            <w:r>
              <w:rPr>
                <w:color w:val="auto"/>
                <w:vertAlign w:val="subscript"/>
              </w:rPr>
              <w:t>i</w:t>
            </w:r>
            <w:r>
              <w:rPr>
                <w:color w:val="auto"/>
              </w:rPr>
              <w:t>——第i种污染物的单项指数；</w:t>
            </w:r>
          </w:p>
          <w:p>
            <w:pPr>
              <w:pStyle w:val="182"/>
              <w:spacing w:line="360" w:lineRule="auto"/>
              <w:rPr>
                <w:color w:val="auto"/>
              </w:rPr>
            </w:pPr>
            <w:r>
              <w:rPr>
                <w:color w:val="auto"/>
              </w:rPr>
              <w:t>C</w:t>
            </w:r>
            <w:r>
              <w:rPr>
                <w:color w:val="auto"/>
                <w:vertAlign w:val="subscript"/>
              </w:rPr>
              <w:t>i</w:t>
            </w:r>
            <w:r>
              <w:rPr>
                <w:color w:val="auto"/>
              </w:rPr>
              <w:t>——第i种污染物的实测浓度（mg/m</w:t>
            </w:r>
            <w:r>
              <w:rPr>
                <w:color w:val="auto"/>
                <w:vertAlign w:val="superscript"/>
              </w:rPr>
              <w:t>3</w:t>
            </w:r>
            <w:r>
              <w:rPr>
                <w:color w:val="auto"/>
              </w:rPr>
              <w:t>）；</w:t>
            </w:r>
          </w:p>
          <w:p>
            <w:pPr>
              <w:pStyle w:val="182"/>
              <w:spacing w:line="360" w:lineRule="auto"/>
              <w:rPr>
                <w:color w:val="auto"/>
              </w:rPr>
            </w:pPr>
            <w:r>
              <w:rPr>
                <w:color w:val="auto"/>
              </w:rPr>
              <w:t>C</w:t>
            </w:r>
            <w:r>
              <w:rPr>
                <w:color w:val="auto"/>
                <w:vertAlign w:val="subscript"/>
              </w:rPr>
              <w:t>si</w:t>
            </w:r>
            <w:r>
              <w:rPr>
                <w:color w:val="auto"/>
              </w:rPr>
              <w:t>——第i种污染物的评价标准（mg/m</w:t>
            </w:r>
            <w:r>
              <w:rPr>
                <w:color w:val="auto"/>
                <w:vertAlign w:val="superscript"/>
              </w:rPr>
              <w:t>3</w:t>
            </w:r>
            <w:r>
              <w:rPr>
                <w:color w:val="auto"/>
              </w:rPr>
              <w:t>）。</w:t>
            </w:r>
          </w:p>
          <w:p>
            <w:pPr>
              <w:pStyle w:val="182"/>
              <w:spacing w:line="360" w:lineRule="auto"/>
              <w:rPr>
                <w:color w:val="auto"/>
              </w:rPr>
            </w:pPr>
            <w:r>
              <w:rPr>
                <w:rFonts w:hint="eastAsia"/>
                <w:color w:val="auto"/>
              </w:rPr>
              <w:t>（3）</w:t>
            </w:r>
            <w:r>
              <w:rPr>
                <w:color w:val="auto"/>
              </w:rPr>
              <w:t>其他污染物监测结果及评价</w:t>
            </w:r>
          </w:p>
          <w:p>
            <w:pPr>
              <w:pStyle w:val="181"/>
              <w:numPr>
                <w:ilvl w:val="0"/>
                <w:numId w:val="0"/>
              </w:numPr>
              <w:spacing w:line="360" w:lineRule="auto"/>
              <w:ind w:leftChars="0"/>
              <w:jc w:val="center"/>
              <w:rPr>
                <w:rFonts w:hint="default" w:ascii="Times New Roman" w:hAnsi="Times New Roman" w:eastAsia="宋体" w:cs="Times New Roman"/>
                <w:b/>
                <w:bCs/>
                <w:color w:val="auto"/>
                <w:sz w:val="21"/>
                <w:szCs w:val="21"/>
                <w:shd w:val="clear" w:color="auto" w:fill="FFFFFF"/>
              </w:rPr>
            </w:pPr>
            <w:r>
              <w:rPr>
                <w:rFonts w:hint="default" w:ascii="Times New Roman" w:hAnsi="Times New Roman" w:eastAsia="宋体" w:cs="Times New Roman"/>
                <w:b/>
                <w:bCs/>
                <w:color w:val="auto"/>
                <w:sz w:val="21"/>
                <w:szCs w:val="21"/>
                <w:shd w:val="clear" w:color="auto" w:fill="FFFFFF"/>
                <w:lang w:val="en-US" w:eastAsia="zh-CN"/>
              </w:rPr>
              <w:t>表3-</w:t>
            </w:r>
            <w:r>
              <w:rPr>
                <w:rFonts w:hint="eastAsia" w:ascii="Times New Roman" w:hAnsi="Times New Roman" w:eastAsia="宋体" w:cs="Times New Roman"/>
                <w:b/>
                <w:bCs/>
                <w:color w:val="auto"/>
                <w:sz w:val="21"/>
                <w:szCs w:val="21"/>
                <w:shd w:val="clear" w:color="auto" w:fill="FFFFFF"/>
                <w:lang w:val="en-US" w:eastAsia="zh-CN"/>
              </w:rPr>
              <w:t>3</w:t>
            </w:r>
            <w:r>
              <w:rPr>
                <w:rFonts w:hint="default" w:ascii="Times New Roman" w:hAnsi="Times New Roman" w:eastAsia="宋体" w:cs="Times New Roman"/>
                <w:b/>
                <w:bCs/>
                <w:color w:val="auto"/>
                <w:sz w:val="21"/>
                <w:szCs w:val="21"/>
                <w:shd w:val="clear" w:color="auto" w:fill="FFFFFF"/>
                <w:lang w:val="en-US" w:eastAsia="zh-CN"/>
              </w:rPr>
              <w:t xml:space="preserve"> </w:t>
            </w:r>
            <w:r>
              <w:rPr>
                <w:rFonts w:hint="default" w:ascii="Times New Roman" w:hAnsi="Times New Roman" w:eastAsia="宋体" w:cs="Times New Roman"/>
                <w:b/>
                <w:bCs/>
                <w:color w:val="auto"/>
                <w:sz w:val="21"/>
                <w:szCs w:val="21"/>
                <w:shd w:val="clear" w:color="auto" w:fill="FFFFFF"/>
              </w:rPr>
              <w:t>引用环境质量现状监测结果表</w:t>
            </w:r>
          </w:p>
          <w:tbl>
            <w:tblPr>
              <w:tblStyle w:val="36"/>
              <w:tblW w:w="79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2230"/>
              <w:gridCol w:w="2477"/>
              <w:gridCol w:w="1020"/>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6" w:type="dxa"/>
                  <w:noWrap w:val="0"/>
                  <w:vAlign w:val="center"/>
                </w:tcPr>
                <w:p>
                  <w:pPr>
                    <w:pStyle w:val="18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2230" w:type="dxa"/>
                  <w:noWrap w:val="0"/>
                  <w:vAlign w:val="center"/>
                </w:tcPr>
                <w:p>
                  <w:pPr>
                    <w:pStyle w:val="18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评价标准/（mg/m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2477" w:type="dxa"/>
                  <w:noWrap w:val="0"/>
                  <w:vAlign w:val="center"/>
                </w:tcPr>
                <w:p>
                  <w:pPr>
                    <w:pStyle w:val="18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监测浓度范围/（mg/m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020" w:type="dxa"/>
                  <w:noWrap w:val="0"/>
                  <w:vAlign w:val="center"/>
                </w:tcPr>
                <w:p>
                  <w:pPr>
                    <w:pStyle w:val="18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Pmax/%</w:t>
                  </w:r>
                </w:p>
              </w:tc>
              <w:tc>
                <w:tcPr>
                  <w:tcW w:w="1301" w:type="dxa"/>
                  <w:noWrap w:val="0"/>
                  <w:vAlign w:val="center"/>
                </w:tcPr>
                <w:p>
                  <w:pPr>
                    <w:pStyle w:val="183"/>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6" w:type="dxa"/>
                  <w:noWrap w:val="0"/>
                  <w:vAlign w:val="center"/>
                </w:tcPr>
                <w:p>
                  <w:pPr>
                    <w:pStyle w:val="18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tc>
              <w:tc>
                <w:tcPr>
                  <w:tcW w:w="2230" w:type="dxa"/>
                  <w:noWrap w:val="0"/>
                  <w:vAlign w:val="center"/>
                </w:tcPr>
                <w:p>
                  <w:pPr>
                    <w:pStyle w:val="18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2477" w:type="dxa"/>
                  <w:noWrap w:val="0"/>
                  <w:vAlign w:val="center"/>
                </w:tcPr>
                <w:p>
                  <w:pPr>
                    <w:pStyle w:val="183"/>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083</w:t>
                  </w:r>
                  <w:r>
                    <w:rPr>
                      <w:rFonts w:hint="default" w:ascii="Times New Roman" w:hAnsi="Times New Roman" w:eastAsia="宋体" w:cs="Times New Roman"/>
                      <w:color w:val="auto"/>
                      <w:sz w:val="21"/>
                      <w:szCs w:val="21"/>
                    </w:rPr>
                    <w:t>~0.1</w:t>
                  </w:r>
                  <w:r>
                    <w:rPr>
                      <w:rFonts w:hint="eastAsia" w:ascii="Times New Roman" w:hAnsi="Times New Roman" w:eastAsia="宋体" w:cs="Times New Roman"/>
                      <w:color w:val="auto"/>
                      <w:sz w:val="21"/>
                      <w:szCs w:val="21"/>
                      <w:lang w:val="en-US" w:eastAsia="zh-CN"/>
                    </w:rPr>
                    <w:t>05</w:t>
                  </w:r>
                </w:p>
              </w:tc>
              <w:tc>
                <w:tcPr>
                  <w:tcW w:w="1020" w:type="dxa"/>
                  <w:noWrap w:val="0"/>
                  <w:vAlign w:val="center"/>
                </w:tcPr>
                <w:p>
                  <w:pPr>
                    <w:pStyle w:val="183"/>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35</w:t>
                  </w:r>
                  <w:r>
                    <w:rPr>
                      <w:rFonts w:hint="default" w:ascii="Times New Roman" w:hAnsi="Times New Roman" w:eastAsia="宋体" w:cs="Times New Roman"/>
                      <w:color w:val="auto"/>
                      <w:sz w:val="21"/>
                      <w:szCs w:val="21"/>
                    </w:rPr>
                    <w:t>%</w:t>
                  </w:r>
                </w:p>
              </w:tc>
              <w:tc>
                <w:tcPr>
                  <w:tcW w:w="1301" w:type="dxa"/>
                  <w:noWrap w:val="0"/>
                  <w:vAlign w:val="center"/>
                </w:tcPr>
                <w:p>
                  <w:pPr>
                    <w:pStyle w:val="18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spacing w:line="360" w:lineRule="auto"/>
              <w:ind w:firstLine="480" w:firstLineChars="200"/>
              <w:rPr>
                <w:rFonts w:hint="default" w:ascii="Times New Roman" w:hAnsi="Times New Roman" w:eastAsia="宋体" w:cs="Times New Roman"/>
                <w:color w:val="auto"/>
                <w:kern w:val="0"/>
                <w:sz w:val="24"/>
                <w:szCs w:val="24"/>
                <w:lang w:val="en-US" w:eastAsia="zh-CN" w:bidi="ar"/>
              </w:rPr>
            </w:pPr>
            <w:bookmarkStart w:id="2" w:name="_Hlk12241546"/>
            <w:r>
              <w:rPr>
                <w:color w:val="auto"/>
                <w:sz w:val="24"/>
                <w:szCs w:val="24"/>
              </w:rPr>
              <w:t>根据引用现状监测报告可知</w:t>
            </w:r>
            <w:r>
              <w:rPr>
                <w:rFonts w:hint="eastAsia"/>
                <w:color w:val="auto"/>
                <w:sz w:val="24"/>
                <w:szCs w:val="24"/>
                <w:lang w:eastAsia="zh-CN"/>
              </w:rPr>
              <w:t>，</w:t>
            </w:r>
            <w:r>
              <w:rPr>
                <w:color w:val="auto"/>
                <w:sz w:val="24"/>
                <w:szCs w:val="24"/>
              </w:rPr>
              <w:t>本项目</w:t>
            </w:r>
            <w:r>
              <w:rPr>
                <w:rFonts w:hint="eastAsia"/>
                <w:color w:val="auto"/>
                <w:sz w:val="24"/>
                <w:szCs w:val="24"/>
              </w:rPr>
              <w:t>所在区域TSP</w:t>
            </w:r>
            <w:r>
              <w:rPr>
                <w:color w:val="auto"/>
                <w:sz w:val="24"/>
                <w:szCs w:val="24"/>
              </w:rPr>
              <w:t>满足《环境空气质量标准》（GB3095-2012）二级标准</w:t>
            </w:r>
            <w:r>
              <w:rPr>
                <w:rFonts w:hint="eastAsia"/>
                <w:color w:val="auto"/>
                <w:sz w:val="24"/>
                <w:szCs w:val="24"/>
                <w:lang w:val="en-US" w:eastAsia="zh-CN"/>
              </w:rPr>
              <w:t>。</w:t>
            </w:r>
          </w:p>
          <w:bookmarkEnd w:id="2"/>
          <w:p>
            <w:pPr>
              <w:spacing w:line="360" w:lineRule="auto"/>
              <w:ind w:firstLine="482" w:firstLineChars="200"/>
              <w:rPr>
                <w:b/>
                <w:bCs/>
                <w:color w:val="auto"/>
                <w:sz w:val="24"/>
              </w:rPr>
            </w:pPr>
            <w:r>
              <w:rPr>
                <w:b/>
                <w:bCs/>
                <w:color w:val="auto"/>
                <w:sz w:val="24"/>
                <w:szCs w:val="24"/>
              </w:rPr>
              <w:t>二、地表水环</w:t>
            </w:r>
            <w:r>
              <w:rPr>
                <w:b/>
                <w:bCs/>
                <w:color w:val="auto"/>
                <w:sz w:val="24"/>
              </w:rPr>
              <w:t>境质量</w:t>
            </w:r>
          </w:p>
          <w:p>
            <w:pPr>
              <w:spacing w:line="360" w:lineRule="auto"/>
              <w:ind w:firstLine="480" w:firstLineChars="200"/>
              <w:rPr>
                <w:rFonts w:ascii="Times New Roman" w:hAnsi="Times New Roman" w:eastAsia="宋体" w:cs="Times New Roman"/>
                <w:color w:val="auto"/>
                <w:sz w:val="24"/>
              </w:rPr>
            </w:pPr>
            <w:r>
              <w:rPr>
                <w:color w:val="auto"/>
                <w:sz w:val="24"/>
                <w:szCs w:val="24"/>
              </w:rPr>
              <w:t>根据《建设项目环境影响报告表编制技术指南（污染影响类）》，引用与建设项目距离的有效数据，包括近3年的规划环境影响评价的监测数据，</w:t>
            </w:r>
            <w:r>
              <w:rPr>
                <w:rFonts w:hint="eastAsia"/>
                <w:color w:val="auto"/>
                <w:sz w:val="24"/>
                <w:szCs w:val="24"/>
                <w:lang w:val="en-US" w:eastAsia="zh-CN"/>
              </w:rPr>
              <w:t>所在流域控制单元内国家、地方空置断面监测数据，生态环境主管部门发布的水环境质量数据或地表水达标情况的结论</w:t>
            </w:r>
            <w:r>
              <w:rPr>
                <w:color w:val="auto"/>
                <w:sz w:val="24"/>
                <w:szCs w:val="24"/>
              </w:rPr>
              <w:t>。</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w:t>
            </w:r>
            <w:r>
              <w:rPr>
                <w:rFonts w:hint="eastAsia"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lang w:val="en-US" w:eastAsia="zh-CN"/>
              </w:rPr>
              <w:t>产生的碱喷淋废水经酸碱中和预处理后，</w:t>
            </w:r>
            <w:r>
              <w:rPr>
                <w:rFonts w:hint="eastAsia" w:cs="Times New Roman"/>
                <w:color w:val="auto"/>
                <w:sz w:val="24"/>
                <w:lang w:val="en-US" w:eastAsia="zh-CN"/>
              </w:rPr>
              <w:t>和</w:t>
            </w:r>
            <w:r>
              <w:rPr>
                <w:rFonts w:hint="eastAsia" w:ascii="Times New Roman" w:hAnsi="Times New Roman" w:eastAsia="宋体" w:cs="Times New Roman"/>
                <w:color w:val="auto"/>
                <w:sz w:val="24"/>
                <w:lang w:val="en-US" w:eastAsia="zh-CN"/>
              </w:rPr>
              <w:t>生活污水一起排入四川翔丰华新能源材料有限公司已建4#预处理池处</w:t>
            </w:r>
            <w:r>
              <w:rPr>
                <w:rFonts w:hint="eastAsia" w:ascii="Times New Roman" w:hAnsi="Times New Roman" w:eastAsia="宋体" w:cs="Times New Roman"/>
                <w:color w:val="auto"/>
                <w:sz w:val="21"/>
                <w:szCs w:val="21"/>
                <w:lang w:val="en-US" w:eastAsia="zh-CN"/>
              </w:rPr>
              <w:t>理后排入园区污水管网</w:t>
            </w:r>
            <w:r>
              <w:rPr>
                <w:rFonts w:ascii="Times New Roman" w:hAnsi="Times New Roman" w:eastAsia="宋体" w:cs="Times New Roman"/>
                <w:color w:val="auto"/>
                <w:sz w:val="24"/>
              </w:rPr>
              <w:t>，再经污水管网排入</w:t>
            </w:r>
            <w:r>
              <w:rPr>
                <w:rFonts w:hint="eastAsia" w:ascii="Times New Roman" w:hAnsi="Times New Roman" w:eastAsia="宋体" w:cs="Times New Roman"/>
                <w:color w:val="auto"/>
                <w:sz w:val="24"/>
                <w:lang w:eastAsia="zh-CN"/>
              </w:rPr>
              <w:t>遂宁金桥新区城市污水处理厂</w:t>
            </w:r>
            <w:r>
              <w:rPr>
                <w:rFonts w:ascii="Times New Roman" w:hAnsi="Times New Roman" w:eastAsia="宋体" w:cs="Times New Roman"/>
                <w:color w:val="auto"/>
                <w:sz w:val="24"/>
              </w:rPr>
              <w:t>集中处理</w:t>
            </w:r>
            <w:r>
              <w:rPr>
                <w:rFonts w:hint="eastAsia" w:ascii="Times New Roman" w:hAnsi="Times New Roman" w:eastAsia="宋体" w:cs="Times New Roman"/>
                <w:color w:val="auto"/>
                <w:sz w:val="24"/>
                <w:lang w:eastAsia="zh-CN"/>
              </w:rPr>
              <w:t>达到</w:t>
            </w:r>
            <w:r>
              <w:rPr>
                <w:rFonts w:hint="eastAsia" w:ascii="Times New Roman" w:hAnsi="Times New Roman" w:eastAsia="宋体" w:cs="Times New Roman"/>
                <w:color w:val="auto"/>
                <w:sz w:val="24"/>
                <w:lang w:val="en-US" w:eastAsia="zh-CN"/>
              </w:rPr>
              <w:t>《城镇污水处理厂污染物排放标准》（</w:t>
            </w:r>
            <w:r>
              <w:rPr>
                <w:rFonts w:hint="default" w:ascii="Times New Roman" w:hAnsi="Times New Roman" w:eastAsia="宋体" w:cs="Times New Roman"/>
                <w:color w:val="auto"/>
                <w:sz w:val="24"/>
                <w:lang w:val="en-US" w:eastAsia="zh-CN"/>
              </w:rPr>
              <w:t>GB18918-2002</w:t>
            </w:r>
            <w:r>
              <w:rPr>
                <w:rFonts w:hint="eastAsia" w:ascii="Times New Roman" w:hAnsi="Times New Roman" w:eastAsia="宋体" w:cs="Times New Roman"/>
                <w:color w:val="auto"/>
                <w:sz w:val="24"/>
                <w:lang w:val="en-US" w:eastAsia="zh-CN"/>
              </w:rPr>
              <w:t>）一级</w:t>
            </w:r>
            <w:r>
              <w:rPr>
                <w:rFonts w:hint="default"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val="en-US" w:eastAsia="zh-CN"/>
              </w:rPr>
              <w:t>标准</w:t>
            </w:r>
            <w:r>
              <w:rPr>
                <w:rFonts w:ascii="Times New Roman" w:hAnsi="Times New Roman" w:eastAsia="宋体" w:cs="Times New Roman"/>
                <w:color w:val="auto"/>
                <w:sz w:val="24"/>
              </w:rPr>
              <w:t>后排入</w:t>
            </w:r>
            <w:r>
              <w:rPr>
                <w:rFonts w:hint="default" w:ascii="Times New Roman" w:hAnsi="Times New Roman" w:eastAsia="宋体" w:cs="Times New Roman"/>
                <w:color w:val="auto"/>
                <w:sz w:val="24"/>
              </w:rPr>
              <w:t>涪江</w:t>
            </w:r>
            <w:r>
              <w:rPr>
                <w:rFonts w:ascii="Times New Roman" w:hAnsi="Times New Roman" w:eastAsia="宋体" w:cs="Times New Roman"/>
                <w:color w:val="auto"/>
                <w:sz w:val="24"/>
              </w:rPr>
              <w:t>。</w:t>
            </w:r>
          </w:p>
          <w:p>
            <w:pPr>
              <w:spacing w:line="360" w:lineRule="auto"/>
              <w:ind w:firstLine="480" w:firstLineChars="200"/>
              <w:jc w:val="left"/>
              <w:rPr>
                <w:rFonts w:ascii="Times New Roman" w:hAnsi="Times New Roman" w:eastAsia="宋体" w:cs="Times New Roman"/>
                <w:color w:val="auto"/>
                <w:sz w:val="24"/>
                <w:szCs w:val="24"/>
              </w:rPr>
            </w:pPr>
            <w:r>
              <w:rPr>
                <w:color w:val="auto"/>
                <w:sz w:val="24"/>
                <w:szCs w:val="24"/>
              </w:rPr>
              <w:t>本项目废水排放方式为间接排放。采取收集资料方法对项目区域地表水质量进行现</w:t>
            </w:r>
            <w:r>
              <w:rPr>
                <w:rFonts w:ascii="Times New Roman" w:hAnsi="Times New Roman" w:eastAsia="宋体" w:cs="Times New Roman"/>
                <w:color w:val="auto"/>
                <w:sz w:val="24"/>
                <w:szCs w:val="24"/>
              </w:rPr>
              <w:t>状评价。</w:t>
            </w:r>
          </w:p>
          <w:p>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lang w:bidi="ar"/>
              </w:rPr>
              <w:t>根据《202</w:t>
            </w:r>
            <w:r>
              <w:rPr>
                <w:rFonts w:hint="eastAsia" w:ascii="Times New Roman" w:hAnsi="Times New Roman" w:eastAsia="宋体" w:cs="Times New Roman"/>
                <w:color w:val="auto"/>
                <w:kern w:val="0"/>
                <w:sz w:val="24"/>
                <w:lang w:val="en-US" w:eastAsia="zh-CN" w:bidi="ar"/>
              </w:rPr>
              <w:t>4</w:t>
            </w:r>
            <w:r>
              <w:rPr>
                <w:rFonts w:hint="default" w:ascii="Times New Roman" w:hAnsi="Times New Roman" w:eastAsia="宋体" w:cs="Times New Roman"/>
                <w:color w:val="auto"/>
                <w:kern w:val="0"/>
                <w:sz w:val="24"/>
                <w:lang w:bidi="ar"/>
              </w:rPr>
              <w:t>年遂宁市环境质量</w:t>
            </w:r>
            <w:r>
              <w:rPr>
                <w:rFonts w:hint="default" w:ascii="Times New Roman" w:hAnsi="Times New Roman" w:eastAsia="宋体" w:cs="Times New Roman"/>
                <w:color w:val="auto"/>
                <w:kern w:val="0"/>
                <w:sz w:val="24"/>
                <w:szCs w:val="24"/>
                <w:lang w:bidi="ar"/>
              </w:rPr>
              <w:t>公告》</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kern w:val="0"/>
                <w:sz w:val="24"/>
                <w:szCs w:val="24"/>
                <w:lang w:bidi="ar"/>
              </w:rPr>
              <w:t>02</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bidi="ar"/>
              </w:rPr>
              <w:t>年遂宁辖区内9个国、省控地表水监测断面（含2个长江经济带监测断面）水环境质量状况、主要污染因子指标、环比和同比情况见下表。</w:t>
            </w:r>
          </w:p>
          <w:p>
            <w:pPr>
              <w:pStyle w:val="188"/>
              <w:keepNext w:val="0"/>
              <w:keepLines w:val="0"/>
              <w:pageBreakBefore w:val="0"/>
              <w:widowControl/>
              <w:kinsoku/>
              <w:wordWrap/>
              <w:overflowPunct/>
              <w:topLinePunct w:val="0"/>
              <w:autoSpaceDE/>
              <w:autoSpaceDN/>
              <w:bidi w:val="0"/>
              <w:adjustRightInd w:val="0"/>
              <w:snapToGrid w:val="0"/>
              <w:spacing w:before="0" w:beforeLines="0" w:line="360" w:lineRule="auto"/>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表3-</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 xml:space="preserve"> 202</w:t>
            </w: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rPr>
              <w:t>年遂宁河流水质评价结果表</w:t>
            </w:r>
          </w:p>
          <w:tbl>
            <w:tblPr>
              <w:tblStyle w:val="36"/>
              <w:tblW w:w="79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960"/>
              <w:gridCol w:w="1095"/>
              <w:gridCol w:w="1080"/>
              <w:gridCol w:w="750"/>
              <w:gridCol w:w="660"/>
              <w:gridCol w:w="660"/>
              <w:gridCol w:w="1140"/>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686" w:type="dxa"/>
                  <w:noWrap w:val="0"/>
                  <w:vAlign w:val="center"/>
                </w:tcPr>
                <w:p>
                  <w:pPr>
                    <w:widowControl/>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河流</w:t>
                  </w:r>
                  <w:r>
                    <w:rPr>
                      <w:rFonts w:hint="default" w:ascii="Times New Roman" w:hAnsi="Times New Roman" w:cs="Times New Roman"/>
                      <w:b/>
                      <w:bCs/>
                      <w:color w:val="auto"/>
                      <w:kern w:val="0"/>
                      <w:sz w:val="21"/>
                      <w:szCs w:val="21"/>
                    </w:rPr>
                    <w:cr/>
                  </w:r>
                  <w:r>
                    <w:rPr>
                      <w:rFonts w:hint="default" w:ascii="Times New Roman" w:hAnsi="Times New Roman" w:cs="Times New Roman"/>
                      <w:b/>
                      <w:bCs/>
                      <w:color w:val="auto"/>
                      <w:kern w:val="0"/>
                      <w:sz w:val="21"/>
                      <w:szCs w:val="21"/>
                    </w:rPr>
                    <w:t>名称</w:t>
                  </w:r>
                  <w:r>
                    <w:rPr>
                      <w:rFonts w:hint="default" w:ascii="Times New Roman" w:hAnsi="Times New Roman" w:cs="Times New Roman"/>
                      <w:b/>
                      <w:bCs/>
                      <w:color w:val="auto"/>
                      <w:kern w:val="0"/>
                      <w:sz w:val="21"/>
                      <w:szCs w:val="21"/>
                    </w:rPr>
                    <w:cr/>
                  </w:r>
                </w:p>
              </w:tc>
              <w:tc>
                <w:tcPr>
                  <w:tcW w:w="960" w:type="dxa"/>
                  <w:noWrap w:val="0"/>
                  <w:vAlign w:val="center"/>
                </w:tcPr>
                <w:p>
                  <w:pPr>
                    <w:widowControl/>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断</w:t>
                  </w:r>
                  <w:r>
                    <w:rPr>
                      <w:rFonts w:hint="eastAsia" w:cs="Times New Roman"/>
                      <w:b/>
                      <w:bCs/>
                      <w:color w:val="auto"/>
                      <w:kern w:val="0"/>
                      <w:sz w:val="21"/>
                      <w:szCs w:val="21"/>
                      <w:lang w:val="en-US" w:eastAsia="zh-CN"/>
                    </w:rPr>
                    <w:t>面</w:t>
                  </w:r>
                  <w:r>
                    <w:rPr>
                      <w:rFonts w:hint="default" w:ascii="Times New Roman" w:hAnsi="Times New Roman" w:cs="Times New Roman"/>
                      <w:b/>
                      <w:bCs/>
                      <w:color w:val="auto"/>
                      <w:kern w:val="0"/>
                      <w:sz w:val="21"/>
                      <w:szCs w:val="21"/>
                    </w:rPr>
                    <w:cr/>
                  </w:r>
                  <w:r>
                    <w:rPr>
                      <w:rFonts w:hint="default" w:ascii="Times New Roman" w:hAnsi="Times New Roman" w:cs="Times New Roman"/>
                      <w:b/>
                      <w:bCs/>
                      <w:color w:val="auto"/>
                      <w:kern w:val="0"/>
                      <w:sz w:val="21"/>
                      <w:szCs w:val="21"/>
                    </w:rPr>
                    <w:t>名称</w:t>
                  </w:r>
                </w:p>
              </w:tc>
              <w:tc>
                <w:tcPr>
                  <w:tcW w:w="1095" w:type="dxa"/>
                  <w:noWrap w:val="0"/>
                  <w:vAlign w:val="center"/>
                </w:tcPr>
                <w:p>
                  <w:pPr>
                    <w:widowControl/>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所在地</w:t>
                  </w:r>
                </w:p>
              </w:tc>
              <w:tc>
                <w:tcPr>
                  <w:tcW w:w="1080" w:type="dxa"/>
                  <w:noWrap w:val="0"/>
                  <w:vAlign w:val="center"/>
                </w:tcPr>
                <w:p>
                  <w:pPr>
                    <w:widowControl/>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断面类别</w:t>
                  </w:r>
                </w:p>
              </w:tc>
              <w:tc>
                <w:tcPr>
                  <w:tcW w:w="750" w:type="dxa"/>
                  <w:noWrap w:val="0"/>
                  <w:vAlign w:val="center"/>
                </w:tcPr>
                <w:p>
                  <w:pPr>
                    <w:widowControl/>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规定类别</w:t>
                  </w:r>
                </w:p>
              </w:tc>
              <w:tc>
                <w:tcPr>
                  <w:tcW w:w="660" w:type="dxa"/>
                  <w:noWrap w:val="0"/>
                  <w:vAlign w:val="center"/>
                </w:tcPr>
                <w:p>
                  <w:pPr>
                    <w:widowControl/>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上年度类别</w:t>
                  </w:r>
                </w:p>
              </w:tc>
              <w:tc>
                <w:tcPr>
                  <w:tcW w:w="660" w:type="dxa"/>
                  <w:noWrap w:val="0"/>
                  <w:vAlign w:val="center"/>
                </w:tcPr>
                <w:p>
                  <w:pPr>
                    <w:widowControl/>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本年度类别</w:t>
                  </w:r>
                </w:p>
              </w:tc>
              <w:tc>
                <w:tcPr>
                  <w:tcW w:w="1140" w:type="dxa"/>
                  <w:noWrap w:val="0"/>
                  <w:vAlign w:val="center"/>
                </w:tcPr>
                <w:p>
                  <w:pPr>
                    <w:widowControl/>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主要污染指标</w:t>
                  </w:r>
                  <w:r>
                    <w:rPr>
                      <w:rFonts w:hint="default" w:ascii="Times New Roman" w:hAnsi="Times New Roman" w:cs="Times New Roman"/>
                      <w:b/>
                      <w:bCs/>
                      <w:color w:val="auto"/>
                      <w:kern w:val="0"/>
                      <w:sz w:val="21"/>
                      <w:szCs w:val="21"/>
                    </w:rPr>
                    <w:cr/>
                  </w:r>
                  <w:r>
                    <w:rPr>
                      <w:rFonts w:hint="default" w:ascii="Times New Roman" w:hAnsi="Times New Roman" w:cs="Times New Roman"/>
                      <w:b/>
                      <w:bCs/>
                      <w:color w:val="auto"/>
                      <w:kern w:val="0"/>
                      <w:sz w:val="21"/>
                      <w:szCs w:val="21"/>
                    </w:rPr>
                    <w:t>/超标倍数</w:t>
                  </w:r>
                </w:p>
              </w:tc>
              <w:tc>
                <w:tcPr>
                  <w:tcW w:w="944" w:type="dxa"/>
                  <w:noWrap w:val="0"/>
                  <w:vAlign w:val="center"/>
                </w:tcPr>
                <w:p>
                  <w:pPr>
                    <w:widowControl/>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单独</w:t>
                  </w:r>
                  <w:r>
                    <w:rPr>
                      <w:rFonts w:hint="eastAsia" w:ascii="Times New Roman" w:hAnsi="Times New Roman" w:cs="Times New Roman"/>
                      <w:b/>
                      <w:bCs/>
                      <w:color w:val="auto"/>
                      <w:kern w:val="0"/>
                      <w:sz w:val="21"/>
                      <w:szCs w:val="21"/>
                      <w:lang w:eastAsia="zh-CN"/>
                    </w:rPr>
                    <w:t>评价</w:t>
                  </w:r>
                  <w:r>
                    <w:rPr>
                      <w:rFonts w:hint="default" w:ascii="Times New Roman" w:hAnsi="Times New Roman" w:cs="Times New Roman"/>
                      <w:b/>
                      <w:bCs/>
                      <w:color w:val="auto"/>
                      <w:kern w:val="0"/>
                      <w:sz w:val="21"/>
                      <w:szCs w:val="21"/>
                    </w:rPr>
                    <w:cr/>
                  </w:r>
                  <w:r>
                    <w:rPr>
                      <w:rFonts w:hint="default" w:ascii="Times New Roman" w:hAnsi="Times New Roman" w:cs="Times New Roman"/>
                      <w:b/>
                      <w:bCs/>
                      <w:color w:val="auto"/>
                      <w:kern w:val="0"/>
                      <w:sz w:val="21"/>
                      <w:szCs w:val="21"/>
                    </w:rPr>
                    <w:t>指标/</w:t>
                  </w:r>
                  <w:r>
                    <w:rPr>
                      <w:rFonts w:hint="default" w:ascii="Times New Roman" w:hAnsi="Times New Roman" w:cs="Times New Roman"/>
                      <w:b/>
                      <w:bCs/>
                      <w:color w:val="auto"/>
                      <w:kern w:val="0"/>
                      <w:sz w:val="21"/>
                      <w:szCs w:val="21"/>
                    </w:rPr>
                    <w:cr/>
                  </w:r>
                  <w:r>
                    <w:rPr>
                      <w:rFonts w:hint="default" w:ascii="Times New Roman" w:hAnsi="Times New Roman" w:cs="Times New Roman"/>
                      <w:b/>
                      <w:bCs/>
                      <w:color w:val="auto"/>
                      <w:kern w:val="0"/>
                      <w:sz w:val="21"/>
                      <w:szCs w:val="21"/>
                    </w:rPr>
                    <w:t>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686"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涪江</w:t>
                  </w:r>
                </w:p>
              </w:tc>
              <w:tc>
                <w:tcPr>
                  <w:tcW w:w="9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红江渡口</w:t>
                  </w:r>
                </w:p>
              </w:tc>
              <w:tc>
                <w:tcPr>
                  <w:tcW w:w="1095"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蓬溪县</w:t>
                  </w:r>
                </w:p>
              </w:tc>
              <w:tc>
                <w:tcPr>
                  <w:tcW w:w="108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国控</w:t>
                  </w:r>
                </w:p>
              </w:tc>
              <w:tc>
                <w:tcPr>
                  <w:tcW w:w="75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w:t>
                  </w:r>
                </w:p>
              </w:tc>
              <w:tc>
                <w:tcPr>
                  <w:tcW w:w="114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944"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686"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涪江</w:t>
                  </w:r>
                </w:p>
              </w:tc>
              <w:tc>
                <w:tcPr>
                  <w:tcW w:w="9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玉溪</w:t>
                  </w:r>
                </w:p>
              </w:tc>
              <w:tc>
                <w:tcPr>
                  <w:tcW w:w="1095"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重庆潼南</w:t>
                  </w:r>
                </w:p>
              </w:tc>
              <w:tc>
                <w:tcPr>
                  <w:tcW w:w="108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国控</w:t>
                  </w:r>
                </w:p>
              </w:tc>
              <w:tc>
                <w:tcPr>
                  <w:tcW w:w="75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w:t>
                  </w:r>
                </w:p>
              </w:tc>
              <w:tc>
                <w:tcPr>
                  <w:tcW w:w="114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944"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86"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琼江</w:t>
                  </w:r>
                </w:p>
              </w:tc>
              <w:tc>
                <w:tcPr>
                  <w:tcW w:w="9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跑马滩</w:t>
                  </w:r>
                </w:p>
              </w:tc>
              <w:tc>
                <w:tcPr>
                  <w:tcW w:w="1095"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安居区</w:t>
                  </w:r>
                </w:p>
              </w:tc>
              <w:tc>
                <w:tcPr>
                  <w:tcW w:w="108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国控</w:t>
                  </w:r>
                </w:p>
              </w:tc>
              <w:tc>
                <w:tcPr>
                  <w:tcW w:w="75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III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III</w:t>
                  </w:r>
                </w:p>
              </w:tc>
              <w:tc>
                <w:tcPr>
                  <w:tcW w:w="114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944"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86"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琼江</w:t>
                  </w:r>
                </w:p>
              </w:tc>
              <w:tc>
                <w:tcPr>
                  <w:tcW w:w="96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大安</w:t>
                  </w:r>
                </w:p>
              </w:tc>
              <w:tc>
                <w:tcPr>
                  <w:tcW w:w="1095"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安居区</w:t>
                  </w:r>
                </w:p>
              </w:tc>
              <w:tc>
                <w:tcPr>
                  <w:tcW w:w="108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国控</w:t>
                  </w:r>
                </w:p>
              </w:tc>
              <w:tc>
                <w:tcPr>
                  <w:tcW w:w="75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III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III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III</w:t>
                  </w:r>
                </w:p>
              </w:tc>
              <w:tc>
                <w:tcPr>
                  <w:tcW w:w="114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w:t>
                  </w:r>
                </w:p>
              </w:tc>
              <w:tc>
                <w:tcPr>
                  <w:tcW w:w="944"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86"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郪江</w:t>
                  </w:r>
                </w:p>
              </w:tc>
              <w:tc>
                <w:tcPr>
                  <w:tcW w:w="9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郪江口</w:t>
                  </w:r>
                </w:p>
              </w:tc>
              <w:tc>
                <w:tcPr>
                  <w:tcW w:w="1095"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大英县</w:t>
                  </w:r>
                </w:p>
              </w:tc>
              <w:tc>
                <w:tcPr>
                  <w:tcW w:w="108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国控</w:t>
                  </w:r>
                </w:p>
              </w:tc>
              <w:tc>
                <w:tcPr>
                  <w:tcW w:w="75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III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III</w:t>
                  </w:r>
                </w:p>
              </w:tc>
              <w:tc>
                <w:tcPr>
                  <w:tcW w:w="114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rPr>
                    <w:cr/>
                  </w:r>
                </w:p>
              </w:tc>
              <w:tc>
                <w:tcPr>
                  <w:tcW w:w="944"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686"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梓江</w:t>
                  </w:r>
                </w:p>
              </w:tc>
              <w:tc>
                <w:tcPr>
                  <w:tcW w:w="9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梓江大桥</w:t>
                  </w:r>
                </w:p>
              </w:tc>
              <w:tc>
                <w:tcPr>
                  <w:tcW w:w="1095"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射洪市</w:t>
                  </w:r>
                </w:p>
              </w:tc>
              <w:tc>
                <w:tcPr>
                  <w:tcW w:w="108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国控</w:t>
                  </w:r>
                </w:p>
              </w:tc>
              <w:tc>
                <w:tcPr>
                  <w:tcW w:w="75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w:t>
                  </w:r>
                </w:p>
              </w:tc>
              <w:tc>
                <w:tcPr>
                  <w:tcW w:w="114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944"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686"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西眉河</w:t>
                  </w:r>
                </w:p>
              </w:tc>
              <w:tc>
                <w:tcPr>
                  <w:tcW w:w="9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白鹤桥</w:t>
                  </w:r>
                </w:p>
              </w:tc>
              <w:tc>
                <w:tcPr>
                  <w:tcW w:w="1095"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安居区</w:t>
                  </w:r>
                </w:p>
              </w:tc>
              <w:tc>
                <w:tcPr>
                  <w:tcW w:w="108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省控（长江经济</w:t>
                  </w:r>
                  <w:r>
                    <w:rPr>
                      <w:rFonts w:hint="default" w:ascii="Times New Roman" w:hAnsi="Times New Roman" w:cs="Times New Roman"/>
                      <w:color w:val="auto"/>
                      <w:kern w:val="0"/>
                      <w:sz w:val="21"/>
                      <w:szCs w:val="21"/>
                    </w:rPr>
                    <w:cr/>
                  </w:r>
                  <w:r>
                    <w:rPr>
                      <w:rFonts w:hint="default" w:ascii="Times New Roman" w:hAnsi="Times New Roman" w:cs="Times New Roman"/>
                      <w:color w:val="auto"/>
                      <w:kern w:val="0"/>
                      <w:sz w:val="21"/>
                      <w:szCs w:val="21"/>
                    </w:rPr>
                    <w:t>）</w:t>
                  </w:r>
                </w:p>
              </w:tc>
              <w:tc>
                <w:tcPr>
                  <w:tcW w:w="75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III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III</w:t>
                  </w:r>
                </w:p>
              </w:tc>
              <w:tc>
                <w:tcPr>
                  <w:tcW w:w="1140" w:type="dxa"/>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w:t>
                  </w:r>
                </w:p>
              </w:tc>
              <w:tc>
                <w:tcPr>
                  <w:tcW w:w="944"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686"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芝溪河</w:t>
                  </w:r>
                </w:p>
              </w:tc>
              <w:tc>
                <w:tcPr>
                  <w:tcW w:w="9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涪山坝</w:t>
                  </w:r>
                </w:p>
              </w:tc>
              <w:tc>
                <w:tcPr>
                  <w:tcW w:w="1095"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蓬溪县</w:t>
                  </w:r>
                </w:p>
              </w:tc>
              <w:tc>
                <w:tcPr>
                  <w:tcW w:w="108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省控（</w:t>
                  </w:r>
                  <w:r>
                    <w:rPr>
                      <w:rFonts w:hint="default" w:ascii="Times New Roman" w:hAnsi="Times New Roman" w:cs="Times New Roman"/>
                      <w:color w:val="auto"/>
                      <w:kern w:val="0"/>
                      <w:sz w:val="21"/>
                      <w:szCs w:val="21"/>
                    </w:rPr>
                    <w:cr/>
                  </w:r>
                  <w:r>
                    <w:rPr>
                      <w:rFonts w:hint="default" w:ascii="Times New Roman" w:hAnsi="Times New Roman" w:cs="Times New Roman"/>
                      <w:color w:val="auto"/>
                      <w:kern w:val="0"/>
                      <w:sz w:val="21"/>
                      <w:szCs w:val="21"/>
                    </w:rPr>
                    <w:t>江</w:t>
                  </w:r>
                  <w:r>
                    <w:rPr>
                      <w:rFonts w:hint="default" w:ascii="Times New Roman" w:hAnsi="Times New Roman" w:cs="Times New Roman"/>
                      <w:color w:val="auto"/>
                      <w:kern w:val="0"/>
                      <w:sz w:val="21"/>
                      <w:szCs w:val="21"/>
                    </w:rPr>
                    <w:cr/>
                  </w:r>
                  <w:r>
                    <w:rPr>
                      <w:rFonts w:hint="default" w:ascii="Times New Roman" w:hAnsi="Times New Roman" w:cs="Times New Roman"/>
                      <w:color w:val="auto"/>
                      <w:kern w:val="0"/>
                      <w:sz w:val="21"/>
                      <w:szCs w:val="21"/>
                    </w:rPr>
                    <w:t>济带）</w:t>
                  </w:r>
                </w:p>
              </w:tc>
              <w:tc>
                <w:tcPr>
                  <w:tcW w:w="75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III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III</w:t>
                  </w:r>
                </w:p>
              </w:tc>
              <w:tc>
                <w:tcPr>
                  <w:tcW w:w="114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cr/>
                  </w:r>
                  <w:r>
                    <w:rPr>
                      <w:rFonts w:hint="default" w:ascii="Times New Roman" w:hAnsi="Times New Roman" w:cs="Times New Roman"/>
                      <w:color w:val="auto"/>
                      <w:kern w:val="0"/>
                      <w:sz w:val="21"/>
                      <w:szCs w:val="21"/>
                    </w:rPr>
                    <w:t>/</w:t>
                  </w:r>
                </w:p>
              </w:tc>
              <w:tc>
                <w:tcPr>
                  <w:tcW w:w="944"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粪大肠菌群/0.</w:t>
                  </w:r>
                  <w:r>
                    <w:rPr>
                      <w:rFonts w:hint="eastAsia" w:ascii="Times New Roman" w:hAnsi="Times New Roman" w:cs="Times New Roman"/>
                      <w:color w:val="auto"/>
                      <w:kern w:val="0"/>
                      <w:sz w:val="21"/>
                      <w:szCs w:val="21"/>
                      <w:lang w:val="en-US" w:eastAsia="zh-CN"/>
                    </w:rPr>
                    <w:t>4</w:t>
                  </w:r>
                  <w:r>
                    <w:rPr>
                      <w:rFonts w:hint="default" w:ascii="Times New Roman" w:hAnsi="Times New Roman" w:cs="Times New Roman"/>
                      <w:color w:val="auto"/>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86"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涪江</w:t>
                  </w:r>
                </w:p>
              </w:tc>
              <w:tc>
                <w:tcPr>
                  <w:tcW w:w="9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米家桥</w:t>
                  </w:r>
                </w:p>
              </w:tc>
              <w:tc>
                <w:tcPr>
                  <w:tcW w:w="1095"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船山区</w:t>
                  </w:r>
                </w:p>
              </w:tc>
              <w:tc>
                <w:tcPr>
                  <w:tcW w:w="108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省控</w:t>
                  </w:r>
                </w:p>
              </w:tc>
              <w:tc>
                <w:tcPr>
                  <w:tcW w:w="75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II</w:t>
                  </w:r>
                </w:p>
              </w:tc>
              <w:tc>
                <w:tcPr>
                  <w:tcW w:w="66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w:t>
                  </w:r>
                </w:p>
              </w:tc>
              <w:tc>
                <w:tcPr>
                  <w:tcW w:w="1140"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944" w:type="dxa"/>
                  <w:noWrap w:val="0"/>
                  <w:vAlign w:val="center"/>
                </w:tcPr>
                <w:p>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1" w:hRule="atLeast"/>
                <w:jc w:val="center"/>
              </w:trPr>
              <w:tc>
                <w:tcPr>
                  <w:tcW w:w="7975" w:type="dxa"/>
                  <w:gridSpan w:val="9"/>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注：1.地表水环境评价执行《地表水环境质量标准》（GB3838-2002）和《地表水环境质量评价办法》（环办〔2011〕22号）</w:t>
                  </w:r>
                  <w:r>
                    <w:rPr>
                      <w:rFonts w:hint="eastAsia" w:ascii="Times New Roman" w:hAnsi="Times New Roman" w:cs="Times New Roman"/>
                      <w:color w:val="auto"/>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2.21项评价指标为：pH、溶解氧、高锰酸盐指数、五日生化需氧量、氨氮、石油类、酚、汞、铅、镉、阴离子表面活性剂、铬（六价）、氟化物、总磷、氰化物、硫化物、砷、化学需氧量、铜、锌、硒</w:t>
                  </w:r>
                  <w:r>
                    <w:rPr>
                      <w:rFonts w:hint="eastAsia" w:ascii="Times New Roman" w:hAnsi="Times New Roman" w:cs="Times New Roman"/>
                      <w:color w:val="auto"/>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3.超过Ⅲ类水质标准的指标为断面污染指标，取超标倍数最大的前三项为主要污染指标</w:t>
                  </w:r>
                  <w:r>
                    <w:rPr>
                      <w:rFonts w:hint="eastAsia" w:ascii="Times New Roman" w:hAnsi="Times New Roman" w:cs="Times New Roman"/>
                      <w:color w:val="auto"/>
                      <w:kern w:val="0"/>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4.红江渡口、玉溪、跑马滩</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cr/>
                  </w:r>
                  <w:r>
                    <w:rPr>
                      <w:rFonts w:hint="default" w:ascii="Times New Roman" w:hAnsi="Times New Roman" w:cs="Times New Roman"/>
                      <w:color w:val="auto"/>
                      <w:kern w:val="0"/>
                      <w:sz w:val="21"/>
                      <w:szCs w:val="21"/>
                    </w:rPr>
                    <w:t>大安、郪江口和梓江大</w:t>
                  </w:r>
                  <w:r>
                    <w:rPr>
                      <w:rFonts w:hint="eastAsia" w:ascii="Times New Roman" w:hAnsi="Times New Roman" w:cs="Times New Roman"/>
                      <w:color w:val="auto"/>
                      <w:kern w:val="0"/>
                      <w:sz w:val="21"/>
                      <w:szCs w:val="21"/>
                      <w:lang w:val="en-US" w:eastAsia="zh-CN"/>
                    </w:rPr>
                    <w:t>桥6</w:t>
                  </w:r>
                  <w:r>
                    <w:rPr>
                      <w:rFonts w:hint="default" w:ascii="Times New Roman" w:hAnsi="Times New Roman" w:cs="Times New Roman"/>
                      <w:color w:val="auto"/>
                      <w:kern w:val="0"/>
                      <w:sz w:val="21"/>
                      <w:szCs w:val="21"/>
                    </w:rPr>
                    <w:cr/>
                  </w:r>
                  <w:r>
                    <w:rPr>
                      <w:rFonts w:hint="default" w:ascii="Times New Roman" w:hAnsi="Times New Roman" w:cs="Times New Roman"/>
                      <w:color w:val="auto"/>
                      <w:kern w:val="0"/>
                      <w:sz w:val="21"/>
                      <w:szCs w:val="21"/>
                    </w:rPr>
                    <w:cr/>
                  </w:r>
                  <w:r>
                    <w:rPr>
                      <w:rFonts w:hint="default" w:ascii="Times New Roman" w:hAnsi="Times New Roman" w:cs="Times New Roman"/>
                      <w:color w:val="auto"/>
                      <w:kern w:val="0"/>
                      <w:sz w:val="21"/>
                      <w:szCs w:val="21"/>
                    </w:rPr>
                    <w:t>个国控断面</w:t>
                  </w:r>
                  <w:r>
                    <w:rPr>
                      <w:rFonts w:hint="default" w:ascii="Times New Roman" w:hAnsi="Times New Roman" w:cs="Times New Roman"/>
                      <w:color w:val="auto"/>
                      <w:kern w:val="0"/>
                      <w:sz w:val="21"/>
                      <w:szCs w:val="21"/>
                    </w:rPr>
                    <w:cr/>
                  </w:r>
                  <w:r>
                    <w:rPr>
                      <w:rFonts w:hint="default" w:ascii="Times New Roman" w:hAnsi="Times New Roman" w:cs="Times New Roman"/>
                      <w:color w:val="auto"/>
                      <w:kern w:val="0"/>
                      <w:sz w:val="21"/>
                      <w:szCs w:val="21"/>
                    </w:rPr>
                    <w:t>用国家反馈的采测分离数据（含部分市级</w:t>
                  </w:r>
                  <w:r>
                    <w:rPr>
                      <w:rFonts w:hint="default" w:ascii="Times New Roman" w:hAnsi="Times New Roman" w:cs="Times New Roman"/>
                      <w:color w:val="auto"/>
                      <w:kern w:val="0"/>
                      <w:sz w:val="21"/>
                      <w:szCs w:val="21"/>
                      <w:lang w:eastAsia="zh-CN"/>
                    </w:rPr>
                    <w:t>补充</w:t>
                  </w:r>
                  <w:r>
                    <w:rPr>
                      <w:rFonts w:hint="default" w:ascii="Times New Roman" w:hAnsi="Times New Roman" w:cs="Times New Roman"/>
                      <w:color w:val="auto"/>
                      <w:kern w:val="0"/>
                      <w:sz w:val="21"/>
                      <w:szCs w:val="21"/>
                    </w:rPr>
                    <w:t>监测数据）进行评价</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cr/>
                  </w:r>
                </w:p>
              </w:tc>
            </w:tr>
          </w:tbl>
          <w:p>
            <w:pPr>
              <w:widowControl/>
              <w:spacing w:before="120" w:beforeLines="50"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cs="Times New Roman"/>
                <w:bCs/>
                <w:color w:val="auto"/>
                <w:sz w:val="24"/>
              </w:rPr>
              <w:t>项目受纳水</w:t>
            </w:r>
            <w:r>
              <w:rPr>
                <w:rFonts w:hint="default" w:ascii="Times New Roman" w:hAnsi="Times New Roman" w:eastAsia="宋体" w:cs="Times New Roman"/>
                <w:bCs/>
                <w:color w:val="auto"/>
                <w:sz w:val="24"/>
              </w:rPr>
              <w:t>体为涪江，根据《202</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rPr>
              <w:t>年遂宁市环境质量公告》遂宁市河流水质评价结果表可以看出，涪江水质为II类，满足《地表水环境质量标准》（GB3838-2002）III类水域标准要求。</w:t>
            </w:r>
          </w:p>
          <w:p>
            <w:pPr>
              <w:spacing w:line="360" w:lineRule="auto"/>
              <w:ind w:firstLine="482" w:firstLineChars="200"/>
              <w:rPr>
                <w:rFonts w:hint="eastAsia" w:ascii="宋体" w:hAnsi="宋体"/>
                <w:b/>
                <w:bCs/>
                <w:color w:val="auto"/>
                <w:sz w:val="24"/>
              </w:rPr>
            </w:pPr>
            <w:r>
              <w:rPr>
                <w:rFonts w:ascii="宋体" w:hAnsi="宋体"/>
                <w:b/>
                <w:bCs/>
                <w:color w:val="auto"/>
                <w:sz w:val="24"/>
              </w:rPr>
              <w:t>三、声环境质量</w:t>
            </w:r>
          </w:p>
          <w:p>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color w:val="auto"/>
                <w:sz w:val="24"/>
                <w:szCs w:val="24"/>
              </w:rPr>
            </w:pPr>
            <w:r>
              <w:rPr>
                <w:color w:val="auto"/>
                <w:sz w:val="24"/>
              </w:rPr>
              <w:t>根据《建设项目环境影响报告表编制技术指南（污染影响类）》，若项目厂界外50m范围内无声环境保护目标，则不需要进行保护目标声环境质量现状监测。本项目位于园区内，根据项目外环境关系图可知，本项目厂界外周边50m范围内无声环境保护目标。因此，无需进行保护目标声环境质量现状</w:t>
            </w:r>
            <w:r>
              <w:rPr>
                <w:color w:val="auto"/>
                <w:sz w:val="24"/>
                <w:szCs w:val="24"/>
              </w:rPr>
              <w:t>监测。</w:t>
            </w:r>
          </w:p>
          <w:p>
            <w:pPr>
              <w:keepNext w:val="0"/>
              <w:keepLines w:val="0"/>
              <w:pageBreakBefore w:val="0"/>
              <w:kinsoku/>
              <w:wordWrap/>
              <w:overflowPunct/>
              <w:topLinePunct w:val="0"/>
              <w:autoSpaceDE/>
              <w:autoSpaceDN/>
              <w:bidi w:val="0"/>
              <w:adjustRightInd w:val="0"/>
              <w:snapToGrid w:val="0"/>
              <w:spacing w:line="360" w:lineRule="auto"/>
              <w:ind w:firstLine="482" w:firstLineChars="200"/>
              <w:jc w:val="both"/>
              <w:textAlignment w:val="auto"/>
              <w:rPr>
                <w:b/>
                <w:color w:val="auto"/>
                <w:kern w:val="0"/>
                <w:sz w:val="24"/>
                <w:szCs w:val="24"/>
              </w:rPr>
            </w:pPr>
            <w:r>
              <w:rPr>
                <w:b/>
                <w:bCs/>
                <w:color w:val="auto"/>
                <w:sz w:val="24"/>
                <w:szCs w:val="24"/>
              </w:rPr>
              <w:t>四、</w:t>
            </w:r>
            <w:r>
              <w:rPr>
                <w:b/>
                <w:color w:val="auto"/>
                <w:kern w:val="0"/>
                <w:sz w:val="24"/>
                <w:szCs w:val="24"/>
              </w:rPr>
              <w:t>生态环境质量现状</w:t>
            </w:r>
          </w:p>
          <w:p>
            <w:pPr>
              <w:keepNext w:val="0"/>
              <w:keepLines w:val="0"/>
              <w:pageBreakBefore w:val="0"/>
              <w:widowControl/>
              <w:kinsoku/>
              <w:wordWrap/>
              <w:overflowPunct/>
              <w:topLinePunct w:val="0"/>
              <w:autoSpaceDE/>
              <w:autoSpaceDN/>
              <w:bidi w:val="0"/>
              <w:spacing w:line="360" w:lineRule="auto"/>
              <w:ind w:firstLine="480" w:firstLineChars="200"/>
              <w:jc w:val="both"/>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建设项目环境影响报告表编制技术指南（污染影响类）》，“产业园区外建设项目新增用地且用地范围内含有生态环境保护目标时，应进行生态现状调查”。本项目位于工业园区内，租用已建成厂房进行建设，不涉及新增用地，因此可不进行生态现状调查</w:t>
            </w:r>
            <w:r>
              <w:rPr>
                <w:rFonts w:ascii="Times New Roman" w:hAnsi="Times New Roman" w:eastAsia="宋体" w:cs="Times New Roman"/>
                <w:color w:val="auto"/>
                <w:sz w:val="24"/>
                <w:szCs w:val="24"/>
              </w:rPr>
              <w:t>。</w:t>
            </w:r>
          </w:p>
          <w:p>
            <w:pPr>
              <w:keepNext w:val="0"/>
              <w:keepLines w:val="0"/>
              <w:pageBreakBefore w:val="0"/>
              <w:kinsoku/>
              <w:wordWrap/>
              <w:overflowPunct/>
              <w:topLinePunct w:val="0"/>
              <w:autoSpaceDE/>
              <w:autoSpaceDN/>
              <w:bidi w:val="0"/>
              <w:spacing w:line="360" w:lineRule="auto"/>
              <w:ind w:firstLine="482" w:firstLineChars="200"/>
              <w:jc w:val="both"/>
              <w:textAlignment w:val="auto"/>
              <w:rPr>
                <w:b/>
                <w:bCs/>
                <w:color w:val="auto"/>
                <w:sz w:val="24"/>
                <w:szCs w:val="24"/>
              </w:rPr>
            </w:pPr>
            <w:r>
              <w:rPr>
                <w:b/>
                <w:bCs/>
                <w:color w:val="auto"/>
                <w:sz w:val="24"/>
                <w:szCs w:val="24"/>
              </w:rPr>
              <w:t>五、电磁辐射</w:t>
            </w:r>
          </w:p>
          <w:p>
            <w:pPr>
              <w:keepNext w:val="0"/>
              <w:keepLines w:val="0"/>
              <w:pageBreakBefore w:val="0"/>
              <w:kinsoku/>
              <w:wordWrap/>
              <w:overflowPunct/>
              <w:topLinePunct w:val="0"/>
              <w:autoSpaceDE/>
              <w:autoSpaceDN/>
              <w:bidi w:val="0"/>
              <w:spacing w:line="360" w:lineRule="auto"/>
              <w:ind w:firstLine="480" w:firstLineChars="200"/>
              <w:jc w:val="both"/>
              <w:textAlignment w:val="auto"/>
              <w:rPr>
                <w:color w:val="auto"/>
                <w:sz w:val="24"/>
                <w:szCs w:val="24"/>
              </w:rPr>
            </w:pPr>
            <w:r>
              <w:rPr>
                <w:color w:val="auto"/>
                <w:sz w:val="24"/>
                <w:szCs w:val="24"/>
              </w:rPr>
              <w:t>本项目不包含电磁辐射相关评价内容。</w:t>
            </w:r>
          </w:p>
          <w:p>
            <w:pPr>
              <w:keepNext w:val="0"/>
              <w:keepLines w:val="0"/>
              <w:pageBreakBefore w:val="0"/>
              <w:kinsoku/>
              <w:wordWrap/>
              <w:overflowPunct/>
              <w:topLinePunct w:val="0"/>
              <w:autoSpaceDE/>
              <w:autoSpaceDN/>
              <w:bidi w:val="0"/>
              <w:spacing w:line="360" w:lineRule="auto"/>
              <w:ind w:firstLine="482" w:firstLineChars="200"/>
              <w:jc w:val="both"/>
              <w:textAlignment w:val="auto"/>
              <w:rPr>
                <w:b/>
                <w:bCs/>
                <w:color w:val="auto"/>
                <w:sz w:val="24"/>
                <w:szCs w:val="24"/>
              </w:rPr>
            </w:pPr>
            <w:r>
              <w:rPr>
                <w:b/>
                <w:bCs/>
                <w:color w:val="auto"/>
                <w:sz w:val="24"/>
                <w:szCs w:val="24"/>
              </w:rPr>
              <w:t>六、地下水环境</w:t>
            </w:r>
          </w:p>
          <w:p>
            <w:pPr>
              <w:keepNext w:val="0"/>
              <w:keepLines w:val="0"/>
              <w:pageBreakBefore w:val="0"/>
              <w:kinsoku/>
              <w:wordWrap/>
              <w:overflowPunct/>
              <w:topLinePunct w:val="0"/>
              <w:autoSpaceDE/>
              <w:autoSpaceDN/>
              <w:bidi w:val="0"/>
              <w:spacing w:line="360" w:lineRule="auto"/>
              <w:ind w:firstLine="480" w:firstLineChars="200"/>
              <w:jc w:val="both"/>
              <w:textAlignment w:val="auto"/>
              <w:rPr>
                <w:color w:val="auto"/>
                <w:sz w:val="24"/>
                <w:szCs w:val="24"/>
              </w:rPr>
            </w:pPr>
            <w:r>
              <w:rPr>
                <w:color w:val="auto"/>
                <w:sz w:val="24"/>
                <w:szCs w:val="24"/>
              </w:rPr>
              <w:t>根据《建设项目环境影响报告编制技术指南（污染影响类）》：“原则上不开展环境质量现状调查”。项目厂界外500米范围内无地下水环境保护目标，且本项目所在区域不采用地下水，项目运营期采取分区防渗措施不会对地下水环境造成污染，因此本次评价不针对地下水环境质量监测。</w:t>
            </w:r>
          </w:p>
          <w:p>
            <w:pPr>
              <w:keepNext w:val="0"/>
              <w:keepLines w:val="0"/>
              <w:pageBreakBefore w:val="0"/>
              <w:kinsoku/>
              <w:wordWrap/>
              <w:overflowPunct/>
              <w:topLinePunct w:val="0"/>
              <w:autoSpaceDE/>
              <w:autoSpaceDN/>
              <w:bidi w:val="0"/>
              <w:spacing w:line="360" w:lineRule="auto"/>
              <w:ind w:firstLine="482" w:firstLineChars="200"/>
              <w:jc w:val="both"/>
              <w:textAlignment w:val="auto"/>
              <w:rPr>
                <w:b/>
                <w:bCs/>
                <w:color w:val="auto"/>
                <w:sz w:val="24"/>
                <w:szCs w:val="24"/>
              </w:rPr>
            </w:pPr>
            <w:r>
              <w:rPr>
                <w:b/>
                <w:bCs/>
                <w:color w:val="auto"/>
                <w:sz w:val="24"/>
                <w:szCs w:val="24"/>
              </w:rPr>
              <w:t>七、土壤环境</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color w:val="auto"/>
                <w:kern w:val="0"/>
                <w:szCs w:val="21"/>
              </w:rPr>
            </w:pPr>
            <w:r>
              <w:rPr>
                <w:color w:val="auto"/>
                <w:sz w:val="24"/>
                <w:szCs w:val="24"/>
              </w:rPr>
              <w:t>根据《建设项目环境影响报告编制技术指南（污染影响类）》：“原则上不开展环境质量现状调查”。项目厂界周边无土壤环境保护目标，且项目运营期采取相应治理措施不会对土壤环境造成污染，因此本次评价不针对土壤环境质量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008" w:hRule="atLeast"/>
          <w:jc w:val="center"/>
        </w:trPr>
        <w:tc>
          <w:tcPr>
            <w:tcW w:w="800" w:type="dxa"/>
            <w:noWrap w:val="0"/>
            <w:vAlign w:val="center"/>
          </w:tcPr>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环境</w:t>
            </w:r>
          </w:p>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保护</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 w:val="24"/>
              </w:rPr>
              <w:t>目标</w:t>
            </w:r>
          </w:p>
        </w:tc>
        <w:tc>
          <w:tcPr>
            <w:tcW w:w="8190"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b/>
                <w:bCs/>
                <w:color w:val="auto"/>
                <w:sz w:val="24"/>
              </w:rPr>
            </w:pPr>
            <w:r>
              <w:rPr>
                <w:rFonts w:hint="eastAsia" w:ascii="宋体" w:hAnsi="宋体" w:cs="宋体"/>
                <w:b/>
                <w:bCs/>
                <w:color w:val="auto"/>
                <w:kern w:val="0"/>
                <w:sz w:val="24"/>
                <w:lang w:bidi="ar"/>
              </w:rPr>
              <w:t>一、主要环境保护目标</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b/>
                <w:bCs/>
                <w:color w:val="auto"/>
                <w:sz w:val="24"/>
              </w:rPr>
            </w:pPr>
            <w:r>
              <w:rPr>
                <w:b/>
                <w:bCs/>
                <w:color w:val="auto"/>
                <w:sz w:val="24"/>
              </w:rPr>
              <w:t>1、大气环境保护目标</w:t>
            </w:r>
          </w:p>
          <w:p>
            <w:pPr>
              <w:pStyle w:val="97"/>
              <w:keepNext w:val="0"/>
              <w:keepLines w:val="0"/>
              <w:pageBreakBefore w:val="0"/>
              <w:suppressAutoHyphens/>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color w:val="auto"/>
                <w:kern w:val="2"/>
                <w:szCs w:val="24"/>
              </w:rPr>
            </w:pPr>
            <w:r>
              <w:rPr>
                <w:rFonts w:ascii="Times New Roman" w:hAnsi="Times New Roman"/>
                <w:color w:val="auto"/>
                <w:szCs w:val="24"/>
              </w:rPr>
              <w:t>本项目大气环境保护目标为厂界周边500m范围区域大气环境，确保区域大气环境质量现状不因项目实施降低，评价区域大气环境质量执行《环境空气质量标准》（GB3095-2012）中二级标准</w:t>
            </w:r>
            <w:r>
              <w:rPr>
                <w:rFonts w:hint="eastAsia" w:ascii="Times New Roman" w:hAnsi="Times New Roman"/>
                <w:color w:val="auto"/>
                <w:szCs w:val="24"/>
                <w:lang w:eastAsia="zh-CN"/>
              </w:rPr>
              <w:t>，根</w:t>
            </w:r>
            <w:r>
              <w:rPr>
                <w:rFonts w:ascii="Times New Roman" w:hAnsi="Times New Roman"/>
                <w:color w:val="auto"/>
                <w:szCs w:val="24"/>
              </w:rPr>
              <w:t>据</w:t>
            </w:r>
            <w:r>
              <w:rPr>
                <w:rFonts w:ascii="Times New Roman" w:hAnsi="Times New Roman"/>
                <w:color w:val="auto"/>
                <w:kern w:val="2"/>
                <w:szCs w:val="24"/>
              </w:rPr>
              <w:t>现场调查，区域5</w:t>
            </w:r>
            <w:r>
              <w:rPr>
                <w:rFonts w:hint="eastAsia" w:ascii="Times New Roman" w:hAnsi="Times New Roman"/>
                <w:color w:val="auto"/>
                <w:kern w:val="2"/>
                <w:szCs w:val="24"/>
              </w:rPr>
              <w:t>0</w:t>
            </w:r>
            <w:r>
              <w:rPr>
                <w:rFonts w:ascii="Times New Roman" w:hAnsi="Times New Roman"/>
                <w:color w:val="auto"/>
                <w:kern w:val="2"/>
                <w:szCs w:val="24"/>
              </w:rPr>
              <w:t>0m范围</w:t>
            </w:r>
            <w:r>
              <w:rPr>
                <w:rFonts w:hint="eastAsia" w:ascii="Times New Roman" w:hAnsi="Times New Roman"/>
                <w:color w:val="auto"/>
                <w:kern w:val="2"/>
                <w:szCs w:val="24"/>
              </w:rPr>
              <w:t>内</w:t>
            </w:r>
            <w:r>
              <w:rPr>
                <w:rFonts w:hint="eastAsia" w:ascii="Times New Roman" w:hAnsi="Times New Roman"/>
                <w:color w:val="auto"/>
                <w:kern w:val="2"/>
                <w:szCs w:val="24"/>
                <w:lang w:val="en-US" w:eastAsia="zh-CN"/>
              </w:rPr>
              <w:t>无大气</w:t>
            </w:r>
            <w:r>
              <w:rPr>
                <w:rFonts w:ascii="Times New Roman" w:hAnsi="Times New Roman"/>
                <w:color w:val="auto"/>
                <w:kern w:val="2"/>
                <w:szCs w:val="24"/>
              </w:rPr>
              <w:t>环境敏感点</w:t>
            </w:r>
            <w:r>
              <w:rPr>
                <w:rFonts w:hint="eastAsia" w:ascii="Times New Roman" w:hAnsi="Times New Roman"/>
                <w:color w:val="auto"/>
                <w:kern w:val="2"/>
                <w:szCs w:val="24"/>
              </w:rPr>
              <w:t>。</w:t>
            </w:r>
          </w:p>
          <w:p>
            <w:pPr>
              <w:spacing w:line="360" w:lineRule="auto"/>
              <w:ind w:firstLine="482" w:firstLineChars="200"/>
              <w:rPr>
                <w:b/>
                <w:bCs/>
                <w:color w:val="auto"/>
                <w:sz w:val="24"/>
              </w:rPr>
            </w:pPr>
            <w:r>
              <w:rPr>
                <w:rFonts w:hint="eastAsia"/>
                <w:b/>
                <w:bCs/>
                <w:color w:val="auto"/>
                <w:sz w:val="24"/>
              </w:rPr>
              <w:t>2</w:t>
            </w:r>
            <w:r>
              <w:rPr>
                <w:b/>
                <w:bCs/>
                <w:color w:val="auto"/>
                <w:sz w:val="24"/>
              </w:rPr>
              <w:t>、声环境保护目标</w:t>
            </w:r>
          </w:p>
          <w:p>
            <w:pPr>
              <w:spacing w:line="360" w:lineRule="auto"/>
              <w:ind w:firstLine="480" w:firstLineChars="200"/>
              <w:rPr>
                <w:rFonts w:hint="eastAsia"/>
                <w:color w:val="auto"/>
                <w:sz w:val="24"/>
              </w:rPr>
            </w:pPr>
            <w:r>
              <w:rPr>
                <w:color w:val="auto"/>
                <w:sz w:val="24"/>
              </w:rPr>
              <w:t>本项目声环境保护目标</w:t>
            </w:r>
            <w:r>
              <w:rPr>
                <w:rFonts w:hint="eastAsia"/>
                <w:color w:val="auto"/>
                <w:sz w:val="24"/>
                <w:lang w:eastAsia="zh-CN"/>
              </w:rPr>
              <w:t>为</w:t>
            </w:r>
            <w:r>
              <w:rPr>
                <w:color w:val="auto"/>
                <w:sz w:val="24"/>
              </w:rPr>
              <w:t>项目所在厂界50m范围内的噪声敏感区，确保项目实施过程中不产生噪声扰民现象，声环境现状执行《声环境质量标准》（GB3096-2008）中</w:t>
            </w:r>
            <w:r>
              <w:rPr>
                <w:rFonts w:hint="eastAsia"/>
                <w:color w:val="auto"/>
                <w:sz w:val="24"/>
              </w:rPr>
              <w:t>3</w:t>
            </w:r>
            <w:r>
              <w:rPr>
                <w:color w:val="auto"/>
                <w:sz w:val="24"/>
              </w:rPr>
              <w:t>类标准</w:t>
            </w:r>
            <w:r>
              <w:rPr>
                <w:rFonts w:hint="eastAsia"/>
                <w:color w:val="auto"/>
                <w:sz w:val="24"/>
                <w:lang w:eastAsia="zh-CN"/>
              </w:rPr>
              <w:t>，根</w:t>
            </w:r>
            <w:r>
              <w:rPr>
                <w:color w:val="auto"/>
                <w:sz w:val="24"/>
              </w:rPr>
              <w:t>据现场调查，区域50m范围</w:t>
            </w:r>
            <w:r>
              <w:rPr>
                <w:rFonts w:hint="eastAsia"/>
                <w:color w:val="auto"/>
                <w:sz w:val="24"/>
              </w:rPr>
              <w:t>内</w:t>
            </w:r>
            <w:r>
              <w:rPr>
                <w:color w:val="auto"/>
                <w:sz w:val="24"/>
              </w:rPr>
              <w:t>无声环境敏感点。</w:t>
            </w:r>
          </w:p>
          <w:p>
            <w:pPr>
              <w:spacing w:line="360" w:lineRule="auto"/>
              <w:ind w:firstLine="482" w:firstLineChars="200"/>
              <w:rPr>
                <w:b/>
                <w:bCs/>
                <w:color w:val="auto"/>
                <w:sz w:val="24"/>
              </w:rPr>
            </w:pPr>
            <w:r>
              <w:rPr>
                <w:rFonts w:hint="eastAsia"/>
                <w:b/>
                <w:bCs/>
                <w:color w:val="auto"/>
                <w:sz w:val="24"/>
              </w:rPr>
              <w:t>3</w:t>
            </w:r>
            <w:r>
              <w:rPr>
                <w:b/>
                <w:bCs/>
                <w:color w:val="auto"/>
                <w:sz w:val="24"/>
              </w:rPr>
              <w:t>、地下水环境保护目标</w:t>
            </w:r>
          </w:p>
          <w:p>
            <w:pPr>
              <w:widowControl/>
              <w:spacing w:line="360" w:lineRule="auto"/>
              <w:ind w:firstLine="480" w:firstLineChars="200"/>
              <w:jc w:val="left"/>
              <w:rPr>
                <w:color w:val="auto"/>
                <w:sz w:val="24"/>
              </w:rPr>
            </w:pPr>
            <w:r>
              <w:rPr>
                <w:rFonts w:hint="eastAsia" w:ascii="宋体" w:hAnsi="宋体" w:cs="宋体"/>
                <w:color w:val="auto"/>
                <w:kern w:val="0"/>
                <w:sz w:val="24"/>
                <w:lang w:bidi="ar"/>
              </w:rPr>
              <w:t>结合现场踏勘及资料查阅，项目厂界外</w:t>
            </w:r>
            <w:r>
              <w:rPr>
                <w:color w:val="auto"/>
                <w:kern w:val="0"/>
                <w:sz w:val="24"/>
                <w:lang w:bidi="ar"/>
              </w:rPr>
              <w:t>500</w:t>
            </w:r>
            <w:r>
              <w:rPr>
                <w:rFonts w:hint="eastAsia" w:ascii="宋体" w:hAnsi="宋体" w:cs="宋体"/>
                <w:color w:val="auto"/>
                <w:kern w:val="0"/>
                <w:sz w:val="24"/>
                <w:lang w:bidi="ar"/>
              </w:rPr>
              <w:t>米范围内无地下水集中式饮用水水源和热水、矿泉水、温泉等特殊地下水资源。</w:t>
            </w:r>
          </w:p>
          <w:p>
            <w:pPr>
              <w:pStyle w:val="20"/>
              <w:spacing w:after="0" w:line="360" w:lineRule="auto"/>
              <w:ind w:left="0" w:leftChars="0" w:firstLine="482" w:firstLineChars="200"/>
              <w:rPr>
                <w:b/>
                <w:color w:val="auto"/>
                <w:sz w:val="24"/>
              </w:rPr>
            </w:pPr>
            <w:r>
              <w:rPr>
                <w:rFonts w:hint="eastAsia"/>
                <w:b/>
                <w:color w:val="auto"/>
                <w:sz w:val="24"/>
              </w:rPr>
              <w:t>4</w:t>
            </w:r>
            <w:r>
              <w:rPr>
                <w:b/>
                <w:color w:val="auto"/>
                <w:sz w:val="24"/>
              </w:rPr>
              <w:t>、生态环境</w:t>
            </w:r>
            <w:r>
              <w:rPr>
                <w:b/>
                <w:bCs/>
                <w:color w:val="auto"/>
                <w:sz w:val="24"/>
              </w:rPr>
              <w:t>保护目标</w:t>
            </w:r>
          </w:p>
          <w:p>
            <w:pPr>
              <w:widowControl/>
              <w:spacing w:line="360" w:lineRule="auto"/>
              <w:ind w:firstLine="480" w:firstLineChars="200"/>
              <w:jc w:val="left"/>
              <w:rPr>
                <w:color w:val="auto"/>
                <w:kern w:val="0"/>
                <w:sz w:val="24"/>
                <w:lang w:bidi="ar"/>
              </w:rPr>
            </w:pPr>
            <w:r>
              <w:rPr>
                <w:color w:val="auto"/>
                <w:sz w:val="24"/>
              </w:rPr>
              <w:t>本项目</w:t>
            </w:r>
            <w:r>
              <w:rPr>
                <w:rFonts w:hint="eastAsia" w:ascii="Times New Roman" w:hAnsi="Times New Roman" w:eastAsia="宋体" w:cs="Times New Roman"/>
                <w:b w:val="0"/>
                <w:bCs/>
                <w:color w:val="auto"/>
                <w:kern w:val="2"/>
                <w:sz w:val="24"/>
                <w:szCs w:val="24"/>
                <w:lang w:val="en-US" w:eastAsia="zh-CN" w:bidi="ar-SA"/>
              </w:rPr>
              <w:t>租赁四川翔丰华新能源材料有限公司位于四川省遂宁市蓬溪县金桥镇创业四支路1号</w:t>
            </w:r>
            <w:r>
              <w:rPr>
                <w:rFonts w:hint="eastAsia" w:eastAsia="宋体"/>
                <w:bCs/>
                <w:color w:val="auto"/>
                <w:sz w:val="24"/>
                <w:lang w:val="en-US" w:eastAsia="zh-CN"/>
              </w:rPr>
              <w:t>厂房进行建设</w:t>
            </w:r>
            <w:r>
              <w:rPr>
                <w:rFonts w:ascii="宋体" w:hAnsi="宋体"/>
                <w:color w:val="auto"/>
                <w:kern w:val="0"/>
                <w:sz w:val="24"/>
              </w:rPr>
              <w:t>，不新增用地</w:t>
            </w:r>
            <w:r>
              <w:rPr>
                <w:rFonts w:hint="eastAsia" w:ascii="宋体" w:hAnsi="宋体"/>
                <w:color w:val="auto"/>
                <w:kern w:val="0"/>
                <w:sz w:val="24"/>
              </w:rPr>
              <w:t>，</w:t>
            </w:r>
            <w:r>
              <w:rPr>
                <w:rFonts w:ascii="宋体" w:hAnsi="宋体"/>
                <w:color w:val="auto"/>
                <w:kern w:val="0"/>
                <w:sz w:val="24"/>
              </w:rPr>
              <w:t>无生态环境保护目标</w:t>
            </w:r>
          </w:p>
          <w:p>
            <w:pPr>
              <w:widowControl/>
              <w:spacing w:line="360" w:lineRule="auto"/>
              <w:ind w:firstLine="480" w:firstLineChars="200"/>
              <w:jc w:val="left"/>
              <w:rPr>
                <w:b/>
                <w:bCs/>
                <w:color w:val="auto"/>
                <w:szCs w:val="21"/>
              </w:rPr>
            </w:pPr>
            <w:r>
              <w:rPr>
                <w:color w:val="auto"/>
                <w:sz w:val="24"/>
              </w:rPr>
              <w:t>项目</w:t>
            </w:r>
            <w:r>
              <w:rPr>
                <w:bCs/>
                <w:color w:val="auto"/>
                <w:sz w:val="24"/>
              </w:rPr>
              <w:t>主要</w:t>
            </w:r>
            <w:r>
              <w:rPr>
                <w:color w:val="auto"/>
                <w:sz w:val="24"/>
              </w:rPr>
              <w:t>保护目标见下表。</w:t>
            </w:r>
          </w:p>
          <w:p>
            <w:pPr>
              <w:widowControl/>
              <w:spacing w:line="360" w:lineRule="auto"/>
              <w:jc w:val="center"/>
              <w:rPr>
                <w:rFonts w:hint="eastAsia"/>
                <w:b/>
                <w:bCs/>
                <w:color w:val="auto"/>
                <w:szCs w:val="21"/>
              </w:rPr>
            </w:pPr>
            <w:r>
              <w:rPr>
                <w:b/>
                <w:bCs/>
                <w:color w:val="auto"/>
                <w:szCs w:val="21"/>
              </w:rPr>
              <w:t>表3</w:t>
            </w:r>
            <w:r>
              <w:rPr>
                <w:rFonts w:hint="eastAsia"/>
                <w:b/>
                <w:bCs/>
                <w:color w:val="auto"/>
                <w:szCs w:val="21"/>
              </w:rPr>
              <w:t>-</w:t>
            </w:r>
            <w:r>
              <w:rPr>
                <w:rFonts w:hint="eastAsia"/>
                <w:b/>
                <w:bCs/>
                <w:color w:val="auto"/>
                <w:szCs w:val="21"/>
                <w:lang w:val="en-US" w:eastAsia="zh-CN"/>
              </w:rPr>
              <w:t>4</w:t>
            </w:r>
            <w:r>
              <w:rPr>
                <w:b/>
                <w:bCs/>
                <w:color w:val="auto"/>
                <w:szCs w:val="21"/>
              </w:rPr>
              <w:t xml:space="preserve"> 主要环境保护目标系一览表</w:t>
            </w:r>
          </w:p>
          <w:tbl>
            <w:tblPr>
              <w:tblStyle w:val="36"/>
              <w:tblW w:w="79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187"/>
              <w:gridCol w:w="720"/>
              <w:gridCol w:w="795"/>
              <w:gridCol w:w="1215"/>
              <w:gridCol w:w="1665"/>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9"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环境要素</w:t>
                  </w:r>
                </w:p>
              </w:tc>
              <w:tc>
                <w:tcPr>
                  <w:tcW w:w="1187"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环境保护对象名称</w:t>
                  </w:r>
                </w:p>
              </w:tc>
              <w:tc>
                <w:tcPr>
                  <w:tcW w:w="720"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保护对象</w:t>
                  </w:r>
                </w:p>
              </w:tc>
              <w:tc>
                <w:tcPr>
                  <w:tcW w:w="795"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位置</w:t>
                  </w:r>
                </w:p>
              </w:tc>
              <w:tc>
                <w:tcPr>
                  <w:tcW w:w="1215"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与本项目的距离</w:t>
                  </w:r>
                </w:p>
              </w:tc>
              <w:tc>
                <w:tcPr>
                  <w:tcW w:w="1665"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性质及规模</w:t>
                  </w:r>
                </w:p>
              </w:tc>
              <w:tc>
                <w:tcPr>
                  <w:tcW w:w="1543"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jc w:val="center"/>
              </w:trPr>
              <w:tc>
                <w:tcPr>
                  <w:tcW w:w="849"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7125" w:type="dxa"/>
                  <w:gridSpan w:val="6"/>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区域5</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0m范围内无</w:t>
                  </w:r>
                  <w:r>
                    <w:rPr>
                      <w:rFonts w:hint="eastAsia" w:ascii="Times New Roman" w:hAnsi="Times New Roman" w:cs="Times New Roman"/>
                      <w:color w:val="auto"/>
                      <w:sz w:val="21"/>
                      <w:szCs w:val="21"/>
                      <w:lang w:val="en-US" w:eastAsia="zh-CN"/>
                    </w:rPr>
                    <w:t>大气</w:t>
                  </w:r>
                  <w:r>
                    <w:rPr>
                      <w:rFonts w:hint="default" w:ascii="Times New Roman" w:hAnsi="Times New Roman" w:cs="Times New Roman"/>
                      <w:color w:val="auto"/>
                      <w:sz w:val="21"/>
                      <w:szCs w:val="21"/>
                    </w:rPr>
                    <w:t>环境敏感点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9"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7125" w:type="dxa"/>
                  <w:gridSpan w:val="6"/>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区域50m范围内无声环境敏感点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9" w:type="dxa"/>
                  <w:noWrap w:val="0"/>
                  <w:vAlign w:val="center"/>
                </w:tcPr>
                <w:p>
                  <w:pPr>
                    <w:pStyle w:val="10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7125" w:type="dxa"/>
                  <w:gridSpan w:val="6"/>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项目厂界外500m范围内无地下水集中式饮用水水源和热水、矿泉水、温泉等特殊地下水资源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9" w:type="dxa"/>
                  <w:noWrap w:val="0"/>
                  <w:vAlign w:val="center"/>
                </w:tcPr>
                <w:p>
                  <w:pPr>
                    <w:pStyle w:val="107"/>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pacing w:val="4"/>
                      <w:sz w:val="21"/>
                      <w:szCs w:val="21"/>
                    </w:rPr>
                    <w:t>生态环境</w:t>
                  </w:r>
                </w:p>
              </w:tc>
              <w:tc>
                <w:tcPr>
                  <w:tcW w:w="7125" w:type="dxa"/>
                  <w:gridSpan w:val="6"/>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rPr>
                  </w:pPr>
                  <w:r>
                    <w:rPr>
                      <w:color w:val="auto"/>
                      <w:sz w:val="21"/>
                      <w:szCs w:val="21"/>
                    </w:rPr>
                    <w:t>本项目</w:t>
                  </w:r>
                  <w:r>
                    <w:rPr>
                      <w:rFonts w:hint="eastAsia" w:ascii="Times New Roman" w:hAnsi="Times New Roman" w:eastAsia="宋体" w:cs="Times New Roman"/>
                      <w:b w:val="0"/>
                      <w:bCs/>
                      <w:color w:val="auto"/>
                      <w:kern w:val="2"/>
                      <w:sz w:val="21"/>
                      <w:szCs w:val="21"/>
                      <w:lang w:val="en-US" w:eastAsia="zh-CN" w:bidi="ar-SA"/>
                    </w:rPr>
                    <w:t>租赁四川翔丰华新能源材料有限公司位于四川省遂宁市蓬溪县金桥镇创业四支路1号</w:t>
                  </w:r>
                  <w:r>
                    <w:rPr>
                      <w:rFonts w:hint="eastAsia" w:eastAsia="宋体"/>
                      <w:bCs/>
                      <w:color w:val="auto"/>
                      <w:sz w:val="21"/>
                      <w:szCs w:val="21"/>
                      <w:lang w:val="en-US" w:eastAsia="zh-CN"/>
                    </w:rPr>
                    <w:t>厂房进行建设</w:t>
                  </w:r>
                  <w:r>
                    <w:rPr>
                      <w:rFonts w:ascii="宋体" w:hAnsi="宋体"/>
                      <w:color w:val="auto"/>
                      <w:kern w:val="0"/>
                      <w:sz w:val="21"/>
                      <w:szCs w:val="21"/>
                    </w:rPr>
                    <w:t>，不新增用地</w:t>
                  </w:r>
                  <w:r>
                    <w:rPr>
                      <w:rFonts w:hint="eastAsia" w:ascii="宋体" w:hAnsi="宋体"/>
                      <w:color w:val="auto"/>
                      <w:kern w:val="0"/>
                      <w:sz w:val="21"/>
                      <w:szCs w:val="21"/>
                    </w:rPr>
                    <w:t>，</w:t>
                  </w:r>
                  <w:r>
                    <w:rPr>
                      <w:rFonts w:ascii="宋体" w:hAnsi="宋体"/>
                      <w:color w:val="auto"/>
                      <w:kern w:val="0"/>
                      <w:sz w:val="21"/>
                      <w:szCs w:val="21"/>
                    </w:rPr>
                    <w:t>无生态环境保护目标</w:t>
                  </w:r>
                </w:p>
              </w:tc>
            </w:tr>
          </w:tbl>
          <w:p>
            <w:pPr>
              <w:pStyle w:val="20"/>
              <w:spacing w:after="0" w:line="360" w:lineRule="auto"/>
              <w:ind w:left="0" w:leftChars="0" w:firstLine="453"/>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13"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污染</w:t>
            </w:r>
          </w:p>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物排</w:t>
            </w:r>
          </w:p>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放控</w:t>
            </w:r>
          </w:p>
          <w:p>
            <w:pPr>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制标</w:t>
            </w:r>
          </w:p>
          <w:p>
            <w:pPr>
              <w:adjustRightInd w:val="0"/>
              <w:snapToGrid w:val="0"/>
              <w:jc w:val="center"/>
              <w:rPr>
                <w:rFonts w:ascii="宋体" w:hAnsi="宋体" w:cs="宋体"/>
                <w:color w:val="auto"/>
                <w:kern w:val="0"/>
                <w:szCs w:val="21"/>
              </w:rPr>
            </w:pPr>
            <w:r>
              <w:rPr>
                <w:rFonts w:hint="eastAsia" w:ascii="宋体" w:hAnsi="宋体" w:cs="宋体"/>
                <w:color w:val="auto"/>
                <w:kern w:val="0"/>
                <w:sz w:val="24"/>
              </w:rPr>
              <w:t>准</w:t>
            </w:r>
          </w:p>
        </w:tc>
        <w:tc>
          <w:tcPr>
            <w:tcW w:w="8190" w:type="dxa"/>
            <w:noWrap w:val="0"/>
            <w:vAlign w:val="center"/>
          </w:tcPr>
          <w:p>
            <w:pPr>
              <w:widowControl/>
              <w:spacing w:line="360" w:lineRule="auto"/>
              <w:ind w:firstLine="482" w:firstLineChars="200"/>
              <w:rPr>
                <w:color w:val="auto"/>
                <w:sz w:val="24"/>
              </w:rPr>
            </w:pPr>
            <w:r>
              <w:rPr>
                <w:b/>
                <w:bCs/>
                <w:color w:val="auto"/>
                <w:kern w:val="0"/>
                <w:sz w:val="24"/>
                <w:lang w:bidi="ar"/>
              </w:rPr>
              <w:t>1</w:t>
            </w:r>
            <w:r>
              <w:rPr>
                <w:rFonts w:hint="eastAsia" w:ascii="宋体" w:hAnsi="宋体" w:cs="宋体"/>
                <w:b/>
                <w:bCs/>
                <w:color w:val="auto"/>
                <w:kern w:val="0"/>
                <w:sz w:val="24"/>
                <w:lang w:bidi="ar"/>
              </w:rPr>
              <w:t>、废气</w:t>
            </w:r>
            <w:r>
              <w:rPr>
                <w:rFonts w:hint="eastAsia" w:ascii="宋体" w:hAnsi="宋体" w:cs="宋体"/>
                <w:color w:val="auto"/>
                <w:kern w:val="0"/>
                <w:sz w:val="24"/>
                <w:lang w:bidi="ar"/>
              </w:rPr>
              <w:t>：</w:t>
            </w:r>
          </w:p>
          <w:p>
            <w:pPr>
              <w:widowControl/>
              <w:spacing w:line="360" w:lineRule="auto"/>
              <w:ind w:firstLine="480" w:firstLineChars="200"/>
              <w:rPr>
                <w:color w:val="auto"/>
                <w:szCs w:val="21"/>
              </w:rPr>
            </w:pPr>
            <w:r>
              <w:rPr>
                <w:rFonts w:hint="eastAsia" w:ascii="宋体" w:hAnsi="宋体" w:cs="宋体"/>
                <w:color w:val="auto"/>
                <w:kern w:val="0"/>
                <w:sz w:val="24"/>
                <w:lang w:bidi="ar"/>
              </w:rPr>
              <w:t>施工期间施工扬尘排放执行《四川省施工场地扬尘排放标准》（</w:t>
            </w:r>
            <w:r>
              <w:rPr>
                <w:color w:val="auto"/>
                <w:kern w:val="0"/>
                <w:sz w:val="24"/>
                <w:lang w:bidi="ar"/>
              </w:rPr>
              <w:t>DB512682-2020</w:t>
            </w:r>
            <w:r>
              <w:rPr>
                <w:rFonts w:hint="eastAsia" w:ascii="宋体" w:hAnsi="宋体" w:cs="宋体"/>
                <w:color w:val="auto"/>
                <w:kern w:val="0"/>
                <w:sz w:val="24"/>
                <w:lang w:bidi="ar"/>
              </w:rPr>
              <w:t>）中排放限值，具</w:t>
            </w:r>
            <w:r>
              <w:rPr>
                <w:color w:val="auto"/>
                <w:kern w:val="0"/>
                <w:sz w:val="24"/>
                <w:lang w:bidi="ar"/>
              </w:rPr>
              <w:t>体</w:t>
            </w:r>
            <w:r>
              <w:rPr>
                <w:rFonts w:hint="eastAsia"/>
                <w:color w:val="auto"/>
                <w:kern w:val="0"/>
                <w:sz w:val="24"/>
                <w:lang w:bidi="ar"/>
              </w:rPr>
              <w:t>见下表</w:t>
            </w:r>
            <w:r>
              <w:rPr>
                <w:color w:val="auto"/>
                <w:kern w:val="0"/>
                <w:sz w:val="24"/>
                <w:lang w:bidi="ar"/>
              </w:rPr>
              <w:t>；</w:t>
            </w:r>
          </w:p>
          <w:p>
            <w:pPr>
              <w:widowControl/>
              <w:spacing w:line="360" w:lineRule="auto"/>
              <w:jc w:val="center"/>
              <w:rPr>
                <w:b/>
                <w:bCs/>
                <w:color w:val="auto"/>
                <w:szCs w:val="21"/>
              </w:rPr>
            </w:pPr>
            <w:r>
              <w:rPr>
                <w:b/>
                <w:bCs/>
                <w:color w:val="auto"/>
                <w:szCs w:val="21"/>
              </w:rPr>
              <w:t>表3-</w:t>
            </w:r>
            <w:r>
              <w:rPr>
                <w:rFonts w:hint="eastAsia"/>
                <w:b/>
                <w:bCs/>
                <w:color w:val="auto"/>
                <w:szCs w:val="21"/>
                <w:lang w:val="en-US" w:eastAsia="zh-CN"/>
              </w:rPr>
              <w:t>5</w:t>
            </w:r>
            <w:r>
              <w:rPr>
                <w:b/>
                <w:bCs/>
                <w:color w:val="auto"/>
                <w:szCs w:val="21"/>
              </w:rPr>
              <w:t xml:space="preserve"> </w:t>
            </w:r>
            <w:r>
              <w:rPr>
                <w:b/>
                <w:bCs/>
                <w:color w:val="auto"/>
                <w:kern w:val="0"/>
                <w:szCs w:val="21"/>
                <w:lang w:bidi="ar"/>
              </w:rPr>
              <w:t>四川省施工场地扬尘排放限值</w:t>
            </w:r>
          </w:p>
          <w:tbl>
            <w:tblPr>
              <w:tblStyle w:val="36"/>
              <w:tblW w:w="79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077"/>
              <w:gridCol w:w="1380"/>
              <w:gridCol w:w="2490"/>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077" w:type="dxa"/>
                  <w:noWrap w:val="0"/>
                  <w:vAlign w:val="center"/>
                </w:tcPr>
                <w:p>
                  <w:pPr>
                    <w:jc w:val="center"/>
                    <w:rPr>
                      <w:b/>
                      <w:bCs/>
                      <w:color w:val="auto"/>
                      <w:szCs w:val="21"/>
                    </w:rPr>
                  </w:pPr>
                  <w:r>
                    <w:rPr>
                      <w:b/>
                      <w:bCs/>
                      <w:color w:val="auto"/>
                      <w:szCs w:val="21"/>
                    </w:rPr>
                    <w:t>污染物</w:t>
                  </w:r>
                </w:p>
              </w:tc>
              <w:tc>
                <w:tcPr>
                  <w:tcW w:w="1380" w:type="dxa"/>
                  <w:noWrap w:val="0"/>
                  <w:vAlign w:val="center"/>
                </w:tcPr>
                <w:p>
                  <w:pPr>
                    <w:widowControl/>
                    <w:jc w:val="center"/>
                    <w:rPr>
                      <w:b/>
                      <w:bCs/>
                      <w:color w:val="auto"/>
                      <w:szCs w:val="21"/>
                    </w:rPr>
                  </w:pPr>
                  <w:r>
                    <w:rPr>
                      <w:b/>
                      <w:bCs/>
                      <w:color w:val="auto"/>
                      <w:kern w:val="0"/>
                      <w:szCs w:val="21"/>
                      <w:lang w:bidi="ar"/>
                    </w:rPr>
                    <w:t>施工阶段</w:t>
                  </w:r>
                </w:p>
              </w:tc>
              <w:tc>
                <w:tcPr>
                  <w:tcW w:w="2490" w:type="dxa"/>
                  <w:noWrap w:val="0"/>
                  <w:vAlign w:val="center"/>
                </w:tcPr>
                <w:p>
                  <w:pPr>
                    <w:widowControl/>
                    <w:jc w:val="center"/>
                    <w:rPr>
                      <w:b/>
                      <w:bCs/>
                      <w:color w:val="auto"/>
                      <w:szCs w:val="21"/>
                    </w:rPr>
                  </w:pPr>
                  <w:r>
                    <w:rPr>
                      <w:b/>
                      <w:bCs/>
                      <w:color w:val="auto"/>
                      <w:kern w:val="0"/>
                      <w:szCs w:val="21"/>
                      <w:lang w:bidi="ar"/>
                    </w:rPr>
                    <w:t>监测点排放限值</w:t>
                  </w:r>
                </w:p>
                <w:p>
                  <w:pPr>
                    <w:widowControl/>
                    <w:jc w:val="center"/>
                    <w:rPr>
                      <w:b/>
                      <w:bCs/>
                      <w:color w:val="auto"/>
                      <w:szCs w:val="21"/>
                    </w:rPr>
                  </w:pPr>
                  <w:r>
                    <w:rPr>
                      <w:b/>
                      <w:bCs/>
                      <w:color w:val="auto"/>
                      <w:kern w:val="0"/>
                      <w:szCs w:val="21"/>
                      <w:lang w:bidi="ar"/>
                    </w:rPr>
                    <w:t>（μg/m</w:t>
                  </w:r>
                  <w:r>
                    <w:rPr>
                      <w:b/>
                      <w:bCs/>
                      <w:color w:val="auto"/>
                      <w:kern w:val="0"/>
                      <w:szCs w:val="21"/>
                      <w:vertAlign w:val="superscript"/>
                      <w:lang w:bidi="ar"/>
                    </w:rPr>
                    <w:t>3</w:t>
                  </w:r>
                  <w:r>
                    <w:rPr>
                      <w:b/>
                      <w:bCs/>
                      <w:color w:val="auto"/>
                      <w:kern w:val="0"/>
                      <w:szCs w:val="21"/>
                      <w:lang w:bidi="ar"/>
                    </w:rPr>
                    <w:t>）</w:t>
                  </w:r>
                </w:p>
              </w:tc>
              <w:tc>
                <w:tcPr>
                  <w:tcW w:w="2050" w:type="dxa"/>
                  <w:noWrap w:val="0"/>
                  <w:vAlign w:val="center"/>
                </w:tcPr>
                <w:p>
                  <w:pPr>
                    <w:jc w:val="center"/>
                    <w:rPr>
                      <w:b/>
                      <w:bCs/>
                      <w:color w:val="auto"/>
                      <w:szCs w:val="21"/>
                    </w:rPr>
                  </w:pPr>
                  <w:r>
                    <w:rPr>
                      <w:b/>
                      <w:bCs/>
                      <w:color w:val="auto"/>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077" w:type="dxa"/>
                  <w:noWrap w:val="0"/>
                  <w:vAlign w:val="center"/>
                </w:tcPr>
                <w:p>
                  <w:pPr>
                    <w:widowControl/>
                    <w:jc w:val="center"/>
                    <w:rPr>
                      <w:color w:val="auto"/>
                      <w:szCs w:val="21"/>
                    </w:rPr>
                  </w:pPr>
                  <w:r>
                    <w:rPr>
                      <w:color w:val="auto"/>
                      <w:kern w:val="0"/>
                      <w:szCs w:val="21"/>
                      <w:lang w:bidi="ar"/>
                    </w:rPr>
                    <w:t>总悬浮颗粒物（TSP）</w:t>
                  </w:r>
                </w:p>
              </w:tc>
              <w:tc>
                <w:tcPr>
                  <w:tcW w:w="1380" w:type="dxa"/>
                  <w:noWrap w:val="0"/>
                  <w:vAlign w:val="center"/>
                </w:tcPr>
                <w:p>
                  <w:pPr>
                    <w:widowControl/>
                    <w:jc w:val="center"/>
                    <w:rPr>
                      <w:color w:val="auto"/>
                      <w:szCs w:val="21"/>
                    </w:rPr>
                  </w:pPr>
                  <w:r>
                    <w:rPr>
                      <w:color w:val="auto"/>
                      <w:kern w:val="0"/>
                      <w:szCs w:val="21"/>
                      <w:lang w:bidi="ar"/>
                    </w:rPr>
                    <w:t>其他工程阶段</w:t>
                  </w:r>
                </w:p>
              </w:tc>
              <w:tc>
                <w:tcPr>
                  <w:tcW w:w="2490" w:type="dxa"/>
                  <w:noWrap w:val="0"/>
                  <w:vAlign w:val="center"/>
                </w:tcPr>
                <w:p>
                  <w:pPr>
                    <w:jc w:val="center"/>
                    <w:rPr>
                      <w:b/>
                      <w:color w:val="auto"/>
                      <w:szCs w:val="21"/>
                    </w:rPr>
                  </w:pPr>
                  <w:r>
                    <w:rPr>
                      <w:bCs/>
                      <w:color w:val="auto"/>
                      <w:szCs w:val="21"/>
                    </w:rPr>
                    <w:t>250</w:t>
                  </w:r>
                </w:p>
              </w:tc>
              <w:tc>
                <w:tcPr>
                  <w:tcW w:w="2050" w:type="dxa"/>
                  <w:noWrap w:val="0"/>
                  <w:vAlign w:val="center"/>
                </w:tcPr>
                <w:p>
                  <w:pPr>
                    <w:widowControl/>
                    <w:jc w:val="center"/>
                    <w:rPr>
                      <w:color w:val="auto"/>
                      <w:szCs w:val="21"/>
                    </w:rPr>
                  </w:pPr>
                  <w:r>
                    <w:rPr>
                      <w:color w:val="auto"/>
                      <w:kern w:val="0"/>
                      <w:szCs w:val="21"/>
                      <w:lang w:bidi="ar"/>
                    </w:rPr>
                    <w:t>自监测起持续15分钟</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lang w:val="en-US" w:eastAsia="zh-CN" w:bidi="ar"/>
              </w:rPr>
            </w:pPr>
            <w:r>
              <w:rPr>
                <w:rFonts w:hint="eastAsia" w:ascii="宋体" w:hAnsi="宋体" w:eastAsia="宋体" w:cs="宋体"/>
                <w:color w:val="auto"/>
                <w:kern w:val="0"/>
                <w:sz w:val="24"/>
                <w:lang w:val="en-US" w:eastAsia="zh-CN" w:bidi="ar"/>
              </w:rPr>
              <w:t>本项目位于遂宁</w:t>
            </w:r>
            <w:r>
              <w:rPr>
                <w:rFonts w:hint="eastAsia" w:ascii="宋体" w:hAnsi="宋体" w:eastAsia="宋体" w:cs="宋体"/>
                <w:color w:val="auto"/>
                <w:kern w:val="0"/>
                <w:sz w:val="24"/>
                <w:lang w:bidi="ar"/>
              </w:rPr>
              <w:t>成都平原经济区</w:t>
            </w:r>
            <w:r>
              <w:rPr>
                <w:rFonts w:hint="eastAsia" w:ascii="宋体" w:hAnsi="宋体" w:eastAsia="宋体" w:cs="宋体"/>
                <w:color w:val="auto"/>
                <w:kern w:val="0"/>
                <w:sz w:val="24"/>
                <w:lang w:val="en-US" w:eastAsia="zh-CN" w:bidi="ar"/>
              </w:rPr>
              <w:t>，根据国家排放标准中已规定大气污染物特别排放限值或特别控制要求的行业以及锅</w:t>
            </w:r>
            <w:r>
              <w:rPr>
                <w:rFonts w:hint="default" w:ascii="Times New Roman" w:hAnsi="Times New Roman" w:eastAsia="宋体" w:cs="Times New Roman"/>
                <w:color w:val="auto"/>
                <w:kern w:val="0"/>
                <w:sz w:val="24"/>
                <w:lang w:val="en-US" w:eastAsia="zh-CN" w:bidi="ar"/>
              </w:rPr>
              <w:t>炉，新建企业（项目）执行《四川省生态环境厅关于执行大气污染物特别排放限值的公告》[2020年第2号]中相应标准颗粒物、二氧化硫、氮氧化物和挥发性有机物特别排放限值和特别控制要求。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项目</w:t>
            </w:r>
            <w:r>
              <w:rPr>
                <w:rFonts w:hint="eastAsia" w:cs="Times New Roman"/>
                <w:color w:val="auto"/>
                <w:kern w:val="0"/>
                <w:sz w:val="24"/>
                <w:lang w:val="en-US" w:eastAsia="zh-CN" w:bidi="ar"/>
              </w:rPr>
              <w:t>运营</w:t>
            </w:r>
            <w:r>
              <w:rPr>
                <w:rFonts w:hint="default" w:ascii="Times New Roman" w:hAnsi="Times New Roman" w:eastAsia="宋体" w:cs="Times New Roman"/>
                <w:color w:val="auto"/>
                <w:kern w:val="0"/>
                <w:sz w:val="24"/>
                <w:lang w:val="en-US" w:eastAsia="zh-CN" w:bidi="ar"/>
              </w:rPr>
              <w:t>期废气有组织排放执行《工业炉窑大气污染物排放标准》（GB9078-1996）表2中“非金属加热炉”二级标准</w:t>
            </w:r>
            <w:r>
              <w:rPr>
                <w:rFonts w:hint="eastAsia" w:ascii="Times New Roman" w:hAnsi="Times New Roman" w:eastAsia="宋体" w:cs="Times New Roman"/>
                <w:color w:val="auto"/>
                <w:kern w:val="0"/>
                <w:sz w:val="24"/>
                <w:lang w:val="en-US" w:eastAsia="zh-CN" w:bidi="ar"/>
              </w:rPr>
              <w:t>及</w:t>
            </w:r>
            <w:r>
              <w:rPr>
                <w:rFonts w:hint="default" w:ascii="Times New Roman" w:hAnsi="Times New Roman" w:eastAsia="宋体" w:cs="Times New Roman"/>
                <w:color w:val="auto"/>
                <w:kern w:val="0"/>
                <w:sz w:val="24"/>
                <w:lang w:val="en-US" w:eastAsia="zh-CN" w:bidi="ar"/>
              </w:rPr>
              <w:t>《四川省印发工业窑炉大气污染综合治理实施清单》中的标准限值</w:t>
            </w:r>
            <w:r>
              <w:rPr>
                <w:rFonts w:hint="eastAsia" w:ascii="Times New Roman" w:hAnsi="Times New Roman" w:eastAsia="宋体" w:cs="Times New Roman"/>
                <w:color w:val="auto"/>
                <w:kern w:val="0"/>
                <w:sz w:val="24"/>
                <w:lang w:val="en-US" w:eastAsia="zh-CN" w:bidi="ar"/>
              </w:rPr>
              <w:t>，</w:t>
            </w:r>
            <w:r>
              <w:rPr>
                <w:rFonts w:hint="default" w:ascii="Times New Roman" w:hAnsi="Times New Roman" w:eastAsia="宋体" w:cs="Times New Roman"/>
                <w:color w:val="auto"/>
                <w:kern w:val="0"/>
                <w:sz w:val="24"/>
                <w:lang w:val="en-US" w:eastAsia="zh-CN" w:bidi="ar"/>
              </w:rPr>
              <w:t>无组织排放执行《大气污染物综合排放标准》（GB16297-1996）二级排放标准</w:t>
            </w:r>
            <w:r>
              <w:rPr>
                <w:rFonts w:hint="eastAsia" w:ascii="Times New Roman" w:hAnsi="Times New Roman" w:eastAsia="宋体" w:cs="Times New Roman"/>
                <w:color w:val="auto"/>
                <w:kern w:val="0"/>
                <w:sz w:val="24"/>
                <w:lang w:val="en-US" w:eastAsia="zh-CN" w:bidi="ar"/>
              </w:rPr>
              <w:t>。</w:t>
            </w:r>
          </w:p>
          <w:p>
            <w:pPr>
              <w:pStyle w:val="121"/>
              <w:spacing w:line="360" w:lineRule="auto"/>
              <w:jc w:val="center"/>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表3-</w:t>
            </w:r>
            <w:r>
              <w:rPr>
                <w:rFonts w:hint="eastAsia"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rPr>
              <w:t xml:space="preserve"> </w:t>
            </w:r>
            <w:r>
              <w:rPr>
                <w:rFonts w:hint="default" w:ascii="Times New Roman" w:hAnsi="Times New Roman" w:eastAsia="宋体" w:cs="Times New Roman"/>
                <w:b/>
                <w:bCs/>
                <w:color w:val="auto"/>
                <w:kern w:val="0"/>
                <w:sz w:val="21"/>
                <w:szCs w:val="21"/>
                <w:lang w:val="en-US" w:eastAsia="zh-CN" w:bidi="ar"/>
              </w:rPr>
              <w:t>废气</w:t>
            </w:r>
            <w:r>
              <w:rPr>
                <w:rFonts w:hint="default" w:ascii="Times New Roman" w:hAnsi="Times New Roman" w:cs="Times New Roman"/>
                <w:b/>
                <w:color w:val="auto"/>
                <w:sz w:val="21"/>
                <w:szCs w:val="21"/>
              </w:rPr>
              <w:t>排放标准限值</w:t>
            </w:r>
          </w:p>
          <w:tbl>
            <w:tblPr>
              <w:tblStyle w:val="36"/>
              <w:tblW w:w="80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625"/>
              <w:gridCol w:w="1247"/>
              <w:gridCol w:w="2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5" w:type="dxa"/>
                  <w:vMerge w:val="restart"/>
                  <w:noWrap w:val="0"/>
                  <w:vAlign w:val="center"/>
                </w:tcPr>
                <w:p>
                  <w:pPr>
                    <w:pStyle w:val="189"/>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val="en-US" w:eastAsia="zh-CN"/>
                    </w:rPr>
                    <w:t>污染物</w:t>
                  </w:r>
                </w:p>
              </w:tc>
              <w:tc>
                <w:tcPr>
                  <w:tcW w:w="2625" w:type="dxa"/>
                  <w:noWrap w:val="0"/>
                  <w:vAlign w:val="center"/>
                </w:tcPr>
                <w:p>
                  <w:pPr>
                    <w:jc w:val="center"/>
                    <w:rPr>
                      <w:rFonts w:hint="default" w:ascii="Times New Roman" w:hAnsi="Times New Roman" w:cs="Times New Roman"/>
                      <w:b/>
                      <w:bCs/>
                      <w:color w:val="auto"/>
                      <w:sz w:val="21"/>
                      <w:szCs w:val="21"/>
                    </w:rPr>
                  </w:pPr>
                  <w:r>
                    <w:rPr>
                      <w:b/>
                      <w:bCs/>
                      <w:color w:val="auto"/>
                      <w:sz w:val="21"/>
                      <w:szCs w:val="21"/>
                    </w:rPr>
                    <w:t>最高允许排放速率</w:t>
                  </w:r>
                  <w:r>
                    <w:rPr>
                      <w:rFonts w:hint="eastAsia"/>
                      <w:b/>
                      <w:bCs/>
                      <w:color w:val="auto"/>
                      <w:sz w:val="21"/>
                      <w:szCs w:val="21"/>
                      <w:lang w:eastAsia="zh-CN"/>
                    </w:rPr>
                    <w:t>（</w:t>
                  </w:r>
                  <w:r>
                    <w:rPr>
                      <w:b/>
                      <w:bCs/>
                      <w:color w:val="auto"/>
                      <w:sz w:val="21"/>
                      <w:szCs w:val="21"/>
                    </w:rPr>
                    <w:t>kg/h</w:t>
                  </w:r>
                  <w:r>
                    <w:rPr>
                      <w:rFonts w:hint="eastAsia"/>
                      <w:b/>
                      <w:bCs/>
                      <w:color w:val="auto"/>
                      <w:sz w:val="21"/>
                      <w:szCs w:val="21"/>
                      <w:lang w:eastAsia="zh-CN"/>
                    </w:rPr>
                    <w:t>）</w:t>
                  </w:r>
                </w:p>
              </w:tc>
              <w:tc>
                <w:tcPr>
                  <w:tcW w:w="1247" w:type="dxa"/>
                  <w:vMerge w:val="restart"/>
                  <w:noWrap w:val="0"/>
                  <w:vAlign w:val="center"/>
                </w:tcPr>
                <w:p>
                  <w:pPr>
                    <w:pStyle w:val="189"/>
                    <w:ind w:firstLine="0" w:firstLineChars="0"/>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特别排放值</w:t>
                  </w:r>
                  <w:r>
                    <w:rPr>
                      <w:rFonts w:hint="default" w:ascii="Times New Roman" w:hAnsi="Times New Roman" w:cs="Times New Roman"/>
                      <w:b/>
                      <w:bCs/>
                      <w:color w:val="auto"/>
                      <w:sz w:val="21"/>
                      <w:szCs w:val="21"/>
                    </w:rPr>
                    <w:t>（mg/m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2626" w:type="dxa"/>
                  <w:vMerge w:val="restart"/>
                  <w:noWrap w:val="0"/>
                  <w:vAlign w:val="center"/>
                </w:tcPr>
                <w:p>
                  <w:pPr>
                    <w:pStyle w:val="189"/>
                    <w:rPr>
                      <w:b/>
                      <w:bCs/>
                      <w:color w:val="auto"/>
                      <w:sz w:val="21"/>
                      <w:szCs w:val="21"/>
                    </w:rPr>
                  </w:pPr>
                  <w:r>
                    <w:rPr>
                      <w:rFonts w:hint="eastAsia"/>
                      <w:b/>
                      <w:bCs/>
                      <w:color w:val="auto"/>
                      <w:sz w:val="21"/>
                      <w:szCs w:val="21"/>
                    </w:rPr>
                    <w:t>无组织</w:t>
                  </w:r>
                  <w:r>
                    <w:rPr>
                      <w:b/>
                      <w:bCs/>
                      <w:color w:val="auto"/>
                      <w:sz w:val="21"/>
                      <w:szCs w:val="21"/>
                    </w:rPr>
                    <w:t>排放浓度</w:t>
                  </w:r>
                  <w:r>
                    <w:rPr>
                      <w:rFonts w:hint="eastAsia"/>
                      <w:b/>
                      <w:bCs/>
                      <w:color w:val="auto"/>
                      <w:sz w:val="21"/>
                      <w:szCs w:val="21"/>
                    </w:rPr>
                    <w:t>（</w:t>
                  </w:r>
                  <w:r>
                    <w:rPr>
                      <w:b/>
                      <w:bCs/>
                      <w:color w:val="auto"/>
                      <w:sz w:val="21"/>
                      <w:szCs w:val="21"/>
                    </w:rPr>
                    <w:t>mg/m</w:t>
                  </w:r>
                  <w:r>
                    <w:rPr>
                      <w:b/>
                      <w:bCs/>
                      <w:color w:val="auto"/>
                      <w:sz w:val="21"/>
                      <w:szCs w:val="21"/>
                      <w:vertAlign w:val="superscript"/>
                    </w:rPr>
                    <w:t>3</w:t>
                  </w:r>
                  <w:r>
                    <w:rPr>
                      <w:rFonts w:hint="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5" w:type="dxa"/>
                  <w:vMerge w:val="continue"/>
                  <w:noWrap w:val="0"/>
                  <w:vAlign w:val="center"/>
                </w:tcPr>
                <w:p>
                  <w:pPr>
                    <w:pStyle w:val="189"/>
                    <w:rPr>
                      <w:color w:val="auto"/>
                    </w:rPr>
                  </w:pPr>
                </w:p>
              </w:tc>
              <w:tc>
                <w:tcPr>
                  <w:tcW w:w="2625" w:type="dxa"/>
                  <w:noWrap w:val="0"/>
                  <w:vAlign w:val="center"/>
                </w:tcPr>
                <w:p>
                  <w:pPr>
                    <w:jc w:val="center"/>
                    <w:rPr>
                      <w:rFonts w:hint="eastAsia" w:ascii="Times New Roman" w:hAnsi="Times New Roman" w:cs="Times New Roman"/>
                      <w:b/>
                      <w:bCs/>
                      <w:color w:val="auto"/>
                      <w:sz w:val="21"/>
                      <w:szCs w:val="21"/>
                      <w:lang w:val="en-US" w:eastAsia="zh-CN"/>
                    </w:rPr>
                  </w:pPr>
                  <w:r>
                    <w:rPr>
                      <w:rFonts w:hint="eastAsia"/>
                      <w:b/>
                      <w:bCs/>
                      <w:color w:val="auto"/>
                      <w:sz w:val="21"/>
                      <w:szCs w:val="21"/>
                    </w:rPr>
                    <w:t>高度</w:t>
                  </w:r>
                  <w:r>
                    <w:rPr>
                      <w:rFonts w:hint="eastAsia"/>
                      <w:b/>
                      <w:bCs/>
                      <w:color w:val="auto"/>
                      <w:sz w:val="21"/>
                      <w:szCs w:val="21"/>
                      <w:lang w:val="en-US" w:eastAsia="zh-CN"/>
                    </w:rPr>
                    <w:t>15</w:t>
                  </w:r>
                  <w:r>
                    <w:rPr>
                      <w:b/>
                      <w:bCs/>
                      <w:color w:val="auto"/>
                      <w:sz w:val="21"/>
                      <w:szCs w:val="21"/>
                    </w:rPr>
                    <w:t>m</w:t>
                  </w:r>
                </w:p>
              </w:tc>
              <w:tc>
                <w:tcPr>
                  <w:tcW w:w="1247" w:type="dxa"/>
                  <w:vMerge w:val="continue"/>
                  <w:noWrap w:val="0"/>
                  <w:vAlign w:val="center"/>
                </w:tcPr>
                <w:p>
                  <w:pPr>
                    <w:pStyle w:val="189"/>
                    <w:rPr>
                      <w:rFonts w:hint="eastAsia" w:ascii="Times New Roman" w:hAnsi="Times New Roman" w:cs="Times New Roman"/>
                      <w:b/>
                      <w:bCs/>
                      <w:color w:val="auto"/>
                      <w:sz w:val="21"/>
                      <w:szCs w:val="21"/>
                      <w:lang w:val="en-US" w:eastAsia="zh-CN"/>
                    </w:rPr>
                  </w:pPr>
                </w:p>
              </w:tc>
              <w:tc>
                <w:tcPr>
                  <w:tcW w:w="2626" w:type="dxa"/>
                  <w:vMerge w:val="continue"/>
                  <w:noWrap w:val="0"/>
                  <w:vAlign w:val="center"/>
                </w:tcPr>
                <w:p>
                  <w:pPr>
                    <w:pStyle w:val="189"/>
                    <w:rPr>
                      <w:rFonts w:hint="eastAsia" w:ascii="Times New Roman" w:hAnsi="Times New Roman" w:cs="Times New Roman"/>
                      <w:b/>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5" w:type="dxa"/>
                  <w:noWrap w:val="0"/>
                  <w:vAlign w:val="center"/>
                </w:tcPr>
                <w:p>
                  <w:pPr>
                    <w:pStyle w:val="18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烟尘（颗粒物）</w:t>
                  </w:r>
                </w:p>
              </w:tc>
              <w:tc>
                <w:tcPr>
                  <w:tcW w:w="2625" w:type="dxa"/>
                  <w:noWrap w:val="0"/>
                  <w:vAlign w:val="center"/>
                </w:tcPr>
                <w:p>
                  <w:pPr>
                    <w:pStyle w:val="189"/>
                    <w:ind w:firstLine="0" w:firstLineChars="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1247" w:type="dxa"/>
                  <w:noWrap w:val="0"/>
                  <w:vAlign w:val="center"/>
                </w:tcPr>
                <w:p>
                  <w:pPr>
                    <w:pStyle w:val="189"/>
                    <w:ind w:firstLine="0" w:firstLineChars="0"/>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w:t>
                  </w:r>
                </w:p>
              </w:tc>
              <w:tc>
                <w:tcPr>
                  <w:tcW w:w="2626" w:type="dxa"/>
                  <w:noWrap w:val="0"/>
                  <w:vAlign w:val="center"/>
                </w:tcPr>
                <w:p>
                  <w:pPr>
                    <w:pStyle w:val="189"/>
                    <w:ind w:firstLine="0" w:firstLineChars="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5" w:type="dxa"/>
                  <w:noWrap w:val="0"/>
                  <w:vAlign w:val="center"/>
                </w:tcPr>
                <w:p>
                  <w:pPr>
                    <w:pStyle w:val="18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2</w:t>
                  </w:r>
                </w:p>
              </w:tc>
              <w:tc>
                <w:tcPr>
                  <w:tcW w:w="2625" w:type="dxa"/>
                  <w:noWrap w:val="0"/>
                  <w:vAlign w:val="center"/>
                </w:tcPr>
                <w:p>
                  <w:pPr>
                    <w:pStyle w:val="189"/>
                    <w:ind w:firstLine="0" w:firstLineChars="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247" w:type="dxa"/>
                  <w:noWrap w:val="0"/>
                  <w:vAlign w:val="center"/>
                </w:tcPr>
                <w:p>
                  <w:pPr>
                    <w:pStyle w:val="189"/>
                    <w:ind w:firstLine="0" w:firstLineChars="0"/>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200</w:t>
                  </w:r>
                </w:p>
              </w:tc>
              <w:tc>
                <w:tcPr>
                  <w:tcW w:w="2626" w:type="dxa"/>
                  <w:noWrap w:val="0"/>
                  <w:vAlign w:val="center"/>
                </w:tcPr>
                <w:p>
                  <w:pPr>
                    <w:pStyle w:val="189"/>
                    <w:ind w:firstLine="0" w:firstLineChars="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15" w:type="dxa"/>
                  <w:noWrap w:val="0"/>
                  <w:vAlign w:val="center"/>
                </w:tcPr>
                <w:p>
                  <w:pPr>
                    <w:pStyle w:val="18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NOx</w:t>
                  </w:r>
                </w:p>
              </w:tc>
              <w:tc>
                <w:tcPr>
                  <w:tcW w:w="2625" w:type="dxa"/>
                  <w:noWrap w:val="0"/>
                  <w:vAlign w:val="center"/>
                </w:tcPr>
                <w:p>
                  <w:pPr>
                    <w:pStyle w:val="189"/>
                    <w:ind w:firstLine="0" w:firstLineChars="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247" w:type="dxa"/>
                  <w:noWrap w:val="0"/>
                  <w:vAlign w:val="center"/>
                </w:tcPr>
                <w:p>
                  <w:pPr>
                    <w:pStyle w:val="189"/>
                    <w:ind w:firstLine="0" w:firstLineChars="0"/>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300</w:t>
                  </w:r>
                </w:p>
              </w:tc>
              <w:tc>
                <w:tcPr>
                  <w:tcW w:w="2626" w:type="dxa"/>
                  <w:noWrap w:val="0"/>
                  <w:vAlign w:val="center"/>
                </w:tcPr>
                <w:p>
                  <w:pPr>
                    <w:pStyle w:val="189"/>
                    <w:ind w:firstLine="0" w:firstLineChars="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515" w:type="dxa"/>
                  <w:noWrap w:val="0"/>
                  <w:vAlign w:val="center"/>
                </w:tcPr>
                <w:p>
                  <w:pPr>
                    <w:pStyle w:val="18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烟气黑度（林格曼级）</w:t>
                  </w:r>
                </w:p>
              </w:tc>
              <w:tc>
                <w:tcPr>
                  <w:tcW w:w="3872" w:type="dxa"/>
                  <w:gridSpan w:val="2"/>
                  <w:noWrap w:val="0"/>
                  <w:vAlign w:val="center"/>
                </w:tcPr>
                <w:p>
                  <w:pPr>
                    <w:pStyle w:val="189"/>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2626" w:type="dxa"/>
                  <w:noWrap w:val="0"/>
                  <w:vAlign w:val="center"/>
                </w:tcPr>
                <w:p>
                  <w:pPr>
                    <w:pStyle w:val="189"/>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r>
          </w:tbl>
          <w:p>
            <w:pPr>
              <w:pStyle w:val="27"/>
              <w:spacing w:line="360" w:lineRule="auto"/>
              <w:ind w:firstLine="482" w:firstLineChars="200"/>
              <w:jc w:val="both"/>
              <w:rPr>
                <w:b/>
                <w:bCs/>
                <w:color w:val="auto"/>
                <w:sz w:val="24"/>
                <w:szCs w:val="24"/>
              </w:rPr>
            </w:pPr>
            <w:r>
              <w:rPr>
                <w:b/>
                <w:bCs/>
                <w:color w:val="auto"/>
                <w:sz w:val="24"/>
                <w:szCs w:val="24"/>
              </w:rPr>
              <w:t>2、废水</w:t>
            </w:r>
          </w:p>
          <w:p>
            <w:pPr>
              <w:tabs>
                <w:tab w:val="left" w:pos="2592"/>
              </w:tabs>
              <w:spacing w:line="360" w:lineRule="auto"/>
              <w:ind w:firstLine="470" w:firstLineChars="196"/>
              <w:rPr>
                <w:rFonts w:ascii="Times New Roman" w:hAnsi="Times New Roman" w:eastAsia="宋体" w:cs="Times New Roman"/>
                <w:color w:val="auto"/>
                <w:sz w:val="24"/>
              </w:rPr>
            </w:pPr>
            <w:r>
              <w:rPr>
                <w:rFonts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废水</w:t>
            </w:r>
            <w:r>
              <w:rPr>
                <w:rFonts w:ascii="Times New Roman" w:hAnsi="Times New Roman" w:eastAsia="宋体" w:cs="Times New Roman"/>
                <w:color w:val="auto"/>
                <w:sz w:val="24"/>
              </w:rPr>
              <w:t>执行《污水综合排放标准》（GB8978－1996）表4中三级标准，具体见下表。</w:t>
            </w:r>
          </w:p>
          <w:p>
            <w:pPr>
              <w:tabs>
                <w:tab w:val="left" w:pos="2592"/>
              </w:tabs>
              <w:spacing w:line="360" w:lineRule="auto"/>
              <w:jc w:val="center"/>
              <w:rPr>
                <w:b/>
                <w:bCs/>
                <w:color w:val="auto"/>
                <w:sz w:val="21"/>
                <w:szCs w:val="21"/>
              </w:rPr>
            </w:pPr>
            <w:r>
              <w:rPr>
                <w:b/>
                <w:bCs/>
                <w:color w:val="auto"/>
                <w:sz w:val="21"/>
                <w:szCs w:val="21"/>
              </w:rPr>
              <w:t>表3-</w:t>
            </w:r>
            <w:r>
              <w:rPr>
                <w:rFonts w:hint="eastAsia"/>
                <w:b/>
                <w:bCs/>
                <w:color w:val="auto"/>
                <w:sz w:val="21"/>
                <w:szCs w:val="21"/>
                <w:lang w:val="en-US" w:eastAsia="zh-CN"/>
              </w:rPr>
              <w:t xml:space="preserve">7 </w:t>
            </w:r>
            <w:r>
              <w:rPr>
                <w:rFonts w:hint="eastAsia"/>
                <w:b/>
                <w:bCs/>
                <w:color w:val="auto"/>
                <w:sz w:val="21"/>
                <w:szCs w:val="21"/>
              </w:rPr>
              <w:t>项目废水</w:t>
            </w:r>
            <w:r>
              <w:rPr>
                <w:b/>
                <w:bCs/>
                <w:color w:val="auto"/>
                <w:sz w:val="21"/>
                <w:szCs w:val="21"/>
              </w:rPr>
              <w:t>排放标准</w:t>
            </w:r>
          </w:p>
          <w:tbl>
            <w:tblPr>
              <w:tblStyle w:val="37"/>
              <w:tblW w:w="79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835"/>
              <w:gridCol w:w="835"/>
              <w:gridCol w:w="835"/>
              <w:gridCol w:w="835"/>
              <w:gridCol w:w="835"/>
              <w:gridCol w:w="835"/>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9"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pH</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COD</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氨氮</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石油类</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SS</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9"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《污水综合排放标准》（GB8978－1996）表4中三级标准限值</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6-9</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500</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45*</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300</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w:t>
                  </w:r>
                </w:p>
              </w:tc>
              <w:tc>
                <w:tcPr>
                  <w:tcW w:w="835" w:type="dxa"/>
                  <w:noWrap w:val="0"/>
                  <w:vAlign w:val="center"/>
                </w:tcPr>
                <w:p>
                  <w:pPr>
                    <w:pStyle w:val="11"/>
                    <w:keepNext w:val="0"/>
                    <w:keepLines w:val="0"/>
                    <w:pageBreakBefore w:val="0"/>
                    <w:widowControl/>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400</w:t>
                  </w:r>
                </w:p>
              </w:tc>
              <w:tc>
                <w:tcPr>
                  <w:tcW w:w="835" w:type="dxa"/>
                  <w:noWrap w:val="0"/>
                  <w:vAlign w:val="center"/>
                </w:tcPr>
                <w:p>
                  <w:pPr>
                    <w:keepNext w:val="0"/>
                    <w:keepLines w:val="0"/>
                    <w:pageBreakBefore w:val="0"/>
                    <w:widowControl/>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74" w:type="dxa"/>
                  <w:gridSpan w:val="8"/>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both"/>
                    <w:textAlignment w:val="auto"/>
                    <w:rPr>
                      <w:rFonts w:hint="default" w:ascii="Times New Roman" w:hAnsi="Times New Roman" w:eastAsia="宋体" w:cs="Times New Roman"/>
                      <w:b w:val="0"/>
                      <w:bCs w:val="0"/>
                      <w:color w:val="auto"/>
                      <w:sz w:val="21"/>
                      <w:szCs w:val="21"/>
                      <w:vertAlign w:val="baseline"/>
                      <w:lang w:val="en-US"/>
                    </w:rPr>
                  </w:pPr>
                  <w:r>
                    <w:rPr>
                      <w:rFonts w:hint="eastAsia" w:ascii="宋体" w:hAnsi="宋体" w:eastAsia="宋体" w:cs="宋体"/>
                      <w:b w:val="0"/>
                      <w:bCs w:val="0"/>
                      <w:color w:val="auto"/>
                      <w:kern w:val="0"/>
                      <w:sz w:val="21"/>
                      <w:szCs w:val="21"/>
                      <w:lang w:val="en-US" w:eastAsia="zh-CN" w:bidi="ar"/>
                    </w:rPr>
                    <w:t>注</w:t>
                  </w:r>
                  <w:r>
                    <w:rPr>
                      <w:rFonts w:hint="default" w:ascii="Times New Roman" w:hAnsi="Times New Roman" w:eastAsia="宋体" w:cs="Times New Roman"/>
                      <w:b w:val="0"/>
                      <w:bCs w:val="0"/>
                      <w:color w:val="auto"/>
                      <w:sz w:val="21"/>
                      <w:szCs w:val="21"/>
                      <w:vertAlign w:val="baseline"/>
                      <w:lang w:val="en-US" w:eastAsia="zh-CN"/>
                    </w:rPr>
                    <w:t>*</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氨氮、总磷</w:t>
                  </w:r>
                  <w:r>
                    <w:rPr>
                      <w:rFonts w:hint="eastAsia" w:ascii="Times New Roman" w:hAnsi="Times New Roman" w:eastAsia="宋体" w:cs="Times New Roman"/>
                      <w:b w:val="0"/>
                      <w:bCs w:val="0"/>
                      <w:color w:val="auto"/>
                      <w:kern w:val="0"/>
                      <w:sz w:val="21"/>
                      <w:szCs w:val="21"/>
                      <w:lang w:val="en-US" w:eastAsia="zh-CN" w:bidi="ar"/>
                    </w:rPr>
                    <w:t>参照执行</w:t>
                  </w:r>
                  <w:r>
                    <w:rPr>
                      <w:rFonts w:hint="default" w:ascii="Times New Roman" w:hAnsi="Times New Roman" w:eastAsia="宋体" w:cs="Times New Roman"/>
                      <w:b w:val="0"/>
                      <w:bCs w:val="0"/>
                      <w:color w:val="auto"/>
                      <w:kern w:val="0"/>
                      <w:sz w:val="21"/>
                      <w:szCs w:val="21"/>
                      <w:lang w:val="en-US" w:eastAsia="zh-CN" w:bidi="ar"/>
                    </w:rPr>
                    <w:t>《污水排入城镇下水道水质标准》（GB/T3 1962-2015）B级标准</w:t>
                  </w:r>
                </w:p>
              </w:tc>
            </w:tr>
          </w:tbl>
          <w:p>
            <w:pPr>
              <w:tabs>
                <w:tab w:val="left" w:pos="2592"/>
              </w:tabs>
              <w:spacing w:line="360" w:lineRule="auto"/>
              <w:ind w:firstLine="472" w:firstLineChars="196"/>
              <w:rPr>
                <w:b/>
                <w:bCs/>
                <w:color w:val="auto"/>
                <w:sz w:val="24"/>
              </w:rPr>
            </w:pPr>
            <w:r>
              <w:rPr>
                <w:b/>
                <w:bCs/>
                <w:color w:val="auto"/>
                <w:sz w:val="24"/>
              </w:rPr>
              <w:t>3</w:t>
            </w:r>
            <w:r>
              <w:rPr>
                <w:rFonts w:hint="eastAsia"/>
                <w:b/>
                <w:bCs/>
                <w:color w:val="auto"/>
                <w:sz w:val="24"/>
              </w:rPr>
              <w:t>、</w:t>
            </w:r>
            <w:r>
              <w:rPr>
                <w:b/>
                <w:bCs/>
                <w:color w:val="auto"/>
                <w:sz w:val="24"/>
              </w:rPr>
              <w:t>噪声</w:t>
            </w:r>
          </w:p>
          <w:p>
            <w:pPr>
              <w:tabs>
                <w:tab w:val="left" w:pos="2592"/>
              </w:tabs>
              <w:spacing w:line="360" w:lineRule="auto"/>
              <w:ind w:firstLine="470" w:firstLineChars="196"/>
              <w:rPr>
                <w:rFonts w:hint="eastAsia"/>
                <w:color w:val="auto"/>
                <w:sz w:val="24"/>
              </w:rPr>
            </w:pPr>
            <w:r>
              <w:rPr>
                <w:color w:val="auto"/>
                <w:sz w:val="24"/>
              </w:rPr>
              <w:t>施工期噪声执行《建筑施工场界</w:t>
            </w:r>
            <w:r>
              <w:rPr>
                <w:rFonts w:hint="eastAsia"/>
                <w:color w:val="auto"/>
                <w:sz w:val="24"/>
              </w:rPr>
              <w:t>环境</w:t>
            </w:r>
            <w:r>
              <w:rPr>
                <w:color w:val="auto"/>
                <w:sz w:val="24"/>
              </w:rPr>
              <w:t>噪声排放标准》（GB12523-2011）；</w:t>
            </w:r>
            <w:r>
              <w:rPr>
                <w:rFonts w:hint="eastAsia"/>
                <w:color w:val="auto"/>
                <w:sz w:val="24"/>
                <w:lang w:val="en-US" w:eastAsia="zh-CN"/>
              </w:rPr>
              <w:t>运营期噪声</w:t>
            </w:r>
            <w:r>
              <w:rPr>
                <w:rFonts w:hint="eastAsia"/>
                <w:color w:val="auto"/>
                <w:sz w:val="24"/>
              </w:rPr>
              <w:t>执行</w:t>
            </w:r>
            <w:r>
              <w:rPr>
                <w:color w:val="auto"/>
                <w:sz w:val="24"/>
              </w:rPr>
              <w:t>《工业企业厂界环境噪声排放标准》（GB12348-2008）</w:t>
            </w:r>
            <w:r>
              <w:rPr>
                <w:rFonts w:hint="eastAsia"/>
                <w:color w:val="auto"/>
                <w:sz w:val="24"/>
              </w:rPr>
              <w:t>3</w:t>
            </w:r>
            <w:r>
              <w:rPr>
                <w:color w:val="auto"/>
                <w:sz w:val="24"/>
              </w:rPr>
              <w:t>类标准〔昼间</w:t>
            </w:r>
            <w:r>
              <w:rPr>
                <w:rFonts w:hint="eastAsia"/>
                <w:color w:val="auto"/>
                <w:sz w:val="24"/>
              </w:rPr>
              <w:t>65</w:t>
            </w:r>
            <w:r>
              <w:rPr>
                <w:color w:val="auto"/>
                <w:sz w:val="24"/>
              </w:rPr>
              <w:t>dB</w:t>
            </w:r>
            <w:r>
              <w:rPr>
                <w:rFonts w:hint="eastAsia"/>
                <w:color w:val="auto"/>
                <w:sz w:val="24"/>
              </w:rPr>
              <w:t>（</w:t>
            </w:r>
            <w:r>
              <w:rPr>
                <w:color w:val="auto"/>
                <w:sz w:val="24"/>
              </w:rPr>
              <w:t>A</w:t>
            </w:r>
            <w:r>
              <w:rPr>
                <w:rFonts w:hint="eastAsia"/>
                <w:color w:val="auto"/>
                <w:sz w:val="24"/>
              </w:rPr>
              <w:t>）</w:t>
            </w:r>
            <w:r>
              <w:rPr>
                <w:color w:val="auto"/>
                <w:sz w:val="24"/>
              </w:rPr>
              <w:t>〕。</w:t>
            </w:r>
          </w:p>
          <w:p>
            <w:pPr>
              <w:tabs>
                <w:tab w:val="left" w:pos="2592"/>
              </w:tabs>
              <w:spacing w:line="360" w:lineRule="auto"/>
              <w:jc w:val="center"/>
              <w:rPr>
                <w:b/>
                <w:color w:val="auto"/>
                <w:szCs w:val="21"/>
              </w:rPr>
            </w:pPr>
            <w:r>
              <w:rPr>
                <w:b/>
                <w:bCs/>
                <w:color w:val="auto"/>
                <w:szCs w:val="21"/>
              </w:rPr>
              <w:t>表3-</w:t>
            </w:r>
            <w:r>
              <w:rPr>
                <w:rFonts w:hint="eastAsia"/>
                <w:b/>
                <w:bCs/>
                <w:color w:val="auto"/>
                <w:szCs w:val="21"/>
                <w:lang w:val="en-US" w:eastAsia="zh-CN"/>
              </w:rPr>
              <w:t>8</w:t>
            </w:r>
            <w:r>
              <w:rPr>
                <w:b/>
                <w:color w:val="auto"/>
                <w:szCs w:val="21"/>
              </w:rPr>
              <w:t xml:space="preserve"> 项目噪声排放标准   </w:t>
            </w:r>
            <w:r>
              <w:rPr>
                <w:rFonts w:hint="eastAsia"/>
                <w:b/>
                <w:color w:val="auto"/>
                <w:szCs w:val="21"/>
              </w:rPr>
              <w:t xml:space="preserve">    </w:t>
            </w:r>
            <w:r>
              <w:rPr>
                <w:b/>
                <w:color w:val="auto"/>
                <w:szCs w:val="21"/>
              </w:rPr>
              <w:t xml:space="preserve"> 单位：dB（A）</w:t>
            </w:r>
          </w:p>
          <w:tbl>
            <w:tblPr>
              <w:tblStyle w:val="36"/>
              <w:tblW w:w="79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5"/>
              <w:gridCol w:w="1972"/>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35" w:type="dxa"/>
                  <w:noWrap w:val="0"/>
                  <w:vAlign w:val="center"/>
                </w:tcPr>
                <w:p>
                  <w:pPr>
                    <w:jc w:val="center"/>
                    <w:rPr>
                      <w:b/>
                      <w:color w:val="auto"/>
                      <w:szCs w:val="21"/>
                    </w:rPr>
                  </w:pPr>
                  <w:r>
                    <w:rPr>
                      <w:b/>
                      <w:color w:val="auto"/>
                      <w:szCs w:val="21"/>
                    </w:rPr>
                    <w:t>标准</w:t>
                  </w:r>
                </w:p>
              </w:tc>
              <w:tc>
                <w:tcPr>
                  <w:tcW w:w="1972" w:type="dxa"/>
                  <w:noWrap w:val="0"/>
                  <w:vAlign w:val="center"/>
                </w:tcPr>
                <w:p>
                  <w:pPr>
                    <w:jc w:val="center"/>
                    <w:rPr>
                      <w:b/>
                      <w:color w:val="auto"/>
                      <w:szCs w:val="21"/>
                    </w:rPr>
                  </w:pPr>
                  <w:r>
                    <w:rPr>
                      <w:b/>
                      <w:color w:val="auto"/>
                      <w:szCs w:val="21"/>
                    </w:rPr>
                    <w:t>昼间</w:t>
                  </w:r>
                </w:p>
              </w:tc>
              <w:tc>
                <w:tcPr>
                  <w:tcW w:w="1972" w:type="dxa"/>
                  <w:noWrap w:val="0"/>
                  <w:vAlign w:val="center"/>
                </w:tcPr>
                <w:p>
                  <w:pPr>
                    <w:jc w:val="center"/>
                    <w:rPr>
                      <w:b/>
                      <w:color w:val="auto"/>
                      <w:szCs w:val="21"/>
                    </w:rPr>
                  </w:pPr>
                  <w:r>
                    <w:rPr>
                      <w:b/>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35" w:type="dxa"/>
                  <w:noWrap w:val="0"/>
                  <w:vAlign w:val="center"/>
                </w:tcPr>
                <w:p>
                  <w:pPr>
                    <w:jc w:val="center"/>
                    <w:rPr>
                      <w:bCs/>
                      <w:color w:val="auto"/>
                      <w:szCs w:val="21"/>
                    </w:rPr>
                  </w:pPr>
                  <w:r>
                    <w:rPr>
                      <w:bCs/>
                      <w:color w:val="auto"/>
                      <w:szCs w:val="21"/>
                    </w:rPr>
                    <w:t>建筑施工场界环境噪声排放标准</w:t>
                  </w:r>
                </w:p>
              </w:tc>
              <w:tc>
                <w:tcPr>
                  <w:tcW w:w="1972" w:type="dxa"/>
                  <w:noWrap w:val="0"/>
                  <w:vAlign w:val="center"/>
                </w:tcPr>
                <w:p>
                  <w:pPr>
                    <w:jc w:val="center"/>
                    <w:rPr>
                      <w:bCs/>
                      <w:color w:val="auto"/>
                      <w:szCs w:val="21"/>
                    </w:rPr>
                  </w:pPr>
                  <w:r>
                    <w:rPr>
                      <w:bCs/>
                      <w:color w:val="auto"/>
                      <w:szCs w:val="21"/>
                    </w:rPr>
                    <w:t>70</w:t>
                  </w:r>
                </w:p>
              </w:tc>
              <w:tc>
                <w:tcPr>
                  <w:tcW w:w="1972" w:type="dxa"/>
                  <w:noWrap w:val="0"/>
                  <w:vAlign w:val="center"/>
                </w:tcPr>
                <w:p>
                  <w:pPr>
                    <w:jc w:val="center"/>
                    <w:rPr>
                      <w:bCs/>
                      <w:color w:val="auto"/>
                      <w:szCs w:val="21"/>
                    </w:rPr>
                  </w:pPr>
                  <w:r>
                    <w:rPr>
                      <w:bCs/>
                      <w:color w:val="auto"/>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035" w:type="dxa"/>
                  <w:noWrap w:val="0"/>
                  <w:vAlign w:val="center"/>
                </w:tcPr>
                <w:p>
                  <w:pPr>
                    <w:jc w:val="center"/>
                    <w:rPr>
                      <w:bCs/>
                      <w:color w:val="auto"/>
                      <w:szCs w:val="21"/>
                    </w:rPr>
                  </w:pPr>
                  <w:r>
                    <w:rPr>
                      <w:color w:val="auto"/>
                      <w:szCs w:val="21"/>
                    </w:rPr>
                    <w:t>《工业企业厂界环境噪声排放标准》（GB12348-2008）</w:t>
                  </w:r>
                  <w:r>
                    <w:rPr>
                      <w:rFonts w:hint="eastAsia"/>
                      <w:color w:val="auto"/>
                      <w:szCs w:val="21"/>
                    </w:rPr>
                    <w:t>3</w:t>
                  </w:r>
                  <w:r>
                    <w:rPr>
                      <w:color w:val="auto"/>
                      <w:szCs w:val="21"/>
                    </w:rPr>
                    <w:t>类</w:t>
                  </w:r>
                </w:p>
              </w:tc>
              <w:tc>
                <w:tcPr>
                  <w:tcW w:w="1972" w:type="dxa"/>
                  <w:noWrap w:val="0"/>
                  <w:vAlign w:val="center"/>
                </w:tcPr>
                <w:p>
                  <w:pPr>
                    <w:jc w:val="center"/>
                    <w:rPr>
                      <w:bCs/>
                      <w:color w:val="auto"/>
                      <w:szCs w:val="21"/>
                    </w:rPr>
                  </w:pPr>
                  <w:r>
                    <w:rPr>
                      <w:rFonts w:hint="eastAsia"/>
                      <w:bCs/>
                      <w:color w:val="auto"/>
                      <w:szCs w:val="21"/>
                    </w:rPr>
                    <w:t>65</w:t>
                  </w:r>
                </w:p>
              </w:tc>
              <w:tc>
                <w:tcPr>
                  <w:tcW w:w="1972" w:type="dxa"/>
                  <w:noWrap w:val="0"/>
                  <w:vAlign w:val="center"/>
                </w:tcPr>
                <w:p>
                  <w:pPr>
                    <w:jc w:val="center"/>
                    <w:rPr>
                      <w:rFonts w:hint="eastAsia"/>
                      <w:bCs/>
                      <w:color w:val="auto"/>
                      <w:szCs w:val="21"/>
                    </w:rPr>
                  </w:pPr>
                  <w:r>
                    <w:rPr>
                      <w:rFonts w:hint="eastAsia"/>
                      <w:bCs/>
                      <w:color w:val="auto"/>
                      <w:szCs w:val="21"/>
                    </w:rPr>
                    <w:t>55</w:t>
                  </w:r>
                </w:p>
              </w:tc>
            </w:tr>
          </w:tbl>
          <w:p>
            <w:pPr>
              <w:tabs>
                <w:tab w:val="left" w:pos="2592"/>
              </w:tabs>
              <w:spacing w:line="360" w:lineRule="auto"/>
              <w:ind w:firstLine="482" w:firstLineChars="200"/>
              <w:rPr>
                <w:b/>
                <w:bCs/>
                <w:color w:val="auto"/>
                <w:sz w:val="24"/>
              </w:rPr>
            </w:pPr>
            <w:r>
              <w:rPr>
                <w:b/>
                <w:bCs/>
                <w:color w:val="auto"/>
                <w:sz w:val="24"/>
              </w:rPr>
              <w:t>4</w:t>
            </w:r>
            <w:r>
              <w:rPr>
                <w:rFonts w:hint="eastAsia"/>
                <w:b/>
                <w:bCs/>
                <w:color w:val="auto"/>
                <w:sz w:val="24"/>
              </w:rPr>
              <w:t>、</w:t>
            </w:r>
            <w:r>
              <w:rPr>
                <w:b/>
                <w:bCs/>
                <w:color w:val="auto"/>
                <w:sz w:val="24"/>
              </w:rPr>
              <w:t>固体废物</w:t>
            </w:r>
          </w:p>
          <w:p>
            <w:pPr>
              <w:pStyle w:val="141"/>
              <w:ind w:firstLine="480"/>
              <w:rPr>
                <w:rFonts w:hAnsi="宋体"/>
                <w:color w:val="auto"/>
                <w:szCs w:val="21"/>
              </w:rPr>
            </w:pPr>
            <w:r>
              <w:rPr>
                <w:rFonts w:ascii="Times New Roman" w:cs="Times New Roman"/>
                <w:color w:val="auto"/>
                <w:szCs w:val="24"/>
              </w:rPr>
              <w:t>项目</w:t>
            </w:r>
            <w:r>
              <w:rPr>
                <w:rFonts w:hint="eastAsia" w:ascii="Times New Roman" w:cs="Times New Roman"/>
                <w:color w:val="auto"/>
                <w:szCs w:val="24"/>
              </w:rPr>
              <w:t>一般工业固废采用库房、包装工具（罐、桶、包装袋等）贮存一般工业固体废物过程的污染控制，其贮存过程应满足相应防渗漏、防雨淋、防扬尘等环境保护要求</w:t>
            </w:r>
            <w:r>
              <w:rPr>
                <w:rFonts w:ascii="Times New Roman" w:cs="Times New Roman"/>
                <w:color w:val="auto"/>
                <w:szCs w:val="24"/>
              </w:rPr>
              <w:t>；危险废物处置执行</w:t>
            </w:r>
            <w:r>
              <w:rPr>
                <w:rFonts w:hint="eastAsia" w:ascii="Times New Roman" w:cs="Times New Roman"/>
                <w:color w:val="auto"/>
                <w:szCs w:val="24"/>
              </w:rPr>
              <w:t>《危险废物贮存污染控制标准》（GB18597-2023）相关</w:t>
            </w:r>
            <w:r>
              <w:rPr>
                <w:rFonts w:ascii="Times New Roman" w:cs="Times New Roman"/>
                <w:color w:val="auto"/>
                <w:szCs w:val="24"/>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925" w:hRule="atLeast"/>
          <w:jc w:val="center"/>
        </w:trPr>
        <w:tc>
          <w:tcPr>
            <w:tcW w:w="800" w:type="dxa"/>
            <w:noWrap w:val="0"/>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190" w:type="dxa"/>
            <w:noWrap w:val="0"/>
            <w:vAlign w:val="center"/>
          </w:tcPr>
          <w:p>
            <w:pPr>
              <w:widowControl/>
              <w:spacing w:line="360" w:lineRule="auto"/>
              <w:ind w:firstLine="480" w:firstLineChars="200"/>
              <w:rPr>
                <w:rFonts w:hint="eastAsia" w:ascii="Times New Roman" w:hAnsi="Times New Roman" w:eastAsia="宋体" w:cs="Times New Roman"/>
                <w:color w:val="auto"/>
                <w:kern w:val="0"/>
                <w:sz w:val="24"/>
                <w:lang w:bidi="ar"/>
              </w:rPr>
            </w:pPr>
            <w:r>
              <w:rPr>
                <w:rFonts w:hint="eastAsia" w:ascii="Times New Roman" w:hAnsi="Times New Roman"/>
                <w:color w:val="auto"/>
                <w:kern w:val="0"/>
                <w:sz w:val="24"/>
                <w:lang w:bidi="ar"/>
              </w:rPr>
              <w:t>结合本项目污染物排放特点，</w:t>
            </w:r>
            <w:r>
              <w:rPr>
                <w:rFonts w:hint="default" w:ascii="Times New Roman" w:hAnsi="Times New Roman" w:cs="Times New Roman"/>
                <w:color w:val="auto"/>
                <w:kern w:val="0"/>
                <w:sz w:val="24"/>
                <w:lang w:bidi="ar"/>
              </w:rPr>
              <w:t>本评价确定的污染物排放总量控制因子为：</w:t>
            </w:r>
            <w:r>
              <w:rPr>
                <w:rFonts w:hint="default" w:ascii="Times New Roman" w:hAnsi="Times New Roman" w:cs="Times New Roman"/>
                <w:color w:val="auto"/>
                <w:kern w:val="0"/>
                <w:sz w:val="24"/>
                <w:lang w:val="de-DE" w:eastAsia="zh-CN"/>
              </w:rPr>
              <w:t>COD</w:t>
            </w:r>
            <w:r>
              <w:rPr>
                <w:rFonts w:hint="default" w:ascii="Times New Roman" w:hAnsi="Times New Roman" w:cs="Times New Roman"/>
                <w:color w:val="auto"/>
                <w:kern w:val="0"/>
                <w:sz w:val="24"/>
                <w:lang w:val="de-DE"/>
              </w:rPr>
              <w:t>、NH</w:t>
            </w:r>
            <w:r>
              <w:rPr>
                <w:rFonts w:hint="default" w:ascii="Times New Roman" w:hAnsi="Times New Roman" w:cs="Times New Roman"/>
                <w:color w:val="auto"/>
                <w:kern w:val="0"/>
                <w:sz w:val="24"/>
                <w:vertAlign w:val="subscript"/>
                <w:lang w:val="de-DE"/>
              </w:rPr>
              <w:t>3</w:t>
            </w:r>
            <w:r>
              <w:rPr>
                <w:rFonts w:hint="default" w:ascii="Times New Roman" w:hAnsi="Times New Roman" w:cs="Times New Roman"/>
                <w:color w:val="auto"/>
                <w:kern w:val="0"/>
                <w:sz w:val="24"/>
                <w:lang w:val="de-DE"/>
              </w:rPr>
              <w:t>-N、</w:t>
            </w:r>
            <w:r>
              <w:rPr>
                <w:rFonts w:hint="default" w:ascii="Times New Roman" w:hAnsi="Times New Roman" w:eastAsia="宋体" w:cs="Times New Roman"/>
                <w:color w:val="auto"/>
                <w:kern w:val="0"/>
                <w:sz w:val="24"/>
                <w:lang w:bidi="ar"/>
              </w:rPr>
              <w:t>NO</w:t>
            </w:r>
            <w:r>
              <w:rPr>
                <w:rFonts w:hint="default" w:ascii="Times New Roman" w:hAnsi="Times New Roman" w:eastAsia="宋体" w:cs="Times New Roman"/>
                <w:color w:val="auto"/>
                <w:kern w:val="0"/>
                <w:sz w:val="24"/>
                <w:vertAlign w:val="subscript"/>
                <w:lang w:bidi="ar"/>
              </w:rPr>
              <w:t>X</w:t>
            </w:r>
            <w:r>
              <w:rPr>
                <w:rFonts w:hint="default" w:ascii="Times New Roman" w:hAnsi="Times New Roman" w:cs="Times New Roman"/>
                <w:color w:val="auto"/>
                <w:kern w:val="0"/>
                <w:sz w:val="24"/>
                <w:lang w:val="de-DE"/>
              </w:rPr>
              <w:t>。</w:t>
            </w:r>
          </w:p>
          <w:p>
            <w:pPr>
              <w:widowControl/>
              <w:spacing w:line="360" w:lineRule="auto"/>
              <w:ind w:firstLine="480" w:firstLineChars="200"/>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sz w:val="24"/>
                <w:lang w:eastAsia="zh-CN"/>
              </w:rPr>
              <w:t>本项目</w:t>
            </w:r>
            <w:r>
              <w:rPr>
                <w:rFonts w:hint="eastAsia" w:ascii="Times New Roman" w:hAnsi="Times New Roman" w:eastAsia="宋体" w:cs="Times New Roman"/>
                <w:color w:val="auto"/>
                <w:sz w:val="24"/>
                <w:lang w:val="en-US" w:eastAsia="zh-CN"/>
              </w:rPr>
              <w:t>碱喷淋废水经酸碱中和预处理后，</w:t>
            </w:r>
            <w:r>
              <w:rPr>
                <w:rFonts w:hint="eastAsia" w:cs="Times New Roman"/>
                <w:color w:val="auto"/>
                <w:sz w:val="24"/>
                <w:lang w:val="en-US" w:eastAsia="zh-CN"/>
              </w:rPr>
              <w:t>和</w:t>
            </w:r>
            <w:r>
              <w:rPr>
                <w:rFonts w:hint="eastAsia" w:ascii="Times New Roman" w:hAnsi="Times New Roman" w:eastAsia="宋体" w:cs="Times New Roman"/>
                <w:color w:val="auto"/>
                <w:sz w:val="24"/>
                <w:lang w:val="en-US" w:eastAsia="zh-CN"/>
              </w:rPr>
              <w:t>生活污水一起排入四川翔丰华新能源材料有限公司已建4#预处理池处理</w:t>
            </w:r>
            <w:r>
              <w:rPr>
                <w:rFonts w:hint="eastAsia" w:ascii="Times New Roman" w:hAnsi="Times New Roman" w:eastAsia="宋体" w:cs="Times New Roman"/>
                <w:color w:val="auto"/>
                <w:sz w:val="24"/>
                <w:lang w:eastAsia="zh-CN"/>
              </w:rPr>
              <w:t>达到《污水综合排放标准》（GB8978－1996）表4中三级标准限值、《污水排入城镇下水道水质标准》（GB/T31962-2015）表1中B级标准限值后排入</w:t>
            </w:r>
            <w:r>
              <w:rPr>
                <w:rFonts w:hint="eastAsia" w:ascii="Times New Roman" w:hAnsi="Times New Roman" w:eastAsia="宋体" w:cs="Times New Roman"/>
                <w:color w:val="auto"/>
                <w:sz w:val="24"/>
                <w:lang w:val="en-US" w:eastAsia="zh-CN"/>
              </w:rPr>
              <w:t>园区污水管网</w:t>
            </w:r>
            <w:r>
              <w:rPr>
                <w:rFonts w:hint="eastAsia" w:ascii="Times New Roman" w:hAnsi="Times New Roman" w:eastAsia="宋体" w:cs="Times New Roman"/>
                <w:color w:val="auto"/>
                <w:sz w:val="24"/>
                <w:lang w:eastAsia="zh-CN"/>
              </w:rPr>
              <w:t>，再经污水管网排入遂宁金桥新区城市污水处理厂集中处理达到</w:t>
            </w:r>
            <w:r>
              <w:rPr>
                <w:rFonts w:hint="eastAsia" w:ascii="Times New Roman" w:hAnsi="Times New Roman" w:eastAsia="宋体" w:cs="Times New Roman"/>
                <w:color w:val="auto"/>
                <w:sz w:val="24"/>
                <w:lang w:val="en-US" w:eastAsia="zh-CN"/>
              </w:rPr>
              <w:t>《城镇污水处理厂污染物排放标准》（</w:t>
            </w:r>
            <w:r>
              <w:rPr>
                <w:rFonts w:hint="default" w:ascii="Times New Roman" w:hAnsi="Times New Roman" w:eastAsia="宋体" w:cs="Times New Roman"/>
                <w:color w:val="auto"/>
                <w:sz w:val="24"/>
                <w:lang w:val="en-US" w:eastAsia="zh-CN"/>
              </w:rPr>
              <w:t>GB18918-2002</w:t>
            </w:r>
            <w:r>
              <w:rPr>
                <w:rFonts w:hint="eastAsia" w:ascii="Times New Roman" w:hAnsi="Times New Roman" w:eastAsia="宋体" w:cs="Times New Roman"/>
                <w:color w:val="auto"/>
                <w:sz w:val="24"/>
                <w:lang w:val="en-US" w:eastAsia="zh-CN"/>
              </w:rPr>
              <w:t>）一级</w:t>
            </w:r>
            <w:r>
              <w:rPr>
                <w:rFonts w:hint="default"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val="en-US" w:eastAsia="zh-CN"/>
              </w:rPr>
              <w:t>标准</w:t>
            </w:r>
            <w:r>
              <w:rPr>
                <w:rFonts w:ascii="Times New Roman" w:hAnsi="Times New Roman" w:eastAsia="宋体" w:cs="Times New Roman"/>
                <w:color w:val="auto"/>
                <w:sz w:val="24"/>
              </w:rPr>
              <w:t>后排入</w:t>
            </w:r>
            <w:r>
              <w:rPr>
                <w:rFonts w:hint="default" w:ascii="Times New Roman" w:hAnsi="Times New Roman" w:eastAsia="宋体" w:cs="Times New Roman"/>
                <w:color w:val="auto"/>
                <w:sz w:val="24"/>
              </w:rPr>
              <w:t>涪江</w:t>
            </w:r>
            <w:r>
              <w:rPr>
                <w:rFonts w:hint="eastAsia" w:ascii="Times New Roman" w:hAnsi="Times New Roman" w:eastAsia="宋体" w:cs="Times New Roman"/>
                <w:color w:val="auto"/>
                <w:kern w:val="0"/>
                <w:sz w:val="24"/>
                <w:lang w:val="en-US" w:eastAsia="zh-CN" w:bidi="ar"/>
              </w:rPr>
              <w:t>。</w:t>
            </w:r>
          </w:p>
          <w:p>
            <w:pPr>
              <w:widowControl/>
              <w:spacing w:line="360" w:lineRule="auto"/>
              <w:ind w:firstLine="480" w:firstLineChars="200"/>
              <w:rPr>
                <w:rFonts w:hint="eastAsia" w:ascii="Times New Roman" w:hAnsi="Times New Roman" w:eastAsia="宋体" w:cs="Times New Roman"/>
                <w:color w:val="auto"/>
                <w:kern w:val="0"/>
                <w:sz w:val="24"/>
                <w:lang w:val="en-US" w:eastAsia="zh-CN" w:bidi="ar"/>
              </w:rPr>
            </w:pPr>
            <w:r>
              <w:rPr>
                <w:rFonts w:hint="eastAsia" w:ascii="Times New Roman" w:hAnsi="Times New Roman" w:eastAsia="宋体" w:cs="Times New Roman"/>
                <w:color w:val="auto"/>
                <w:kern w:val="0"/>
                <w:sz w:val="24"/>
                <w:lang w:val="en-US" w:eastAsia="zh-CN" w:bidi="ar"/>
              </w:rPr>
              <w:t>按达标排放原则，经预测计算，提出本项目污染物排放量总量控制建议指标为：</w:t>
            </w:r>
          </w:p>
          <w:p>
            <w:pPr>
              <w:widowControl/>
              <w:spacing w:line="360" w:lineRule="auto"/>
              <w:ind w:firstLine="482" w:firstLineChars="200"/>
              <w:jc w:val="left"/>
              <w:rPr>
                <w:b/>
                <w:bCs/>
                <w:color w:val="auto"/>
                <w:kern w:val="0"/>
                <w:sz w:val="24"/>
                <w:lang w:bidi="ar"/>
              </w:rPr>
            </w:pPr>
            <w:r>
              <w:rPr>
                <w:rFonts w:hint="eastAsia"/>
                <w:b/>
                <w:bCs/>
                <w:color w:val="auto"/>
                <w:kern w:val="0"/>
                <w:sz w:val="24"/>
                <w:lang w:bidi="ar"/>
              </w:rPr>
              <w:t>1、废水总量控制指标如下：</w:t>
            </w:r>
          </w:p>
          <w:p>
            <w:pPr>
              <w:spacing w:line="360" w:lineRule="auto"/>
              <w:ind w:firstLine="480" w:firstLineChars="200"/>
              <w:rPr>
                <w:rFonts w:ascii="Times New Roman" w:hAnsi="Times New Roman" w:eastAsia="宋体" w:cs="Times New Roman"/>
                <w:b/>
                <w:bCs/>
                <w:color w:val="auto"/>
                <w:sz w:val="24"/>
              </w:rPr>
            </w:pP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厂区预处理池排口</w:t>
            </w:r>
            <w:r>
              <w:rPr>
                <w:rFonts w:ascii="Times New Roman" w:hAnsi="Times New Roman" w:eastAsia="宋体" w:cs="Times New Roman"/>
                <w:b w:val="0"/>
                <w:bCs w:val="0"/>
                <w:color w:val="auto"/>
                <w:sz w:val="24"/>
              </w:rPr>
              <w:t>：</w:t>
            </w:r>
          </w:p>
          <w:p>
            <w:pPr>
              <w:spacing w:line="360" w:lineRule="auto"/>
              <w:ind w:firstLine="480" w:firstLineChars="200"/>
              <w:rPr>
                <w:rFonts w:hint="default" w:eastAsia="宋体"/>
                <w:color w:val="auto"/>
                <w:sz w:val="24"/>
                <w:lang w:val="en-US" w:eastAsia="zh-CN"/>
              </w:rPr>
            </w:pPr>
            <w:r>
              <w:rPr>
                <w:rFonts w:hint="eastAsia"/>
                <w:color w:val="auto"/>
                <w:sz w:val="24"/>
                <w:lang w:eastAsia="zh-CN"/>
              </w:rPr>
              <w:t>COD</w:t>
            </w:r>
            <w:r>
              <w:rPr>
                <w:color w:val="auto"/>
                <w:sz w:val="24"/>
              </w:rPr>
              <w:t>=</w:t>
            </w:r>
            <w:r>
              <w:rPr>
                <w:rFonts w:hint="eastAsia"/>
                <w:color w:val="auto"/>
                <w:sz w:val="24"/>
                <w:lang w:val="en-US" w:eastAsia="zh-CN"/>
              </w:rPr>
              <w:t>456.8</w:t>
            </w:r>
            <w:r>
              <w:rPr>
                <w:color w:val="auto"/>
                <w:sz w:val="24"/>
              </w:rPr>
              <w:t>m</w:t>
            </w:r>
            <w:r>
              <w:rPr>
                <w:color w:val="auto"/>
                <w:sz w:val="24"/>
                <w:vertAlign w:val="superscript"/>
              </w:rPr>
              <w:t>3</w:t>
            </w:r>
            <w:r>
              <w:rPr>
                <w:color w:val="auto"/>
                <w:sz w:val="24"/>
              </w:rPr>
              <w:t>/a</w:t>
            </w:r>
            <w:r>
              <w:rPr>
                <w:rFonts w:hint="eastAsia"/>
                <w:color w:val="auto"/>
                <w:sz w:val="24"/>
              </w:rPr>
              <w:t>×</w:t>
            </w:r>
            <w:r>
              <w:rPr>
                <w:color w:val="auto"/>
                <w:sz w:val="24"/>
              </w:rPr>
              <w:t>500mg/L</w:t>
            </w:r>
            <w:r>
              <w:rPr>
                <w:rFonts w:hint="eastAsia"/>
                <w:color w:val="auto"/>
                <w:sz w:val="24"/>
              </w:rPr>
              <w:t>×</w:t>
            </w:r>
            <w:r>
              <w:rPr>
                <w:rFonts w:hint="eastAsia"/>
                <w:color w:val="auto"/>
                <w:sz w:val="24"/>
                <w:lang w:val="en-US" w:eastAsia="zh-CN"/>
              </w:rPr>
              <w:t>10</w:t>
            </w:r>
            <w:r>
              <w:rPr>
                <w:rFonts w:hint="eastAsia"/>
                <w:color w:val="auto"/>
                <w:sz w:val="24"/>
                <w:vertAlign w:val="superscript"/>
                <w:lang w:val="en-US" w:eastAsia="zh-CN"/>
              </w:rPr>
              <w:t>-6</w:t>
            </w:r>
            <w:r>
              <w:rPr>
                <w:rFonts w:hint="eastAsia"/>
                <w:color w:val="auto"/>
                <w:sz w:val="24"/>
                <w:lang w:val="en-US" w:eastAsia="zh-CN"/>
              </w:rPr>
              <w:t>=0.2284</w:t>
            </w:r>
            <w:r>
              <w:rPr>
                <w:color w:val="auto"/>
                <w:sz w:val="24"/>
              </w:rPr>
              <w:t>t/a</w:t>
            </w:r>
            <w:r>
              <w:rPr>
                <w:rFonts w:hint="eastAsia"/>
                <w:color w:val="auto"/>
                <w:sz w:val="24"/>
              </w:rPr>
              <w:t>；</w:t>
            </w:r>
          </w:p>
          <w:p>
            <w:pPr>
              <w:spacing w:line="360" w:lineRule="auto"/>
              <w:ind w:firstLine="480" w:firstLineChars="200"/>
              <w:rPr>
                <w:rFonts w:hint="default" w:eastAsia="宋体"/>
                <w:color w:val="auto"/>
                <w:sz w:val="24"/>
                <w:lang w:val="en-US" w:eastAsia="zh-CN"/>
              </w:rPr>
            </w:pPr>
            <w:r>
              <w:rPr>
                <w:color w:val="auto"/>
                <w:sz w:val="24"/>
              </w:rPr>
              <w:t>NH</w:t>
            </w:r>
            <w:r>
              <w:rPr>
                <w:color w:val="auto"/>
                <w:sz w:val="24"/>
                <w:vertAlign w:val="subscript"/>
              </w:rPr>
              <w:t>3</w:t>
            </w:r>
            <w:r>
              <w:rPr>
                <w:color w:val="auto"/>
                <w:sz w:val="24"/>
              </w:rPr>
              <w:t>-N=</w:t>
            </w:r>
            <w:r>
              <w:rPr>
                <w:rFonts w:hint="eastAsia"/>
                <w:color w:val="auto"/>
                <w:sz w:val="24"/>
                <w:lang w:val="en-US" w:eastAsia="zh-CN"/>
              </w:rPr>
              <w:t>456.8</w:t>
            </w:r>
            <w:r>
              <w:rPr>
                <w:color w:val="auto"/>
                <w:sz w:val="24"/>
              </w:rPr>
              <w:t>m</w:t>
            </w:r>
            <w:r>
              <w:rPr>
                <w:color w:val="auto"/>
                <w:sz w:val="24"/>
                <w:vertAlign w:val="superscript"/>
              </w:rPr>
              <w:t>3</w:t>
            </w:r>
            <w:r>
              <w:rPr>
                <w:color w:val="auto"/>
                <w:sz w:val="24"/>
              </w:rPr>
              <w:t>/a</w:t>
            </w:r>
            <w:r>
              <w:rPr>
                <w:rFonts w:hint="eastAsia"/>
                <w:color w:val="auto"/>
                <w:sz w:val="24"/>
              </w:rPr>
              <w:t>×</w:t>
            </w:r>
            <w:r>
              <w:rPr>
                <w:rFonts w:hint="eastAsia"/>
                <w:color w:val="auto"/>
                <w:sz w:val="24"/>
                <w:lang w:val="en-US" w:eastAsia="zh-CN"/>
              </w:rPr>
              <w:t>45</w:t>
            </w:r>
            <w:r>
              <w:rPr>
                <w:color w:val="auto"/>
                <w:sz w:val="24"/>
              </w:rPr>
              <w:t>mg/L</w:t>
            </w:r>
            <w:r>
              <w:rPr>
                <w:rFonts w:hint="eastAsia"/>
                <w:color w:val="auto"/>
                <w:sz w:val="24"/>
              </w:rPr>
              <w:t>×</w:t>
            </w:r>
            <w:r>
              <w:rPr>
                <w:rFonts w:hint="eastAsia"/>
                <w:color w:val="auto"/>
                <w:sz w:val="24"/>
                <w:lang w:val="en-US" w:eastAsia="zh-CN"/>
              </w:rPr>
              <w:t>10</w:t>
            </w:r>
            <w:r>
              <w:rPr>
                <w:rFonts w:hint="eastAsia"/>
                <w:color w:val="auto"/>
                <w:sz w:val="24"/>
                <w:vertAlign w:val="superscript"/>
                <w:lang w:val="en-US" w:eastAsia="zh-CN"/>
              </w:rPr>
              <w:t>-6</w:t>
            </w:r>
            <w:r>
              <w:rPr>
                <w:rFonts w:hint="eastAsia"/>
                <w:color w:val="auto"/>
                <w:sz w:val="24"/>
                <w:lang w:val="en-US" w:eastAsia="zh-CN"/>
              </w:rPr>
              <w:t>=0.0206</w:t>
            </w:r>
            <w:r>
              <w:rPr>
                <w:color w:val="auto"/>
                <w:sz w:val="24"/>
              </w:rPr>
              <w:t>t/a</w:t>
            </w:r>
            <w:r>
              <w:rPr>
                <w:rFonts w:hint="eastAsia"/>
                <w:color w:val="auto"/>
                <w:sz w:val="24"/>
              </w:rPr>
              <w:t>；</w:t>
            </w:r>
          </w:p>
          <w:p>
            <w:pPr>
              <w:spacing w:line="360" w:lineRule="auto"/>
              <w:ind w:firstLine="480" w:firstLineChars="200"/>
              <w:rPr>
                <w:rFonts w:hint="eastAsia" w:eastAsia="宋体"/>
                <w:color w:val="auto"/>
                <w:sz w:val="24"/>
                <w:lang w:val="en-US" w:eastAsia="zh-CN"/>
              </w:rPr>
            </w:pPr>
            <w:r>
              <w:rPr>
                <w:rFonts w:hint="eastAsia" w:ascii="Times New Roman" w:hAnsi="Times New Roman" w:eastAsia="宋体" w:cs="Times New Roman"/>
                <w:color w:val="auto"/>
                <w:sz w:val="24"/>
                <w:lang w:val="en-US" w:eastAsia="zh-CN"/>
              </w:rPr>
              <w:t>TP</w:t>
            </w:r>
            <w:r>
              <w:rPr>
                <w:rFonts w:ascii="Times New Roman" w:hAnsi="Times New Roman" w:eastAsia="宋体" w:cs="Times New Roman"/>
                <w:color w:val="auto"/>
                <w:sz w:val="24"/>
              </w:rPr>
              <w:t>=</w:t>
            </w:r>
            <w:r>
              <w:rPr>
                <w:rFonts w:hint="eastAsia"/>
                <w:color w:val="auto"/>
                <w:sz w:val="24"/>
                <w:lang w:val="en-US" w:eastAsia="zh-CN"/>
              </w:rPr>
              <w:t>456.8</w:t>
            </w:r>
            <w:r>
              <w:rPr>
                <w:color w:val="auto"/>
                <w:sz w:val="24"/>
              </w:rPr>
              <w:t>m</w:t>
            </w:r>
            <w:r>
              <w:rPr>
                <w:color w:val="auto"/>
                <w:sz w:val="24"/>
                <w:vertAlign w:val="superscript"/>
              </w:rPr>
              <w:t>3</w:t>
            </w:r>
            <w:r>
              <w:rPr>
                <w:color w:val="auto"/>
                <w:sz w:val="24"/>
              </w:rPr>
              <w:t>/a</w:t>
            </w:r>
            <w:r>
              <w:rPr>
                <w:rFonts w:hint="eastAsia"/>
                <w:color w:val="auto"/>
                <w:sz w:val="24"/>
              </w:rPr>
              <w:t>×</w:t>
            </w:r>
            <w:r>
              <w:rPr>
                <w:rFonts w:hint="eastAsia"/>
                <w:color w:val="auto"/>
                <w:sz w:val="24"/>
                <w:lang w:val="en-US" w:eastAsia="zh-CN"/>
              </w:rPr>
              <w:t>8</w:t>
            </w:r>
            <w:r>
              <w:rPr>
                <w:color w:val="auto"/>
                <w:sz w:val="24"/>
              </w:rPr>
              <w:t>mg/L</w:t>
            </w:r>
            <w:r>
              <w:rPr>
                <w:rFonts w:hint="eastAsia"/>
                <w:color w:val="auto"/>
                <w:sz w:val="24"/>
              </w:rPr>
              <w:t>×</w:t>
            </w:r>
            <w:r>
              <w:rPr>
                <w:rFonts w:hint="eastAsia"/>
                <w:color w:val="auto"/>
                <w:sz w:val="24"/>
                <w:lang w:val="en-US" w:eastAsia="zh-CN"/>
              </w:rPr>
              <w:t>10</w:t>
            </w:r>
            <w:r>
              <w:rPr>
                <w:rFonts w:hint="eastAsia"/>
                <w:color w:val="auto"/>
                <w:sz w:val="24"/>
                <w:vertAlign w:val="superscript"/>
                <w:lang w:val="en-US" w:eastAsia="zh-CN"/>
              </w:rPr>
              <w:t>-6</w:t>
            </w:r>
            <w:r>
              <w:rPr>
                <w:rFonts w:hint="eastAsia"/>
                <w:color w:val="auto"/>
                <w:sz w:val="24"/>
                <w:lang w:val="en-US" w:eastAsia="zh-CN"/>
              </w:rPr>
              <w:t>=0.0037</w:t>
            </w:r>
            <w:r>
              <w:rPr>
                <w:color w:val="auto"/>
                <w:sz w:val="24"/>
              </w:rPr>
              <w:t>t/a</w:t>
            </w:r>
            <w:r>
              <w:rPr>
                <w:rFonts w:hint="eastAsia"/>
                <w:color w:val="auto"/>
                <w:sz w:val="24"/>
                <w:lang w:eastAsia="zh-CN"/>
              </w:rPr>
              <w:t>。</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遂宁金桥新区城市污水处理厂</w:t>
            </w:r>
            <w:r>
              <w:rPr>
                <w:rFonts w:hint="default" w:ascii="Times New Roman" w:hAnsi="Times New Roman" w:eastAsia="宋体" w:cs="Times New Roman"/>
                <w:color w:val="auto"/>
                <w:sz w:val="24"/>
                <w:szCs w:val="24"/>
                <w:highlight w:val="none"/>
              </w:rPr>
              <w:t>排口：</w:t>
            </w:r>
          </w:p>
          <w:p>
            <w:pPr>
              <w:spacing w:line="360" w:lineRule="auto"/>
              <w:ind w:firstLine="480" w:firstLineChars="200"/>
              <w:rPr>
                <w:rFonts w:hint="eastAsia"/>
                <w:color w:val="auto"/>
                <w:sz w:val="24"/>
              </w:rPr>
            </w:pPr>
            <w:r>
              <w:rPr>
                <w:color w:val="auto"/>
                <w:sz w:val="24"/>
              </w:rPr>
              <w:t>COD==</w:t>
            </w:r>
            <w:r>
              <w:rPr>
                <w:rFonts w:hint="eastAsia"/>
                <w:color w:val="auto"/>
                <w:sz w:val="24"/>
                <w:lang w:val="en-US" w:eastAsia="zh-CN"/>
              </w:rPr>
              <w:t>456.8</w:t>
            </w:r>
            <w:r>
              <w:rPr>
                <w:color w:val="auto"/>
                <w:sz w:val="24"/>
              </w:rPr>
              <w:t>m</w:t>
            </w:r>
            <w:r>
              <w:rPr>
                <w:color w:val="auto"/>
                <w:sz w:val="24"/>
                <w:vertAlign w:val="superscript"/>
              </w:rPr>
              <w:t>3</w:t>
            </w:r>
            <w:r>
              <w:rPr>
                <w:color w:val="auto"/>
                <w:sz w:val="24"/>
              </w:rPr>
              <w:t>/a</w:t>
            </w:r>
            <w:r>
              <w:rPr>
                <w:rFonts w:hint="eastAsia"/>
                <w:color w:val="auto"/>
                <w:sz w:val="24"/>
              </w:rPr>
              <w:t>×</w:t>
            </w:r>
            <w:r>
              <w:rPr>
                <w:color w:val="auto"/>
                <w:sz w:val="24"/>
              </w:rPr>
              <w:t>50mg/L</w:t>
            </w:r>
            <w:r>
              <w:rPr>
                <w:rFonts w:hint="eastAsia"/>
                <w:color w:val="auto"/>
                <w:sz w:val="24"/>
              </w:rPr>
              <w:t>×</w:t>
            </w:r>
            <w:r>
              <w:rPr>
                <w:rFonts w:hint="eastAsia"/>
                <w:color w:val="auto"/>
                <w:sz w:val="24"/>
                <w:lang w:val="en-US" w:eastAsia="zh-CN"/>
              </w:rPr>
              <w:t>10</w:t>
            </w:r>
            <w:r>
              <w:rPr>
                <w:rFonts w:hint="eastAsia"/>
                <w:color w:val="auto"/>
                <w:sz w:val="24"/>
                <w:vertAlign w:val="superscript"/>
                <w:lang w:val="en-US" w:eastAsia="zh-CN"/>
              </w:rPr>
              <w:t>-6</w:t>
            </w:r>
            <w:r>
              <w:rPr>
                <w:rFonts w:hint="eastAsia"/>
                <w:color w:val="auto"/>
                <w:sz w:val="24"/>
                <w:lang w:val="en-US" w:eastAsia="zh-CN"/>
              </w:rPr>
              <w:t>=0.0228</w:t>
            </w:r>
            <w:r>
              <w:rPr>
                <w:color w:val="auto"/>
                <w:sz w:val="24"/>
              </w:rPr>
              <w:t>t/a</w:t>
            </w:r>
            <w:r>
              <w:rPr>
                <w:rFonts w:hint="eastAsia"/>
                <w:color w:val="auto"/>
                <w:sz w:val="24"/>
              </w:rPr>
              <w:t>；</w:t>
            </w:r>
          </w:p>
          <w:p>
            <w:pPr>
              <w:spacing w:line="360" w:lineRule="auto"/>
              <w:ind w:firstLine="480" w:firstLineChars="200"/>
              <w:rPr>
                <w:rFonts w:hint="eastAsia" w:eastAsia="宋体"/>
                <w:color w:val="auto"/>
                <w:sz w:val="24"/>
                <w:lang w:val="en-US" w:eastAsia="zh-CN"/>
              </w:rPr>
            </w:pPr>
            <w:r>
              <w:rPr>
                <w:color w:val="auto"/>
                <w:sz w:val="24"/>
              </w:rPr>
              <w:t>NH</w:t>
            </w:r>
            <w:r>
              <w:rPr>
                <w:color w:val="auto"/>
                <w:sz w:val="24"/>
                <w:vertAlign w:val="subscript"/>
              </w:rPr>
              <w:t>3</w:t>
            </w:r>
            <w:r>
              <w:rPr>
                <w:color w:val="auto"/>
                <w:sz w:val="24"/>
              </w:rPr>
              <w:t>-N=</w:t>
            </w:r>
            <w:r>
              <w:rPr>
                <w:rFonts w:hint="eastAsia"/>
                <w:color w:val="auto"/>
                <w:sz w:val="24"/>
                <w:lang w:val="en-US" w:eastAsia="zh-CN"/>
              </w:rPr>
              <w:t>456.8</w:t>
            </w:r>
            <w:r>
              <w:rPr>
                <w:color w:val="auto"/>
                <w:sz w:val="24"/>
              </w:rPr>
              <w:t>m</w:t>
            </w:r>
            <w:r>
              <w:rPr>
                <w:color w:val="auto"/>
                <w:sz w:val="24"/>
                <w:vertAlign w:val="superscript"/>
              </w:rPr>
              <w:t>3</w:t>
            </w:r>
            <w:r>
              <w:rPr>
                <w:color w:val="auto"/>
                <w:sz w:val="24"/>
              </w:rPr>
              <w:t>/a</w:t>
            </w:r>
            <w:r>
              <w:rPr>
                <w:rFonts w:hint="eastAsia"/>
                <w:color w:val="auto"/>
                <w:sz w:val="24"/>
              </w:rPr>
              <w:t>×</w:t>
            </w:r>
            <w:r>
              <w:rPr>
                <w:color w:val="auto"/>
                <w:sz w:val="24"/>
              </w:rPr>
              <w:t>5mg/L</w:t>
            </w:r>
            <w:r>
              <w:rPr>
                <w:rFonts w:hint="eastAsia"/>
                <w:color w:val="auto"/>
                <w:sz w:val="24"/>
              </w:rPr>
              <w:t>×</w:t>
            </w:r>
            <w:r>
              <w:rPr>
                <w:rFonts w:hint="eastAsia"/>
                <w:color w:val="auto"/>
                <w:sz w:val="24"/>
                <w:lang w:val="en-US" w:eastAsia="zh-CN"/>
              </w:rPr>
              <w:t>10</w:t>
            </w:r>
            <w:r>
              <w:rPr>
                <w:rFonts w:hint="eastAsia"/>
                <w:color w:val="auto"/>
                <w:sz w:val="24"/>
                <w:vertAlign w:val="superscript"/>
                <w:lang w:val="en-US" w:eastAsia="zh-CN"/>
              </w:rPr>
              <w:t>-6</w:t>
            </w:r>
            <w:r>
              <w:rPr>
                <w:rFonts w:hint="eastAsia"/>
                <w:color w:val="auto"/>
                <w:sz w:val="24"/>
                <w:lang w:val="en-US" w:eastAsia="zh-CN"/>
              </w:rPr>
              <w:t>=0.0023</w:t>
            </w:r>
            <w:r>
              <w:rPr>
                <w:color w:val="auto"/>
                <w:sz w:val="24"/>
              </w:rPr>
              <w:t>t/a</w:t>
            </w:r>
            <w:r>
              <w:rPr>
                <w:rFonts w:hint="eastAsia"/>
                <w:color w:val="auto"/>
                <w:sz w:val="24"/>
              </w:rPr>
              <w:t>；</w:t>
            </w:r>
          </w:p>
          <w:p>
            <w:pPr>
              <w:spacing w:line="360" w:lineRule="auto"/>
              <w:ind w:firstLine="480" w:firstLineChars="200"/>
              <w:rPr>
                <w:rFonts w:hint="eastAsia"/>
                <w:color w:val="auto"/>
                <w:sz w:val="24"/>
              </w:rPr>
            </w:pPr>
            <w:r>
              <w:rPr>
                <w:rFonts w:hint="eastAsia" w:ascii="Times New Roman" w:hAnsi="Times New Roman" w:eastAsia="宋体" w:cs="Times New Roman"/>
                <w:color w:val="auto"/>
                <w:sz w:val="24"/>
                <w:lang w:val="en-US" w:eastAsia="zh-CN"/>
              </w:rPr>
              <w:t>TP</w:t>
            </w:r>
            <w:r>
              <w:rPr>
                <w:rFonts w:ascii="Times New Roman" w:hAnsi="Times New Roman" w:eastAsia="宋体" w:cs="Times New Roman"/>
                <w:color w:val="auto"/>
                <w:sz w:val="24"/>
              </w:rPr>
              <w:t>=</w:t>
            </w:r>
            <w:r>
              <w:rPr>
                <w:rFonts w:hint="eastAsia"/>
                <w:color w:val="auto"/>
                <w:sz w:val="24"/>
                <w:lang w:val="en-US" w:eastAsia="zh-CN"/>
              </w:rPr>
              <w:t>456.8</w:t>
            </w:r>
            <w:r>
              <w:rPr>
                <w:color w:val="auto"/>
                <w:sz w:val="24"/>
              </w:rPr>
              <w:t>m</w:t>
            </w:r>
            <w:r>
              <w:rPr>
                <w:color w:val="auto"/>
                <w:sz w:val="24"/>
                <w:vertAlign w:val="superscript"/>
              </w:rPr>
              <w:t>3</w:t>
            </w:r>
            <w:r>
              <w:rPr>
                <w:color w:val="auto"/>
                <w:sz w:val="24"/>
              </w:rPr>
              <w:t>/a</w:t>
            </w:r>
            <w:r>
              <w:rPr>
                <w:rFonts w:hint="eastAsia"/>
                <w:color w:val="auto"/>
                <w:sz w:val="24"/>
              </w:rPr>
              <w:t>×</w:t>
            </w:r>
            <w:r>
              <w:rPr>
                <w:rFonts w:hint="eastAsia"/>
                <w:color w:val="auto"/>
                <w:sz w:val="24"/>
                <w:lang w:val="en-US" w:eastAsia="zh-CN"/>
              </w:rPr>
              <w:t>0.5</w:t>
            </w:r>
            <w:r>
              <w:rPr>
                <w:color w:val="auto"/>
                <w:sz w:val="24"/>
              </w:rPr>
              <w:t>mg/L</w:t>
            </w:r>
            <w:r>
              <w:rPr>
                <w:rFonts w:hint="eastAsia"/>
                <w:color w:val="auto"/>
                <w:sz w:val="24"/>
              </w:rPr>
              <w:t>×</w:t>
            </w:r>
            <w:r>
              <w:rPr>
                <w:rFonts w:hint="eastAsia"/>
                <w:color w:val="auto"/>
                <w:sz w:val="24"/>
                <w:lang w:val="en-US" w:eastAsia="zh-CN"/>
              </w:rPr>
              <w:t>10</w:t>
            </w:r>
            <w:r>
              <w:rPr>
                <w:rFonts w:hint="eastAsia"/>
                <w:color w:val="auto"/>
                <w:sz w:val="24"/>
                <w:vertAlign w:val="superscript"/>
                <w:lang w:val="en-US" w:eastAsia="zh-CN"/>
              </w:rPr>
              <w:t>-6</w:t>
            </w:r>
            <w:r>
              <w:rPr>
                <w:rFonts w:hint="eastAsia"/>
                <w:color w:val="auto"/>
                <w:sz w:val="24"/>
                <w:lang w:val="en-US" w:eastAsia="zh-CN"/>
              </w:rPr>
              <w:t>=0.0002</w:t>
            </w:r>
            <w:r>
              <w:rPr>
                <w:color w:val="auto"/>
                <w:sz w:val="24"/>
              </w:rPr>
              <w:t>t/a</w:t>
            </w:r>
            <w:r>
              <w:rPr>
                <w:rFonts w:hint="eastAsia"/>
                <w:color w:val="auto"/>
                <w:sz w:val="24"/>
              </w:rPr>
              <w:t>；。</w:t>
            </w:r>
          </w:p>
          <w:p>
            <w:pPr>
              <w:spacing w:line="360" w:lineRule="auto"/>
              <w:jc w:val="center"/>
              <w:rPr>
                <w:b/>
                <w:bCs/>
                <w:color w:val="auto"/>
                <w:szCs w:val="21"/>
              </w:rPr>
            </w:pPr>
            <w:r>
              <w:rPr>
                <w:rFonts w:ascii="宋体" w:hAnsi="宋体"/>
                <w:b/>
                <w:bCs/>
                <w:color w:val="auto"/>
                <w:szCs w:val="21"/>
              </w:rPr>
              <w:t>表</w:t>
            </w:r>
            <w:r>
              <w:rPr>
                <w:b/>
                <w:bCs/>
                <w:color w:val="auto"/>
                <w:szCs w:val="21"/>
              </w:rPr>
              <w:t>3-</w:t>
            </w:r>
            <w:r>
              <w:rPr>
                <w:rFonts w:hint="eastAsia"/>
                <w:b/>
                <w:bCs/>
                <w:color w:val="auto"/>
                <w:szCs w:val="21"/>
                <w:lang w:val="en-US" w:eastAsia="zh-CN"/>
              </w:rPr>
              <w:t>9</w:t>
            </w:r>
            <w:r>
              <w:rPr>
                <w:rFonts w:hint="eastAsia"/>
                <w:b/>
                <w:bCs/>
                <w:color w:val="auto"/>
                <w:szCs w:val="21"/>
              </w:rPr>
              <w:t xml:space="preserve"> </w:t>
            </w:r>
            <w:r>
              <w:rPr>
                <w:rFonts w:ascii="宋体" w:hAnsi="宋体"/>
                <w:b/>
                <w:bCs/>
                <w:color w:val="auto"/>
                <w:szCs w:val="21"/>
              </w:rPr>
              <w:t>本项目</w:t>
            </w:r>
            <w:r>
              <w:rPr>
                <w:rFonts w:hint="eastAsia" w:ascii="宋体" w:hAnsi="宋体"/>
                <w:b/>
                <w:bCs/>
                <w:color w:val="auto"/>
                <w:szCs w:val="21"/>
                <w:lang w:val="en-US" w:eastAsia="zh-CN"/>
              </w:rPr>
              <w:t>废水</w:t>
            </w:r>
            <w:r>
              <w:rPr>
                <w:rFonts w:ascii="宋体" w:hAnsi="宋体"/>
                <w:b/>
                <w:bCs/>
                <w:color w:val="auto"/>
                <w:szCs w:val="21"/>
              </w:rPr>
              <w:t>总量</w:t>
            </w:r>
            <w:r>
              <w:rPr>
                <w:rFonts w:hint="eastAsia" w:ascii="宋体" w:hAnsi="宋体"/>
                <w:b/>
                <w:bCs/>
                <w:color w:val="auto"/>
                <w:szCs w:val="21"/>
                <w:lang w:val="en-US" w:eastAsia="zh-CN"/>
              </w:rPr>
              <w:t>指标</w:t>
            </w:r>
            <w:r>
              <w:rPr>
                <w:rFonts w:hint="eastAsia"/>
                <w:color w:val="auto"/>
                <w:szCs w:val="21"/>
              </w:rPr>
              <w:t xml:space="preserve">         </w:t>
            </w:r>
            <w:r>
              <w:rPr>
                <w:color w:val="auto"/>
                <w:szCs w:val="21"/>
              </w:rPr>
              <w:t xml:space="preserve"> </w:t>
            </w:r>
            <w:r>
              <w:rPr>
                <w:rFonts w:ascii="宋体" w:hAnsi="宋体"/>
                <w:b/>
                <w:bCs/>
                <w:color w:val="auto"/>
                <w:szCs w:val="21"/>
              </w:rPr>
              <w:t>单位：</w:t>
            </w:r>
            <w:r>
              <w:rPr>
                <w:b/>
                <w:bCs/>
                <w:color w:val="auto"/>
                <w:szCs w:val="21"/>
              </w:rPr>
              <w:t>t/a</w:t>
            </w:r>
          </w:p>
          <w:tbl>
            <w:tblPr>
              <w:tblStyle w:val="36"/>
              <w:tblW w:w="79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109"/>
              <w:gridCol w:w="1350"/>
              <w:gridCol w:w="900"/>
              <w:gridCol w:w="4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8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b/>
                      <w:bCs/>
                      <w:color w:val="auto"/>
                      <w:sz w:val="21"/>
                      <w:szCs w:val="21"/>
                    </w:rPr>
                  </w:pPr>
                  <w:r>
                    <w:rPr>
                      <w:rFonts w:ascii="宋体" w:hAnsi="宋体"/>
                      <w:b/>
                      <w:bCs/>
                      <w:color w:val="auto"/>
                      <w:sz w:val="21"/>
                      <w:szCs w:val="21"/>
                    </w:rPr>
                    <w:t>类别</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b/>
                      <w:bCs/>
                      <w:color w:val="auto"/>
                      <w:sz w:val="21"/>
                      <w:szCs w:val="21"/>
                    </w:rPr>
                  </w:pPr>
                  <w:r>
                    <w:rPr>
                      <w:rFonts w:ascii="宋体" w:hAnsi="宋体"/>
                      <w:b/>
                      <w:bCs/>
                      <w:color w:val="auto"/>
                      <w:sz w:val="21"/>
                      <w:szCs w:val="21"/>
                    </w:rPr>
                    <w:t>污染物名称</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b/>
                      <w:bCs/>
                      <w:color w:val="auto"/>
                      <w:sz w:val="21"/>
                      <w:szCs w:val="21"/>
                    </w:rPr>
                  </w:pPr>
                  <w:r>
                    <w:rPr>
                      <w:rFonts w:ascii="宋体" w:hAnsi="宋体"/>
                      <w:b/>
                      <w:bCs/>
                      <w:color w:val="auto"/>
                      <w:sz w:val="21"/>
                      <w:szCs w:val="21"/>
                    </w:rPr>
                    <w:t>总量</w:t>
                  </w:r>
                </w:p>
              </w:tc>
              <w:tc>
                <w:tcPr>
                  <w:tcW w:w="4127" w:type="dxa"/>
                  <w:tcBorders>
                    <w:top w:val="single" w:color="auto" w:sz="4" w:space="0"/>
                    <w:left w:val="single" w:color="auto" w:sz="4" w:space="0"/>
                    <w:bottom w:val="single" w:color="auto" w:sz="4" w:space="0"/>
                    <w:right w:val="single" w:color="auto" w:sz="4" w:space="0"/>
                  </w:tcBorders>
                  <w:noWrap w:val="0"/>
                  <w:vAlign w:val="center"/>
                </w:tcPr>
                <w:p>
                  <w:pPr>
                    <w:jc w:val="center"/>
                    <w:rPr>
                      <w:b/>
                      <w:bCs/>
                      <w:color w:val="auto"/>
                      <w:sz w:val="21"/>
                      <w:szCs w:val="21"/>
                    </w:rPr>
                  </w:pPr>
                  <w:r>
                    <w:rPr>
                      <w:rFonts w:ascii="宋体" w:hAnsi="宋体"/>
                      <w:b/>
                      <w:bCs/>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75" w:type="dxa"/>
                  <w:vMerge w:val="restart"/>
                  <w:tcBorders>
                    <w:top w:val="nil"/>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109" w:type="dxa"/>
                  <w:vMerge w:val="restart"/>
                  <w:tcBorders>
                    <w:top w:val="nil"/>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rPr>
                    <w:t>厂区预处理池排口</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0.2284</w:t>
                  </w:r>
                </w:p>
              </w:tc>
              <w:tc>
                <w:tcPr>
                  <w:tcW w:w="4127"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《污水综合排放标准》（GB18978-1996）</w:t>
                  </w:r>
                  <w:r>
                    <w:rPr>
                      <w:rFonts w:hint="eastAsia" w:ascii="Times New Roman" w:hAnsi="Times New Roman" w:eastAsia="宋体" w:cs="Times New Roman"/>
                      <w:color w:val="auto"/>
                      <w:sz w:val="21"/>
                      <w:szCs w:val="21"/>
                      <w:lang w:val="en-US" w:eastAsia="zh-CN"/>
                    </w:rPr>
                    <w:t>表4</w:t>
                  </w:r>
                  <w:r>
                    <w:rPr>
                      <w:rFonts w:hint="default" w:ascii="Times New Roman" w:hAnsi="Times New Roman" w:eastAsia="宋体" w:cs="Times New Roman"/>
                      <w:color w:val="auto"/>
                      <w:sz w:val="21"/>
                      <w:szCs w:val="21"/>
                      <w:lang w:val="en-US" w:eastAsia="zh-CN"/>
                    </w:rPr>
                    <w:t>中的三级排放标准、《污水排入城市下水道水质标准》（GB/T31962-2015）B等级标准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7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109"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0.0206</w:t>
                  </w:r>
                </w:p>
              </w:tc>
              <w:tc>
                <w:tcPr>
                  <w:tcW w:w="4127"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7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109"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0.0037</w:t>
                  </w:r>
                </w:p>
              </w:tc>
              <w:tc>
                <w:tcPr>
                  <w:tcW w:w="4127"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75"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p>
              </w:tc>
              <w:tc>
                <w:tcPr>
                  <w:tcW w:w="1109" w:type="dxa"/>
                  <w:vMerge w:val="restart"/>
                  <w:tcBorders>
                    <w:top w:val="nil"/>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eastAsia="zh-CN"/>
                    </w:rPr>
                    <w:t>遂宁金桥新区城市污水处理厂</w:t>
                  </w:r>
                  <w:r>
                    <w:rPr>
                      <w:rFonts w:hint="default" w:ascii="Times New Roman" w:hAnsi="Times New Roman" w:eastAsia="宋体" w:cs="Times New Roman"/>
                      <w:color w:val="auto"/>
                      <w:sz w:val="21"/>
                      <w:szCs w:val="21"/>
                      <w:highlight w:val="none"/>
                    </w:rPr>
                    <w:t>排口</w:t>
                  </w: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0.0228</w:t>
                  </w:r>
                </w:p>
              </w:tc>
              <w:tc>
                <w:tcPr>
                  <w:tcW w:w="4127" w:type="dxa"/>
                  <w:vMerge w:val="restart"/>
                  <w:tcBorders>
                    <w:top w:val="nil"/>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《城镇污水处理厂污染物排放标准》（</w:t>
                  </w:r>
                  <w:r>
                    <w:rPr>
                      <w:rFonts w:hint="default" w:ascii="Times New Roman" w:hAnsi="Times New Roman" w:eastAsia="宋体" w:cs="Times New Roman"/>
                      <w:color w:val="auto"/>
                      <w:sz w:val="21"/>
                      <w:szCs w:val="21"/>
                      <w:lang w:val="en-US" w:eastAsia="zh-CN"/>
                    </w:rPr>
                    <w:t>GB18918-2002</w:t>
                  </w:r>
                  <w:r>
                    <w:rPr>
                      <w:rFonts w:hint="eastAsia" w:ascii="Times New Roman" w:hAnsi="Times New Roman" w:eastAsia="宋体" w:cs="Times New Roman"/>
                      <w:color w:val="auto"/>
                      <w:sz w:val="21"/>
                      <w:szCs w:val="21"/>
                      <w:lang w:val="en-US" w:eastAsia="zh-CN"/>
                    </w:rPr>
                    <w:t>）一级</w:t>
                  </w:r>
                  <w:r>
                    <w:rPr>
                      <w:rFonts w:hint="default" w:ascii="Times New Roman" w:hAnsi="Times New Roman" w:eastAsia="宋体" w:cs="Times New Roman"/>
                      <w:color w:val="auto"/>
                      <w:sz w:val="21"/>
                      <w:szCs w:val="21"/>
                      <w:lang w:val="en-US" w:eastAsia="zh-CN"/>
                    </w:rPr>
                    <w:t>A</w:t>
                  </w:r>
                  <w:r>
                    <w:rPr>
                      <w:rFonts w:hint="eastAsia" w:ascii="Times New Roman" w:hAnsi="Times New Roman" w:eastAsia="宋体" w:cs="Times New Roman"/>
                      <w:color w:val="auto"/>
                      <w:sz w:val="21"/>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75" w:type="dxa"/>
                  <w:vMerge w:val="continue"/>
                  <w:tcBorders>
                    <w:left w:val="single" w:color="auto" w:sz="4" w:space="0"/>
                    <w:right w:val="single" w:color="auto" w:sz="4" w:space="0"/>
                  </w:tcBorders>
                  <w:noWrap w:val="0"/>
                  <w:vAlign w:val="center"/>
                </w:tcPr>
                <w:p>
                  <w:pPr>
                    <w:widowControl/>
                    <w:jc w:val="left"/>
                    <w:rPr>
                      <w:color w:val="auto"/>
                      <w:sz w:val="21"/>
                      <w:szCs w:val="21"/>
                    </w:rPr>
                  </w:pPr>
                </w:p>
              </w:tc>
              <w:tc>
                <w:tcPr>
                  <w:tcW w:w="1109" w:type="dxa"/>
                  <w:vMerge w:val="continue"/>
                  <w:tcBorders>
                    <w:left w:val="single" w:color="auto" w:sz="4" w:space="0"/>
                    <w:right w:val="single" w:color="auto" w:sz="4" w:space="0"/>
                  </w:tcBorders>
                  <w:noWrap w:val="0"/>
                  <w:vAlign w:val="center"/>
                </w:tcPr>
                <w:p>
                  <w:pPr>
                    <w:widowControl/>
                    <w:jc w:val="left"/>
                    <w:rPr>
                      <w:color w:val="auto"/>
                      <w:sz w:val="21"/>
                      <w:szCs w:val="21"/>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r>
                    <w:rPr>
                      <w:rFonts w:ascii="宋体" w:hAnsi="宋体"/>
                      <w:color w:val="auto"/>
                      <w:sz w:val="21"/>
                      <w:szCs w:val="21"/>
                    </w:rPr>
                    <w:t>氨氮</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0.0023</w:t>
                  </w:r>
                </w:p>
              </w:tc>
              <w:tc>
                <w:tcPr>
                  <w:tcW w:w="4127" w:type="dxa"/>
                  <w:vMerge w:val="continue"/>
                  <w:tcBorders>
                    <w:left w:val="single" w:color="auto" w:sz="4" w:space="0"/>
                    <w:right w:val="single" w:color="auto" w:sz="4" w:space="0"/>
                  </w:tcBorders>
                  <w:noWrap w:val="0"/>
                  <w:vAlign w:val="center"/>
                </w:tcPr>
                <w:p>
                  <w:pPr>
                    <w:widowControl/>
                    <w:jc w:val="left"/>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75" w:type="dxa"/>
                  <w:vMerge w:val="continue"/>
                  <w:tcBorders>
                    <w:left w:val="single" w:color="auto" w:sz="4" w:space="0"/>
                    <w:bottom w:val="single" w:color="auto" w:sz="4" w:space="0"/>
                    <w:right w:val="single" w:color="auto" w:sz="4" w:space="0"/>
                  </w:tcBorders>
                  <w:noWrap w:val="0"/>
                  <w:vAlign w:val="center"/>
                </w:tcPr>
                <w:p>
                  <w:pPr>
                    <w:widowControl/>
                    <w:jc w:val="left"/>
                    <w:rPr>
                      <w:color w:val="auto"/>
                      <w:sz w:val="21"/>
                      <w:szCs w:val="21"/>
                    </w:rPr>
                  </w:pPr>
                </w:p>
              </w:tc>
              <w:tc>
                <w:tcPr>
                  <w:tcW w:w="1109" w:type="dxa"/>
                  <w:vMerge w:val="continue"/>
                  <w:tcBorders>
                    <w:left w:val="single" w:color="auto" w:sz="4" w:space="0"/>
                    <w:bottom w:val="single" w:color="auto" w:sz="4" w:space="0"/>
                    <w:right w:val="single" w:color="auto" w:sz="4" w:space="0"/>
                  </w:tcBorders>
                  <w:noWrap w:val="0"/>
                  <w:vAlign w:val="center"/>
                </w:tcPr>
                <w:p>
                  <w:pPr>
                    <w:widowControl/>
                    <w:jc w:val="left"/>
                    <w:rPr>
                      <w:color w:val="auto"/>
                      <w:sz w:val="21"/>
                      <w:szCs w:val="21"/>
                    </w:rPr>
                  </w:pPr>
                </w:p>
              </w:tc>
              <w:tc>
                <w:tcPr>
                  <w:tcW w:w="135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 w:val="21"/>
                      <w:szCs w:val="21"/>
                    </w:rPr>
                  </w:pPr>
                  <w:r>
                    <w:rPr>
                      <w:rFonts w:hint="eastAsia" w:ascii="宋体" w:hAnsi="宋体"/>
                      <w:color w:val="auto"/>
                      <w:sz w:val="21"/>
                      <w:szCs w:val="21"/>
                      <w:lang w:val="en-US" w:eastAsia="zh-CN"/>
                    </w:rPr>
                    <w:t>总磷</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sz w:val="21"/>
                      <w:szCs w:val="21"/>
                    </w:rPr>
                  </w:pPr>
                  <w:r>
                    <w:rPr>
                      <w:rFonts w:hint="eastAsia"/>
                      <w:color w:val="auto"/>
                      <w:sz w:val="21"/>
                      <w:szCs w:val="21"/>
                      <w:lang w:val="en-US" w:eastAsia="zh-CN"/>
                    </w:rPr>
                    <w:t>0.0002</w:t>
                  </w:r>
                </w:p>
              </w:tc>
              <w:tc>
                <w:tcPr>
                  <w:tcW w:w="4127" w:type="dxa"/>
                  <w:vMerge w:val="continue"/>
                  <w:tcBorders>
                    <w:left w:val="single" w:color="auto" w:sz="4" w:space="0"/>
                    <w:bottom w:val="single" w:color="auto" w:sz="4" w:space="0"/>
                    <w:right w:val="single" w:color="auto" w:sz="4" w:space="0"/>
                  </w:tcBorders>
                  <w:noWrap w:val="0"/>
                  <w:vAlign w:val="center"/>
                </w:tcPr>
                <w:p>
                  <w:pPr>
                    <w:widowControl/>
                    <w:jc w:val="left"/>
                    <w:rPr>
                      <w:color w:val="auto"/>
                      <w:sz w:val="21"/>
                      <w:szCs w:val="21"/>
                    </w:rPr>
                  </w:pPr>
                </w:p>
              </w:tc>
            </w:tr>
          </w:tbl>
          <w:p>
            <w:pPr>
              <w:pStyle w:val="13"/>
              <w:kinsoku w:val="0"/>
              <w:overflowPunct w:val="0"/>
              <w:snapToGrid w:val="0"/>
              <w:ind w:firstLine="482" w:firstLineChars="200"/>
              <w:jc w:val="both"/>
              <w:rPr>
                <w:b/>
                <w:bCs/>
                <w:color w:val="auto"/>
                <w:kern w:val="2"/>
                <w:szCs w:val="24"/>
              </w:rPr>
            </w:pPr>
            <w:r>
              <w:rPr>
                <w:rFonts w:hint="eastAsia"/>
                <w:b/>
                <w:bCs/>
                <w:color w:val="auto"/>
                <w:kern w:val="2"/>
                <w:szCs w:val="24"/>
              </w:rPr>
              <w:t>2、</w:t>
            </w:r>
            <w:r>
              <w:rPr>
                <w:b/>
                <w:bCs/>
                <w:color w:val="auto"/>
                <w:kern w:val="2"/>
                <w:szCs w:val="24"/>
              </w:rPr>
              <w:t>废气总量控制指标如下：</w:t>
            </w:r>
          </w:p>
          <w:p>
            <w:pPr>
              <w:spacing w:line="360" w:lineRule="auto"/>
              <w:ind w:firstLine="480" w:firstLineChars="200"/>
              <w:rPr>
                <w:b/>
                <w:bCs/>
                <w:color w:val="auto"/>
                <w:szCs w:val="21"/>
              </w:rPr>
            </w:pPr>
            <w:r>
              <w:rPr>
                <w:color w:val="auto"/>
                <w:kern w:val="0"/>
                <w:sz w:val="24"/>
              </w:rPr>
              <w:t>根据工程分析，本项目大气污染物建议总量控制指标如下表。</w:t>
            </w:r>
          </w:p>
          <w:p>
            <w:pPr>
              <w:pStyle w:val="123"/>
              <w:adjustRightInd w:val="0"/>
              <w:snapToGrid w:val="0"/>
              <w:spacing w:beforeLines="0" w:line="360" w:lineRule="auto"/>
              <w:rPr>
                <w:rFonts w:hint="eastAsia" w:ascii="Times New Roman" w:hAnsi="Times New Roman" w:eastAsia="宋体"/>
                <w:b/>
                <w:bCs/>
                <w:color w:val="auto"/>
                <w:szCs w:val="21"/>
              </w:rPr>
            </w:pPr>
            <w:r>
              <w:rPr>
                <w:rFonts w:ascii="Times New Roman" w:hAnsi="Times New Roman" w:eastAsia="宋体"/>
                <w:b/>
                <w:bCs/>
                <w:color w:val="auto"/>
                <w:szCs w:val="21"/>
              </w:rPr>
              <w:t>表3-</w:t>
            </w:r>
            <w:r>
              <w:rPr>
                <w:rFonts w:hint="eastAsia" w:ascii="Times New Roman" w:hAnsi="Times New Roman" w:eastAsia="宋体"/>
                <w:b/>
                <w:bCs/>
                <w:color w:val="auto"/>
                <w:szCs w:val="21"/>
              </w:rPr>
              <w:t>1</w:t>
            </w:r>
            <w:r>
              <w:rPr>
                <w:rFonts w:hint="eastAsia" w:ascii="Times New Roman" w:hAnsi="Times New Roman" w:eastAsia="宋体"/>
                <w:b/>
                <w:bCs/>
                <w:color w:val="auto"/>
                <w:szCs w:val="21"/>
                <w:lang w:val="en-US" w:eastAsia="zh-CN"/>
              </w:rPr>
              <w:t>0</w:t>
            </w:r>
            <w:r>
              <w:rPr>
                <w:rFonts w:hint="eastAsia" w:ascii="Times New Roman" w:hAnsi="Times New Roman" w:eastAsia="宋体"/>
                <w:b/>
                <w:bCs/>
                <w:color w:val="auto"/>
                <w:szCs w:val="21"/>
              </w:rPr>
              <w:t xml:space="preserve"> </w:t>
            </w:r>
            <w:r>
              <w:rPr>
                <w:rFonts w:ascii="Times New Roman" w:hAnsi="Times New Roman" w:eastAsia="宋体"/>
                <w:b/>
                <w:bCs/>
                <w:color w:val="auto"/>
                <w:szCs w:val="21"/>
              </w:rPr>
              <w:t>项目废气总量指标</w:t>
            </w:r>
            <w:r>
              <w:rPr>
                <w:rFonts w:hint="eastAsia" w:ascii="Times New Roman" w:hAnsi="Times New Roman" w:eastAsia="宋体"/>
                <w:b/>
                <w:bCs/>
                <w:color w:val="auto"/>
                <w:szCs w:val="21"/>
              </w:rPr>
              <w:t>（</w:t>
            </w:r>
            <w:r>
              <w:rPr>
                <w:rFonts w:hint="eastAsia" w:ascii="Times New Roman" w:hAnsi="Times New Roman" w:eastAsia="宋体"/>
                <w:b/>
                <w:bCs/>
                <w:color w:val="auto"/>
                <w:kern w:val="0"/>
                <w:szCs w:val="21"/>
                <w:lang w:val="en-US" w:eastAsia="zh-CN" w:bidi="ar"/>
              </w:rPr>
              <w:t>t</w:t>
            </w:r>
            <w:r>
              <w:rPr>
                <w:rFonts w:hint="eastAsia" w:ascii="Times New Roman" w:hAnsi="Times New Roman" w:eastAsia="宋体"/>
                <w:b/>
                <w:bCs/>
                <w:color w:val="auto"/>
                <w:kern w:val="0"/>
                <w:szCs w:val="21"/>
                <w:lang w:bidi="ar"/>
              </w:rPr>
              <w:t>/a</w:t>
            </w:r>
            <w:r>
              <w:rPr>
                <w:rFonts w:hint="eastAsia" w:ascii="Times New Roman" w:hAnsi="Times New Roman" w:eastAsia="宋体"/>
                <w:b/>
                <w:bCs/>
                <w:color w:val="auto"/>
                <w:szCs w:val="21"/>
              </w:rPr>
              <w:t>）</w:t>
            </w:r>
          </w:p>
          <w:tbl>
            <w:tblPr>
              <w:tblStyle w:val="36"/>
              <w:tblW w:w="801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79"/>
              <w:gridCol w:w="2355"/>
              <w:gridCol w:w="1905"/>
              <w:gridCol w:w="23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79" w:type="dxa"/>
                  <w:tcBorders>
                    <w:left w:val="single" w:color="auto" w:sz="0" w:space="0"/>
                  </w:tcBorders>
                  <w:noWrap w:val="0"/>
                  <w:tcMar>
                    <w:top w:w="15" w:type="dxa"/>
                    <w:left w:w="15" w:type="dxa"/>
                    <w:right w:w="15" w:type="dxa"/>
                  </w:tcMar>
                  <w:vAlign w:val="center"/>
                </w:tcPr>
                <w:p>
                  <w:pPr>
                    <w:widowControl/>
                    <w:jc w:val="center"/>
                    <w:textAlignment w:val="center"/>
                    <w:rPr>
                      <w:b/>
                      <w:color w:val="auto"/>
                      <w:szCs w:val="21"/>
                    </w:rPr>
                  </w:pPr>
                  <w:r>
                    <w:rPr>
                      <w:b/>
                      <w:color w:val="auto"/>
                      <w:kern w:val="0"/>
                      <w:szCs w:val="21"/>
                      <w:lang w:bidi="ar"/>
                    </w:rPr>
                    <w:t>污染物名称</w:t>
                  </w:r>
                </w:p>
              </w:tc>
              <w:tc>
                <w:tcPr>
                  <w:tcW w:w="2355" w:type="dxa"/>
                  <w:noWrap w:val="0"/>
                  <w:tcMar>
                    <w:top w:w="15" w:type="dxa"/>
                    <w:left w:w="15" w:type="dxa"/>
                    <w:right w:w="15" w:type="dxa"/>
                  </w:tcMar>
                  <w:vAlign w:val="center"/>
                </w:tcPr>
                <w:p>
                  <w:pPr>
                    <w:widowControl/>
                    <w:jc w:val="center"/>
                    <w:textAlignment w:val="center"/>
                    <w:rPr>
                      <w:b/>
                      <w:color w:val="auto"/>
                      <w:szCs w:val="21"/>
                    </w:rPr>
                  </w:pPr>
                  <w:r>
                    <w:rPr>
                      <w:b/>
                      <w:color w:val="auto"/>
                      <w:kern w:val="0"/>
                      <w:szCs w:val="21"/>
                      <w:lang w:bidi="ar"/>
                    </w:rPr>
                    <w:t>有组织排放量</w:t>
                  </w:r>
                </w:p>
              </w:tc>
              <w:tc>
                <w:tcPr>
                  <w:tcW w:w="1905" w:type="dxa"/>
                  <w:noWrap w:val="0"/>
                  <w:tcMar>
                    <w:top w:w="15" w:type="dxa"/>
                    <w:left w:w="15" w:type="dxa"/>
                    <w:right w:w="15" w:type="dxa"/>
                  </w:tcMar>
                  <w:vAlign w:val="center"/>
                </w:tcPr>
                <w:p>
                  <w:pPr>
                    <w:widowControl/>
                    <w:jc w:val="center"/>
                    <w:textAlignment w:val="center"/>
                    <w:rPr>
                      <w:b/>
                      <w:color w:val="auto"/>
                      <w:szCs w:val="21"/>
                    </w:rPr>
                  </w:pPr>
                  <w:r>
                    <w:rPr>
                      <w:b/>
                      <w:color w:val="auto"/>
                      <w:kern w:val="0"/>
                      <w:szCs w:val="21"/>
                      <w:lang w:bidi="ar"/>
                    </w:rPr>
                    <w:t>无组织排放量</w:t>
                  </w:r>
                </w:p>
              </w:tc>
              <w:tc>
                <w:tcPr>
                  <w:tcW w:w="2373" w:type="dxa"/>
                  <w:tcBorders>
                    <w:right w:val="single" w:color="auto" w:sz="4" w:space="0"/>
                  </w:tcBorders>
                  <w:noWrap w:val="0"/>
                  <w:tcMar>
                    <w:top w:w="15" w:type="dxa"/>
                    <w:left w:w="15" w:type="dxa"/>
                    <w:right w:w="15" w:type="dxa"/>
                  </w:tcMar>
                  <w:vAlign w:val="center"/>
                </w:tcPr>
                <w:p>
                  <w:pPr>
                    <w:widowControl/>
                    <w:jc w:val="center"/>
                    <w:textAlignment w:val="center"/>
                    <w:rPr>
                      <w:b/>
                      <w:color w:val="auto"/>
                      <w:szCs w:val="21"/>
                    </w:rPr>
                  </w:pPr>
                  <w:r>
                    <w:rPr>
                      <w:b/>
                      <w:color w:val="auto"/>
                      <w:kern w:val="0"/>
                      <w:szCs w:val="21"/>
                      <w:lang w:bidi="ar"/>
                    </w:rPr>
                    <w:t>本项目总量控制指标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79" w:type="dxa"/>
                  <w:tcBorders>
                    <w:left w:val="single" w:color="auto" w:sz="4" w:space="0"/>
                  </w:tcBorders>
                  <w:noWrap w:val="0"/>
                  <w:tcMar>
                    <w:top w:w="15" w:type="dxa"/>
                    <w:left w:w="15" w:type="dxa"/>
                    <w:right w:w="15" w:type="dxa"/>
                  </w:tcMar>
                  <w:vAlign w:val="center"/>
                </w:tcPr>
                <w:p>
                  <w:pPr>
                    <w:widowControl/>
                    <w:jc w:val="center"/>
                    <w:textAlignment w:val="center"/>
                    <w:rPr>
                      <w:color w:val="auto"/>
                      <w:kern w:val="0"/>
                      <w:sz w:val="21"/>
                      <w:szCs w:val="21"/>
                      <w:lang w:bidi="ar"/>
                    </w:rPr>
                  </w:pPr>
                  <w:r>
                    <w:rPr>
                      <w:rFonts w:hint="default" w:ascii="Times New Roman" w:hAnsi="Times New Roman" w:eastAsia="宋体" w:cs="Times New Roman"/>
                      <w:color w:val="auto"/>
                      <w:kern w:val="0"/>
                      <w:sz w:val="21"/>
                      <w:szCs w:val="21"/>
                      <w:lang w:bidi="ar"/>
                    </w:rPr>
                    <w:t>NO</w:t>
                  </w:r>
                  <w:r>
                    <w:rPr>
                      <w:rFonts w:hint="default" w:ascii="Times New Roman" w:hAnsi="Times New Roman" w:eastAsia="宋体" w:cs="Times New Roman"/>
                      <w:color w:val="auto"/>
                      <w:kern w:val="0"/>
                      <w:sz w:val="21"/>
                      <w:szCs w:val="21"/>
                      <w:vertAlign w:val="subscript"/>
                      <w:lang w:bidi="ar"/>
                    </w:rPr>
                    <w:t>X</w:t>
                  </w:r>
                </w:p>
              </w:tc>
              <w:tc>
                <w:tcPr>
                  <w:tcW w:w="2355" w:type="dxa"/>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val="0"/>
                      <w:bCs w:val="0"/>
                      <w:color w:val="auto"/>
                      <w:sz w:val="21"/>
                      <w:szCs w:val="21"/>
                      <w:lang w:val="en-US" w:eastAsia="zh-CN"/>
                    </w:rPr>
                  </w:pPr>
                  <w:r>
                    <w:rPr>
                      <w:color w:val="auto"/>
                      <w:szCs w:val="21"/>
                      <w:lang w:bidi="ar"/>
                    </w:rPr>
                    <w:t>0.</w:t>
                  </w:r>
                  <w:r>
                    <w:rPr>
                      <w:rFonts w:hint="eastAsia"/>
                      <w:color w:val="auto"/>
                      <w:szCs w:val="21"/>
                      <w:lang w:val="en-US" w:eastAsia="zh-CN" w:bidi="ar"/>
                    </w:rPr>
                    <w:t>1568</w:t>
                  </w:r>
                </w:p>
              </w:tc>
              <w:tc>
                <w:tcPr>
                  <w:tcW w:w="1905" w:type="dxa"/>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0</w:t>
                  </w:r>
                </w:p>
              </w:tc>
              <w:tc>
                <w:tcPr>
                  <w:tcW w:w="2373" w:type="dxa"/>
                  <w:tcBorders>
                    <w:right w:val="single" w:color="auto"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b w:val="0"/>
                      <w:bCs w:val="0"/>
                      <w:color w:val="auto"/>
                      <w:szCs w:val="21"/>
                      <w:lang w:val="en-US" w:eastAsia="zh-CN"/>
                    </w:rPr>
                  </w:pPr>
                  <w:r>
                    <w:rPr>
                      <w:color w:val="auto"/>
                      <w:szCs w:val="21"/>
                      <w:lang w:bidi="ar"/>
                    </w:rPr>
                    <w:t>0.</w:t>
                  </w:r>
                  <w:r>
                    <w:rPr>
                      <w:rFonts w:hint="eastAsia"/>
                      <w:color w:val="auto"/>
                      <w:szCs w:val="21"/>
                      <w:lang w:val="en-US" w:eastAsia="zh-CN" w:bidi="ar"/>
                    </w:rPr>
                    <w:t>1568</w:t>
                  </w:r>
                </w:p>
              </w:tc>
            </w:tr>
          </w:tbl>
          <w:p>
            <w:pPr>
              <w:spacing w:line="360" w:lineRule="auto"/>
              <w:ind w:firstLine="420" w:firstLineChars="200"/>
              <w:rPr>
                <w:rFonts w:ascii="宋体" w:hAnsi="宋体" w:cs="宋体"/>
                <w:color w:val="auto"/>
                <w:kern w:val="0"/>
                <w:szCs w:val="21"/>
              </w:rPr>
            </w:pPr>
          </w:p>
        </w:tc>
      </w:tr>
    </w:tbl>
    <w:p>
      <w:pPr>
        <w:pStyle w:val="32"/>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36"/>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46" w:type="dxa"/>
            <w:noWrap w:val="0"/>
            <w:tcMar>
              <w:left w:w="28" w:type="dxa"/>
              <w:right w:w="28" w:type="dxa"/>
            </w:tcMar>
            <w:vAlign w:val="center"/>
          </w:tcPr>
          <w:p>
            <w:pPr>
              <w:pStyle w:val="32"/>
              <w:adjustRightInd w:val="0"/>
              <w:snapToGrid w:val="0"/>
              <w:spacing w:before="0" w:beforeAutospacing="0" w:after="0" w:afterAutospacing="0"/>
              <w:jc w:val="center"/>
              <w:rPr>
                <w:rFonts w:hint="eastAsia" w:cs="宋体"/>
                <w:color w:val="auto"/>
                <w:kern w:val="2"/>
                <w:szCs w:val="24"/>
              </w:rPr>
            </w:pPr>
            <w:r>
              <w:rPr>
                <w:rFonts w:hint="eastAsia" w:cs="宋体"/>
                <w:color w:val="auto"/>
                <w:kern w:val="2"/>
                <w:szCs w:val="24"/>
              </w:rPr>
              <w:t>施工</w:t>
            </w:r>
          </w:p>
          <w:p>
            <w:pPr>
              <w:pStyle w:val="32"/>
              <w:adjustRightInd w:val="0"/>
              <w:snapToGrid w:val="0"/>
              <w:spacing w:before="0" w:beforeAutospacing="0" w:after="0" w:afterAutospacing="0"/>
              <w:jc w:val="center"/>
              <w:rPr>
                <w:rFonts w:hint="eastAsia" w:cs="宋体"/>
                <w:color w:val="auto"/>
                <w:kern w:val="2"/>
                <w:szCs w:val="24"/>
              </w:rPr>
            </w:pPr>
            <w:r>
              <w:rPr>
                <w:rFonts w:hint="eastAsia" w:cs="宋体"/>
                <w:color w:val="auto"/>
                <w:kern w:val="2"/>
                <w:szCs w:val="24"/>
              </w:rPr>
              <w:t>期环</w:t>
            </w:r>
          </w:p>
          <w:p>
            <w:pPr>
              <w:pStyle w:val="32"/>
              <w:adjustRightInd w:val="0"/>
              <w:snapToGrid w:val="0"/>
              <w:spacing w:before="0" w:beforeAutospacing="0" w:after="0" w:afterAutospacing="0"/>
              <w:jc w:val="center"/>
              <w:rPr>
                <w:rFonts w:hint="eastAsia" w:cs="宋体"/>
                <w:color w:val="auto"/>
                <w:kern w:val="2"/>
                <w:szCs w:val="24"/>
              </w:rPr>
            </w:pPr>
            <w:r>
              <w:rPr>
                <w:rFonts w:hint="eastAsia" w:cs="宋体"/>
                <w:color w:val="auto"/>
                <w:kern w:val="2"/>
                <w:szCs w:val="24"/>
              </w:rPr>
              <w:t>境保</w:t>
            </w:r>
          </w:p>
          <w:p>
            <w:pPr>
              <w:pStyle w:val="32"/>
              <w:adjustRightInd w:val="0"/>
              <w:snapToGrid w:val="0"/>
              <w:spacing w:before="0" w:beforeAutospacing="0" w:after="0" w:afterAutospacing="0"/>
              <w:jc w:val="center"/>
              <w:rPr>
                <w:rFonts w:hint="eastAsia" w:cs="宋体"/>
                <w:color w:val="auto"/>
                <w:kern w:val="2"/>
                <w:szCs w:val="24"/>
              </w:rPr>
            </w:pPr>
            <w:r>
              <w:rPr>
                <w:rFonts w:hint="eastAsia" w:cs="宋体"/>
                <w:color w:val="auto"/>
                <w:kern w:val="2"/>
                <w:szCs w:val="24"/>
              </w:rPr>
              <w:t>护措</w:t>
            </w:r>
          </w:p>
          <w:p>
            <w:pPr>
              <w:pStyle w:val="32"/>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Cs w:val="24"/>
              </w:rPr>
              <w:t>施</w:t>
            </w:r>
          </w:p>
        </w:tc>
        <w:tc>
          <w:tcPr>
            <w:tcW w:w="8162" w:type="dxa"/>
            <w:noWrap w:val="0"/>
            <w:vAlign w:val="center"/>
          </w:tcPr>
          <w:p>
            <w:pPr>
              <w:spacing w:line="360" w:lineRule="auto"/>
              <w:ind w:firstLine="482" w:firstLineChars="200"/>
              <w:rPr>
                <w:rFonts w:ascii="宋体" w:hAnsi="宋体" w:eastAsia="宋体" w:cs="Times New Roman"/>
                <w:b/>
                <w:bCs/>
                <w:color w:val="auto"/>
                <w:sz w:val="24"/>
              </w:rPr>
            </w:pPr>
            <w:r>
              <w:rPr>
                <w:rFonts w:hint="eastAsia" w:ascii="宋体" w:hAnsi="宋体" w:eastAsia="宋体" w:cs="Times New Roman"/>
                <w:b/>
                <w:bCs/>
                <w:color w:val="auto"/>
                <w:sz w:val="24"/>
              </w:rPr>
              <w:t>一</w:t>
            </w:r>
            <w:r>
              <w:rPr>
                <w:rFonts w:ascii="宋体" w:hAnsi="宋体" w:eastAsia="宋体" w:cs="Times New Roman"/>
                <w:b/>
                <w:bCs/>
                <w:color w:val="auto"/>
                <w:sz w:val="24"/>
              </w:rPr>
              <w:t>、施工期工程分析</w:t>
            </w:r>
          </w:p>
          <w:p>
            <w:pPr>
              <w:spacing w:line="360" w:lineRule="auto"/>
              <w:ind w:firstLine="480" w:firstLineChars="200"/>
              <w:rPr>
                <w:rFonts w:ascii="宋体" w:hAnsi="宋体" w:eastAsia="宋体" w:cs="Times New Roman"/>
                <w:color w:val="auto"/>
                <w:sz w:val="24"/>
              </w:rPr>
            </w:pPr>
            <w:r>
              <w:rPr>
                <w:rFonts w:ascii="宋体" w:hAnsi="宋体" w:eastAsia="宋体" w:cs="Times New Roman"/>
                <w:color w:val="auto"/>
                <w:sz w:val="24"/>
              </w:rPr>
              <w:t>该项目利用现有厂房进行项目建设，项目施工期主要为厂房适应性改造及设备安装，施工期主要污染为噪声、扬尘、</w:t>
            </w:r>
            <w:r>
              <w:rPr>
                <w:rFonts w:hint="eastAsia" w:ascii="宋体" w:hAnsi="宋体" w:eastAsia="宋体" w:cs="Times New Roman"/>
                <w:color w:val="auto"/>
                <w:sz w:val="24"/>
                <w:lang w:eastAsia="zh-CN"/>
              </w:rPr>
              <w:t>生活污水</w:t>
            </w:r>
            <w:r>
              <w:rPr>
                <w:rFonts w:ascii="宋体" w:hAnsi="宋体" w:eastAsia="宋体" w:cs="Times New Roman"/>
                <w:color w:val="auto"/>
                <w:sz w:val="24"/>
              </w:rPr>
              <w:t>、生活垃圾等。施工流程及产污位置如下图所示。</w:t>
            </w:r>
          </w:p>
          <w:p>
            <w:pPr>
              <w:pStyle w:val="97"/>
              <w:spacing w:line="360" w:lineRule="auto"/>
              <w:ind w:left="0" w:right="0" w:firstLine="0"/>
              <w:jc w:val="center"/>
              <w:rPr>
                <w:color w:val="auto"/>
                <w:sz w:val="21"/>
                <w:szCs w:val="21"/>
              </w:rPr>
            </w:pPr>
            <w:r>
              <w:rPr>
                <w:color w:val="auto"/>
                <w:sz w:val="21"/>
                <w:szCs w:val="21"/>
              </w:rPr>
              <mc:AlternateContent>
                <mc:Choice Requires="wpc">
                  <w:drawing>
                    <wp:inline distT="0" distB="0" distL="114300" distR="114300">
                      <wp:extent cx="4991735" cy="1139825"/>
                      <wp:effectExtent l="5080" t="0" r="0" b="0"/>
                      <wp:docPr id="12" name="画布 30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3059"/>
                              <wps:cNvSpPr txBox="1"/>
                              <wps:spPr>
                                <a:xfrm>
                                  <a:off x="0" y="749073"/>
                                  <a:ext cx="1432989" cy="266566"/>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szCs w:val="21"/>
                                      </w:rPr>
                                    </w:pPr>
                                    <w:r>
                                      <w:rPr>
                                        <w:rFonts w:hint="eastAsia"/>
                                        <w:szCs w:val="21"/>
                                      </w:rPr>
                                      <w:t>厂房适应性改造工程</w:t>
                                    </w:r>
                                  </w:p>
                                </w:txbxContent>
                              </wps:txbx>
                              <wps:bodyPr wrap="square" lIns="0" tIns="0" rIns="0" bIns="0" upright="1"/>
                            </wps:wsp>
                            <wps:wsp>
                              <wps:cNvPr id="2" name="文本框 3060"/>
                              <wps:cNvSpPr txBox="1"/>
                              <wps:spPr>
                                <a:xfrm>
                                  <a:off x="1756439" y="757774"/>
                                  <a:ext cx="695933" cy="26577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szCs w:val="21"/>
                                      </w:rPr>
                                    </w:pPr>
                                    <w:r>
                                      <w:rPr>
                                        <w:rFonts w:hint="eastAsia"/>
                                        <w:szCs w:val="21"/>
                                      </w:rPr>
                                      <w:t>设备安装</w:t>
                                    </w:r>
                                  </w:p>
                                </w:txbxContent>
                              </wps:txbx>
                              <wps:bodyPr wrap="square" lIns="0" tIns="0" rIns="0" bIns="0" upright="1"/>
                            </wps:wsp>
                            <wps:wsp>
                              <wps:cNvPr id="3" name="直线 3061"/>
                              <wps:cNvCnPr/>
                              <wps:spPr>
                                <a:xfrm flipV="1">
                                  <a:off x="703050" y="469852"/>
                                  <a:ext cx="791" cy="253910"/>
                                </a:xfrm>
                                <a:prstGeom prst="line">
                                  <a:avLst/>
                                </a:prstGeom>
                                <a:ln w="9525" cap="flat" cmpd="sng">
                                  <a:solidFill>
                                    <a:srgbClr val="000000"/>
                                  </a:solidFill>
                                  <a:prstDash val="lgDash"/>
                                  <a:headEnd type="none" w="med" len="med"/>
                                  <a:tailEnd type="triangle" w="med" len="med"/>
                                </a:ln>
                              </wps:spPr>
                              <wps:bodyPr upright="1"/>
                            </wps:wsp>
                            <wps:wsp>
                              <wps:cNvPr id="4" name="直线 3070"/>
                              <wps:cNvCnPr/>
                              <wps:spPr>
                                <a:xfrm>
                                  <a:off x="1432989" y="886706"/>
                                  <a:ext cx="325823" cy="0"/>
                                </a:xfrm>
                                <a:prstGeom prst="line">
                                  <a:avLst/>
                                </a:prstGeom>
                                <a:ln w="9525" cap="flat" cmpd="sng">
                                  <a:solidFill>
                                    <a:srgbClr val="000000"/>
                                  </a:solidFill>
                                  <a:prstDash val="solid"/>
                                  <a:headEnd type="none" w="med" len="med"/>
                                  <a:tailEnd type="triangle" w="med" len="med"/>
                                </a:ln>
                              </wps:spPr>
                              <wps:bodyPr upright="1"/>
                            </wps:wsp>
                            <wps:wsp>
                              <wps:cNvPr id="5" name="直线 3071"/>
                              <wps:cNvCnPr/>
                              <wps:spPr>
                                <a:xfrm>
                                  <a:off x="2452372" y="888288"/>
                                  <a:ext cx="355084" cy="791"/>
                                </a:xfrm>
                                <a:prstGeom prst="line">
                                  <a:avLst/>
                                </a:prstGeom>
                                <a:ln w="9525" cap="flat" cmpd="sng">
                                  <a:solidFill>
                                    <a:srgbClr val="000000"/>
                                  </a:solidFill>
                                  <a:prstDash val="solid"/>
                                  <a:headEnd type="none" w="med" len="med"/>
                                  <a:tailEnd type="triangle" w="med" len="med"/>
                                </a:ln>
                              </wps:spPr>
                              <wps:bodyPr upright="1"/>
                            </wps:wsp>
                            <wps:wsp>
                              <wps:cNvPr id="6" name="文本框 3079"/>
                              <wps:cNvSpPr txBox="1"/>
                              <wps:spPr>
                                <a:xfrm>
                                  <a:off x="2799547" y="746700"/>
                                  <a:ext cx="828793" cy="268148"/>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szCs w:val="21"/>
                                      </w:rPr>
                                    </w:pPr>
                                    <w:r>
                                      <w:rPr>
                                        <w:rFonts w:hint="eastAsia"/>
                                        <w:szCs w:val="21"/>
                                      </w:rPr>
                                      <w:t>工程验收</w:t>
                                    </w:r>
                                  </w:p>
                                </w:txbxContent>
                              </wps:txbx>
                              <wps:bodyPr wrap="square" lIns="0" tIns="0" rIns="0" bIns="0" upright="1"/>
                            </wps:wsp>
                            <wps:wsp>
                              <wps:cNvPr id="7" name="直线 3061"/>
                              <wps:cNvCnPr/>
                              <wps:spPr>
                                <a:xfrm flipV="1">
                                  <a:off x="2113105" y="470643"/>
                                  <a:ext cx="1582" cy="255492"/>
                                </a:xfrm>
                                <a:prstGeom prst="line">
                                  <a:avLst/>
                                </a:prstGeom>
                                <a:ln w="9525" cap="flat" cmpd="sng">
                                  <a:solidFill>
                                    <a:srgbClr val="000000"/>
                                  </a:solidFill>
                                  <a:prstDash val="lgDash"/>
                                  <a:headEnd type="none" w="med" len="med"/>
                                  <a:tailEnd type="triangle" w="med" len="med"/>
                                </a:ln>
                              </wps:spPr>
                              <wps:bodyPr upright="1"/>
                            </wps:wsp>
                            <wps:wsp>
                              <wps:cNvPr id="8" name="直线 3071"/>
                              <wps:cNvCnPr/>
                              <wps:spPr>
                                <a:xfrm>
                                  <a:off x="3636248" y="881169"/>
                                  <a:ext cx="355875" cy="2373"/>
                                </a:xfrm>
                                <a:prstGeom prst="line">
                                  <a:avLst/>
                                </a:prstGeom>
                                <a:ln w="9525" cap="flat" cmpd="sng">
                                  <a:solidFill>
                                    <a:srgbClr val="000000"/>
                                  </a:solidFill>
                                  <a:prstDash val="solid"/>
                                  <a:headEnd type="none" w="med" len="med"/>
                                  <a:tailEnd type="triangle" w="med" len="med"/>
                                </a:ln>
                              </wps:spPr>
                              <wps:bodyPr upright="1"/>
                            </wps:wsp>
                            <wps:wsp>
                              <wps:cNvPr id="9" name="文本框 3079"/>
                              <wps:cNvSpPr txBox="1"/>
                              <wps:spPr>
                                <a:xfrm>
                                  <a:off x="3990541" y="755401"/>
                                  <a:ext cx="829583" cy="26973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szCs w:val="21"/>
                                      </w:rPr>
                                    </w:pPr>
                                    <w:r>
                                      <w:rPr>
                                        <w:rFonts w:hint="eastAsia"/>
                                        <w:szCs w:val="21"/>
                                      </w:rPr>
                                      <w:t>工程运营</w:t>
                                    </w:r>
                                  </w:p>
                                </w:txbxContent>
                              </wps:txbx>
                              <wps:bodyPr wrap="square" lIns="0" tIns="0" rIns="0" bIns="0" upright="1"/>
                            </wps:wsp>
                            <wps:wsp>
                              <wps:cNvPr id="10" name="文本框 3059"/>
                              <wps:cNvSpPr txBox="1"/>
                              <wps:spPr>
                                <a:xfrm>
                                  <a:off x="78292" y="21357"/>
                                  <a:ext cx="1276404" cy="505446"/>
                                </a:xfrm>
                                <a:prstGeom prst="rect">
                                  <a:avLst/>
                                </a:prstGeom>
                                <a:noFill/>
                                <a:ln>
                                  <a:noFill/>
                                </a:ln>
                              </wps:spPr>
                              <wps:txbx>
                                <w:txbxContent>
                                  <w:p>
                                    <w:pPr>
                                      <w:spacing w:line="360" w:lineRule="exact"/>
                                      <w:jc w:val="center"/>
                                      <w:rPr>
                                        <w:szCs w:val="21"/>
                                      </w:rPr>
                                    </w:pPr>
                                    <w:r>
                                      <w:rPr>
                                        <w:rFonts w:hint="eastAsia"/>
                                        <w:szCs w:val="21"/>
                                      </w:rPr>
                                      <w:t>噪声、扬尘、生活污水、</w:t>
                                    </w:r>
                                    <w:r>
                                      <w:rPr>
                                        <w:szCs w:val="21"/>
                                      </w:rPr>
                                      <w:t>生活垃圾</w:t>
                                    </w:r>
                                  </w:p>
                                </w:txbxContent>
                              </wps:txbx>
                              <wps:bodyPr wrap="square" lIns="0" tIns="0" rIns="0" bIns="0" upright="1"/>
                            </wps:wsp>
                            <wps:wsp>
                              <wps:cNvPr id="11" name="文本框 3059"/>
                              <wps:cNvSpPr txBox="1"/>
                              <wps:spPr>
                                <a:xfrm>
                                  <a:off x="1637814" y="30849"/>
                                  <a:ext cx="962443" cy="446122"/>
                                </a:xfrm>
                                <a:prstGeom prst="rect">
                                  <a:avLst/>
                                </a:prstGeom>
                                <a:noFill/>
                                <a:ln>
                                  <a:noFill/>
                                </a:ln>
                              </wps:spPr>
                              <wps:txbx>
                                <w:txbxContent>
                                  <w:p>
                                    <w:pPr>
                                      <w:spacing w:line="360" w:lineRule="exact"/>
                                      <w:jc w:val="center"/>
                                      <w:rPr>
                                        <w:szCs w:val="21"/>
                                      </w:rPr>
                                    </w:pPr>
                                    <w:r>
                                      <w:rPr>
                                        <w:rFonts w:hint="eastAsia"/>
                                        <w:szCs w:val="21"/>
                                      </w:rPr>
                                      <w:t>噪声、生活污水、生活垃圾</w:t>
                                    </w:r>
                                  </w:p>
                                </w:txbxContent>
                              </wps:txbx>
                              <wps:bodyPr wrap="square" lIns="0" tIns="0" rIns="0" bIns="0" upright="1"/>
                            </wps:wsp>
                          </wpc:wpc>
                        </a:graphicData>
                      </a:graphic>
                    </wp:inline>
                  </w:drawing>
                </mc:Choice>
                <mc:Fallback>
                  <w:pict>
                    <v:group id="画布 3047" o:spid="_x0000_s1026" o:spt="203" style="height:89.75pt;width:393.05pt;" coordsize="4991735,1139825" editas="canvas" o:gfxdata="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">
                      <o:lock v:ext="edit" aspectratio="f"/>
                      <v:shape id="画布 3047" o:spid="_x0000_s1026" style="position:absolute;left:0;top:0;height:1139825;width:4991735;" filled="f" stroked="f" coordsize="21600,21600" o:gfxdata="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">
                        <v:fill on="f" focussize="0,0"/>
                        <v:stroke on="f"/>
                        <v:imagedata o:title=""/>
                        <o:lock v:ext="edit" aspectratio="t"/>
                      </v:shape>
                      <v:shape id="文本框 3059" o:spid="_x0000_s1026" o:spt="202" type="#_x0000_t202" style="position:absolute;left:0;top:749073;height:266566;width:1432989;" filled="f" stroked="t" coordsize="21600,21600" o:gfxdata="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VMVGtYAAAAFAQAADwAAAAAAAAABACAAAAAi&#10;AAAAZHJzL2Rvd25yZXYueG1sUEsBAhQAFAAAAAgAh07iQJg2pHsMAgAA+QMAAA4AAAAAAAAAAQAg&#10;AAAAJQEAAGRycy9lMm9Eb2MueG1sUEsFBgAAAAAGAAYAWQEAAKMFAAAAAA==&#10;">
                        <v:fill on="f" focussize="0,0"/>
                        <v:stroke color="#000000" joinstyle="miter"/>
                        <v:imagedata o:title=""/>
                        <o:lock v:ext="edit" aspectratio="f"/>
                        <v:textbox inset="0mm,0mm,0mm,0mm">
                          <w:txbxContent>
                            <w:p>
                              <w:pPr>
                                <w:spacing w:line="360" w:lineRule="exact"/>
                                <w:jc w:val="center"/>
                                <w:rPr>
                                  <w:szCs w:val="21"/>
                                </w:rPr>
                              </w:pPr>
                              <w:r>
                                <w:rPr>
                                  <w:rFonts w:hint="eastAsia"/>
                                  <w:szCs w:val="21"/>
                                </w:rPr>
                                <w:t>厂房适应性改造工程</w:t>
                              </w:r>
                            </w:p>
                          </w:txbxContent>
                        </v:textbox>
                      </v:shape>
                      <v:shape id="文本框 3060" o:spid="_x0000_s1026" o:spt="202" type="#_x0000_t202" style="position:absolute;left:1756439;top:757774;height:265775;width:695933;" filled="f" stroked="t" coordsize="21600,21600" o:gfxdata="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UxUa1gAAAAUBAAAPAAAAAAAAAAEAIAAA&#10;ACIAAABkcnMvZG93bnJldi54bWxQSwECFAAUAAAACACHTuJAbkzwTg4CAAD+AwAADgAAAAAAAAAB&#10;ACAAAAAlAQAAZHJzL2Uyb0RvYy54bWxQSwUGAAAAAAYABgBZAQAApQUAAAAA&#10;">
                        <v:fill on="f" focussize="0,0"/>
                        <v:stroke color="#000000" joinstyle="miter"/>
                        <v:imagedata o:title=""/>
                        <o:lock v:ext="edit" aspectratio="f"/>
                        <v:textbox inset="0mm,0mm,0mm,0mm">
                          <w:txbxContent>
                            <w:p>
                              <w:pPr>
                                <w:spacing w:line="360" w:lineRule="exact"/>
                                <w:jc w:val="center"/>
                                <w:rPr>
                                  <w:szCs w:val="21"/>
                                </w:rPr>
                              </w:pPr>
                              <w:r>
                                <w:rPr>
                                  <w:rFonts w:hint="eastAsia"/>
                                  <w:szCs w:val="21"/>
                                </w:rPr>
                                <w:t>设备安装</w:t>
                              </w:r>
                            </w:p>
                          </w:txbxContent>
                        </v:textbox>
                      </v:shape>
                      <v:line id="直线 3061" o:spid="_x0000_s1026" o:spt="20" style="position:absolute;left:703050;top:469852;flip:y;height:253910;width:791;" filled="f" stroked="t" coordsize="21600,21600" o:gfxdata="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QzUm&#10;0gAAAAUBAAAPAAAAAAAAAAEAIAAAACIAAABkcnMvZG93bnJldi54bWxQSwECFAAUAAAACACHTuJA&#10;sfTQsu4BAACqAwAADgAAAAAAAAABACAAAAAhAQAAZHJzL2Uyb0RvYy54bWxQSwUGAAAAAAYABgBZ&#10;AQAAgQUAAAAA&#10;">
                        <v:fill on="f" focussize="0,0"/>
                        <v:stroke color="#000000" joinstyle="round" dashstyle="longDash" endarrow="block"/>
                        <v:imagedata o:title=""/>
                        <o:lock v:ext="edit" aspectratio="f"/>
                      </v:line>
                      <v:line id="直线 3070" o:spid="_x0000_s1026" o:spt="20" style="position:absolute;left:1432989;top:886706;height:0;width:325823;" filled="f" stroked="t" coordsize="21600,21600" o:gfxdata="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0gaI+1wAAAAUB&#10;AAAPAAAAAAAAAAEAIAAAACIAAABkcnMvZG93bnJldi54bWxQSwECFAAUAAAACACHTuJAkJmmhuMB&#10;AACeAwAADgAAAAAAAAABACAAAAAmAQAAZHJzL2Uyb0RvYy54bWxQSwUGAAAAAAYABgBZAQAAewUA&#10;AAAA&#10;">
                        <v:fill on="f" focussize="0,0"/>
                        <v:stroke color="#000000" joinstyle="round" endarrow="block"/>
                        <v:imagedata o:title=""/>
                        <o:lock v:ext="edit" aspectratio="f"/>
                      </v:line>
                      <v:line id="直线 3071" o:spid="_x0000_s1026" o:spt="20" style="position:absolute;left:2452372;top:888288;height:791;width:355084;" filled="f" stroked="t" coordsize="21600,21600" o:gfxdata="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0gaI+1wAA&#10;AAUBAAAPAAAAAAAAAAEAIAAAACIAAABkcnMvZG93bnJldi54bWxQSwECFAAUAAAACACHTuJADea7&#10;SuYBAACgAwAADgAAAAAAAAABACAAAAAmAQAAZHJzL2Uyb0RvYy54bWxQSwUGAAAAAAYABgBZAQAA&#10;fgUAAAAA&#10;">
                        <v:fill on="f" focussize="0,0"/>
                        <v:stroke color="#000000" joinstyle="round" endarrow="block"/>
                        <v:imagedata o:title=""/>
                        <o:lock v:ext="edit" aspectratio="f"/>
                      </v:line>
                      <v:shape id="文本框 3079" o:spid="_x0000_s1026" o:spt="202" type="#_x0000_t202" style="position:absolute;left:2799547;top:746700;height:268148;width:828793;" filled="f" stroked="t" coordsize="21600,21600" o:gfxdata="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FUxUa1gAAAAUBAAAPAAAAAAAAAAEA&#10;IAAAACIAAABkcnMvZG93bnJldi54bWxQSwECFAAUAAAACACHTuJA7P+OGxECAAD+AwAADgAAAAAA&#10;AAABACAAAAAlAQAAZHJzL2Uyb0RvYy54bWxQSwUGAAAAAAYABgBZAQAAqAUAAAAA&#10;">
                        <v:fill on="f" focussize="0,0"/>
                        <v:stroke color="#000000" joinstyle="miter"/>
                        <v:imagedata o:title=""/>
                        <o:lock v:ext="edit" aspectratio="f"/>
                        <v:textbox inset="0mm,0mm,0mm,0mm">
                          <w:txbxContent>
                            <w:p>
                              <w:pPr>
                                <w:spacing w:line="360" w:lineRule="exact"/>
                                <w:jc w:val="center"/>
                                <w:rPr>
                                  <w:szCs w:val="21"/>
                                </w:rPr>
                              </w:pPr>
                              <w:r>
                                <w:rPr>
                                  <w:rFonts w:hint="eastAsia"/>
                                  <w:szCs w:val="21"/>
                                </w:rPr>
                                <w:t>工程验收</w:t>
                              </w:r>
                            </w:p>
                          </w:txbxContent>
                        </v:textbox>
                      </v:shape>
                      <v:line id="直线 3061" o:spid="_x0000_s1026" o:spt="20" style="position:absolute;left:2113105;top:470643;flip:y;height:255492;width:1582;" filled="f" stroked="t" coordsize="21600,21600" o:gfxdata="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kM1&#10;JtIAAAAFAQAADwAAAAAAAAABACAAAAAiAAAAZHJzL2Rvd25yZXYueG1sUEsBAhQAFAAAAAgAh07i&#10;QM0Vm2fvAQAArAMAAA4AAAAAAAAAAQAgAAAAIQEAAGRycy9lMm9Eb2MueG1sUEsFBgAAAAAGAAYA&#10;WQEAAIIFAAAAAA==&#10;">
                        <v:fill on="f" focussize="0,0"/>
                        <v:stroke color="#000000" joinstyle="round" dashstyle="longDash" endarrow="block"/>
                        <v:imagedata o:title=""/>
                        <o:lock v:ext="edit" aspectratio="f"/>
                      </v:line>
                      <v:line id="直线 3071" o:spid="_x0000_s1026" o:spt="20" style="position:absolute;left:3636248;top:881169;height:2373;width:355875;" filled="f" stroked="t" coordsize="21600,21600" o:gfxdata="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SBoj7XAAAABQEA&#10;AA8AAAAAAAAAAQAgAAAAIgAAAGRycy9kb3ducmV2LnhtbFBLAQIUABQAAAAIAIdO4kCXzxlm4gEA&#10;AKEDAAAOAAAAAAAAAAEAIAAAACYBAABkcnMvZTJvRG9jLnhtbFBLBQYAAAAABgAGAFkBAAB6BQAA&#10;AAA=&#10;">
                        <v:fill on="f" focussize="0,0"/>
                        <v:stroke color="#000000" joinstyle="round" endarrow="block"/>
                        <v:imagedata o:title=""/>
                        <o:lock v:ext="edit" aspectratio="f"/>
                      </v:line>
                      <v:shape id="文本框 3079" o:spid="_x0000_s1026" o:spt="202" type="#_x0000_t202" style="position:absolute;left:3990541;top:755401;height:269730;width:829583;" filled="f" stroked="t" coordsize="21600,21600" o:gfxdata="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VTFRrWAAAABQEAAA8AAAAAAAAA&#10;AQAgAAAAIgAAAGRycy9kb3ducmV2LnhtbFBLAQIUABQAAAAIAIdO4kBn4eQ7EwIAAP4DAAAOAAAA&#10;AAAAAAEAIAAAACUBAABkcnMvZTJvRG9jLnhtbFBLBQYAAAAABgAGAFkBAACqBQAAAAA=&#10;">
                        <v:fill on="f" focussize="0,0"/>
                        <v:stroke color="#000000" joinstyle="miter"/>
                        <v:imagedata o:title=""/>
                        <o:lock v:ext="edit" aspectratio="f"/>
                        <v:textbox inset="0mm,0mm,0mm,0mm">
                          <w:txbxContent>
                            <w:p>
                              <w:pPr>
                                <w:spacing w:line="360" w:lineRule="exact"/>
                                <w:jc w:val="center"/>
                                <w:rPr>
                                  <w:szCs w:val="21"/>
                                </w:rPr>
                              </w:pPr>
                              <w:r>
                                <w:rPr>
                                  <w:rFonts w:hint="eastAsia"/>
                                  <w:szCs w:val="21"/>
                                </w:rPr>
                                <w:t>工程运营</w:t>
                              </w:r>
                            </w:p>
                          </w:txbxContent>
                        </v:textbox>
                      </v:shape>
                      <v:shape id="文本框 3059" o:spid="_x0000_s1026" o:spt="202" type="#_x0000_t202" style="position:absolute;left:78292;top:21357;height:505446;width:1276404;" filled="f" stroked="f" coordsize="21600,21600" o:gfxdata="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JMGZdUAAAAFAQAADwAAAAAAAAABACAAAAAiAAAAZHJzL2Rvd25yZXYueG1sUEsBAhQAFAAAAAgA&#10;h07iQIctM+62AQAAPgMAAA4AAAAAAAAAAQAgAAAAJAEAAGRycy9lMm9Eb2MueG1sUEsFBgAAAAAG&#10;AAYAWQEAAEwFAAAAAA==&#10;">
                        <v:fill on="f" focussize="0,0"/>
                        <v:stroke on="f"/>
                        <v:imagedata o:title=""/>
                        <o:lock v:ext="edit" aspectratio="f"/>
                        <v:textbox inset="0mm,0mm,0mm,0mm">
                          <w:txbxContent>
                            <w:p>
                              <w:pPr>
                                <w:spacing w:line="360" w:lineRule="exact"/>
                                <w:jc w:val="center"/>
                                <w:rPr>
                                  <w:szCs w:val="21"/>
                                </w:rPr>
                              </w:pPr>
                              <w:r>
                                <w:rPr>
                                  <w:rFonts w:hint="eastAsia"/>
                                  <w:szCs w:val="21"/>
                                </w:rPr>
                                <w:t>噪声、扬尘、生活污水、</w:t>
                              </w:r>
                              <w:r>
                                <w:rPr>
                                  <w:szCs w:val="21"/>
                                </w:rPr>
                                <w:t>生活垃圾</w:t>
                              </w:r>
                            </w:p>
                          </w:txbxContent>
                        </v:textbox>
                      </v:shape>
                      <v:shape id="文本框 3059" o:spid="_x0000_s1026" o:spt="202" type="#_x0000_t202" style="position:absolute;left:1637814;top:30849;height:446122;width:962443;" filled="f" stroked="f" coordsize="21600,21600" o:gfxdata="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JMGZdUAAAAFAQAADwAAAAAAAAABACAAAAAiAAAAZHJzL2Rvd25yZXYueG1sUEsBAhQAFAAAAAgA&#10;h07iQAIB5je2AQAAPwMAAA4AAAAAAAAAAQAgAAAAJAEAAGRycy9lMm9Eb2MueG1sUEsFBgAAAAAG&#10;AAYAWQEAAEwFAAAAAA==&#10;">
                        <v:fill on="f" focussize="0,0"/>
                        <v:stroke on="f"/>
                        <v:imagedata o:title=""/>
                        <o:lock v:ext="edit" aspectratio="f"/>
                        <v:textbox inset="0mm,0mm,0mm,0mm">
                          <w:txbxContent>
                            <w:p>
                              <w:pPr>
                                <w:spacing w:line="360" w:lineRule="exact"/>
                                <w:jc w:val="center"/>
                                <w:rPr>
                                  <w:szCs w:val="21"/>
                                </w:rPr>
                              </w:pPr>
                              <w:r>
                                <w:rPr>
                                  <w:rFonts w:hint="eastAsia"/>
                                  <w:szCs w:val="21"/>
                                </w:rPr>
                                <w:t>噪声、生活污水、生活垃圾</w:t>
                              </w:r>
                            </w:p>
                          </w:txbxContent>
                        </v:textbox>
                      </v:shape>
                      <w10:wrap type="none"/>
                      <w10:anchorlock/>
                    </v:group>
                  </w:pict>
                </mc:Fallback>
              </mc:AlternateContent>
            </w:r>
          </w:p>
          <w:p>
            <w:pPr>
              <w:spacing w:line="360" w:lineRule="auto"/>
              <w:ind w:firstLine="422" w:firstLineChars="200"/>
              <w:jc w:val="center"/>
              <w:rPr>
                <w:b/>
                <w:color w:val="auto"/>
                <w:sz w:val="21"/>
                <w:szCs w:val="21"/>
              </w:rPr>
            </w:pPr>
            <w:r>
              <w:rPr>
                <w:b/>
                <w:color w:val="auto"/>
                <w:sz w:val="21"/>
                <w:szCs w:val="21"/>
              </w:rPr>
              <w:t>图4-1 项目施工期工艺流程及产污环节图</w:t>
            </w:r>
          </w:p>
          <w:p>
            <w:pPr>
              <w:spacing w:line="360" w:lineRule="auto"/>
              <w:ind w:firstLine="482" w:firstLineChars="200"/>
              <w:rPr>
                <w:b/>
                <w:bCs/>
                <w:color w:val="auto"/>
                <w:sz w:val="24"/>
                <w:szCs w:val="24"/>
              </w:rPr>
            </w:pPr>
            <w:r>
              <w:rPr>
                <w:rFonts w:hint="eastAsia"/>
                <w:b/>
                <w:bCs/>
                <w:color w:val="auto"/>
                <w:sz w:val="24"/>
                <w:szCs w:val="24"/>
              </w:rPr>
              <w:t>二</w:t>
            </w:r>
            <w:r>
              <w:rPr>
                <w:rFonts w:hint="eastAsia" w:ascii="Times New Roman" w:hAnsi="Times New Roman" w:eastAsia="宋体" w:cs="Times New Roman"/>
                <w:b/>
                <w:bCs/>
                <w:color w:val="auto"/>
                <w:sz w:val="24"/>
                <w:szCs w:val="24"/>
              </w:rPr>
              <w:t>、施工期污染物产生、治理及排放</w:t>
            </w:r>
          </w:p>
          <w:p>
            <w:pPr>
              <w:spacing w:line="360" w:lineRule="auto"/>
              <w:ind w:firstLine="482" w:firstLineChars="200"/>
              <w:jc w:val="left"/>
              <w:rPr>
                <w:b/>
                <w:bCs/>
                <w:color w:val="auto"/>
                <w:sz w:val="24"/>
                <w:szCs w:val="24"/>
              </w:rPr>
            </w:pPr>
            <w:r>
              <w:rPr>
                <w:rFonts w:hint="eastAsia"/>
                <w:b/>
                <w:bCs/>
                <w:color w:val="auto"/>
                <w:sz w:val="24"/>
                <w:szCs w:val="24"/>
                <w:lang w:val="en-US" w:eastAsia="zh-CN"/>
              </w:rPr>
              <w:t>1、</w:t>
            </w:r>
            <w:r>
              <w:rPr>
                <w:b/>
                <w:bCs/>
                <w:color w:val="auto"/>
                <w:sz w:val="24"/>
                <w:szCs w:val="24"/>
              </w:rPr>
              <w:t>施工扬尘</w:t>
            </w:r>
          </w:p>
          <w:p>
            <w:pPr>
              <w:adjustRightInd w:val="0"/>
              <w:snapToGrid w:val="0"/>
              <w:spacing w:line="360" w:lineRule="auto"/>
              <w:ind w:firstLine="480" w:firstLineChars="200"/>
              <w:jc w:val="left"/>
              <w:rPr>
                <w:bCs/>
                <w:color w:val="auto"/>
                <w:sz w:val="24"/>
                <w:szCs w:val="24"/>
              </w:rPr>
            </w:pPr>
            <w:r>
              <w:rPr>
                <w:bCs/>
                <w:color w:val="auto"/>
                <w:sz w:val="24"/>
                <w:szCs w:val="24"/>
              </w:rPr>
              <w:t>本项目现阶段施工场地产生的扬尘极少，施工场地必须规范管理、文明施工，减少施工期扬尘对区域环境的影响，</w:t>
            </w:r>
            <w:r>
              <w:rPr>
                <w:color w:val="auto"/>
                <w:sz w:val="24"/>
                <w:szCs w:val="24"/>
              </w:rPr>
              <w:t>主要通过加强施工场地管理、文明施工、及时清理场地、洒水降尘等措施，防治施工扬尘。</w:t>
            </w:r>
          </w:p>
          <w:p>
            <w:pPr>
              <w:adjustRightInd w:val="0"/>
              <w:snapToGrid w:val="0"/>
              <w:spacing w:line="360" w:lineRule="auto"/>
              <w:ind w:firstLine="480" w:firstLineChars="200"/>
              <w:jc w:val="left"/>
              <w:rPr>
                <w:color w:val="auto"/>
                <w:sz w:val="24"/>
                <w:szCs w:val="24"/>
              </w:rPr>
            </w:pPr>
            <w:r>
              <w:rPr>
                <w:color w:val="auto"/>
                <w:sz w:val="24"/>
                <w:szCs w:val="24"/>
              </w:rPr>
              <w:t>此外，建设单位应防止运输撒落物料，及时清理工地，维护四周环境卫生等。</w:t>
            </w:r>
          </w:p>
          <w:p>
            <w:pPr>
              <w:adjustRightInd w:val="0"/>
              <w:snapToGrid w:val="0"/>
              <w:spacing w:line="360" w:lineRule="auto"/>
              <w:ind w:firstLine="480" w:firstLineChars="200"/>
              <w:jc w:val="left"/>
              <w:rPr>
                <w:color w:val="auto"/>
                <w:sz w:val="24"/>
                <w:szCs w:val="24"/>
              </w:rPr>
            </w:pPr>
            <w:r>
              <w:rPr>
                <w:color w:val="auto"/>
                <w:sz w:val="24"/>
                <w:szCs w:val="24"/>
              </w:rPr>
              <w:t>在采取以上防治措施后，本项目施工产生大气污染物满足《四川省施工场地扬尘排放标准》（DB512682-2020）相关要求。</w:t>
            </w:r>
          </w:p>
          <w:p>
            <w:pPr>
              <w:spacing w:line="360" w:lineRule="auto"/>
              <w:ind w:firstLine="482" w:firstLineChars="200"/>
              <w:jc w:val="left"/>
              <w:rPr>
                <w:b/>
                <w:bCs/>
                <w:color w:val="auto"/>
                <w:sz w:val="24"/>
                <w:szCs w:val="24"/>
              </w:rPr>
            </w:pPr>
            <w:r>
              <w:rPr>
                <w:rFonts w:hint="eastAsia"/>
                <w:b/>
                <w:bCs/>
                <w:color w:val="auto"/>
                <w:sz w:val="24"/>
                <w:szCs w:val="24"/>
                <w:lang w:val="en-US" w:eastAsia="zh-CN"/>
              </w:rPr>
              <w:t>2、</w:t>
            </w:r>
            <w:r>
              <w:rPr>
                <w:b/>
                <w:bCs/>
                <w:color w:val="auto"/>
                <w:sz w:val="24"/>
                <w:szCs w:val="24"/>
              </w:rPr>
              <w:t>生活污水</w:t>
            </w:r>
          </w:p>
          <w:p>
            <w:pPr>
              <w:spacing w:line="360" w:lineRule="auto"/>
              <w:ind w:firstLine="480" w:firstLineChars="200"/>
              <w:jc w:val="left"/>
              <w:rPr>
                <w:bCs/>
                <w:color w:val="auto"/>
                <w:sz w:val="24"/>
                <w:szCs w:val="24"/>
              </w:rPr>
            </w:pPr>
            <w:r>
              <w:rPr>
                <w:bCs/>
                <w:color w:val="auto"/>
                <w:sz w:val="24"/>
                <w:szCs w:val="24"/>
              </w:rPr>
              <w:t>本项目施工</w:t>
            </w:r>
            <w:r>
              <w:rPr>
                <w:rFonts w:hint="eastAsia"/>
                <w:bCs/>
                <w:color w:val="auto"/>
                <w:sz w:val="24"/>
                <w:szCs w:val="24"/>
              </w:rPr>
              <w:t>高峰</w:t>
            </w:r>
            <w:r>
              <w:rPr>
                <w:bCs/>
                <w:color w:val="auto"/>
                <w:sz w:val="24"/>
                <w:szCs w:val="24"/>
              </w:rPr>
              <w:t>期民工人数约</w:t>
            </w:r>
            <w:r>
              <w:rPr>
                <w:rFonts w:hint="eastAsia"/>
                <w:bCs/>
                <w:color w:val="auto"/>
                <w:sz w:val="24"/>
                <w:szCs w:val="24"/>
                <w:lang w:val="en-US" w:eastAsia="zh-CN"/>
              </w:rPr>
              <w:t>10</w:t>
            </w:r>
            <w:r>
              <w:rPr>
                <w:bCs/>
                <w:color w:val="auto"/>
                <w:sz w:val="24"/>
                <w:szCs w:val="24"/>
              </w:rPr>
              <w:t>人左右，生活污水排放按0.05m</w:t>
            </w:r>
            <w:r>
              <w:rPr>
                <w:bCs/>
                <w:color w:val="auto"/>
                <w:sz w:val="24"/>
                <w:szCs w:val="24"/>
                <w:vertAlign w:val="superscript"/>
              </w:rPr>
              <w:t>3</w:t>
            </w:r>
            <w:r>
              <w:rPr>
                <w:bCs/>
                <w:color w:val="auto"/>
                <w:sz w:val="24"/>
                <w:szCs w:val="24"/>
              </w:rPr>
              <w:t>/人·d计算，日排生活污水约为</w:t>
            </w:r>
            <w:r>
              <w:rPr>
                <w:rFonts w:hint="eastAsia"/>
                <w:bCs/>
                <w:color w:val="auto"/>
                <w:sz w:val="24"/>
                <w:szCs w:val="24"/>
                <w:lang w:val="en-US" w:eastAsia="zh-CN"/>
              </w:rPr>
              <w:t>0.5</w:t>
            </w:r>
            <w:r>
              <w:rPr>
                <w:bCs/>
                <w:color w:val="auto"/>
                <w:sz w:val="24"/>
                <w:szCs w:val="24"/>
              </w:rPr>
              <w:t>m</w:t>
            </w:r>
            <w:r>
              <w:rPr>
                <w:bCs/>
                <w:color w:val="auto"/>
                <w:sz w:val="24"/>
                <w:szCs w:val="24"/>
                <w:vertAlign w:val="superscript"/>
              </w:rPr>
              <w:t>3</w:t>
            </w:r>
            <w:r>
              <w:rPr>
                <w:bCs/>
                <w:color w:val="auto"/>
                <w:sz w:val="24"/>
                <w:szCs w:val="24"/>
              </w:rPr>
              <w:t>/d，依托</w:t>
            </w:r>
            <w:r>
              <w:rPr>
                <w:rFonts w:hint="eastAsia" w:ascii="Times New Roman" w:hAnsi="Times New Roman" w:eastAsia="宋体" w:cs="Times New Roman"/>
                <w:color w:val="auto"/>
                <w:sz w:val="24"/>
                <w:lang w:val="en-US" w:eastAsia="zh-CN"/>
              </w:rPr>
              <w:t>四川翔丰华新能源材料有限公司已建4#预处理池</w:t>
            </w:r>
            <w:r>
              <w:rPr>
                <w:bCs/>
                <w:color w:val="auto"/>
                <w:sz w:val="24"/>
                <w:szCs w:val="24"/>
              </w:rPr>
              <w:t>处理达到《污水综合排放标准》(GB8978-1996)中三级标准后排入园区污水管网。</w:t>
            </w:r>
          </w:p>
          <w:p>
            <w:pPr>
              <w:spacing w:line="360" w:lineRule="auto"/>
              <w:ind w:firstLine="482" w:firstLineChars="200"/>
              <w:jc w:val="left"/>
              <w:rPr>
                <w:b/>
                <w:bCs/>
                <w:color w:val="auto"/>
                <w:sz w:val="24"/>
                <w:szCs w:val="24"/>
              </w:rPr>
            </w:pPr>
            <w:r>
              <w:rPr>
                <w:rFonts w:hint="eastAsia"/>
                <w:b/>
                <w:bCs/>
                <w:color w:val="auto"/>
                <w:sz w:val="24"/>
                <w:szCs w:val="24"/>
                <w:lang w:val="en-US" w:eastAsia="zh-CN"/>
              </w:rPr>
              <w:t>3、</w:t>
            </w:r>
            <w:r>
              <w:rPr>
                <w:b/>
                <w:bCs/>
                <w:color w:val="auto"/>
                <w:sz w:val="24"/>
                <w:szCs w:val="24"/>
              </w:rPr>
              <w:t>施工噪声</w:t>
            </w:r>
          </w:p>
          <w:p>
            <w:pPr>
              <w:spacing w:line="360" w:lineRule="auto"/>
              <w:ind w:firstLine="480" w:firstLineChars="200"/>
              <w:jc w:val="left"/>
              <w:rPr>
                <w:bCs/>
                <w:color w:val="auto"/>
                <w:sz w:val="24"/>
                <w:szCs w:val="24"/>
              </w:rPr>
            </w:pPr>
            <w:r>
              <w:rPr>
                <w:bCs/>
                <w:color w:val="auto"/>
                <w:sz w:val="24"/>
                <w:szCs w:val="24"/>
              </w:rPr>
              <w:t>设备安装产生的噪声较小，由于项目周边没有声环境敏感目标，通过加强现场管理后，施工噪声对周围环境影响不大。</w:t>
            </w:r>
          </w:p>
          <w:p>
            <w:pPr>
              <w:spacing w:line="360" w:lineRule="auto"/>
              <w:ind w:firstLine="482" w:firstLineChars="200"/>
              <w:jc w:val="left"/>
              <w:rPr>
                <w:b/>
                <w:bCs/>
                <w:color w:val="auto"/>
                <w:sz w:val="24"/>
                <w:szCs w:val="24"/>
              </w:rPr>
            </w:pPr>
            <w:r>
              <w:rPr>
                <w:rFonts w:hint="eastAsia"/>
                <w:b/>
                <w:bCs/>
                <w:color w:val="auto"/>
                <w:sz w:val="24"/>
                <w:szCs w:val="24"/>
                <w:lang w:val="en-US" w:eastAsia="zh-CN"/>
              </w:rPr>
              <w:t>4、</w:t>
            </w:r>
            <w:r>
              <w:rPr>
                <w:b/>
                <w:bCs/>
                <w:color w:val="auto"/>
                <w:sz w:val="24"/>
                <w:szCs w:val="24"/>
              </w:rPr>
              <w:t>固体废物</w:t>
            </w:r>
          </w:p>
          <w:p>
            <w:pPr>
              <w:spacing w:line="360" w:lineRule="auto"/>
              <w:ind w:firstLine="480" w:firstLineChars="200"/>
              <w:jc w:val="left"/>
              <w:rPr>
                <w:bCs/>
                <w:color w:val="auto"/>
                <w:sz w:val="24"/>
                <w:szCs w:val="24"/>
              </w:rPr>
            </w:pPr>
            <w:r>
              <w:rPr>
                <w:bCs/>
                <w:color w:val="auto"/>
                <w:sz w:val="24"/>
                <w:szCs w:val="24"/>
              </w:rPr>
              <w:t>施工期产生的固体废物主要包括建筑垃圾和施工人员产生的生活垃圾等。</w:t>
            </w:r>
          </w:p>
          <w:p>
            <w:pPr>
              <w:spacing w:line="360" w:lineRule="auto"/>
              <w:ind w:firstLine="480" w:firstLineChars="200"/>
              <w:rPr>
                <w:rFonts w:ascii="宋体" w:hAnsi="宋体" w:cs="宋体"/>
                <w:bCs/>
                <w:color w:val="auto"/>
                <w:spacing w:val="-10"/>
                <w:szCs w:val="21"/>
              </w:rPr>
            </w:pPr>
            <w:r>
              <w:rPr>
                <w:rFonts w:ascii="Times New Roman" w:hAnsi="Times New Roman"/>
                <w:bCs/>
                <w:color w:val="auto"/>
                <w:sz w:val="24"/>
                <w:szCs w:val="24"/>
              </w:rPr>
              <w:t>项目在厂房适应性改造和设备安装过程中产生少量建筑垃圾，如混凝土废料、含砖、石、砂的杂土以及装修废渣等，定时清运，应送当地管理部门指定的建筑废渣专用堆放场。施工人员产生的生活垃圾经袋装收集后送入垃圾桶，然后由市政环卫人员统一清运处理至当地生活垃圾处理场。</w:t>
            </w:r>
          </w:p>
        </w:tc>
      </w:tr>
    </w:tbl>
    <w:p>
      <w:pPr>
        <w:adjustRightInd w:val="0"/>
        <w:snapToGrid w:val="0"/>
        <w:jc w:val="center"/>
        <w:rPr>
          <w:rFonts w:hint="eastAsia" w:ascii="宋体" w:hAnsi="宋体" w:cs="宋体"/>
          <w:bCs/>
          <w:color w:val="auto"/>
          <w:sz w:val="24"/>
        </w:rPr>
        <w:sectPr>
          <w:pgSz w:w="11907" w:h="16840"/>
          <w:pgMar w:top="1701" w:right="1531" w:bottom="2127" w:left="1531" w:header="851" w:footer="851" w:gutter="0"/>
          <w:cols w:space="720" w:num="1"/>
          <w:docGrid w:linePitch="312" w:charSpace="0"/>
        </w:sectPr>
      </w:pPr>
    </w:p>
    <w:tbl>
      <w:tblPr>
        <w:tblStyle w:val="36"/>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78"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color w:val="auto"/>
                <w:sz w:val="24"/>
              </w:rPr>
            </w:pPr>
            <w:r>
              <w:rPr>
                <w:rFonts w:hint="eastAsia" w:ascii="宋体" w:hAnsi="宋体" w:cs="宋体"/>
                <w:bCs/>
                <w:color w:val="auto"/>
                <w:sz w:val="24"/>
              </w:rPr>
              <w:t>运营</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期环</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境影</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响和</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保护</w:t>
            </w:r>
          </w:p>
          <w:p>
            <w:pPr>
              <w:pStyle w:val="32"/>
              <w:adjustRightInd w:val="0"/>
              <w:snapToGrid w:val="0"/>
              <w:spacing w:before="0" w:beforeAutospacing="0" w:after="0" w:afterAutospacing="0"/>
              <w:jc w:val="center"/>
              <w:rPr>
                <w:rFonts w:hint="eastAsia" w:cs="宋体"/>
                <w:bCs/>
                <w:color w:val="auto"/>
                <w:kern w:val="2"/>
                <w:sz w:val="21"/>
                <w:szCs w:val="21"/>
              </w:rPr>
            </w:pPr>
            <w:r>
              <w:rPr>
                <w:rFonts w:hint="eastAsia" w:cs="宋体"/>
                <w:bCs/>
                <w:color w:val="auto"/>
              </w:rPr>
              <w:t>措施</w:t>
            </w:r>
          </w:p>
        </w:tc>
        <w:tc>
          <w:tcPr>
            <w:tcW w:w="8162" w:type="dxa"/>
            <w:noWrap w:val="0"/>
            <w:vAlign w:val="center"/>
          </w:tcPr>
          <w:p>
            <w:pPr>
              <w:pStyle w:val="131"/>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color w:val="auto"/>
                <w:szCs w:val="24"/>
              </w:rPr>
            </w:pPr>
            <w:r>
              <w:rPr>
                <w:color w:val="auto"/>
                <w:szCs w:val="24"/>
              </w:rPr>
              <w:t>一、废气</w:t>
            </w:r>
          </w:p>
          <w:p>
            <w:pPr>
              <w:pStyle w:val="131"/>
              <w:spacing w:line="360" w:lineRule="auto"/>
              <w:rPr>
                <w:color w:val="auto"/>
                <w:szCs w:val="24"/>
              </w:rPr>
            </w:pPr>
            <w:r>
              <w:rPr>
                <w:rFonts w:hint="eastAsia"/>
                <w:color w:val="auto"/>
                <w:szCs w:val="24"/>
                <w:lang w:val="en-US" w:eastAsia="zh-CN"/>
              </w:rPr>
              <w:t>1、</w:t>
            </w:r>
            <w:r>
              <w:rPr>
                <w:color w:val="auto"/>
                <w:szCs w:val="24"/>
              </w:rPr>
              <w:t>污染工序及源强分析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本项目</w:t>
            </w:r>
            <w:r>
              <w:rPr>
                <w:rFonts w:hint="eastAsia" w:cs="Times New Roman"/>
                <w:b w:val="0"/>
                <w:color w:val="auto"/>
                <w:kern w:val="2"/>
                <w:sz w:val="24"/>
                <w:szCs w:val="24"/>
                <w:lang w:val="en-US" w:eastAsia="zh-CN" w:bidi="ar-SA"/>
              </w:rPr>
              <w:t>运营</w:t>
            </w:r>
            <w:r>
              <w:rPr>
                <w:rFonts w:hint="eastAsia" w:ascii="Times New Roman" w:hAnsi="Times New Roman" w:eastAsia="宋体" w:cs="Times New Roman"/>
                <w:b w:val="0"/>
                <w:color w:val="auto"/>
                <w:kern w:val="2"/>
                <w:sz w:val="24"/>
                <w:szCs w:val="24"/>
                <w:lang w:val="en-US" w:eastAsia="zh-CN" w:bidi="ar-SA"/>
              </w:rPr>
              <w:t>期产生的废气主要为G1-投料粉尘、G2-膨化炉废气（天然气燃烧废气和膨化废气）、G3-分级粉尘、G4-切割粉尘和G5-研磨粉尘。</w:t>
            </w:r>
          </w:p>
          <w:p>
            <w:pPr>
              <w:pStyle w:val="4"/>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（1）投料粉尘</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ascii="Times New Roman" w:hAnsi="Times New Roman" w:eastAsia="宋体" w:cs="Times New Roman"/>
                <w:bCs/>
                <w:color w:val="auto"/>
                <w:sz w:val="24"/>
                <w:szCs w:val="24"/>
              </w:rPr>
              <w:t>本项目</w:t>
            </w:r>
            <w:r>
              <w:rPr>
                <w:rFonts w:hint="eastAsia" w:ascii="Times New Roman" w:hAnsi="Times New Roman" w:eastAsia="宋体" w:cs="Times New Roman"/>
                <w:bCs/>
                <w:color w:val="auto"/>
                <w:sz w:val="24"/>
                <w:szCs w:val="24"/>
                <w:lang w:val="en-US" w:eastAsia="zh-CN"/>
              </w:rPr>
              <w:t>设有两台进料机，</w:t>
            </w:r>
            <w:r>
              <w:rPr>
                <w:rFonts w:ascii="Times New Roman" w:hAnsi="Times New Roman" w:eastAsia="宋体" w:cs="Times New Roman"/>
                <w:bCs/>
                <w:color w:val="auto"/>
                <w:sz w:val="24"/>
                <w:szCs w:val="24"/>
              </w:rPr>
              <w:t>投料采用人工投料，因此会产生少量粉尘</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参照</w:t>
            </w:r>
            <w:r>
              <w:rPr>
                <w:rFonts w:hint="eastAsia" w:ascii="Times New Roman" w:hAnsi="Times New Roman" w:eastAsia="宋体" w:cs="Times New Roman"/>
                <w:bCs/>
                <w:color w:val="auto"/>
                <w:sz w:val="24"/>
                <w:szCs w:val="24"/>
              </w:rPr>
              <w:t>《逸散性工业粉尘控制技术》粉状原料投料工序粉尘产生系数为0.5kg/t，</w:t>
            </w:r>
            <w:r>
              <w:rPr>
                <w:rFonts w:ascii="Times New Roman" w:hAnsi="Times New Roman" w:eastAsia="宋体" w:cs="Times New Roman"/>
                <w:bCs/>
                <w:color w:val="auto"/>
                <w:sz w:val="24"/>
                <w:szCs w:val="24"/>
              </w:rPr>
              <w:t>项目</w:t>
            </w:r>
            <w:r>
              <w:rPr>
                <w:rFonts w:hint="eastAsia" w:ascii="Times New Roman" w:hAnsi="Times New Roman" w:eastAsia="宋体" w:cs="Times New Roman"/>
                <w:bCs/>
                <w:color w:val="auto"/>
                <w:sz w:val="24"/>
                <w:szCs w:val="24"/>
                <w:lang w:val="en-US" w:eastAsia="zh-CN"/>
              </w:rPr>
              <w:t>可膨胀石墨</w:t>
            </w:r>
            <w:r>
              <w:rPr>
                <w:rFonts w:ascii="Times New Roman" w:hAnsi="Times New Roman" w:eastAsia="宋体" w:cs="Times New Roman"/>
                <w:bCs/>
                <w:color w:val="auto"/>
                <w:sz w:val="24"/>
                <w:szCs w:val="24"/>
              </w:rPr>
              <w:t>的使用量</w:t>
            </w:r>
            <w:r>
              <w:rPr>
                <w:rFonts w:hint="eastAsia" w:ascii="Times New Roman" w:hAnsi="Times New Roman" w:eastAsia="宋体" w:cs="Times New Roman"/>
                <w:bCs/>
                <w:color w:val="auto"/>
                <w:sz w:val="24"/>
                <w:szCs w:val="24"/>
                <w:lang w:val="en-US" w:eastAsia="zh-CN"/>
              </w:rPr>
              <w:t>约</w:t>
            </w:r>
            <w:r>
              <w:rPr>
                <w:rFonts w:ascii="Times New Roman" w:hAnsi="Times New Roman" w:eastAsia="宋体" w:cs="Times New Roman"/>
                <w:bCs/>
                <w:color w:val="auto"/>
                <w:sz w:val="24"/>
                <w:szCs w:val="24"/>
              </w:rPr>
              <w:t>为</w:t>
            </w:r>
            <w:r>
              <w:rPr>
                <w:rFonts w:hint="eastAsia" w:ascii="Times New Roman" w:hAnsi="Times New Roman" w:eastAsia="宋体" w:cs="Times New Roman"/>
                <w:bCs/>
                <w:color w:val="auto"/>
                <w:sz w:val="24"/>
                <w:szCs w:val="24"/>
                <w:lang w:val="en-US" w:eastAsia="zh-CN"/>
              </w:rPr>
              <w:t>1463</w:t>
            </w:r>
            <w:r>
              <w:rPr>
                <w:rFonts w:ascii="Times New Roman" w:hAnsi="Times New Roman" w:eastAsia="宋体" w:cs="Times New Roman"/>
                <w:bCs/>
                <w:color w:val="auto"/>
                <w:sz w:val="24"/>
                <w:szCs w:val="24"/>
              </w:rPr>
              <w:t>t/a，</w:t>
            </w:r>
            <w:r>
              <w:rPr>
                <w:rFonts w:hint="eastAsia" w:ascii="Times New Roman" w:hAnsi="Times New Roman" w:eastAsia="宋体" w:cs="Times New Roman"/>
                <w:bCs/>
                <w:color w:val="auto"/>
                <w:sz w:val="24"/>
                <w:szCs w:val="24"/>
                <w:lang w:val="en-US" w:eastAsia="zh-CN"/>
              </w:rPr>
              <w:t>投入1号进料机的可膨胀石墨量</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投入2号进料机的可膨胀石墨量均为731.5</w:t>
            </w:r>
            <w:r>
              <w:rPr>
                <w:rFonts w:ascii="Times New Roman" w:hAnsi="Times New Roman" w:eastAsia="宋体" w:cs="Times New Roman"/>
                <w:bCs/>
                <w:color w:val="auto"/>
                <w:sz w:val="24"/>
                <w:szCs w:val="24"/>
              </w:rPr>
              <w:t>t/a</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两个进料机投料</w:t>
            </w:r>
            <w:r>
              <w:rPr>
                <w:rFonts w:hint="eastAsia"/>
                <w:color w:val="auto"/>
                <w:sz w:val="24"/>
                <w:szCs w:val="24"/>
              </w:rPr>
              <w:t>工序年工作</w:t>
            </w:r>
            <w:r>
              <w:rPr>
                <w:rFonts w:hint="eastAsia"/>
                <w:color w:val="auto"/>
                <w:sz w:val="24"/>
                <w:szCs w:val="24"/>
                <w:lang w:val="en-US" w:eastAsia="zh-CN"/>
              </w:rPr>
              <w:t>时间约为1320</w:t>
            </w:r>
            <w:r>
              <w:rPr>
                <w:rFonts w:hint="eastAsia"/>
                <w:color w:val="auto"/>
                <w:sz w:val="24"/>
                <w:szCs w:val="24"/>
              </w:rPr>
              <w:t>h</w:t>
            </w:r>
            <w:r>
              <w:rPr>
                <w:rFonts w:hint="eastAsia"/>
                <w:color w:val="auto"/>
                <w:sz w:val="24"/>
                <w:szCs w:val="24"/>
                <w:lang w:eastAsia="zh-CN"/>
              </w:rPr>
              <w:t>，</w:t>
            </w:r>
            <w:r>
              <w:rPr>
                <w:rFonts w:ascii="Times New Roman" w:hAnsi="Times New Roman" w:eastAsia="宋体" w:cs="Times New Roman"/>
                <w:bCs/>
                <w:color w:val="auto"/>
                <w:sz w:val="24"/>
                <w:szCs w:val="24"/>
              </w:rPr>
              <w:t>则</w:t>
            </w:r>
            <w:r>
              <w:rPr>
                <w:rFonts w:hint="eastAsia" w:ascii="Times New Roman" w:hAnsi="Times New Roman" w:eastAsia="宋体" w:cs="Times New Roman"/>
                <w:bCs/>
                <w:color w:val="auto"/>
                <w:sz w:val="24"/>
                <w:szCs w:val="24"/>
                <w:lang w:val="en-US" w:eastAsia="zh-CN"/>
              </w:rPr>
              <w:t>1号进料机</w:t>
            </w:r>
            <w:r>
              <w:rPr>
                <w:rFonts w:ascii="Times New Roman" w:hAnsi="Times New Roman" w:eastAsia="宋体" w:cs="Times New Roman"/>
                <w:bCs/>
                <w:color w:val="auto"/>
                <w:sz w:val="24"/>
                <w:szCs w:val="24"/>
              </w:rPr>
              <w:t>投料粉尘产生量为</w:t>
            </w:r>
            <w:r>
              <w:rPr>
                <w:rFonts w:hint="eastAsia" w:ascii="Times New Roman" w:hAnsi="Times New Roman" w:eastAsia="宋体" w:cs="Times New Roman"/>
                <w:bCs/>
                <w:color w:val="auto"/>
                <w:sz w:val="24"/>
                <w:szCs w:val="24"/>
                <w:lang w:val="en-US" w:eastAsia="zh-CN"/>
              </w:rPr>
              <w:t>0.3658</w:t>
            </w:r>
            <w:r>
              <w:rPr>
                <w:rFonts w:ascii="Times New Roman" w:hAnsi="Times New Roman" w:eastAsia="宋体" w:cs="Times New Roman"/>
                <w:bCs/>
                <w:color w:val="auto"/>
                <w:sz w:val="24"/>
                <w:szCs w:val="24"/>
              </w:rPr>
              <w:t>t/a</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0.2771</w:t>
            </w:r>
            <w:r>
              <w:rPr>
                <w:color w:val="auto"/>
                <w:sz w:val="24"/>
                <w:szCs w:val="24"/>
              </w:rPr>
              <w:t>kg/</w:t>
            </w:r>
            <w:r>
              <w:rPr>
                <w:rFonts w:hint="eastAsia"/>
                <w:color w:val="auto"/>
                <w:sz w:val="24"/>
                <w:szCs w:val="24"/>
              </w:rPr>
              <w:t>h</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2号进料机</w:t>
            </w:r>
            <w:r>
              <w:rPr>
                <w:rFonts w:ascii="Times New Roman" w:hAnsi="Times New Roman" w:eastAsia="宋体" w:cs="Times New Roman"/>
                <w:bCs/>
                <w:color w:val="auto"/>
                <w:sz w:val="24"/>
                <w:szCs w:val="24"/>
              </w:rPr>
              <w:t>投料粉尘产生量为</w:t>
            </w:r>
            <w:r>
              <w:rPr>
                <w:rFonts w:hint="eastAsia" w:ascii="Times New Roman" w:hAnsi="Times New Roman" w:eastAsia="宋体" w:cs="Times New Roman"/>
                <w:bCs/>
                <w:color w:val="auto"/>
                <w:sz w:val="24"/>
                <w:szCs w:val="24"/>
                <w:lang w:val="en-US" w:eastAsia="zh-CN"/>
              </w:rPr>
              <w:t>0.3658</w:t>
            </w:r>
            <w:r>
              <w:rPr>
                <w:rFonts w:ascii="Times New Roman" w:hAnsi="Times New Roman" w:eastAsia="宋体" w:cs="Times New Roman"/>
                <w:bCs/>
                <w:color w:val="auto"/>
                <w:sz w:val="24"/>
                <w:szCs w:val="24"/>
              </w:rPr>
              <w:t>t/a</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0.2771</w:t>
            </w:r>
            <w:r>
              <w:rPr>
                <w:color w:val="auto"/>
                <w:sz w:val="24"/>
                <w:szCs w:val="24"/>
              </w:rPr>
              <w:t>kg/</w:t>
            </w:r>
            <w:r>
              <w:rPr>
                <w:rFonts w:hint="eastAsia"/>
                <w:color w:val="auto"/>
                <w:sz w:val="24"/>
                <w:szCs w:val="24"/>
              </w:rPr>
              <w:t>h</w:t>
            </w:r>
            <w:r>
              <w:rPr>
                <w:rFonts w:hint="eastAsia" w:ascii="Times New Roman" w:hAnsi="Times New Roman" w:eastAsia="宋体" w:cs="Times New Roman"/>
                <w:bCs/>
                <w:color w:val="auto"/>
                <w:sz w:val="24"/>
                <w:szCs w:val="24"/>
                <w:lang w:eastAsia="zh-CN"/>
              </w:rPr>
              <w:t>）。</w:t>
            </w:r>
          </w:p>
          <w:p>
            <w:pPr>
              <w:pStyle w:val="4"/>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（2）膨化炉废气</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膨化炉废气主要包括天然气燃烧废气和膨化废气。</w:t>
            </w:r>
          </w:p>
          <w:p>
            <w:pPr>
              <w:pStyle w:val="3"/>
              <w:pageBreakBefore w:val="0"/>
              <w:kinsoku/>
              <w:wordWrap/>
              <w:overflowPunct/>
              <w:topLinePunct w:val="0"/>
              <w:autoSpaceDE/>
              <w:autoSpaceDN/>
              <w:bidi w:val="0"/>
              <w:adjustRightInd/>
              <w:snapToGrid/>
              <w:spacing w:before="0" w:after="0" w:line="360" w:lineRule="auto"/>
              <w:ind w:firstLine="482" w:firstLineChars="200"/>
              <w:jc w:val="both"/>
              <w:textAlignment w:val="auto"/>
              <w:rPr>
                <w:rFonts w:hint="default"/>
                <w:b/>
                <w:bCs w:val="0"/>
                <w:color w:val="auto"/>
                <w:sz w:val="24"/>
                <w:szCs w:val="24"/>
                <w:lang w:val="en-US"/>
              </w:rPr>
            </w:pPr>
            <w:r>
              <w:rPr>
                <w:rFonts w:hint="eastAsia" w:ascii="Times New Roman" w:hAnsi="Times New Roman" w:eastAsia="宋体" w:cs="Times New Roman"/>
                <w:b/>
                <w:bCs w:val="0"/>
                <w:color w:val="auto"/>
                <w:kern w:val="2"/>
                <w:sz w:val="24"/>
                <w:szCs w:val="24"/>
                <w:lang w:val="en-US" w:eastAsia="zh-CN" w:bidi="ar-SA"/>
              </w:rPr>
              <w:t>1）天然气燃烧废气</w:t>
            </w:r>
          </w:p>
          <w:p>
            <w:pPr>
              <w:pStyle w:val="128"/>
              <w:adjustRightInd w:val="0"/>
              <w:snapToGrid w:val="0"/>
              <w:ind w:firstLine="480"/>
              <w:rPr>
                <w:rFonts w:cs="Times New Roman"/>
                <w:color w:val="auto"/>
                <w:kern w:val="0"/>
                <w:sz w:val="24"/>
                <w:szCs w:val="24"/>
              </w:rPr>
            </w:pPr>
            <w:r>
              <w:rPr>
                <w:rFonts w:cs="Times New Roman"/>
                <w:color w:val="auto"/>
                <w:kern w:val="0"/>
                <w:sz w:val="24"/>
                <w:szCs w:val="24"/>
                <w:lang w:bidi="ar"/>
              </w:rPr>
              <w:t>本项目设有两</w:t>
            </w:r>
            <w:r>
              <w:rPr>
                <w:rFonts w:hint="eastAsia" w:ascii="Times New Roman" w:hAnsi="Times New Roman" w:eastAsia="宋体" w:cs="Times New Roman"/>
                <w:bCs/>
                <w:color w:val="auto"/>
                <w:sz w:val="24"/>
                <w:szCs w:val="24"/>
                <w:lang w:val="en-US" w:eastAsia="zh-CN"/>
              </w:rPr>
              <w:t>台</w:t>
            </w:r>
            <w:r>
              <w:rPr>
                <w:rFonts w:hint="eastAsia" w:cs="Times New Roman"/>
                <w:color w:val="auto"/>
                <w:kern w:val="0"/>
                <w:sz w:val="24"/>
                <w:szCs w:val="24"/>
                <w:lang w:val="en-US" w:eastAsia="zh-CN" w:bidi="ar"/>
              </w:rPr>
              <w:t>膨化炉</w:t>
            </w:r>
            <w:r>
              <w:rPr>
                <w:rFonts w:cs="Times New Roman"/>
                <w:color w:val="auto"/>
                <w:kern w:val="0"/>
                <w:sz w:val="24"/>
                <w:szCs w:val="24"/>
              </w:rPr>
              <w:t>，</w:t>
            </w:r>
            <w:r>
              <w:rPr>
                <w:rFonts w:hint="eastAsia" w:cs="Times New Roman"/>
                <w:color w:val="auto"/>
                <w:kern w:val="0"/>
                <w:sz w:val="24"/>
                <w:szCs w:val="24"/>
                <w:lang w:val="en-US" w:eastAsia="zh-CN"/>
              </w:rPr>
              <w:t>平均投料，</w:t>
            </w:r>
            <w:r>
              <w:rPr>
                <w:rFonts w:cs="Times New Roman"/>
                <w:color w:val="auto"/>
                <w:kern w:val="0"/>
                <w:sz w:val="24"/>
                <w:szCs w:val="24"/>
              </w:rPr>
              <w:t>采用天然气能源，</w:t>
            </w:r>
            <w:r>
              <w:rPr>
                <w:rFonts w:hint="eastAsia" w:cs="Times New Roman"/>
                <w:color w:val="auto"/>
                <w:kern w:val="0"/>
                <w:sz w:val="24"/>
                <w:szCs w:val="24"/>
                <w:lang w:val="en-US" w:eastAsia="zh-CN"/>
              </w:rPr>
              <w:t>根据</w:t>
            </w:r>
            <w:r>
              <w:rPr>
                <w:rFonts w:cs="Times New Roman"/>
                <w:color w:val="auto"/>
                <w:kern w:val="0"/>
                <w:sz w:val="24"/>
                <w:szCs w:val="24"/>
              </w:rPr>
              <w:t>建设单位提供资料，本项目天然气年耗气量为</w:t>
            </w:r>
            <w:r>
              <w:rPr>
                <w:rFonts w:hint="eastAsia" w:ascii="Times New Roman" w:hAnsi="Times New Roman" w:cs="Times New Roman"/>
                <w:color w:val="auto"/>
                <w:sz w:val="24"/>
                <w:szCs w:val="24"/>
                <w:lang w:val="en-US" w:eastAsia="zh-CN"/>
              </w:rPr>
              <w:t>22.5</w:t>
            </w:r>
            <w:r>
              <w:rPr>
                <w:rFonts w:ascii="Times New Roman" w:hAnsi="Times New Roman" w:cs="Times New Roman"/>
                <w:color w:val="auto"/>
                <w:sz w:val="24"/>
                <w:szCs w:val="24"/>
              </w:rPr>
              <w:t>万</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w:t>
            </w:r>
          </w:p>
          <w:p>
            <w:pPr>
              <w:spacing w:line="360" w:lineRule="auto"/>
              <w:ind w:firstLine="480" w:firstLineChars="200"/>
              <w:rPr>
                <w:color w:val="auto"/>
                <w:sz w:val="24"/>
              </w:rPr>
            </w:pPr>
            <w:r>
              <w:rPr>
                <w:color w:val="auto"/>
                <w:sz w:val="24"/>
                <w:szCs w:val="24"/>
              </w:rPr>
              <w:t>根据2019年6月1日起实施的《天然气》（GB17820-2018），二类气含硫量≤100mg/m</w:t>
            </w:r>
            <w:r>
              <w:rPr>
                <w:color w:val="auto"/>
                <w:sz w:val="24"/>
                <w:szCs w:val="24"/>
                <w:vertAlign w:val="superscript"/>
              </w:rPr>
              <w:t>3</w:t>
            </w:r>
            <w:r>
              <w:rPr>
                <w:color w:val="auto"/>
                <w:sz w:val="24"/>
                <w:szCs w:val="24"/>
              </w:rPr>
              <w:t>，取最大量100mg/m</w:t>
            </w:r>
            <w:r>
              <w:rPr>
                <w:color w:val="auto"/>
                <w:sz w:val="24"/>
                <w:szCs w:val="24"/>
                <w:vertAlign w:val="superscript"/>
              </w:rPr>
              <w:t>3</w:t>
            </w:r>
            <w:r>
              <w:rPr>
                <w:color w:val="auto"/>
                <w:sz w:val="24"/>
                <w:szCs w:val="24"/>
              </w:rPr>
              <w:t>计。天然气燃烧废气的二氧化硫、氮氧化物排污系数根据生态环境部《排放</w:t>
            </w:r>
            <w:r>
              <w:rPr>
                <w:color w:val="auto"/>
                <w:sz w:val="24"/>
              </w:rPr>
              <w:t>源统计调查产排污核算方法和系数手册》中4430锅炉产排污量核算系数手册中相关数据进行计算，天然气燃烧废气中含有少量烟尘，天然气燃烧废气中烟尘的产排污</w:t>
            </w:r>
            <w:r>
              <w:rPr>
                <w:rFonts w:hint="eastAsia"/>
                <w:color w:val="auto"/>
                <w:sz w:val="24"/>
                <w:lang w:val="en-US" w:eastAsia="zh-CN"/>
              </w:rPr>
              <w:t>系数</w:t>
            </w:r>
            <w:r>
              <w:rPr>
                <w:color w:val="auto"/>
                <w:sz w:val="24"/>
              </w:rPr>
              <w:t>参考生态环境部《排放源统计调查产排污核算方法和系数手册》4411火力发电、4412</w:t>
            </w:r>
            <w:r>
              <w:rPr>
                <w:rFonts w:hint="eastAsia"/>
                <w:color w:val="auto"/>
                <w:sz w:val="24"/>
                <w:lang w:eastAsia="zh-CN"/>
              </w:rPr>
              <w:t>热电</w:t>
            </w:r>
            <w:r>
              <w:rPr>
                <w:color w:val="auto"/>
                <w:sz w:val="24"/>
              </w:rPr>
              <w:t>联产行业系数手册中相关数据进行计算，本项目天然气燃烧废气产污系数见</w:t>
            </w:r>
            <w:r>
              <w:rPr>
                <w:rFonts w:hint="eastAsia"/>
                <w:color w:val="auto"/>
                <w:sz w:val="24"/>
              </w:rPr>
              <w:t>下表</w:t>
            </w:r>
            <w:r>
              <w:rPr>
                <w:color w:val="auto"/>
                <w:sz w:val="24"/>
              </w:rPr>
              <w:t>。</w:t>
            </w:r>
          </w:p>
          <w:p>
            <w:pPr>
              <w:adjustRightInd w:val="0"/>
              <w:snapToGrid w:val="0"/>
              <w:spacing w:line="360" w:lineRule="auto"/>
              <w:ind w:firstLine="422" w:firstLineChars="200"/>
              <w:jc w:val="center"/>
              <w:rPr>
                <w:b/>
                <w:bCs/>
                <w:color w:val="auto"/>
                <w:kern w:val="0"/>
                <w:szCs w:val="21"/>
              </w:rPr>
            </w:pPr>
            <w:r>
              <w:rPr>
                <w:b/>
                <w:bCs/>
                <w:color w:val="auto"/>
                <w:kern w:val="0"/>
                <w:szCs w:val="21"/>
              </w:rPr>
              <w:t>表4-</w:t>
            </w:r>
            <w:r>
              <w:rPr>
                <w:rFonts w:hint="eastAsia"/>
                <w:b/>
                <w:bCs/>
                <w:color w:val="auto"/>
                <w:kern w:val="0"/>
                <w:szCs w:val="21"/>
                <w:lang w:val="en-US" w:eastAsia="zh-CN"/>
              </w:rPr>
              <w:t>1</w:t>
            </w:r>
            <w:r>
              <w:rPr>
                <w:rFonts w:hint="eastAsia"/>
                <w:b/>
                <w:bCs/>
                <w:color w:val="auto"/>
                <w:kern w:val="0"/>
                <w:szCs w:val="21"/>
              </w:rPr>
              <w:t xml:space="preserve"> </w:t>
            </w:r>
            <w:r>
              <w:rPr>
                <w:b/>
                <w:bCs/>
                <w:color w:val="auto"/>
                <w:kern w:val="0"/>
                <w:szCs w:val="21"/>
              </w:rPr>
              <w:t>天然气</w:t>
            </w:r>
            <w:r>
              <w:rPr>
                <w:b/>
                <w:color w:val="auto"/>
                <w:szCs w:val="21"/>
              </w:rPr>
              <w:t>燃气废气产污系数</w:t>
            </w:r>
          </w:p>
          <w:tbl>
            <w:tblPr>
              <w:tblStyle w:val="36"/>
              <w:tblW w:w="73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735"/>
              <w:gridCol w:w="629"/>
              <w:gridCol w:w="810"/>
              <w:gridCol w:w="701"/>
              <w:gridCol w:w="738"/>
              <w:gridCol w:w="631"/>
              <w:gridCol w:w="655"/>
              <w:gridCol w:w="1010"/>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blHeader/>
                <w:jc w:val="center"/>
              </w:trPr>
              <w:tc>
                <w:tcPr>
                  <w:tcW w:w="641" w:type="dxa"/>
                  <w:tcBorders>
                    <w:top w:val="single" w:color="auto" w:sz="4" w:space="0"/>
                    <w:left w:val="single" w:color="auto" w:sz="0" w:space="0"/>
                  </w:tcBorders>
                  <w:noWrap w:val="0"/>
                  <w:vAlign w:val="center"/>
                </w:tcPr>
                <w:p>
                  <w:pPr>
                    <w:jc w:val="center"/>
                    <w:rPr>
                      <w:b/>
                      <w:bCs/>
                      <w:color w:val="auto"/>
                      <w:spacing w:val="-11"/>
                      <w:szCs w:val="21"/>
                    </w:rPr>
                  </w:pPr>
                  <w:r>
                    <w:rPr>
                      <w:b/>
                      <w:bCs/>
                      <w:color w:val="auto"/>
                      <w:spacing w:val="-11"/>
                      <w:szCs w:val="21"/>
                    </w:rPr>
                    <w:t>燃料种类</w:t>
                  </w:r>
                </w:p>
              </w:tc>
              <w:tc>
                <w:tcPr>
                  <w:tcW w:w="735" w:type="dxa"/>
                  <w:tcBorders>
                    <w:top w:val="single" w:color="auto" w:sz="4" w:space="0"/>
                  </w:tcBorders>
                  <w:noWrap w:val="0"/>
                  <w:vAlign w:val="center"/>
                </w:tcPr>
                <w:p>
                  <w:pPr>
                    <w:jc w:val="center"/>
                    <w:rPr>
                      <w:b/>
                      <w:bCs/>
                      <w:color w:val="auto"/>
                      <w:spacing w:val="-11"/>
                      <w:szCs w:val="21"/>
                    </w:rPr>
                  </w:pPr>
                  <w:r>
                    <w:rPr>
                      <w:b/>
                      <w:bCs/>
                      <w:color w:val="auto"/>
                      <w:spacing w:val="-11"/>
                      <w:szCs w:val="21"/>
                    </w:rPr>
                    <w:t>工艺名称</w:t>
                  </w:r>
                </w:p>
              </w:tc>
              <w:tc>
                <w:tcPr>
                  <w:tcW w:w="629" w:type="dxa"/>
                  <w:tcBorders>
                    <w:top w:val="single" w:color="auto" w:sz="4" w:space="0"/>
                  </w:tcBorders>
                  <w:noWrap w:val="0"/>
                  <w:vAlign w:val="center"/>
                </w:tcPr>
                <w:p>
                  <w:pPr>
                    <w:jc w:val="center"/>
                    <w:rPr>
                      <w:b/>
                      <w:bCs/>
                      <w:color w:val="auto"/>
                      <w:spacing w:val="-11"/>
                      <w:szCs w:val="21"/>
                    </w:rPr>
                  </w:pPr>
                  <w:r>
                    <w:rPr>
                      <w:b/>
                      <w:bCs/>
                      <w:color w:val="auto"/>
                      <w:spacing w:val="-11"/>
                      <w:szCs w:val="21"/>
                    </w:rPr>
                    <w:t>规模等级</w:t>
                  </w:r>
                </w:p>
              </w:tc>
              <w:tc>
                <w:tcPr>
                  <w:tcW w:w="810" w:type="dxa"/>
                  <w:tcBorders>
                    <w:top w:val="single" w:color="auto" w:sz="4" w:space="0"/>
                  </w:tcBorders>
                  <w:noWrap w:val="0"/>
                  <w:vAlign w:val="center"/>
                </w:tcPr>
                <w:p>
                  <w:pPr>
                    <w:jc w:val="center"/>
                    <w:rPr>
                      <w:b/>
                      <w:bCs/>
                      <w:color w:val="auto"/>
                      <w:spacing w:val="-11"/>
                      <w:szCs w:val="21"/>
                    </w:rPr>
                  </w:pPr>
                  <w:r>
                    <w:rPr>
                      <w:b/>
                      <w:bCs/>
                      <w:color w:val="auto"/>
                      <w:spacing w:val="-11"/>
                      <w:szCs w:val="21"/>
                    </w:rPr>
                    <w:t>污染物指标</w:t>
                  </w:r>
                </w:p>
              </w:tc>
              <w:tc>
                <w:tcPr>
                  <w:tcW w:w="701" w:type="dxa"/>
                  <w:tcBorders>
                    <w:top w:val="single" w:color="auto" w:sz="4" w:space="0"/>
                  </w:tcBorders>
                  <w:noWrap w:val="0"/>
                  <w:vAlign w:val="center"/>
                </w:tcPr>
                <w:p>
                  <w:pPr>
                    <w:jc w:val="center"/>
                    <w:rPr>
                      <w:b/>
                      <w:bCs/>
                      <w:color w:val="auto"/>
                      <w:spacing w:val="-11"/>
                      <w:szCs w:val="21"/>
                    </w:rPr>
                  </w:pPr>
                  <w:r>
                    <w:rPr>
                      <w:b/>
                      <w:bCs/>
                      <w:color w:val="auto"/>
                      <w:spacing w:val="-11"/>
                      <w:szCs w:val="21"/>
                    </w:rPr>
                    <w:t>单位</w:t>
                  </w:r>
                </w:p>
              </w:tc>
              <w:tc>
                <w:tcPr>
                  <w:tcW w:w="738" w:type="dxa"/>
                  <w:tcBorders>
                    <w:top w:val="single" w:color="auto" w:sz="4" w:space="0"/>
                  </w:tcBorders>
                  <w:noWrap w:val="0"/>
                  <w:vAlign w:val="center"/>
                </w:tcPr>
                <w:p>
                  <w:pPr>
                    <w:jc w:val="center"/>
                    <w:rPr>
                      <w:b/>
                      <w:bCs/>
                      <w:color w:val="auto"/>
                      <w:spacing w:val="-11"/>
                      <w:szCs w:val="21"/>
                    </w:rPr>
                  </w:pPr>
                  <w:r>
                    <w:rPr>
                      <w:b/>
                      <w:bCs/>
                      <w:color w:val="auto"/>
                      <w:spacing w:val="-11"/>
                      <w:szCs w:val="21"/>
                    </w:rPr>
                    <w:t>末端治理技术</w:t>
                  </w:r>
                </w:p>
              </w:tc>
              <w:tc>
                <w:tcPr>
                  <w:tcW w:w="631" w:type="dxa"/>
                  <w:tcBorders>
                    <w:top w:val="single" w:color="auto" w:sz="4" w:space="0"/>
                  </w:tcBorders>
                  <w:noWrap w:val="0"/>
                  <w:vAlign w:val="center"/>
                </w:tcPr>
                <w:p>
                  <w:pPr>
                    <w:jc w:val="center"/>
                    <w:rPr>
                      <w:b/>
                      <w:bCs/>
                      <w:color w:val="auto"/>
                      <w:spacing w:val="-11"/>
                      <w:szCs w:val="21"/>
                    </w:rPr>
                  </w:pPr>
                  <w:r>
                    <w:rPr>
                      <w:b/>
                      <w:bCs/>
                      <w:color w:val="auto"/>
                      <w:spacing w:val="-11"/>
                      <w:szCs w:val="21"/>
                    </w:rPr>
                    <w:t>治理效率</w:t>
                  </w:r>
                </w:p>
              </w:tc>
              <w:tc>
                <w:tcPr>
                  <w:tcW w:w="655" w:type="dxa"/>
                  <w:tcBorders>
                    <w:top w:val="single" w:color="auto" w:sz="4" w:space="0"/>
                  </w:tcBorders>
                  <w:noWrap w:val="0"/>
                  <w:vAlign w:val="center"/>
                </w:tcPr>
                <w:p>
                  <w:pPr>
                    <w:jc w:val="center"/>
                    <w:rPr>
                      <w:b/>
                      <w:bCs/>
                      <w:color w:val="auto"/>
                      <w:spacing w:val="-11"/>
                      <w:szCs w:val="21"/>
                    </w:rPr>
                  </w:pPr>
                  <w:r>
                    <w:rPr>
                      <w:b/>
                      <w:bCs/>
                      <w:color w:val="auto"/>
                      <w:spacing w:val="-11"/>
                      <w:szCs w:val="21"/>
                    </w:rPr>
                    <w:t>排污</w:t>
                  </w:r>
                </w:p>
                <w:p>
                  <w:pPr>
                    <w:jc w:val="center"/>
                    <w:rPr>
                      <w:b/>
                      <w:bCs/>
                      <w:color w:val="auto"/>
                      <w:spacing w:val="-11"/>
                      <w:szCs w:val="21"/>
                    </w:rPr>
                  </w:pPr>
                  <w:r>
                    <w:rPr>
                      <w:b/>
                      <w:bCs/>
                      <w:color w:val="auto"/>
                      <w:spacing w:val="-11"/>
                      <w:szCs w:val="21"/>
                    </w:rPr>
                    <w:t>系数</w:t>
                  </w:r>
                </w:p>
              </w:tc>
              <w:tc>
                <w:tcPr>
                  <w:tcW w:w="1010" w:type="dxa"/>
                  <w:tcBorders>
                    <w:top w:val="single" w:color="auto" w:sz="4" w:space="0"/>
                  </w:tcBorders>
                  <w:noWrap w:val="0"/>
                  <w:vAlign w:val="center"/>
                </w:tcPr>
                <w:p>
                  <w:pPr>
                    <w:jc w:val="center"/>
                    <w:rPr>
                      <w:b/>
                      <w:bCs/>
                      <w:color w:val="auto"/>
                      <w:spacing w:val="-11"/>
                      <w:szCs w:val="21"/>
                    </w:rPr>
                  </w:pPr>
                  <w:r>
                    <w:rPr>
                      <w:b/>
                      <w:bCs/>
                      <w:color w:val="auto"/>
                      <w:spacing w:val="-11"/>
                      <w:szCs w:val="21"/>
                    </w:rPr>
                    <w:t>燃气消耗量（</w:t>
                  </w:r>
                  <w:r>
                    <w:rPr>
                      <w:rFonts w:hint="eastAsia"/>
                      <w:b/>
                      <w:bCs/>
                      <w:color w:val="auto"/>
                      <w:spacing w:val="-11"/>
                      <w:szCs w:val="21"/>
                      <w:lang w:val="en-US" w:eastAsia="zh-CN"/>
                    </w:rPr>
                    <w:t>N</w:t>
                  </w:r>
                  <w:r>
                    <w:rPr>
                      <w:b/>
                      <w:bCs/>
                      <w:color w:val="auto"/>
                      <w:spacing w:val="-11"/>
                      <w:szCs w:val="21"/>
                    </w:rPr>
                    <w:t>m</w:t>
                  </w:r>
                  <w:r>
                    <w:rPr>
                      <w:b/>
                      <w:bCs/>
                      <w:color w:val="auto"/>
                      <w:spacing w:val="-11"/>
                      <w:szCs w:val="21"/>
                      <w:vertAlign w:val="superscript"/>
                    </w:rPr>
                    <w:t>3</w:t>
                  </w:r>
                  <w:r>
                    <w:rPr>
                      <w:b/>
                      <w:bCs/>
                      <w:color w:val="auto"/>
                      <w:spacing w:val="-11"/>
                      <w:szCs w:val="21"/>
                    </w:rPr>
                    <w:t>/a）</w:t>
                  </w:r>
                </w:p>
              </w:tc>
              <w:tc>
                <w:tcPr>
                  <w:tcW w:w="783" w:type="dxa"/>
                  <w:tcBorders>
                    <w:top w:val="single" w:color="auto" w:sz="4" w:space="0"/>
                    <w:right w:val="single" w:color="auto" w:sz="4" w:space="0"/>
                  </w:tcBorders>
                  <w:noWrap w:val="0"/>
                  <w:vAlign w:val="center"/>
                </w:tcPr>
                <w:p>
                  <w:pPr>
                    <w:jc w:val="center"/>
                    <w:rPr>
                      <w:b/>
                      <w:bCs/>
                      <w:color w:val="auto"/>
                      <w:spacing w:val="-11"/>
                      <w:szCs w:val="21"/>
                    </w:rPr>
                  </w:pPr>
                  <w:r>
                    <w:rPr>
                      <w:b/>
                      <w:bCs/>
                      <w:color w:val="auto"/>
                      <w:spacing w:val="-11"/>
                      <w:szCs w:val="21"/>
                    </w:rPr>
                    <w:t>污染物排放量（t/a）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 w:hRule="atLeast"/>
                <w:jc w:val="center"/>
              </w:trPr>
              <w:tc>
                <w:tcPr>
                  <w:tcW w:w="641" w:type="dxa"/>
                  <w:vMerge w:val="restart"/>
                  <w:tcBorders>
                    <w:left w:val="single" w:color="auto" w:sz="4" w:space="0"/>
                  </w:tcBorders>
                  <w:noWrap w:val="0"/>
                  <w:vAlign w:val="center"/>
                </w:tcPr>
                <w:p>
                  <w:pPr>
                    <w:jc w:val="center"/>
                    <w:rPr>
                      <w:color w:val="auto"/>
                      <w:spacing w:val="-11"/>
                      <w:szCs w:val="21"/>
                    </w:rPr>
                  </w:pPr>
                  <w:r>
                    <w:rPr>
                      <w:color w:val="auto"/>
                      <w:spacing w:val="-11"/>
                      <w:szCs w:val="21"/>
                    </w:rPr>
                    <w:t>天然气</w:t>
                  </w:r>
                </w:p>
              </w:tc>
              <w:tc>
                <w:tcPr>
                  <w:tcW w:w="735" w:type="dxa"/>
                  <w:vMerge w:val="restart"/>
                  <w:noWrap w:val="0"/>
                  <w:vAlign w:val="center"/>
                </w:tcPr>
                <w:p>
                  <w:pPr>
                    <w:jc w:val="center"/>
                    <w:rPr>
                      <w:color w:val="auto"/>
                      <w:spacing w:val="-11"/>
                      <w:szCs w:val="21"/>
                    </w:rPr>
                  </w:pPr>
                  <w:r>
                    <w:rPr>
                      <w:color w:val="auto"/>
                      <w:spacing w:val="-11"/>
                      <w:szCs w:val="21"/>
                    </w:rPr>
                    <w:t>燃烧机</w:t>
                  </w:r>
                </w:p>
              </w:tc>
              <w:tc>
                <w:tcPr>
                  <w:tcW w:w="629" w:type="dxa"/>
                  <w:vMerge w:val="restart"/>
                  <w:noWrap w:val="0"/>
                  <w:vAlign w:val="center"/>
                </w:tcPr>
                <w:p>
                  <w:pPr>
                    <w:jc w:val="center"/>
                    <w:rPr>
                      <w:color w:val="auto"/>
                      <w:spacing w:val="-11"/>
                      <w:szCs w:val="21"/>
                    </w:rPr>
                  </w:pPr>
                  <w:r>
                    <w:rPr>
                      <w:color w:val="auto"/>
                      <w:spacing w:val="-11"/>
                      <w:szCs w:val="21"/>
                    </w:rPr>
                    <w:t>所有规模</w:t>
                  </w:r>
                </w:p>
              </w:tc>
              <w:tc>
                <w:tcPr>
                  <w:tcW w:w="810" w:type="dxa"/>
                  <w:noWrap w:val="0"/>
                  <w:vAlign w:val="center"/>
                </w:tcPr>
                <w:p>
                  <w:pPr>
                    <w:jc w:val="center"/>
                    <w:rPr>
                      <w:color w:val="auto"/>
                      <w:spacing w:val="-11"/>
                      <w:szCs w:val="21"/>
                    </w:rPr>
                  </w:pPr>
                  <w:r>
                    <w:rPr>
                      <w:bCs/>
                      <w:color w:val="auto"/>
                      <w:szCs w:val="21"/>
                    </w:rPr>
                    <w:t>工业废气量</w:t>
                  </w:r>
                </w:p>
              </w:tc>
              <w:tc>
                <w:tcPr>
                  <w:tcW w:w="701" w:type="dxa"/>
                  <w:noWrap w:val="0"/>
                  <w:vAlign w:val="center"/>
                </w:tcPr>
                <w:p>
                  <w:pPr>
                    <w:jc w:val="center"/>
                    <w:rPr>
                      <w:color w:val="auto"/>
                      <w:spacing w:val="-11"/>
                      <w:szCs w:val="21"/>
                    </w:rPr>
                  </w:pPr>
                  <w:r>
                    <w:rPr>
                      <w:bCs/>
                      <w:color w:val="auto"/>
                      <w:szCs w:val="21"/>
                    </w:rPr>
                    <w:t>Nm</w:t>
                  </w:r>
                  <w:r>
                    <w:rPr>
                      <w:bCs/>
                      <w:color w:val="auto"/>
                      <w:szCs w:val="21"/>
                      <w:vertAlign w:val="superscript"/>
                    </w:rPr>
                    <w:t>3</w:t>
                  </w:r>
                  <w:r>
                    <w:rPr>
                      <w:bCs/>
                      <w:color w:val="auto"/>
                      <w:szCs w:val="21"/>
                    </w:rPr>
                    <w:t>/万m</w:t>
                  </w:r>
                  <w:r>
                    <w:rPr>
                      <w:bCs/>
                      <w:color w:val="auto"/>
                      <w:szCs w:val="21"/>
                      <w:vertAlign w:val="superscript"/>
                    </w:rPr>
                    <w:t>3</w:t>
                  </w:r>
                  <w:r>
                    <w:rPr>
                      <w:bCs/>
                      <w:color w:val="auto"/>
                      <w:szCs w:val="21"/>
                    </w:rPr>
                    <w:t>-原料</w:t>
                  </w:r>
                </w:p>
              </w:tc>
              <w:tc>
                <w:tcPr>
                  <w:tcW w:w="738" w:type="dxa"/>
                  <w:noWrap w:val="0"/>
                  <w:vAlign w:val="center"/>
                </w:tcPr>
                <w:p>
                  <w:pPr>
                    <w:jc w:val="center"/>
                    <w:rPr>
                      <w:color w:val="auto"/>
                      <w:spacing w:val="-11"/>
                      <w:szCs w:val="21"/>
                    </w:rPr>
                  </w:pPr>
                  <w:r>
                    <w:rPr>
                      <w:color w:val="auto"/>
                      <w:spacing w:val="-11"/>
                      <w:szCs w:val="21"/>
                    </w:rPr>
                    <w:t>直排</w:t>
                  </w:r>
                </w:p>
              </w:tc>
              <w:tc>
                <w:tcPr>
                  <w:tcW w:w="631" w:type="dxa"/>
                  <w:noWrap w:val="0"/>
                  <w:vAlign w:val="center"/>
                </w:tcPr>
                <w:p>
                  <w:pPr>
                    <w:jc w:val="center"/>
                    <w:rPr>
                      <w:color w:val="auto"/>
                      <w:spacing w:val="-11"/>
                      <w:szCs w:val="21"/>
                    </w:rPr>
                  </w:pPr>
                  <w:r>
                    <w:rPr>
                      <w:color w:val="auto"/>
                      <w:spacing w:val="-11"/>
                      <w:szCs w:val="21"/>
                    </w:rPr>
                    <w:t>0</w:t>
                  </w:r>
                </w:p>
              </w:tc>
              <w:tc>
                <w:tcPr>
                  <w:tcW w:w="655" w:type="dxa"/>
                  <w:noWrap w:val="0"/>
                  <w:vAlign w:val="center"/>
                </w:tcPr>
                <w:p>
                  <w:pPr>
                    <w:jc w:val="center"/>
                    <w:rPr>
                      <w:color w:val="auto"/>
                      <w:szCs w:val="21"/>
                      <w:lang w:bidi="ar"/>
                    </w:rPr>
                  </w:pPr>
                  <w:r>
                    <w:rPr>
                      <w:color w:val="auto"/>
                      <w:szCs w:val="21"/>
                    </w:rPr>
                    <w:t>107753</w:t>
                  </w:r>
                </w:p>
              </w:tc>
              <w:tc>
                <w:tcPr>
                  <w:tcW w:w="1010" w:type="dxa"/>
                  <w:vMerge w:val="restart"/>
                  <w:noWrap w:val="0"/>
                  <w:vAlign w:val="center"/>
                </w:tcPr>
                <w:p>
                  <w:pPr>
                    <w:jc w:val="center"/>
                    <w:rPr>
                      <w:rFonts w:hint="default"/>
                      <w:color w:val="auto"/>
                      <w:szCs w:val="21"/>
                      <w:lang w:val="en-US" w:bidi="ar"/>
                    </w:rPr>
                  </w:pPr>
                  <w:r>
                    <w:rPr>
                      <w:rFonts w:hint="eastAsia"/>
                      <w:color w:val="auto"/>
                      <w:szCs w:val="21"/>
                      <w:lang w:val="en-US" w:eastAsia="zh-CN" w:bidi="ar"/>
                    </w:rPr>
                    <w:t>22.5</w:t>
                  </w:r>
                </w:p>
              </w:tc>
              <w:tc>
                <w:tcPr>
                  <w:tcW w:w="783" w:type="dxa"/>
                  <w:tcBorders>
                    <w:right w:val="single" w:color="auto" w:sz="4" w:space="0"/>
                  </w:tcBorders>
                  <w:noWrap w:val="0"/>
                  <w:vAlign w:val="center"/>
                </w:tcPr>
                <w:p>
                  <w:pPr>
                    <w:jc w:val="center"/>
                    <w:rPr>
                      <w:rFonts w:hint="default" w:eastAsia="宋体"/>
                      <w:color w:val="auto"/>
                      <w:szCs w:val="21"/>
                      <w:lang w:val="en-US" w:eastAsia="zh-CN" w:bidi="ar"/>
                    </w:rPr>
                  </w:pPr>
                  <w:r>
                    <w:rPr>
                      <w:rFonts w:hint="eastAsia"/>
                      <w:color w:val="auto"/>
                      <w:szCs w:val="21"/>
                      <w:lang w:val="en-US" w:eastAsia="zh-CN" w:bidi="ar"/>
                    </w:rPr>
                    <w:t>242.44425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jc w:val="center"/>
              </w:trPr>
              <w:tc>
                <w:tcPr>
                  <w:tcW w:w="641" w:type="dxa"/>
                  <w:vMerge w:val="continue"/>
                  <w:tcBorders>
                    <w:left w:val="single" w:color="auto" w:sz="4" w:space="0"/>
                  </w:tcBorders>
                  <w:noWrap w:val="0"/>
                  <w:vAlign w:val="center"/>
                </w:tcPr>
                <w:p>
                  <w:pPr>
                    <w:jc w:val="center"/>
                    <w:rPr>
                      <w:color w:val="auto"/>
                      <w:spacing w:val="-11"/>
                      <w:szCs w:val="21"/>
                    </w:rPr>
                  </w:pPr>
                </w:p>
              </w:tc>
              <w:tc>
                <w:tcPr>
                  <w:tcW w:w="735" w:type="dxa"/>
                  <w:vMerge w:val="continue"/>
                  <w:noWrap w:val="0"/>
                  <w:vAlign w:val="center"/>
                </w:tcPr>
                <w:p>
                  <w:pPr>
                    <w:jc w:val="center"/>
                    <w:rPr>
                      <w:color w:val="auto"/>
                      <w:spacing w:val="-11"/>
                      <w:szCs w:val="21"/>
                    </w:rPr>
                  </w:pPr>
                </w:p>
              </w:tc>
              <w:tc>
                <w:tcPr>
                  <w:tcW w:w="629" w:type="dxa"/>
                  <w:vMerge w:val="continue"/>
                  <w:noWrap w:val="0"/>
                  <w:vAlign w:val="center"/>
                </w:tcPr>
                <w:p>
                  <w:pPr>
                    <w:jc w:val="center"/>
                    <w:rPr>
                      <w:color w:val="auto"/>
                      <w:spacing w:val="-11"/>
                      <w:szCs w:val="21"/>
                    </w:rPr>
                  </w:pPr>
                </w:p>
              </w:tc>
              <w:tc>
                <w:tcPr>
                  <w:tcW w:w="810" w:type="dxa"/>
                  <w:noWrap w:val="0"/>
                  <w:vAlign w:val="center"/>
                </w:tcPr>
                <w:p>
                  <w:pPr>
                    <w:jc w:val="center"/>
                    <w:rPr>
                      <w:color w:val="auto"/>
                      <w:spacing w:val="-11"/>
                      <w:szCs w:val="21"/>
                    </w:rPr>
                  </w:pPr>
                  <w:r>
                    <w:rPr>
                      <w:color w:val="auto"/>
                      <w:spacing w:val="-11"/>
                      <w:szCs w:val="21"/>
                    </w:rPr>
                    <w:t>颗粒物</w:t>
                  </w:r>
                </w:p>
              </w:tc>
              <w:tc>
                <w:tcPr>
                  <w:tcW w:w="701" w:type="dxa"/>
                  <w:vMerge w:val="restart"/>
                  <w:noWrap w:val="0"/>
                  <w:vAlign w:val="center"/>
                </w:tcPr>
                <w:p>
                  <w:pPr>
                    <w:jc w:val="center"/>
                    <w:rPr>
                      <w:color w:val="auto"/>
                      <w:spacing w:val="-11"/>
                      <w:szCs w:val="21"/>
                    </w:rPr>
                  </w:pPr>
                  <w:r>
                    <w:rPr>
                      <w:color w:val="auto"/>
                      <w:spacing w:val="-11"/>
                      <w:szCs w:val="21"/>
                    </w:rPr>
                    <w:t>kg/万m</w:t>
                  </w:r>
                  <w:r>
                    <w:rPr>
                      <w:color w:val="auto"/>
                      <w:spacing w:val="-11"/>
                      <w:szCs w:val="21"/>
                      <w:vertAlign w:val="superscript"/>
                    </w:rPr>
                    <w:t>3</w:t>
                  </w:r>
                  <w:r>
                    <w:rPr>
                      <w:color w:val="auto"/>
                      <w:spacing w:val="-11"/>
                      <w:szCs w:val="21"/>
                    </w:rPr>
                    <w:t>-燃料</w:t>
                  </w:r>
                </w:p>
              </w:tc>
              <w:tc>
                <w:tcPr>
                  <w:tcW w:w="738" w:type="dxa"/>
                  <w:noWrap w:val="0"/>
                  <w:vAlign w:val="center"/>
                </w:tcPr>
                <w:p>
                  <w:pPr>
                    <w:jc w:val="center"/>
                    <w:rPr>
                      <w:color w:val="auto"/>
                      <w:spacing w:val="-11"/>
                      <w:szCs w:val="21"/>
                    </w:rPr>
                  </w:pPr>
                  <w:r>
                    <w:rPr>
                      <w:color w:val="auto"/>
                      <w:spacing w:val="-11"/>
                      <w:szCs w:val="21"/>
                    </w:rPr>
                    <w:t>直排</w:t>
                  </w:r>
                </w:p>
              </w:tc>
              <w:tc>
                <w:tcPr>
                  <w:tcW w:w="631" w:type="dxa"/>
                  <w:noWrap w:val="0"/>
                  <w:vAlign w:val="center"/>
                </w:tcPr>
                <w:p>
                  <w:pPr>
                    <w:jc w:val="center"/>
                    <w:rPr>
                      <w:color w:val="auto"/>
                      <w:spacing w:val="-11"/>
                      <w:szCs w:val="21"/>
                    </w:rPr>
                  </w:pPr>
                  <w:r>
                    <w:rPr>
                      <w:color w:val="auto"/>
                      <w:spacing w:val="-11"/>
                      <w:szCs w:val="21"/>
                    </w:rPr>
                    <w:t>0</w:t>
                  </w:r>
                </w:p>
              </w:tc>
              <w:tc>
                <w:tcPr>
                  <w:tcW w:w="655" w:type="dxa"/>
                  <w:noWrap w:val="0"/>
                  <w:vAlign w:val="center"/>
                </w:tcPr>
                <w:p>
                  <w:pPr>
                    <w:jc w:val="center"/>
                    <w:rPr>
                      <w:color w:val="auto"/>
                      <w:spacing w:val="-11"/>
                      <w:szCs w:val="21"/>
                    </w:rPr>
                  </w:pPr>
                  <w:r>
                    <w:rPr>
                      <w:color w:val="auto"/>
                      <w:szCs w:val="21"/>
                    </w:rPr>
                    <w:t>1.039</w:t>
                  </w:r>
                </w:p>
              </w:tc>
              <w:tc>
                <w:tcPr>
                  <w:tcW w:w="1010" w:type="dxa"/>
                  <w:vMerge w:val="continue"/>
                  <w:noWrap w:val="0"/>
                  <w:vAlign w:val="center"/>
                </w:tcPr>
                <w:p>
                  <w:pPr>
                    <w:jc w:val="center"/>
                    <w:rPr>
                      <w:color w:val="auto"/>
                      <w:szCs w:val="21"/>
                      <w:lang w:bidi="ar"/>
                    </w:rPr>
                  </w:pPr>
                </w:p>
              </w:tc>
              <w:tc>
                <w:tcPr>
                  <w:tcW w:w="783" w:type="dxa"/>
                  <w:tcBorders>
                    <w:right w:val="single" w:color="auto" w:sz="4" w:space="0"/>
                  </w:tcBorders>
                  <w:noWrap w:val="0"/>
                  <w:vAlign w:val="center"/>
                </w:tcPr>
                <w:p>
                  <w:pPr>
                    <w:jc w:val="center"/>
                    <w:rPr>
                      <w:rFonts w:hint="default" w:eastAsia="宋体"/>
                      <w:color w:val="auto"/>
                      <w:szCs w:val="21"/>
                      <w:lang w:val="en-US" w:eastAsia="zh-CN" w:bidi="ar"/>
                    </w:rPr>
                  </w:pPr>
                  <w:r>
                    <w:rPr>
                      <w:rFonts w:hint="eastAsia" w:eastAsia="宋体"/>
                      <w:color w:val="auto"/>
                      <w:szCs w:val="21"/>
                      <w:lang w:val="en-US" w:eastAsia="zh-CN" w:bidi="ar"/>
                    </w:rPr>
                    <w:t>0.02334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641" w:type="dxa"/>
                  <w:vMerge w:val="continue"/>
                  <w:tcBorders>
                    <w:left w:val="single" w:color="auto" w:sz="4" w:space="0"/>
                  </w:tcBorders>
                  <w:noWrap w:val="0"/>
                  <w:vAlign w:val="center"/>
                </w:tcPr>
                <w:p>
                  <w:pPr>
                    <w:jc w:val="center"/>
                    <w:rPr>
                      <w:color w:val="auto"/>
                      <w:spacing w:val="-11"/>
                      <w:szCs w:val="21"/>
                    </w:rPr>
                  </w:pPr>
                </w:p>
              </w:tc>
              <w:tc>
                <w:tcPr>
                  <w:tcW w:w="735" w:type="dxa"/>
                  <w:vMerge w:val="continue"/>
                  <w:noWrap w:val="0"/>
                  <w:vAlign w:val="center"/>
                </w:tcPr>
                <w:p>
                  <w:pPr>
                    <w:jc w:val="center"/>
                    <w:rPr>
                      <w:color w:val="auto"/>
                      <w:spacing w:val="-11"/>
                      <w:szCs w:val="21"/>
                    </w:rPr>
                  </w:pPr>
                </w:p>
              </w:tc>
              <w:tc>
                <w:tcPr>
                  <w:tcW w:w="629" w:type="dxa"/>
                  <w:vMerge w:val="continue"/>
                  <w:noWrap w:val="0"/>
                  <w:vAlign w:val="center"/>
                </w:tcPr>
                <w:p>
                  <w:pPr>
                    <w:jc w:val="center"/>
                    <w:rPr>
                      <w:color w:val="auto"/>
                      <w:spacing w:val="-11"/>
                      <w:szCs w:val="21"/>
                    </w:rPr>
                  </w:pPr>
                </w:p>
              </w:tc>
              <w:tc>
                <w:tcPr>
                  <w:tcW w:w="810" w:type="dxa"/>
                  <w:noWrap w:val="0"/>
                  <w:vAlign w:val="center"/>
                </w:tcPr>
                <w:p>
                  <w:pPr>
                    <w:jc w:val="center"/>
                    <w:rPr>
                      <w:color w:val="auto"/>
                      <w:spacing w:val="-11"/>
                      <w:szCs w:val="21"/>
                    </w:rPr>
                  </w:pPr>
                  <w:r>
                    <w:rPr>
                      <w:color w:val="auto"/>
                      <w:spacing w:val="-11"/>
                      <w:szCs w:val="21"/>
                    </w:rPr>
                    <w:t>二氧化硫</w:t>
                  </w:r>
                </w:p>
              </w:tc>
              <w:tc>
                <w:tcPr>
                  <w:tcW w:w="701" w:type="dxa"/>
                  <w:vMerge w:val="continue"/>
                  <w:noWrap w:val="0"/>
                  <w:vAlign w:val="center"/>
                </w:tcPr>
                <w:p>
                  <w:pPr>
                    <w:jc w:val="center"/>
                    <w:rPr>
                      <w:color w:val="auto"/>
                      <w:spacing w:val="-11"/>
                      <w:szCs w:val="21"/>
                    </w:rPr>
                  </w:pPr>
                </w:p>
              </w:tc>
              <w:tc>
                <w:tcPr>
                  <w:tcW w:w="738" w:type="dxa"/>
                  <w:noWrap w:val="0"/>
                  <w:vAlign w:val="center"/>
                </w:tcPr>
                <w:p>
                  <w:pPr>
                    <w:jc w:val="center"/>
                    <w:rPr>
                      <w:color w:val="auto"/>
                      <w:spacing w:val="-11"/>
                      <w:szCs w:val="21"/>
                    </w:rPr>
                  </w:pPr>
                  <w:r>
                    <w:rPr>
                      <w:color w:val="auto"/>
                      <w:spacing w:val="-11"/>
                      <w:szCs w:val="21"/>
                    </w:rPr>
                    <w:t>直排</w:t>
                  </w:r>
                </w:p>
              </w:tc>
              <w:tc>
                <w:tcPr>
                  <w:tcW w:w="631" w:type="dxa"/>
                  <w:noWrap w:val="0"/>
                  <w:vAlign w:val="center"/>
                </w:tcPr>
                <w:p>
                  <w:pPr>
                    <w:jc w:val="center"/>
                    <w:rPr>
                      <w:color w:val="auto"/>
                      <w:spacing w:val="-11"/>
                      <w:szCs w:val="21"/>
                    </w:rPr>
                  </w:pPr>
                  <w:r>
                    <w:rPr>
                      <w:color w:val="auto"/>
                      <w:spacing w:val="-11"/>
                      <w:szCs w:val="21"/>
                    </w:rPr>
                    <w:t>0</w:t>
                  </w:r>
                </w:p>
              </w:tc>
              <w:tc>
                <w:tcPr>
                  <w:tcW w:w="655" w:type="dxa"/>
                  <w:noWrap w:val="0"/>
                  <w:vAlign w:val="center"/>
                </w:tcPr>
                <w:p>
                  <w:pPr>
                    <w:jc w:val="center"/>
                    <w:rPr>
                      <w:color w:val="auto"/>
                      <w:spacing w:val="-11"/>
                      <w:szCs w:val="21"/>
                    </w:rPr>
                  </w:pPr>
                  <w:r>
                    <w:rPr>
                      <w:color w:val="auto"/>
                      <w:szCs w:val="21"/>
                      <w:lang w:bidi="ar"/>
                    </w:rPr>
                    <w:t>0.02S</w:t>
                  </w:r>
                </w:p>
              </w:tc>
              <w:tc>
                <w:tcPr>
                  <w:tcW w:w="1010" w:type="dxa"/>
                  <w:vMerge w:val="continue"/>
                  <w:noWrap w:val="0"/>
                  <w:vAlign w:val="center"/>
                </w:tcPr>
                <w:p>
                  <w:pPr>
                    <w:jc w:val="center"/>
                    <w:rPr>
                      <w:color w:val="auto"/>
                      <w:szCs w:val="21"/>
                      <w:lang w:bidi="ar"/>
                    </w:rPr>
                  </w:pPr>
                </w:p>
              </w:tc>
              <w:tc>
                <w:tcPr>
                  <w:tcW w:w="783" w:type="dxa"/>
                  <w:tcBorders>
                    <w:right w:val="single" w:color="auto" w:sz="4" w:space="0"/>
                  </w:tcBorders>
                  <w:noWrap w:val="0"/>
                  <w:vAlign w:val="center"/>
                </w:tcPr>
                <w:p>
                  <w:pPr>
                    <w:jc w:val="center"/>
                    <w:rPr>
                      <w:rFonts w:hint="default" w:eastAsia="宋体"/>
                      <w:color w:val="auto"/>
                      <w:szCs w:val="21"/>
                      <w:lang w:val="en-US" w:eastAsia="zh-CN" w:bidi="ar"/>
                    </w:rPr>
                  </w:pPr>
                  <w:r>
                    <w:rPr>
                      <w:rFonts w:hint="eastAsia"/>
                      <w:color w:val="auto"/>
                      <w:szCs w:val="21"/>
                      <w:lang w:val="en-US" w:eastAsia="zh-CN" w:bidi="ar"/>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 w:hRule="atLeast"/>
                <w:jc w:val="center"/>
              </w:trPr>
              <w:tc>
                <w:tcPr>
                  <w:tcW w:w="641" w:type="dxa"/>
                  <w:vMerge w:val="continue"/>
                  <w:tcBorders>
                    <w:left w:val="single" w:color="auto" w:sz="4" w:space="0"/>
                  </w:tcBorders>
                  <w:noWrap w:val="0"/>
                  <w:vAlign w:val="center"/>
                </w:tcPr>
                <w:p>
                  <w:pPr>
                    <w:jc w:val="center"/>
                    <w:rPr>
                      <w:color w:val="auto"/>
                      <w:spacing w:val="-11"/>
                      <w:szCs w:val="21"/>
                    </w:rPr>
                  </w:pPr>
                </w:p>
              </w:tc>
              <w:tc>
                <w:tcPr>
                  <w:tcW w:w="735" w:type="dxa"/>
                  <w:vMerge w:val="continue"/>
                  <w:noWrap w:val="0"/>
                  <w:vAlign w:val="center"/>
                </w:tcPr>
                <w:p>
                  <w:pPr>
                    <w:jc w:val="center"/>
                    <w:rPr>
                      <w:color w:val="auto"/>
                      <w:spacing w:val="-11"/>
                      <w:szCs w:val="21"/>
                    </w:rPr>
                  </w:pPr>
                </w:p>
              </w:tc>
              <w:tc>
                <w:tcPr>
                  <w:tcW w:w="629" w:type="dxa"/>
                  <w:vMerge w:val="continue"/>
                  <w:noWrap w:val="0"/>
                  <w:vAlign w:val="center"/>
                </w:tcPr>
                <w:p>
                  <w:pPr>
                    <w:jc w:val="center"/>
                    <w:rPr>
                      <w:color w:val="auto"/>
                      <w:spacing w:val="-11"/>
                      <w:szCs w:val="21"/>
                    </w:rPr>
                  </w:pPr>
                </w:p>
              </w:tc>
              <w:tc>
                <w:tcPr>
                  <w:tcW w:w="810" w:type="dxa"/>
                  <w:noWrap w:val="0"/>
                  <w:vAlign w:val="center"/>
                </w:tcPr>
                <w:p>
                  <w:pPr>
                    <w:jc w:val="center"/>
                    <w:rPr>
                      <w:color w:val="auto"/>
                      <w:spacing w:val="-11"/>
                      <w:szCs w:val="21"/>
                    </w:rPr>
                  </w:pPr>
                  <w:r>
                    <w:rPr>
                      <w:color w:val="auto"/>
                      <w:spacing w:val="-11"/>
                      <w:szCs w:val="21"/>
                    </w:rPr>
                    <w:t>氮氧化物</w:t>
                  </w:r>
                </w:p>
              </w:tc>
              <w:tc>
                <w:tcPr>
                  <w:tcW w:w="701" w:type="dxa"/>
                  <w:vMerge w:val="continue"/>
                  <w:noWrap w:val="0"/>
                  <w:vAlign w:val="center"/>
                </w:tcPr>
                <w:p>
                  <w:pPr>
                    <w:jc w:val="center"/>
                    <w:rPr>
                      <w:color w:val="auto"/>
                      <w:spacing w:val="-11"/>
                      <w:szCs w:val="21"/>
                    </w:rPr>
                  </w:pPr>
                </w:p>
              </w:tc>
              <w:tc>
                <w:tcPr>
                  <w:tcW w:w="738" w:type="dxa"/>
                  <w:noWrap w:val="0"/>
                  <w:vAlign w:val="center"/>
                </w:tcPr>
                <w:p>
                  <w:pPr>
                    <w:jc w:val="center"/>
                    <w:rPr>
                      <w:color w:val="auto"/>
                      <w:spacing w:val="-11"/>
                      <w:szCs w:val="21"/>
                    </w:rPr>
                  </w:pPr>
                  <w:r>
                    <w:rPr>
                      <w:color w:val="auto"/>
                      <w:spacing w:val="-11"/>
                      <w:szCs w:val="21"/>
                    </w:rPr>
                    <w:t>直排</w:t>
                  </w:r>
                </w:p>
              </w:tc>
              <w:tc>
                <w:tcPr>
                  <w:tcW w:w="631" w:type="dxa"/>
                  <w:noWrap w:val="0"/>
                  <w:vAlign w:val="center"/>
                </w:tcPr>
                <w:p>
                  <w:pPr>
                    <w:jc w:val="center"/>
                    <w:rPr>
                      <w:color w:val="auto"/>
                      <w:spacing w:val="-11"/>
                      <w:szCs w:val="21"/>
                    </w:rPr>
                  </w:pPr>
                  <w:r>
                    <w:rPr>
                      <w:color w:val="auto"/>
                      <w:spacing w:val="-11"/>
                      <w:szCs w:val="21"/>
                    </w:rPr>
                    <w:t>0</w:t>
                  </w:r>
                </w:p>
              </w:tc>
              <w:tc>
                <w:tcPr>
                  <w:tcW w:w="655" w:type="dxa"/>
                  <w:noWrap w:val="0"/>
                  <w:vAlign w:val="center"/>
                </w:tcPr>
                <w:p>
                  <w:pPr>
                    <w:jc w:val="center"/>
                    <w:rPr>
                      <w:color w:val="auto"/>
                      <w:spacing w:val="-11"/>
                      <w:szCs w:val="21"/>
                    </w:rPr>
                  </w:pPr>
                  <w:r>
                    <w:rPr>
                      <w:color w:val="auto"/>
                      <w:szCs w:val="21"/>
                    </w:rPr>
                    <w:t>6.97（低氮燃烧-国内领先）</w:t>
                  </w:r>
                </w:p>
              </w:tc>
              <w:tc>
                <w:tcPr>
                  <w:tcW w:w="1010" w:type="dxa"/>
                  <w:vMerge w:val="continue"/>
                  <w:noWrap w:val="0"/>
                  <w:vAlign w:val="center"/>
                </w:tcPr>
                <w:p>
                  <w:pPr>
                    <w:jc w:val="center"/>
                    <w:rPr>
                      <w:color w:val="auto"/>
                      <w:szCs w:val="21"/>
                      <w:lang w:bidi="ar"/>
                    </w:rPr>
                  </w:pPr>
                </w:p>
              </w:tc>
              <w:tc>
                <w:tcPr>
                  <w:tcW w:w="783" w:type="dxa"/>
                  <w:tcBorders>
                    <w:right w:val="single" w:color="auto" w:sz="4" w:space="0"/>
                  </w:tcBorders>
                  <w:noWrap w:val="0"/>
                  <w:vAlign w:val="center"/>
                </w:tcPr>
                <w:p>
                  <w:pPr>
                    <w:jc w:val="center"/>
                    <w:rPr>
                      <w:rFonts w:hint="default" w:eastAsia="宋体"/>
                      <w:color w:val="auto"/>
                      <w:szCs w:val="21"/>
                      <w:lang w:val="en-US" w:eastAsia="zh-CN" w:bidi="ar"/>
                    </w:rPr>
                  </w:pPr>
                  <w:r>
                    <w:rPr>
                      <w:color w:val="auto"/>
                      <w:szCs w:val="21"/>
                      <w:lang w:bidi="ar"/>
                    </w:rPr>
                    <w:t>0.</w:t>
                  </w:r>
                  <w:r>
                    <w:rPr>
                      <w:rFonts w:hint="eastAsia"/>
                      <w:color w:val="auto"/>
                      <w:szCs w:val="21"/>
                      <w:lang w:val="en-US" w:eastAsia="zh-CN" w:bidi="ar"/>
                    </w:rPr>
                    <w:t>1568</w:t>
                  </w:r>
                </w:p>
              </w:tc>
            </w:tr>
          </w:tbl>
          <w:p>
            <w:pPr>
              <w:spacing w:line="360" w:lineRule="auto"/>
              <w:ind w:firstLine="422" w:firstLineChars="200"/>
              <w:rPr>
                <w:b/>
                <w:bCs/>
                <w:color w:val="00B050"/>
                <w:szCs w:val="21"/>
              </w:rPr>
            </w:pPr>
            <w:r>
              <w:rPr>
                <w:b/>
                <w:bCs/>
                <w:color w:val="00B050"/>
                <w:szCs w:val="21"/>
              </w:rPr>
              <w:t>注：产污系数表中气体燃料的二氧化硫的产污系数是以含硫量（S）的形式表示的，其中含硫量（S）是指气体燃料中的硫含量，单位为毫克/立方米；本项目采用低氮燃烧技术，NOx产污系数参照“低氮燃烧-国内领先水平”的系数。</w:t>
            </w:r>
          </w:p>
          <w:p>
            <w:pPr>
              <w:pStyle w:val="3"/>
              <w:pageBreakBefore w:val="0"/>
              <w:kinsoku/>
              <w:wordWrap/>
              <w:overflowPunct/>
              <w:topLinePunct w:val="0"/>
              <w:autoSpaceDE/>
              <w:autoSpaceDN/>
              <w:bidi w:val="0"/>
              <w:adjustRightInd/>
              <w:snapToGrid/>
              <w:spacing w:before="0" w:after="0" w:line="360" w:lineRule="auto"/>
              <w:ind w:firstLine="480" w:firstLineChars="200"/>
              <w:jc w:val="both"/>
              <w:textAlignment w:val="auto"/>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1号膨化炉年工作5280h，则1号膨化炉天然气燃烧废气颗粒物产生量为0.0117t/a（0.0022kg/h）、二氧化硫产生量为0.0225t/a（0.0043kg/h）、氮氧化物产生量为0.0784t/a（0.0148kg/h）；2号膨化炉年工作5280h，则2号膨化炉天然气燃烧废气颗粒物产生量为0.0117t/a（0.0022kg/h）、二氧化硫产生量为0.0225t/a（0.0043kg/h）、氮氧化物产生量为0.0784t/a（0.0148kg/h）。</w:t>
            </w:r>
          </w:p>
          <w:p>
            <w:pPr>
              <w:pStyle w:val="3"/>
              <w:pageBreakBefore w:val="0"/>
              <w:kinsoku/>
              <w:wordWrap/>
              <w:overflowPunct/>
              <w:topLinePunct w:val="0"/>
              <w:autoSpaceDE/>
              <w:autoSpaceDN/>
              <w:bidi w:val="0"/>
              <w:adjustRightInd/>
              <w:snapToGrid/>
              <w:spacing w:before="0" w:after="0" w:line="360" w:lineRule="auto"/>
              <w:ind w:firstLine="482" w:firstLineChars="200"/>
              <w:jc w:val="both"/>
              <w:textAlignment w:val="auto"/>
              <w:rPr>
                <w:rFonts w:hint="default"/>
                <w:b/>
                <w:bCs w:val="0"/>
                <w:color w:val="auto"/>
                <w:sz w:val="24"/>
                <w:szCs w:val="24"/>
                <w:lang w:val="en-US"/>
              </w:rPr>
            </w:pPr>
            <w:r>
              <w:rPr>
                <w:rFonts w:hint="eastAsia" w:ascii="Times New Roman" w:hAnsi="Times New Roman" w:eastAsia="宋体" w:cs="Times New Roman"/>
                <w:b/>
                <w:bCs w:val="0"/>
                <w:color w:val="auto"/>
                <w:kern w:val="2"/>
                <w:sz w:val="24"/>
                <w:szCs w:val="24"/>
                <w:lang w:val="en-US" w:eastAsia="zh-CN" w:bidi="ar-SA"/>
              </w:rPr>
              <w:t>2）膨化废气</w:t>
            </w:r>
          </w:p>
          <w:p>
            <w:pPr>
              <w:widowControl/>
              <w:spacing w:line="360" w:lineRule="auto"/>
              <w:ind w:firstLine="480" w:firstLineChars="200"/>
              <w:jc w:val="both"/>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根据建设单位介绍，本项目所用的可膨胀石墨硫酸含量为3%-4%，本次评价按4%计算，进入膨化炉的可膨胀石墨量约为1462.2684t/a，硫酸经膨化炉高温膨化</w:t>
            </w:r>
            <w:r>
              <w:rPr>
                <w:color w:val="auto"/>
                <w:sz w:val="24"/>
                <w:szCs w:val="24"/>
              </w:rPr>
              <w:t>过程中会发生分解，分</w:t>
            </w:r>
            <w:r>
              <w:rPr>
                <w:color w:val="auto"/>
                <w:kern w:val="0"/>
                <w:sz w:val="24"/>
                <w:szCs w:val="24"/>
                <w:lang w:bidi="ar"/>
              </w:rPr>
              <w:t>解产生</w:t>
            </w:r>
            <w:r>
              <w:rPr>
                <w:rFonts w:hint="eastAsia"/>
                <w:color w:val="auto"/>
                <w:kern w:val="0"/>
                <w:sz w:val="24"/>
                <w:szCs w:val="24"/>
                <w:lang w:val="en-US" w:eastAsia="zh-CN" w:bidi="ar"/>
              </w:rPr>
              <w:t>二氧化硫</w:t>
            </w:r>
            <w:r>
              <w:rPr>
                <w:color w:val="auto"/>
                <w:kern w:val="0"/>
                <w:sz w:val="24"/>
                <w:szCs w:val="24"/>
                <w:lang w:bidi="ar"/>
              </w:rPr>
              <w:t>、水等</w:t>
            </w:r>
            <w:r>
              <w:rPr>
                <w:rFonts w:hint="eastAsia"/>
                <w:color w:val="auto"/>
                <w:kern w:val="0"/>
                <w:sz w:val="24"/>
                <w:szCs w:val="24"/>
                <w:lang w:eastAsia="zh-CN" w:bidi="ar"/>
              </w:rPr>
              <w:t>，</w:t>
            </w:r>
            <w:r>
              <w:rPr>
                <w:rFonts w:hint="eastAsia"/>
                <w:color w:val="auto"/>
                <w:sz w:val="24"/>
                <w:szCs w:val="24"/>
                <w:lang w:val="en-US" w:eastAsia="zh-CN"/>
              </w:rPr>
              <w:t>因最终样品残留硫酸量较小，且后端经</w:t>
            </w:r>
            <w:r>
              <w:rPr>
                <w:rFonts w:hint="default" w:ascii="Times New Roman" w:hAnsi="Times New Roman" w:eastAsia="宋体" w:cs="Times New Roman"/>
                <w:b w:val="0"/>
                <w:bCs/>
                <w:color w:val="auto"/>
                <w:kern w:val="2"/>
                <w:sz w:val="24"/>
                <w:szCs w:val="24"/>
                <w:lang w:val="en-US" w:eastAsia="zh-CN" w:bidi="ar-SA"/>
              </w:rPr>
              <w:t>“布袋除尘器+碱喷淋”处理后</w:t>
            </w:r>
            <w:r>
              <w:rPr>
                <w:rFonts w:hint="eastAsia" w:ascii="Times New Roman" w:hAnsi="Times New Roman" w:eastAsia="宋体" w:cs="Times New Roman"/>
                <w:b w:val="0"/>
                <w:bCs/>
                <w:color w:val="auto"/>
                <w:kern w:val="2"/>
                <w:sz w:val="24"/>
                <w:szCs w:val="24"/>
                <w:lang w:val="en-US" w:eastAsia="zh-CN" w:bidi="ar-SA"/>
              </w:rPr>
              <w:t>排放，所以</w:t>
            </w:r>
            <w:r>
              <w:rPr>
                <w:rFonts w:hint="eastAsia"/>
                <w:color w:val="auto"/>
                <w:sz w:val="24"/>
                <w:szCs w:val="24"/>
                <w:lang w:val="en-US" w:eastAsia="zh-CN"/>
              </w:rPr>
              <w:t>本次评价以</w:t>
            </w:r>
            <w:r>
              <w:rPr>
                <w:rFonts w:hint="eastAsia" w:ascii="Times New Roman" w:hAnsi="Times New Roman" w:eastAsia="宋体" w:cs="Times New Roman"/>
                <w:bCs/>
                <w:color w:val="auto"/>
                <w:sz w:val="24"/>
                <w:szCs w:val="24"/>
                <w:vertAlign w:val="baseline"/>
                <w:lang w:val="en-US" w:eastAsia="zh-CN"/>
              </w:rPr>
              <w:t>SO</w:t>
            </w:r>
            <w:r>
              <w:rPr>
                <w:rFonts w:hint="eastAsia" w:ascii="Times New Roman" w:hAnsi="Times New Roman" w:eastAsia="宋体" w:cs="Times New Roman"/>
                <w:bCs/>
                <w:color w:val="auto"/>
                <w:sz w:val="24"/>
                <w:szCs w:val="24"/>
                <w:vertAlign w:val="subscript"/>
                <w:lang w:val="en-US" w:eastAsia="zh-CN"/>
              </w:rPr>
              <w:t>2</w:t>
            </w:r>
            <w:r>
              <w:rPr>
                <w:rFonts w:hint="eastAsia"/>
                <w:color w:val="auto"/>
                <w:sz w:val="24"/>
                <w:szCs w:val="24"/>
                <w:lang w:val="en-US" w:eastAsia="zh-CN"/>
              </w:rPr>
              <w:t>计，不再单独分析</w:t>
            </w:r>
            <w:r>
              <w:rPr>
                <w:rFonts w:hint="eastAsia" w:ascii="Times New Roman" w:hAnsi="Times New Roman" w:eastAsia="宋体" w:cs="Times New Roman"/>
                <w:bCs/>
                <w:color w:val="auto"/>
                <w:sz w:val="24"/>
                <w:szCs w:val="24"/>
                <w:lang w:val="en-US" w:eastAsia="zh-CN"/>
              </w:rPr>
              <w:t>H</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SO</w:t>
            </w:r>
            <w:r>
              <w:rPr>
                <w:color w:val="auto"/>
                <w:kern w:val="0"/>
                <w:sz w:val="24"/>
                <w:szCs w:val="24"/>
                <w:lang w:bidi="ar"/>
              </w:rPr>
              <w:t>。</w:t>
            </w:r>
            <w:r>
              <w:rPr>
                <w:rFonts w:hint="eastAsia"/>
                <w:color w:val="auto"/>
                <w:kern w:val="0"/>
                <w:sz w:val="24"/>
                <w:szCs w:val="24"/>
                <w:lang w:bidi="ar"/>
              </w:rPr>
              <w:t>化学方程式见下：</w:t>
            </w:r>
          </w:p>
          <w:p>
            <w:pPr>
              <w:widowControl/>
              <w:spacing w:line="360" w:lineRule="auto"/>
              <w:ind w:firstLine="480" w:firstLineChars="200"/>
              <w:jc w:val="both"/>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2H</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SO</w:t>
            </w:r>
            <w:r>
              <w:rPr>
                <w:rFonts w:hint="eastAsia" w:ascii="Times New Roman" w:hAnsi="Times New Roman" w:eastAsia="宋体" w:cs="Times New Roman"/>
                <w:bCs/>
                <w:color w:val="auto"/>
                <w:sz w:val="24"/>
                <w:szCs w:val="24"/>
                <w:vertAlign w:val="subscript"/>
                <w:lang w:val="en-US" w:eastAsia="zh-CN"/>
              </w:rPr>
              <w:t>4</w:t>
            </w:r>
            <w:r>
              <w:rPr>
                <w:rFonts w:hint="eastAsia" w:ascii="Times New Roman" w:hAnsi="Times New Roman" w:eastAsia="宋体" w:cs="Times New Roman"/>
                <w:bCs/>
                <w:color w:val="auto"/>
                <w:sz w:val="24"/>
                <w:szCs w:val="24"/>
                <w:vertAlign w:val="baseline"/>
                <w:lang w:val="en-US" w:eastAsia="zh-CN"/>
              </w:rPr>
              <w:t>→2H</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vertAlign w:val="baseline"/>
                <w:lang w:val="en-US" w:eastAsia="zh-CN"/>
              </w:rPr>
              <w:t>O+2SO</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vertAlign w:val="baseline"/>
                <w:lang w:val="en-US" w:eastAsia="zh-CN"/>
              </w:rPr>
              <w:t>↑+O</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vertAlign w:val="baseline"/>
                <w:lang w:val="en-US" w:eastAsia="zh-CN"/>
              </w:rPr>
              <w:t>↑</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由物料平衡可得，</w:t>
            </w:r>
            <w:r>
              <w:rPr>
                <w:rFonts w:hint="eastAsia" w:ascii="Times New Roman" w:hAnsi="Times New Roman" w:eastAsia="宋体" w:cs="Times New Roman"/>
                <w:color w:val="auto"/>
                <w:kern w:val="0"/>
                <w:sz w:val="24"/>
                <w:szCs w:val="24"/>
                <w:lang w:val="en-US" w:eastAsia="zh-CN" w:bidi="ar"/>
              </w:rPr>
              <w:t>膨化废气二</w:t>
            </w:r>
            <w:r>
              <w:rPr>
                <w:rFonts w:hint="eastAsia"/>
                <w:color w:val="auto"/>
                <w:kern w:val="0"/>
                <w:sz w:val="24"/>
                <w:szCs w:val="24"/>
                <w:lang w:val="en-US" w:eastAsia="zh-CN" w:bidi="ar"/>
              </w:rPr>
              <w:t>氧化硫产生量为</w:t>
            </w:r>
            <w:r>
              <w:rPr>
                <w:rFonts w:hint="eastAsia" w:ascii="Times New Roman" w:hAnsi="Times New Roman" w:eastAsia="宋体" w:cs="Times New Roman"/>
                <w:bCs/>
                <w:color w:val="auto"/>
                <w:sz w:val="24"/>
                <w:szCs w:val="24"/>
                <w:lang w:val="en-US" w:eastAsia="zh-CN"/>
              </w:rPr>
              <w:t>38.3216t/a，水蒸气及氧气产生量为20.1692t/a</w:t>
            </w:r>
            <w:r>
              <w:rPr>
                <w:rFonts w:ascii="Times New Roman" w:hAnsi="Times New Roman" w:eastAsia="宋体" w:cs="Times New Roman"/>
                <w:bCs/>
                <w:color w:val="auto"/>
                <w:sz w:val="24"/>
                <w:szCs w:val="24"/>
              </w:rPr>
              <w:t>。</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 w:val="0"/>
                <w:bCs/>
                <w:color w:val="auto"/>
                <w:kern w:val="2"/>
                <w:sz w:val="24"/>
                <w:szCs w:val="24"/>
                <w:lang w:val="en-US" w:eastAsia="zh-CN" w:bidi="ar-SA"/>
              </w:rPr>
              <w:t>1号膨化炉年工作5280h，</w:t>
            </w:r>
            <w:r>
              <w:rPr>
                <w:rFonts w:hint="eastAsia" w:ascii="Times New Roman" w:hAnsi="Times New Roman" w:eastAsia="宋体" w:cs="Times New Roman"/>
                <w:bCs/>
                <w:color w:val="auto"/>
                <w:sz w:val="24"/>
                <w:szCs w:val="24"/>
                <w:lang w:val="en-US" w:eastAsia="zh-CN"/>
              </w:rPr>
              <w:t>则1号膨化炉膨化废气</w:t>
            </w:r>
            <w:r>
              <w:rPr>
                <w:rFonts w:hint="eastAsia" w:ascii="Times New Roman" w:hAnsi="Times New Roman" w:eastAsia="宋体" w:cs="Times New Roman"/>
                <w:color w:val="auto"/>
                <w:kern w:val="0"/>
                <w:sz w:val="24"/>
                <w:szCs w:val="24"/>
                <w:lang w:val="en-US" w:eastAsia="zh-CN" w:bidi="ar"/>
              </w:rPr>
              <w:t>二</w:t>
            </w:r>
            <w:r>
              <w:rPr>
                <w:rFonts w:hint="eastAsia"/>
                <w:color w:val="auto"/>
                <w:kern w:val="0"/>
                <w:sz w:val="24"/>
                <w:szCs w:val="24"/>
                <w:lang w:val="en-US" w:eastAsia="zh-CN" w:bidi="ar"/>
              </w:rPr>
              <w:t>氧化硫产生量为</w:t>
            </w:r>
            <w:r>
              <w:rPr>
                <w:rFonts w:hint="eastAsia" w:ascii="Times New Roman" w:hAnsi="Times New Roman" w:eastAsia="宋体" w:cs="Times New Roman"/>
                <w:bCs/>
                <w:color w:val="auto"/>
                <w:sz w:val="24"/>
                <w:szCs w:val="24"/>
                <w:lang w:val="en-US" w:eastAsia="zh-CN"/>
              </w:rPr>
              <w:t>19.1608t/a（3.6289</w:t>
            </w:r>
            <w:r>
              <w:rPr>
                <w:rFonts w:hint="eastAsia" w:ascii="Times New Roman" w:hAnsi="Times New Roman" w:eastAsia="宋体" w:cs="Times New Roman"/>
                <w:b w:val="0"/>
                <w:bCs/>
                <w:color w:val="auto"/>
                <w:kern w:val="2"/>
                <w:sz w:val="24"/>
                <w:szCs w:val="24"/>
                <w:lang w:val="en-US" w:eastAsia="zh-CN" w:bidi="ar-SA"/>
              </w:rPr>
              <w:t>kg/h</w:t>
            </w:r>
            <w:r>
              <w:rPr>
                <w:rFonts w:hint="eastAsia" w:ascii="Times New Roman" w:hAnsi="Times New Roman" w:eastAsia="宋体" w:cs="Times New Roman"/>
                <w:bCs/>
                <w:color w:val="auto"/>
                <w:sz w:val="24"/>
                <w:szCs w:val="24"/>
                <w:lang w:val="en-US" w:eastAsia="zh-CN"/>
              </w:rPr>
              <w:t>）、2号膨化炉膨化废气</w:t>
            </w:r>
            <w:r>
              <w:rPr>
                <w:rFonts w:hint="eastAsia" w:ascii="Times New Roman" w:hAnsi="Times New Roman" w:eastAsia="宋体" w:cs="Times New Roman"/>
                <w:color w:val="auto"/>
                <w:kern w:val="0"/>
                <w:sz w:val="24"/>
                <w:szCs w:val="24"/>
                <w:lang w:val="en-US" w:eastAsia="zh-CN" w:bidi="ar"/>
              </w:rPr>
              <w:t>二</w:t>
            </w:r>
            <w:r>
              <w:rPr>
                <w:rFonts w:hint="eastAsia"/>
                <w:color w:val="auto"/>
                <w:kern w:val="0"/>
                <w:sz w:val="24"/>
                <w:szCs w:val="24"/>
                <w:lang w:val="en-US" w:eastAsia="zh-CN" w:bidi="ar"/>
              </w:rPr>
              <w:t>氧化硫产生量为</w:t>
            </w:r>
            <w:r>
              <w:rPr>
                <w:rFonts w:hint="eastAsia" w:ascii="Times New Roman" w:hAnsi="Times New Roman" w:eastAsia="宋体" w:cs="Times New Roman"/>
                <w:bCs/>
                <w:color w:val="auto"/>
                <w:sz w:val="24"/>
                <w:szCs w:val="24"/>
                <w:lang w:val="en-US" w:eastAsia="zh-CN"/>
              </w:rPr>
              <w:t>19.1608t/a（3.6289</w:t>
            </w:r>
            <w:r>
              <w:rPr>
                <w:rFonts w:hint="eastAsia" w:ascii="Times New Roman" w:hAnsi="Times New Roman" w:eastAsia="宋体" w:cs="Times New Roman"/>
                <w:b w:val="0"/>
                <w:bCs/>
                <w:color w:val="auto"/>
                <w:kern w:val="2"/>
                <w:sz w:val="24"/>
                <w:szCs w:val="24"/>
                <w:lang w:val="en-US" w:eastAsia="zh-CN" w:bidi="ar-SA"/>
              </w:rPr>
              <w:t>kg/h</w:t>
            </w:r>
            <w:r>
              <w:rPr>
                <w:rFonts w:hint="eastAsia" w:ascii="Times New Roman" w:hAnsi="Times New Roman" w:eastAsia="宋体" w:cs="Times New Roman"/>
                <w:bCs/>
                <w:color w:val="auto"/>
                <w:sz w:val="24"/>
                <w:szCs w:val="24"/>
                <w:lang w:val="en-US" w:eastAsia="zh-CN"/>
              </w:rPr>
              <w:t>）。</w:t>
            </w:r>
          </w:p>
          <w:p>
            <w:pPr>
              <w:pStyle w:val="4"/>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（3）分级粉尘</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bCs/>
                <w:color w:val="auto"/>
                <w:sz w:val="24"/>
                <w:lang w:val="en-US" w:eastAsia="zh-CN"/>
              </w:rPr>
            </w:pPr>
            <w:r>
              <w:rPr>
                <w:rFonts w:cs="Times New Roman"/>
                <w:color w:val="auto"/>
                <w:kern w:val="0"/>
                <w:sz w:val="24"/>
                <w:szCs w:val="24"/>
                <w:lang w:bidi="ar"/>
              </w:rPr>
              <w:t>本项目设有</w:t>
            </w:r>
            <w:r>
              <w:rPr>
                <w:rFonts w:hint="eastAsia" w:cs="Times New Roman"/>
                <w:color w:val="auto"/>
                <w:kern w:val="0"/>
                <w:sz w:val="24"/>
                <w:szCs w:val="24"/>
                <w:lang w:eastAsia="zh-CN" w:bidi="ar"/>
              </w:rPr>
              <w:t>两套</w:t>
            </w:r>
            <w:r>
              <w:rPr>
                <w:color w:val="auto"/>
                <w:kern w:val="0"/>
                <w:sz w:val="24"/>
                <w:lang w:bidi="ar"/>
              </w:rPr>
              <w:t>物料分级系统</w:t>
            </w:r>
            <w:r>
              <w:rPr>
                <w:rFonts w:cs="Times New Roman"/>
                <w:color w:val="auto"/>
                <w:kern w:val="0"/>
                <w:sz w:val="24"/>
                <w:szCs w:val="24"/>
              </w:rPr>
              <w:t>，</w:t>
            </w:r>
            <w:r>
              <w:rPr>
                <w:rFonts w:hint="eastAsia" w:cs="Times New Roman"/>
                <w:color w:val="auto"/>
                <w:kern w:val="0"/>
                <w:sz w:val="24"/>
                <w:szCs w:val="24"/>
                <w:lang w:val="en-US" w:eastAsia="zh-CN"/>
              </w:rPr>
              <w:t>平均投料，</w:t>
            </w:r>
            <w:r>
              <w:rPr>
                <w:color w:val="auto"/>
                <w:kern w:val="0"/>
                <w:sz w:val="24"/>
                <w:lang w:bidi="ar"/>
              </w:rPr>
              <w:t>膨胀后的</w:t>
            </w:r>
            <w:r>
              <w:rPr>
                <w:rFonts w:hint="eastAsia"/>
                <w:color w:val="auto"/>
                <w:kern w:val="0"/>
                <w:sz w:val="24"/>
                <w:lang w:bidi="ar"/>
              </w:rPr>
              <w:t>石墨蠕虫</w:t>
            </w:r>
            <w:r>
              <w:rPr>
                <w:rFonts w:hint="eastAsia"/>
                <w:color w:val="auto"/>
                <w:kern w:val="0"/>
                <w:sz w:val="24"/>
                <w:lang w:val="en-US" w:eastAsia="zh-CN" w:bidi="ar"/>
              </w:rPr>
              <w:t>需通过</w:t>
            </w:r>
            <w:r>
              <w:rPr>
                <w:color w:val="auto"/>
                <w:kern w:val="0"/>
                <w:sz w:val="24"/>
                <w:lang w:bidi="ar"/>
              </w:rPr>
              <w:t>物料分级系统</w:t>
            </w:r>
            <w:r>
              <w:rPr>
                <w:rFonts w:hint="eastAsia"/>
                <w:color w:val="auto"/>
                <w:kern w:val="0"/>
                <w:sz w:val="24"/>
                <w:lang w:eastAsia="zh-CN" w:bidi="ar"/>
              </w:rPr>
              <w:t>（</w:t>
            </w:r>
            <w:r>
              <w:rPr>
                <w:color w:val="auto"/>
                <w:kern w:val="0"/>
                <w:sz w:val="24"/>
                <w:lang w:bidi="ar"/>
              </w:rPr>
              <w:t>旋风</w:t>
            </w:r>
            <w:r>
              <w:rPr>
                <w:rFonts w:hint="eastAsia" w:ascii="Times New Roman" w:hAnsi="Times New Roman" w:eastAsia="宋体" w:cs="Times New Roman"/>
                <w:bCs/>
                <w:color w:val="auto"/>
                <w:sz w:val="24"/>
                <w:szCs w:val="24"/>
              </w:rPr>
              <w:t>分级</w:t>
            </w:r>
            <w:r>
              <w:rPr>
                <w:rFonts w:hint="eastAsia"/>
                <w:color w:val="auto"/>
                <w:kern w:val="0"/>
                <w:sz w:val="24"/>
                <w:lang w:eastAsia="zh-CN" w:bidi="ar"/>
              </w:rPr>
              <w:t>）</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rPr>
              <w:t>旋风分级工序会产生粉尘</w:t>
            </w:r>
            <w:r>
              <w:rPr>
                <w:rFonts w:hint="eastAsia" w:ascii="Times New Roman" w:hAnsi="Times New Roman" w:eastAsia="宋体" w:cs="Times New Roman"/>
                <w:bCs/>
                <w:color w:val="auto"/>
                <w:sz w:val="24"/>
                <w:szCs w:val="24"/>
                <w:lang w:eastAsia="zh-CN"/>
              </w:rPr>
              <w:t>，</w:t>
            </w:r>
            <w:r>
              <w:rPr>
                <w:bCs/>
                <w:color w:val="auto"/>
                <w:sz w:val="24"/>
              </w:rPr>
              <w:t>根据《排放源统计调查产排污核算方法和系数手册》</w:t>
            </w:r>
            <w:r>
              <w:rPr>
                <w:rFonts w:hint="eastAsia"/>
                <w:bCs/>
                <w:color w:val="auto"/>
                <w:sz w:val="24"/>
                <w:lang w:val="en-US" w:eastAsia="zh-CN"/>
              </w:rPr>
              <w:t>3099</w:t>
            </w:r>
            <w:r>
              <w:rPr>
                <w:bCs/>
                <w:color w:val="auto"/>
                <w:sz w:val="24"/>
              </w:rPr>
              <w:t xml:space="preserve"> </w:t>
            </w:r>
            <w:r>
              <w:rPr>
                <w:rFonts w:hint="eastAsia"/>
                <w:bCs/>
                <w:color w:val="auto"/>
                <w:sz w:val="24"/>
              </w:rPr>
              <w:t>其他非金属矿物制品制</w:t>
            </w:r>
            <w:r>
              <w:rPr>
                <w:rFonts w:hint="eastAsia"/>
                <w:b w:val="0"/>
                <w:bCs/>
                <w:color w:val="auto"/>
                <w:sz w:val="24"/>
              </w:rPr>
              <w:t>造行业系数手册</w:t>
            </w:r>
            <w:r>
              <w:rPr>
                <w:b w:val="0"/>
                <w:bCs/>
                <w:color w:val="auto"/>
                <w:sz w:val="24"/>
              </w:rPr>
              <w:t>，</w:t>
            </w:r>
            <w:r>
              <w:rPr>
                <w:rFonts w:hint="eastAsia"/>
                <w:b w:val="0"/>
                <w:bCs/>
                <w:color w:val="auto"/>
                <w:sz w:val="24"/>
                <w:lang w:val="en-US" w:eastAsia="zh-CN"/>
              </w:rPr>
              <w:t>筛分（分级）</w:t>
            </w:r>
            <w:r>
              <w:rPr>
                <w:b w:val="0"/>
                <w:bCs/>
                <w:color w:val="auto"/>
                <w:sz w:val="24"/>
              </w:rPr>
              <w:t>颗粒物产生系数为</w:t>
            </w:r>
            <w:r>
              <w:rPr>
                <w:rFonts w:hint="eastAsia"/>
                <w:b w:val="0"/>
                <w:bCs/>
                <w:color w:val="auto"/>
                <w:sz w:val="24"/>
                <w:lang w:val="en-US" w:eastAsia="zh-CN"/>
              </w:rPr>
              <w:t>1.13</w:t>
            </w:r>
            <w:r>
              <w:rPr>
                <w:b w:val="0"/>
                <w:bCs/>
                <w:color w:val="auto"/>
                <w:sz w:val="24"/>
              </w:rPr>
              <w:t>kg</w:t>
            </w:r>
            <w:r>
              <w:rPr>
                <w:rFonts w:hint="eastAsia"/>
                <w:b w:val="0"/>
                <w:bCs/>
                <w:color w:val="auto"/>
                <w:sz w:val="24"/>
                <w:lang w:val="en-US" w:eastAsia="zh-CN"/>
              </w:rPr>
              <w:t>/t</w:t>
            </w:r>
            <w:r>
              <w:rPr>
                <w:b w:val="0"/>
                <w:bCs/>
                <w:color w:val="auto"/>
                <w:sz w:val="24"/>
              </w:rPr>
              <w:t>-</w:t>
            </w:r>
            <w:r>
              <w:rPr>
                <w:rFonts w:hint="eastAsia"/>
                <w:b w:val="0"/>
                <w:bCs/>
                <w:color w:val="auto"/>
                <w:sz w:val="24"/>
                <w:lang w:val="en-US" w:eastAsia="zh-CN"/>
              </w:rPr>
              <w:t>产品</w:t>
            </w:r>
            <w:r>
              <w:rPr>
                <w:b w:val="0"/>
                <w:bCs/>
                <w:color w:val="auto"/>
                <w:sz w:val="24"/>
              </w:rPr>
              <w:t>，</w:t>
            </w:r>
            <w:r>
              <w:rPr>
                <w:rFonts w:hint="eastAsia"/>
                <w:b w:val="0"/>
                <w:bCs/>
                <w:color w:val="auto"/>
                <w:sz w:val="24"/>
                <w:lang w:val="en-US" w:eastAsia="zh-CN"/>
              </w:rPr>
              <w:t>本项目1号</w:t>
            </w:r>
            <w:r>
              <w:rPr>
                <w:color w:val="auto"/>
                <w:kern w:val="0"/>
                <w:sz w:val="24"/>
                <w:lang w:bidi="ar"/>
              </w:rPr>
              <w:t>物料分级系统</w:t>
            </w:r>
            <w:r>
              <w:rPr>
                <w:rFonts w:hint="eastAsia" w:ascii="Times New Roman" w:hAnsi="Times New Roman" w:eastAsia="宋体" w:cs="Times New Roman"/>
                <w:bCs/>
                <w:color w:val="auto"/>
                <w:sz w:val="24"/>
                <w:szCs w:val="24"/>
                <w:lang w:val="en-US" w:eastAsia="zh-CN"/>
              </w:rPr>
              <w:t>可膨胀石墨产量约为701.0966t/a，物料</w:t>
            </w:r>
            <w:r>
              <w:rPr>
                <w:rFonts w:hint="eastAsia"/>
                <w:b w:val="0"/>
                <w:bCs/>
                <w:color w:val="auto"/>
                <w:sz w:val="24"/>
                <w:lang w:val="en-US" w:eastAsia="zh-CN"/>
              </w:rPr>
              <w:t>分级系统年工作约1320h，</w:t>
            </w:r>
            <w:r>
              <w:rPr>
                <w:rFonts w:hint="eastAsia" w:ascii="Times New Roman" w:hAnsi="Times New Roman" w:eastAsia="宋体" w:cs="Times New Roman"/>
                <w:b w:val="0"/>
                <w:bCs/>
                <w:color w:val="auto"/>
                <w:sz w:val="24"/>
                <w:szCs w:val="24"/>
                <w:lang w:val="en-US" w:eastAsia="zh-CN"/>
              </w:rPr>
              <w:t>则</w:t>
            </w:r>
            <w:r>
              <w:rPr>
                <w:rFonts w:hint="eastAsia"/>
                <w:b w:val="0"/>
                <w:bCs/>
                <w:color w:val="auto"/>
                <w:sz w:val="24"/>
                <w:lang w:val="en-US" w:eastAsia="zh-CN"/>
              </w:rPr>
              <w:t>1号</w:t>
            </w:r>
            <w:r>
              <w:rPr>
                <w:color w:val="auto"/>
                <w:kern w:val="0"/>
                <w:sz w:val="24"/>
                <w:lang w:bidi="ar"/>
              </w:rPr>
              <w:t>物料分级系统</w:t>
            </w:r>
            <w:r>
              <w:rPr>
                <w:rFonts w:hint="eastAsia" w:ascii="Times New Roman" w:hAnsi="Times New Roman" w:eastAsia="宋体" w:cs="Times New Roman"/>
                <w:b w:val="0"/>
                <w:bCs/>
                <w:color w:val="auto"/>
                <w:sz w:val="24"/>
                <w:szCs w:val="24"/>
                <w:lang w:val="en-US" w:eastAsia="zh-CN"/>
              </w:rPr>
              <w:t>粉尘产生量约为0.7922t/a（0.6002kg/h）；</w:t>
            </w:r>
            <w:r>
              <w:rPr>
                <w:rFonts w:hint="eastAsia"/>
                <w:b w:val="0"/>
                <w:bCs/>
                <w:color w:val="auto"/>
                <w:sz w:val="24"/>
                <w:lang w:val="en-US" w:eastAsia="zh-CN"/>
              </w:rPr>
              <w:t>本项目2号</w:t>
            </w:r>
            <w:r>
              <w:rPr>
                <w:color w:val="auto"/>
                <w:kern w:val="0"/>
                <w:sz w:val="24"/>
                <w:lang w:bidi="ar"/>
              </w:rPr>
              <w:t>物料分级系统</w:t>
            </w:r>
            <w:r>
              <w:rPr>
                <w:rFonts w:hint="eastAsia" w:ascii="Times New Roman" w:hAnsi="Times New Roman" w:eastAsia="宋体" w:cs="Times New Roman"/>
                <w:bCs/>
                <w:color w:val="auto"/>
                <w:sz w:val="24"/>
                <w:szCs w:val="24"/>
                <w:lang w:val="en-US" w:eastAsia="zh-CN"/>
              </w:rPr>
              <w:t>可膨胀石墨产量约为701t/a，物料</w:t>
            </w:r>
            <w:r>
              <w:rPr>
                <w:rFonts w:hint="eastAsia"/>
                <w:b w:val="0"/>
                <w:bCs/>
                <w:color w:val="auto"/>
                <w:sz w:val="24"/>
                <w:lang w:val="en-US" w:eastAsia="zh-CN"/>
              </w:rPr>
              <w:t>分级系统年工作约1320h，</w:t>
            </w:r>
            <w:r>
              <w:rPr>
                <w:rFonts w:hint="eastAsia" w:ascii="Times New Roman" w:hAnsi="Times New Roman" w:eastAsia="宋体" w:cs="Times New Roman"/>
                <w:b w:val="0"/>
                <w:bCs/>
                <w:color w:val="auto"/>
                <w:sz w:val="24"/>
                <w:szCs w:val="24"/>
                <w:lang w:val="en-US" w:eastAsia="zh-CN"/>
              </w:rPr>
              <w:t>则</w:t>
            </w:r>
            <w:r>
              <w:rPr>
                <w:rFonts w:hint="eastAsia"/>
                <w:b w:val="0"/>
                <w:bCs/>
                <w:color w:val="auto"/>
                <w:sz w:val="24"/>
                <w:lang w:val="en-US" w:eastAsia="zh-CN"/>
              </w:rPr>
              <w:t>2号</w:t>
            </w:r>
            <w:r>
              <w:rPr>
                <w:color w:val="auto"/>
                <w:kern w:val="0"/>
                <w:sz w:val="24"/>
                <w:lang w:bidi="ar"/>
              </w:rPr>
              <w:t>物料分级系统</w:t>
            </w:r>
            <w:r>
              <w:rPr>
                <w:rFonts w:hint="eastAsia" w:ascii="Times New Roman" w:hAnsi="Times New Roman" w:eastAsia="宋体" w:cs="Times New Roman"/>
                <w:b w:val="0"/>
                <w:bCs/>
                <w:color w:val="auto"/>
                <w:sz w:val="24"/>
                <w:szCs w:val="24"/>
                <w:lang w:val="en-US" w:eastAsia="zh-CN"/>
              </w:rPr>
              <w:t>粉尘产生量约为0.7922t/a（0.6002kg/h）。</w:t>
            </w:r>
          </w:p>
          <w:p>
            <w:pPr>
              <w:pStyle w:val="3"/>
              <w:pageBreakBefore w:val="0"/>
              <w:kinsoku/>
              <w:wordWrap/>
              <w:overflowPunct/>
              <w:topLinePunct w:val="0"/>
              <w:autoSpaceDE/>
              <w:autoSpaceDN/>
              <w:bidi w:val="0"/>
              <w:adjustRightInd/>
              <w:snapToGrid/>
              <w:spacing w:before="0" w:after="0" w:line="360" w:lineRule="auto"/>
              <w:ind w:firstLine="482" w:firstLineChars="200"/>
              <w:jc w:val="both"/>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（4）切割粉尘</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lang w:eastAsia="zh-CN" w:bidi="ar"/>
              </w:rPr>
            </w:pPr>
            <w:r>
              <w:rPr>
                <w:rFonts w:hint="eastAsia" w:ascii="Times New Roman" w:hAnsi="Times New Roman" w:eastAsia="宋体" w:cs="Times New Roman"/>
                <w:color w:val="auto"/>
                <w:sz w:val="24"/>
                <w:lang w:val="en-US" w:eastAsia="zh-CN"/>
              </w:rPr>
              <w:t>本项目超高纯度柔性石墨纸及高性能石墨导热膜延压成型时需使用</w:t>
            </w:r>
            <w:r>
              <w:rPr>
                <w:rFonts w:hint="eastAsia" w:ascii="Times New Roman" w:hAnsi="Times New Roman" w:eastAsia="宋体" w:cs="Times New Roman"/>
                <w:color w:val="auto"/>
                <w:sz w:val="24"/>
              </w:rPr>
              <w:t>裁切器</w:t>
            </w:r>
            <w:r>
              <w:rPr>
                <w:rFonts w:hint="eastAsia" w:ascii="Times New Roman" w:hAnsi="Times New Roman" w:eastAsia="宋体" w:cs="Times New Roman"/>
                <w:color w:val="auto"/>
                <w:sz w:val="24"/>
                <w:lang w:val="en-US" w:eastAsia="zh-CN"/>
              </w:rPr>
              <w:t>进行</w:t>
            </w:r>
            <w:r>
              <w:rPr>
                <w:rFonts w:hint="eastAsia" w:ascii="Times New Roman" w:hAnsi="Times New Roman" w:eastAsia="宋体" w:cs="Times New Roman"/>
                <w:color w:val="auto"/>
                <w:sz w:val="24"/>
              </w:rPr>
              <w:t>裁边整形处理</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包装时需使用横切机切割处理，此过程会产生少量粉尘</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这部分</w:t>
            </w:r>
            <w:r>
              <w:rPr>
                <w:rFonts w:hint="eastAsia" w:ascii="Times New Roman" w:hAnsi="Times New Roman" w:eastAsia="宋体" w:cs="Times New Roman"/>
                <w:color w:val="auto"/>
                <w:sz w:val="24"/>
                <w:lang w:val="en-US" w:eastAsia="zh-CN"/>
              </w:rPr>
              <w:t>粉尘</w:t>
            </w:r>
            <w:r>
              <w:rPr>
                <w:rFonts w:hint="eastAsia" w:ascii="Times New Roman" w:hAnsi="Times New Roman" w:eastAsia="宋体" w:cs="Times New Roman"/>
                <w:color w:val="auto"/>
                <w:sz w:val="24"/>
              </w:rPr>
              <w:t>产生</w:t>
            </w:r>
            <w:r>
              <w:rPr>
                <w:rFonts w:ascii="Times New Roman" w:hAnsi="Times New Roman" w:eastAsia="宋体" w:cs="Times New Roman"/>
                <w:color w:val="auto"/>
                <w:sz w:val="24"/>
              </w:rPr>
              <w:t>量</w:t>
            </w:r>
            <w:r>
              <w:rPr>
                <w:rFonts w:hint="eastAsia" w:ascii="Times New Roman" w:hAnsi="Times New Roman" w:eastAsia="宋体" w:cs="Times New Roman"/>
                <w:color w:val="auto"/>
                <w:sz w:val="24"/>
              </w:rPr>
              <w:t>较</w:t>
            </w:r>
            <w:r>
              <w:rPr>
                <w:rFonts w:ascii="Times New Roman" w:hAnsi="Times New Roman" w:eastAsia="宋体" w:cs="Times New Roman"/>
                <w:color w:val="auto"/>
                <w:sz w:val="24"/>
              </w:rPr>
              <w:t>小，加上车间阻隔，</w:t>
            </w:r>
            <w:r>
              <w:rPr>
                <w:rFonts w:hint="eastAsia"/>
                <w:color w:val="auto"/>
                <w:sz w:val="24"/>
              </w:rPr>
              <w:t>逸散至厂界外的颗粒物极少，加强通风后，</w:t>
            </w:r>
            <w:r>
              <w:rPr>
                <w:color w:val="auto"/>
                <w:sz w:val="24"/>
              </w:rPr>
              <w:t>厂界无组织浓度限值能够满足《大气污染物综合排</w:t>
            </w:r>
            <w:r>
              <w:rPr>
                <w:rFonts w:hint="eastAsia"/>
                <w:color w:val="auto"/>
                <w:sz w:val="24"/>
              </w:rPr>
              <w:t>放标准》（GB1629-1996），对周边环境影响很小。</w:t>
            </w:r>
          </w:p>
          <w:p>
            <w:pPr>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（5）研磨粉尘</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bCs/>
                <w:color w:val="auto"/>
                <w:sz w:val="24"/>
                <w:lang w:val="en-US" w:eastAsia="zh-CN"/>
              </w:rPr>
            </w:pPr>
            <w:r>
              <w:rPr>
                <w:rFonts w:hint="eastAsia" w:ascii="Times New Roman" w:hAnsi="Times New Roman" w:eastAsia="宋体" w:cs="Times New Roman"/>
                <w:b w:val="0"/>
                <w:color w:val="auto"/>
                <w:kern w:val="2"/>
                <w:sz w:val="24"/>
                <w:szCs w:val="24"/>
                <w:lang w:val="en-US" w:eastAsia="zh-CN" w:bidi="ar-SA"/>
              </w:rPr>
              <w:t>本项目</w:t>
            </w:r>
            <w:r>
              <w:rPr>
                <w:rFonts w:hint="eastAsia" w:ascii="Times New Roman" w:hAnsi="Times New Roman" w:eastAsia="宋体" w:cs="Times New Roman"/>
                <w:color w:val="auto"/>
                <w:kern w:val="0"/>
                <w:sz w:val="24"/>
                <w:lang w:val="en-US" w:eastAsia="zh-CN" w:bidi="ar"/>
              </w:rPr>
              <w:t>研发导电石墨烯粉体需将提</w:t>
            </w:r>
            <w:r>
              <w:rPr>
                <w:rFonts w:hint="eastAsia"/>
                <w:color w:val="auto"/>
                <w:kern w:val="0"/>
                <w:sz w:val="24"/>
                <w:lang w:bidi="ar"/>
              </w:rPr>
              <w:t>纯后的石墨蠕虫投入到气流磨中</w:t>
            </w:r>
            <w:r>
              <w:rPr>
                <w:rFonts w:hint="eastAsia"/>
                <w:color w:val="auto"/>
                <w:kern w:val="0"/>
                <w:sz w:val="24"/>
                <w:lang w:val="en-US" w:eastAsia="zh-CN" w:bidi="ar"/>
              </w:rPr>
              <w:t>进行研磨，此过程会产生研磨粉尘，</w:t>
            </w:r>
            <w:r>
              <w:rPr>
                <w:bCs/>
                <w:color w:val="auto"/>
                <w:sz w:val="24"/>
              </w:rPr>
              <w:t>根据《排放源统计调查产排污核算方法和系数手册》</w:t>
            </w:r>
            <w:r>
              <w:rPr>
                <w:rFonts w:hint="eastAsia"/>
                <w:bCs/>
                <w:color w:val="auto"/>
                <w:sz w:val="24"/>
                <w:lang w:val="en-US" w:eastAsia="zh-CN"/>
              </w:rPr>
              <w:t>3099</w:t>
            </w:r>
            <w:r>
              <w:rPr>
                <w:bCs/>
                <w:color w:val="auto"/>
                <w:sz w:val="24"/>
              </w:rPr>
              <w:t xml:space="preserve"> </w:t>
            </w:r>
            <w:r>
              <w:rPr>
                <w:rFonts w:hint="eastAsia"/>
                <w:bCs/>
                <w:color w:val="auto"/>
                <w:sz w:val="24"/>
              </w:rPr>
              <w:t>其他非金属矿物制品制造行业系数手册</w:t>
            </w:r>
            <w:r>
              <w:rPr>
                <w:bCs/>
                <w:color w:val="auto"/>
                <w:sz w:val="24"/>
              </w:rPr>
              <w:t>，</w:t>
            </w:r>
            <w:r>
              <w:rPr>
                <w:rFonts w:hint="eastAsia"/>
                <w:bCs/>
                <w:color w:val="auto"/>
                <w:sz w:val="24"/>
                <w:lang w:val="en-US" w:eastAsia="zh-CN"/>
              </w:rPr>
              <w:t>粉磨（研磨）</w:t>
            </w:r>
            <w:r>
              <w:rPr>
                <w:bCs/>
                <w:color w:val="auto"/>
                <w:sz w:val="24"/>
              </w:rPr>
              <w:t>颗粒物产生系数为</w:t>
            </w:r>
            <w:r>
              <w:rPr>
                <w:rFonts w:hint="eastAsia"/>
                <w:bCs/>
                <w:color w:val="auto"/>
                <w:sz w:val="24"/>
                <w:lang w:val="en-US" w:eastAsia="zh-CN"/>
              </w:rPr>
              <w:t>1.19</w:t>
            </w:r>
            <w:r>
              <w:rPr>
                <w:bCs/>
                <w:color w:val="auto"/>
                <w:sz w:val="24"/>
              </w:rPr>
              <w:t>kg</w:t>
            </w:r>
            <w:r>
              <w:rPr>
                <w:rFonts w:hint="eastAsia"/>
                <w:bCs/>
                <w:color w:val="auto"/>
                <w:sz w:val="24"/>
                <w:lang w:val="en-US" w:eastAsia="zh-CN"/>
              </w:rPr>
              <w:t>/t</w:t>
            </w:r>
            <w:r>
              <w:rPr>
                <w:bCs/>
                <w:color w:val="auto"/>
                <w:sz w:val="24"/>
              </w:rPr>
              <w:t>-</w:t>
            </w:r>
            <w:r>
              <w:rPr>
                <w:rFonts w:hint="eastAsia"/>
                <w:bCs/>
                <w:color w:val="auto"/>
                <w:sz w:val="24"/>
                <w:lang w:val="en-US" w:eastAsia="zh-CN"/>
              </w:rPr>
              <w:t>产品</w:t>
            </w:r>
            <w:r>
              <w:rPr>
                <w:bCs/>
                <w:color w:val="auto"/>
                <w:sz w:val="24"/>
              </w:rPr>
              <w:t>，</w:t>
            </w:r>
            <w:r>
              <w:rPr>
                <w:rFonts w:hint="eastAsia"/>
                <w:bCs/>
                <w:color w:val="auto"/>
                <w:sz w:val="24"/>
                <w:lang w:val="en-US" w:eastAsia="zh-CN"/>
              </w:rPr>
              <w:t>本项目</w:t>
            </w:r>
            <w:r>
              <w:rPr>
                <w:rFonts w:hint="eastAsia" w:ascii="Times New Roman" w:hAnsi="Times New Roman" w:eastAsia="宋体" w:cs="Times New Roman"/>
                <w:color w:val="auto"/>
                <w:kern w:val="0"/>
                <w:sz w:val="24"/>
                <w:lang w:val="en-US" w:eastAsia="zh-CN" w:bidi="ar"/>
              </w:rPr>
              <w:t>导电石墨烯粉体产生量为200t/a，</w:t>
            </w:r>
            <w:r>
              <w:rPr>
                <w:rFonts w:hint="eastAsia" w:ascii="Times New Roman" w:hAnsi="Times New Roman" w:eastAsia="宋体" w:cs="Times New Roman"/>
                <w:b w:val="0"/>
                <w:bCs/>
                <w:color w:val="auto"/>
                <w:sz w:val="24"/>
                <w:lang w:val="en-US" w:eastAsia="zh-CN"/>
              </w:rPr>
              <w:t>导电石墨烯粉体</w:t>
            </w:r>
            <w:r>
              <w:rPr>
                <w:rFonts w:hint="eastAsia"/>
                <w:b w:val="0"/>
                <w:bCs/>
                <w:color w:val="auto"/>
                <w:sz w:val="24"/>
                <w:lang w:val="en-US" w:eastAsia="zh-CN"/>
              </w:rPr>
              <w:t>研磨工序年工作约990h，</w:t>
            </w:r>
            <w:r>
              <w:rPr>
                <w:rFonts w:hint="eastAsia" w:ascii="Times New Roman" w:hAnsi="Times New Roman" w:eastAsia="宋体" w:cs="Times New Roman"/>
                <w:bCs/>
                <w:color w:val="auto"/>
                <w:sz w:val="24"/>
                <w:szCs w:val="24"/>
                <w:lang w:val="en-US" w:eastAsia="zh-CN"/>
              </w:rPr>
              <w:t>则研磨粉尘产生量约为0.238t/a（0.2404</w:t>
            </w:r>
            <w:r>
              <w:rPr>
                <w:rFonts w:hint="eastAsia" w:ascii="Times New Roman" w:hAnsi="Times New Roman" w:eastAsia="宋体" w:cs="Times New Roman"/>
                <w:b w:val="0"/>
                <w:bCs/>
                <w:color w:val="auto"/>
                <w:sz w:val="24"/>
                <w:szCs w:val="24"/>
                <w:lang w:val="en-US" w:eastAsia="zh-CN"/>
              </w:rPr>
              <w:t>kg/h）。</w:t>
            </w:r>
          </w:p>
          <w:p>
            <w:pPr>
              <w:adjustRightInd w:val="0"/>
              <w:snapToGrid w:val="0"/>
              <w:spacing w:line="360" w:lineRule="auto"/>
              <w:ind w:firstLine="480" w:firstLineChars="200"/>
              <w:rPr>
                <w:color w:val="auto"/>
                <w:sz w:val="24"/>
              </w:rPr>
            </w:pPr>
            <w:r>
              <w:rPr>
                <w:rFonts w:hint="eastAsia"/>
                <w:color w:val="auto"/>
                <w:sz w:val="24"/>
              </w:rPr>
              <w:t>本项目废气产生情况见下表：</w:t>
            </w:r>
          </w:p>
          <w:p>
            <w:pPr>
              <w:adjustRightInd w:val="0"/>
              <w:snapToGrid w:val="0"/>
              <w:spacing w:line="360" w:lineRule="auto"/>
              <w:jc w:val="center"/>
              <w:rPr>
                <w:b/>
                <w:bCs/>
                <w:color w:val="auto"/>
              </w:rPr>
            </w:pPr>
            <w:r>
              <w:rPr>
                <w:rFonts w:ascii="宋体" w:hAnsi="宋体"/>
                <w:b/>
                <w:bCs/>
                <w:color w:val="auto"/>
              </w:rPr>
              <w:t>表</w:t>
            </w:r>
            <w:r>
              <w:rPr>
                <w:b/>
                <w:bCs/>
                <w:color w:val="auto"/>
              </w:rPr>
              <w:t>4-</w:t>
            </w:r>
            <w:r>
              <w:rPr>
                <w:rFonts w:hint="eastAsia"/>
                <w:b/>
                <w:bCs/>
                <w:color w:val="auto"/>
                <w:lang w:val="en-US" w:eastAsia="zh-CN"/>
              </w:rPr>
              <w:t>1</w:t>
            </w:r>
            <w:r>
              <w:rPr>
                <w:rFonts w:hint="eastAsia"/>
                <w:b/>
                <w:bCs/>
                <w:color w:val="auto"/>
              </w:rPr>
              <w:t xml:space="preserve"> </w:t>
            </w:r>
            <w:r>
              <w:rPr>
                <w:rFonts w:ascii="宋体" w:hAnsi="宋体"/>
                <w:b/>
                <w:bCs/>
                <w:color w:val="auto"/>
              </w:rPr>
              <w:t>本项目废气产生情况一览表</w:t>
            </w:r>
          </w:p>
          <w:tbl>
            <w:tblPr>
              <w:tblStyle w:val="36"/>
              <w:tblW w:w="79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11"/>
              <w:gridCol w:w="2596"/>
              <w:gridCol w:w="1260"/>
              <w:gridCol w:w="990"/>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207" w:type="dxa"/>
                  <w:gridSpan w:val="2"/>
                  <w:noWrap w:val="0"/>
                  <w:vAlign w:val="center"/>
                </w:tcPr>
                <w:p>
                  <w:pPr>
                    <w:pStyle w:val="157"/>
                    <w:spacing w:before="0"/>
                    <w:ind w:left="0"/>
                    <w:rPr>
                      <w:rFonts w:ascii="Times New Roman" w:hAnsi="Times New Roman" w:eastAsia="宋体" w:cs="Times New Roman"/>
                      <w:b/>
                      <w:bCs/>
                      <w:color w:val="auto"/>
                      <w:szCs w:val="21"/>
                      <w:lang w:val="en-US"/>
                    </w:rPr>
                  </w:pPr>
                  <w:r>
                    <w:rPr>
                      <w:rFonts w:ascii="Times New Roman" w:hAnsi="Times New Roman" w:eastAsia="宋体" w:cs="Times New Roman"/>
                      <w:b/>
                      <w:bCs/>
                      <w:color w:val="auto"/>
                      <w:szCs w:val="21"/>
                      <w:lang w:val="en-US"/>
                    </w:rPr>
                    <w:t>名称</w:t>
                  </w:r>
                </w:p>
              </w:tc>
              <w:tc>
                <w:tcPr>
                  <w:tcW w:w="2250" w:type="dxa"/>
                  <w:gridSpan w:val="2"/>
                  <w:noWrap w:val="0"/>
                  <w:vAlign w:val="center"/>
                </w:tcPr>
                <w:p>
                  <w:pPr>
                    <w:pStyle w:val="157"/>
                    <w:spacing w:before="0"/>
                    <w:ind w:left="0"/>
                    <w:rPr>
                      <w:rFonts w:ascii="Times New Roman" w:hAnsi="Times New Roman" w:eastAsia="宋体" w:cs="Times New Roman"/>
                      <w:b/>
                      <w:bCs/>
                      <w:color w:val="auto"/>
                      <w:szCs w:val="21"/>
                      <w:lang w:val="en-US"/>
                    </w:rPr>
                  </w:pPr>
                  <w:r>
                    <w:rPr>
                      <w:rFonts w:ascii="Times New Roman" w:hAnsi="Times New Roman" w:eastAsia="宋体" w:cs="Times New Roman"/>
                      <w:b/>
                      <w:bCs/>
                      <w:color w:val="auto"/>
                      <w:szCs w:val="21"/>
                      <w:lang w:val="en-US"/>
                    </w:rPr>
                    <w:t>产生量（</w:t>
                  </w:r>
                  <w:r>
                    <w:rPr>
                      <w:rFonts w:hint="eastAsia" w:ascii="Times New Roman" w:hAnsi="Times New Roman" w:eastAsia="宋体" w:cs="Times New Roman"/>
                      <w:b/>
                      <w:bCs/>
                      <w:color w:val="auto"/>
                      <w:szCs w:val="21"/>
                      <w:lang w:val="en-US" w:eastAsia="zh-CN"/>
                    </w:rPr>
                    <w:t>t</w:t>
                  </w:r>
                  <w:r>
                    <w:rPr>
                      <w:rFonts w:ascii="Times New Roman" w:hAnsi="Times New Roman" w:eastAsia="宋体" w:cs="Times New Roman"/>
                      <w:b/>
                      <w:bCs/>
                      <w:color w:val="auto"/>
                      <w:szCs w:val="21"/>
                      <w:lang w:val="en-US"/>
                    </w:rPr>
                    <w:t>/a）</w:t>
                  </w:r>
                </w:p>
              </w:tc>
              <w:tc>
                <w:tcPr>
                  <w:tcW w:w="1515" w:type="dxa"/>
                  <w:noWrap w:val="0"/>
                  <w:vAlign w:val="center"/>
                </w:tcPr>
                <w:p>
                  <w:pPr>
                    <w:pStyle w:val="157"/>
                    <w:spacing w:before="0"/>
                    <w:ind w:left="0"/>
                    <w:rPr>
                      <w:rFonts w:ascii="Times New Roman" w:hAnsi="Times New Roman" w:eastAsia="宋体" w:cs="Times New Roman"/>
                      <w:b/>
                      <w:bCs/>
                      <w:color w:val="auto"/>
                      <w:szCs w:val="21"/>
                      <w:lang w:val="en-US"/>
                    </w:rPr>
                  </w:pPr>
                  <w:r>
                    <w:rPr>
                      <w:rFonts w:ascii="Times New Roman" w:hAnsi="Times New Roman" w:eastAsia="宋体" w:cs="Times New Roman"/>
                      <w:b/>
                      <w:bCs/>
                      <w:color w:val="auto"/>
                      <w:szCs w:val="21"/>
                      <w:lang w:val="en-US"/>
                    </w:rPr>
                    <w:t>收集方式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6" w:hRule="atLeast"/>
                <w:jc w:val="center"/>
              </w:trPr>
              <w:tc>
                <w:tcPr>
                  <w:tcW w:w="1611" w:type="dxa"/>
                  <w:vMerge w:val="restart"/>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G1-投料粉尘</w:t>
                  </w:r>
                </w:p>
              </w:tc>
              <w:tc>
                <w:tcPr>
                  <w:tcW w:w="2596"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1号进料机产生的投料粉尘</w:t>
                  </w: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颗粒物</w:t>
                  </w:r>
                </w:p>
              </w:tc>
              <w:tc>
                <w:tcPr>
                  <w:tcW w:w="990" w:type="dxa"/>
                  <w:noWrap w:val="0"/>
                  <w:vAlign w:val="center"/>
                </w:tcPr>
                <w:p>
                  <w:pPr>
                    <w:spacing w:before="0"/>
                    <w:ind w:lef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0.3658</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集气罩收集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2596"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2号进料机产生的投料粉尘</w:t>
                  </w: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颗粒物</w:t>
                  </w:r>
                </w:p>
              </w:tc>
              <w:tc>
                <w:tcPr>
                  <w:tcW w:w="990" w:type="dxa"/>
                  <w:noWrap w:val="0"/>
                  <w:vAlign w:val="center"/>
                </w:tcPr>
                <w:p>
                  <w:pPr>
                    <w:spacing w:before="0"/>
                    <w:ind w:lef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0.3658</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集气罩收集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vMerge w:val="restart"/>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G2-膨化炉废气</w:t>
                  </w:r>
                </w:p>
              </w:tc>
              <w:tc>
                <w:tcPr>
                  <w:tcW w:w="2596" w:type="dxa"/>
                  <w:vMerge w:val="restart"/>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1号膨化炉产生的天然气燃烧废气</w:t>
                  </w: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颗粒物</w:t>
                  </w:r>
                </w:p>
              </w:tc>
              <w:tc>
                <w:tcPr>
                  <w:tcW w:w="990" w:type="dxa"/>
                  <w:noWrap w:val="0"/>
                  <w:vAlign w:val="center"/>
                </w:tcPr>
                <w:p>
                  <w:pPr>
                    <w:pStyle w:val="157"/>
                    <w:spacing w:before="0"/>
                    <w:ind w:lef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0.0117</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管道收集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2596"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二氧化硫</w:t>
                  </w:r>
                </w:p>
              </w:tc>
              <w:tc>
                <w:tcPr>
                  <w:tcW w:w="990" w:type="dxa"/>
                  <w:noWrap w:val="0"/>
                  <w:vAlign w:val="center"/>
                </w:tcPr>
                <w:p>
                  <w:pPr>
                    <w:pStyle w:val="157"/>
                    <w:spacing w:before="0"/>
                    <w:ind w:lef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0.0225</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管道收集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2596"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氮氧化物</w:t>
                  </w:r>
                </w:p>
              </w:tc>
              <w:tc>
                <w:tcPr>
                  <w:tcW w:w="990" w:type="dxa"/>
                  <w:noWrap w:val="0"/>
                  <w:vAlign w:val="center"/>
                </w:tcPr>
                <w:p>
                  <w:pPr>
                    <w:pStyle w:val="157"/>
                    <w:spacing w:before="0"/>
                    <w:ind w:lef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0.0784</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管道收集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2596"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1号膨化炉产生的膨化废气</w:t>
                  </w: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二氧化硫</w:t>
                  </w:r>
                </w:p>
              </w:tc>
              <w:tc>
                <w:tcPr>
                  <w:tcW w:w="99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19.1608</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管道收集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2596" w:type="dxa"/>
                  <w:vMerge w:val="restart"/>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2号膨化炉产生的天然气燃烧废气</w:t>
                  </w: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颗粒物</w:t>
                  </w:r>
                </w:p>
              </w:tc>
              <w:tc>
                <w:tcPr>
                  <w:tcW w:w="990" w:type="dxa"/>
                  <w:noWrap w:val="0"/>
                  <w:vAlign w:val="center"/>
                </w:tcPr>
                <w:p>
                  <w:pPr>
                    <w:pStyle w:val="157"/>
                    <w:spacing w:before="0"/>
                    <w:ind w:left="0" w:leftChars="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0.0117</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管道收集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2596"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二氧化硫</w:t>
                  </w:r>
                </w:p>
              </w:tc>
              <w:tc>
                <w:tcPr>
                  <w:tcW w:w="990" w:type="dxa"/>
                  <w:noWrap w:val="0"/>
                  <w:vAlign w:val="center"/>
                </w:tcPr>
                <w:p>
                  <w:pPr>
                    <w:pStyle w:val="157"/>
                    <w:spacing w:before="0"/>
                    <w:ind w:left="0" w:leftChars="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0.0225</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管道收集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2596"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氮氧化物</w:t>
                  </w:r>
                </w:p>
              </w:tc>
              <w:tc>
                <w:tcPr>
                  <w:tcW w:w="990" w:type="dxa"/>
                  <w:noWrap w:val="0"/>
                  <w:vAlign w:val="center"/>
                </w:tcPr>
                <w:p>
                  <w:pPr>
                    <w:pStyle w:val="157"/>
                    <w:spacing w:before="0"/>
                    <w:ind w:left="0" w:leftChars="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0.0784</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管道收集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2596"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2号膨化炉产生的膨化废气</w:t>
                  </w: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二氧化硫</w:t>
                  </w:r>
                </w:p>
              </w:tc>
              <w:tc>
                <w:tcPr>
                  <w:tcW w:w="99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19.1608</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管道收集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vMerge w:val="restart"/>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G3-分级粉尘</w:t>
                  </w:r>
                </w:p>
              </w:tc>
              <w:tc>
                <w:tcPr>
                  <w:tcW w:w="2596"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1号</w:t>
                  </w:r>
                  <w:r>
                    <w:rPr>
                      <w:rFonts w:hint="default" w:ascii="Times New Roman" w:hAnsi="Times New Roman" w:eastAsia="宋体" w:cs="Times New Roman"/>
                      <w:color w:val="auto"/>
                      <w:kern w:val="0"/>
                      <w:sz w:val="21"/>
                      <w:szCs w:val="21"/>
                      <w:lang w:bidi="ar"/>
                    </w:rPr>
                    <w:t>物料分级系统</w:t>
                  </w:r>
                  <w:r>
                    <w:rPr>
                      <w:rFonts w:hint="default" w:ascii="Times New Roman" w:hAnsi="Times New Roman" w:eastAsia="宋体" w:cs="Times New Roman"/>
                      <w:color w:val="auto"/>
                      <w:kern w:val="0"/>
                      <w:sz w:val="21"/>
                      <w:szCs w:val="21"/>
                      <w:lang w:val="en-US" w:eastAsia="zh-CN" w:bidi="ar"/>
                    </w:rPr>
                    <w:t>产生的</w:t>
                  </w:r>
                  <w:r>
                    <w:rPr>
                      <w:rFonts w:hint="default" w:ascii="Times New Roman" w:hAnsi="Times New Roman" w:eastAsia="宋体" w:cs="Times New Roman"/>
                      <w:bCs/>
                      <w:color w:val="auto"/>
                      <w:sz w:val="21"/>
                      <w:szCs w:val="21"/>
                      <w:lang w:val="en-US" w:eastAsia="zh-CN"/>
                    </w:rPr>
                    <w:t>粉尘</w:t>
                  </w: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颗粒物</w:t>
                  </w:r>
                </w:p>
              </w:tc>
              <w:tc>
                <w:tcPr>
                  <w:tcW w:w="990" w:type="dxa"/>
                  <w:noWrap w:val="0"/>
                  <w:vAlign w:val="center"/>
                </w:tcPr>
                <w:p>
                  <w:pPr>
                    <w:spacing w:before="0"/>
                    <w:ind w:lef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0.7922</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管道收集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vMerge w:val="continue"/>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p>
              </w:tc>
              <w:tc>
                <w:tcPr>
                  <w:tcW w:w="2596"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2号</w:t>
                  </w:r>
                  <w:r>
                    <w:rPr>
                      <w:rFonts w:hint="default" w:ascii="Times New Roman" w:hAnsi="Times New Roman" w:eastAsia="宋体" w:cs="Times New Roman"/>
                      <w:color w:val="auto"/>
                      <w:kern w:val="0"/>
                      <w:sz w:val="21"/>
                      <w:szCs w:val="21"/>
                      <w:lang w:bidi="ar"/>
                    </w:rPr>
                    <w:t>物料分级系统</w:t>
                  </w:r>
                  <w:r>
                    <w:rPr>
                      <w:rFonts w:hint="default" w:ascii="Times New Roman" w:hAnsi="Times New Roman" w:eastAsia="宋体" w:cs="Times New Roman"/>
                      <w:color w:val="auto"/>
                      <w:kern w:val="0"/>
                      <w:sz w:val="21"/>
                      <w:szCs w:val="21"/>
                      <w:lang w:val="en-US" w:eastAsia="zh-CN" w:bidi="ar"/>
                    </w:rPr>
                    <w:t>产生的</w:t>
                  </w:r>
                  <w:r>
                    <w:rPr>
                      <w:rFonts w:hint="default" w:ascii="Times New Roman" w:hAnsi="Times New Roman" w:eastAsia="宋体" w:cs="Times New Roman"/>
                      <w:bCs/>
                      <w:color w:val="auto"/>
                      <w:sz w:val="21"/>
                      <w:szCs w:val="21"/>
                      <w:lang w:val="en-US" w:eastAsia="zh-CN"/>
                    </w:rPr>
                    <w:t>粉尘</w:t>
                  </w: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颗粒物</w:t>
                  </w:r>
                </w:p>
              </w:tc>
              <w:tc>
                <w:tcPr>
                  <w:tcW w:w="990" w:type="dxa"/>
                  <w:noWrap w:val="0"/>
                  <w:vAlign w:val="center"/>
                </w:tcPr>
                <w:p>
                  <w:pPr>
                    <w:spacing w:before="0"/>
                    <w:ind w:lef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0.7922</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管道收集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G4-切割烟尘</w:t>
                  </w:r>
                </w:p>
              </w:tc>
              <w:tc>
                <w:tcPr>
                  <w:tcW w:w="2596"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切割烟粉尘</w:t>
                  </w: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颗粒物</w:t>
                  </w:r>
                </w:p>
              </w:tc>
              <w:tc>
                <w:tcPr>
                  <w:tcW w:w="99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611"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G5-研磨粉尘</w:t>
                  </w:r>
                </w:p>
              </w:tc>
              <w:tc>
                <w:tcPr>
                  <w:tcW w:w="2596"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气流磨产生的研磨粉尘</w:t>
                  </w:r>
                </w:p>
              </w:tc>
              <w:tc>
                <w:tcPr>
                  <w:tcW w:w="126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颗粒物</w:t>
                  </w:r>
                </w:p>
              </w:tc>
              <w:tc>
                <w:tcPr>
                  <w:tcW w:w="990"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0.238</w:t>
                  </w:r>
                </w:p>
              </w:tc>
              <w:tc>
                <w:tcPr>
                  <w:tcW w:w="1515" w:type="dxa"/>
                  <w:noWrap w:val="0"/>
                  <w:vAlign w:val="center"/>
                </w:tcPr>
                <w:p>
                  <w:pPr>
                    <w:pStyle w:val="157"/>
                    <w:spacing w:before="0"/>
                    <w:ind w:left="0"/>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bl>
          <w:p>
            <w:pPr>
              <w:pStyle w:val="12"/>
              <w:spacing w:after="0" w:line="360" w:lineRule="auto"/>
              <w:ind w:left="0" w:leftChars="0" w:firstLine="482" w:firstLineChars="200"/>
              <w:rPr>
                <w:b/>
                <w:bCs/>
                <w:color w:val="auto"/>
                <w:kern w:val="2"/>
                <w:szCs w:val="24"/>
              </w:rPr>
            </w:pPr>
            <w:r>
              <w:rPr>
                <w:rFonts w:hint="default" w:ascii="Times New Roman" w:hAnsi="Times New Roman" w:eastAsia="宋体" w:cs="Times New Roman"/>
                <w:b/>
                <w:bCs/>
                <w:color w:val="auto"/>
                <w:kern w:val="2"/>
                <w:szCs w:val="24"/>
                <w:lang w:val="en-US" w:eastAsia="zh-CN"/>
              </w:rPr>
              <w:t>2、</w:t>
            </w:r>
            <w:r>
              <w:rPr>
                <w:rFonts w:hint="default" w:ascii="Times New Roman" w:hAnsi="Times New Roman" w:eastAsia="宋体" w:cs="Times New Roman"/>
                <w:b/>
                <w:bCs/>
                <w:color w:val="auto"/>
                <w:kern w:val="2"/>
                <w:szCs w:val="24"/>
              </w:rPr>
              <w:t>治理</w:t>
            </w:r>
            <w:r>
              <w:rPr>
                <w:rFonts w:hint="default" w:ascii="Times New Roman" w:hAnsi="Times New Roman" w:cs="Times New Roman"/>
                <w:b/>
                <w:bCs/>
                <w:color w:val="auto"/>
                <w:kern w:val="2"/>
                <w:szCs w:val="24"/>
              </w:rPr>
              <w:t>措施</w:t>
            </w:r>
          </w:p>
          <w:p>
            <w:pPr>
              <w:pStyle w:val="4"/>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（1）本</w:t>
            </w:r>
            <w:r>
              <w:rPr>
                <w:rFonts w:hint="default" w:ascii="Times New Roman" w:hAnsi="Times New Roman" w:eastAsia="宋体" w:cs="Times New Roman"/>
                <w:b w:val="0"/>
                <w:bCs/>
                <w:color w:val="auto"/>
                <w:kern w:val="2"/>
                <w:sz w:val="24"/>
                <w:szCs w:val="24"/>
                <w:lang w:val="en-US" w:eastAsia="zh-CN" w:bidi="ar-SA"/>
              </w:rPr>
              <w:t>项目运营期拟在两个进料机投料口</w:t>
            </w:r>
            <w:r>
              <w:rPr>
                <w:rFonts w:hint="eastAsia" w:ascii="Times New Roman" w:hAnsi="Times New Roman" w:eastAsia="宋体" w:cs="Times New Roman"/>
                <w:b w:val="0"/>
                <w:bCs/>
                <w:color w:val="auto"/>
                <w:kern w:val="2"/>
                <w:sz w:val="24"/>
                <w:szCs w:val="24"/>
                <w:lang w:val="en-US" w:eastAsia="zh-CN" w:bidi="ar-SA"/>
              </w:rPr>
              <w:t>侧</w:t>
            </w:r>
            <w:r>
              <w:rPr>
                <w:rFonts w:hint="default" w:ascii="Times New Roman" w:hAnsi="Times New Roman" w:eastAsia="宋体" w:cs="Times New Roman"/>
                <w:b w:val="0"/>
                <w:bCs/>
                <w:color w:val="auto"/>
                <w:kern w:val="2"/>
                <w:sz w:val="24"/>
                <w:szCs w:val="24"/>
                <w:lang w:val="en-US" w:eastAsia="zh-CN" w:bidi="ar-SA"/>
              </w:rPr>
              <w:t>方分别设置1个集气罩，1号进料机产生的投料粉尘经集气罩收集至TA001“布袋除尘器+碱喷淋”处理后，通过1根15m高排气筒（DA001）达标排放；2号进料机产生的投料粉尘经集气罩收集至TA002“布袋除尘器+碱喷淋”处理后，通过1根15m高排气筒（DA002）达标排放；</w:t>
            </w:r>
          </w:p>
          <w:p>
            <w:pPr>
              <w:pStyle w:val="4"/>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（2）1号膨化炉产生的膨化炉废气</w:t>
            </w:r>
            <w:r>
              <w:rPr>
                <w:rFonts w:hint="eastAsia" w:ascii="Times New Roman" w:hAnsi="Times New Roman" w:eastAsia="宋体" w:cs="Times New Roman"/>
                <w:b w:val="0"/>
                <w:bCs/>
                <w:color w:val="auto"/>
                <w:kern w:val="2"/>
                <w:sz w:val="24"/>
                <w:szCs w:val="24"/>
                <w:lang w:val="en-US" w:eastAsia="zh-CN" w:bidi="ar-SA"/>
              </w:rPr>
              <w:t>及</w:t>
            </w:r>
            <w:r>
              <w:rPr>
                <w:rFonts w:hint="default" w:ascii="Times New Roman" w:hAnsi="Times New Roman" w:eastAsia="宋体" w:cs="Times New Roman"/>
                <w:b w:val="0"/>
                <w:bCs/>
                <w:color w:val="auto"/>
                <w:sz w:val="24"/>
                <w:szCs w:val="24"/>
                <w:lang w:val="en-US" w:eastAsia="zh-CN"/>
              </w:rPr>
              <w:t>1号</w:t>
            </w:r>
            <w:r>
              <w:rPr>
                <w:rFonts w:hint="default" w:ascii="Times New Roman" w:hAnsi="Times New Roman" w:eastAsia="宋体" w:cs="Times New Roman"/>
                <w:b w:val="0"/>
                <w:bCs/>
                <w:color w:val="auto"/>
                <w:kern w:val="0"/>
                <w:sz w:val="24"/>
                <w:szCs w:val="24"/>
                <w:lang w:bidi="ar"/>
              </w:rPr>
              <w:t>物料分级系统</w:t>
            </w:r>
            <w:r>
              <w:rPr>
                <w:rFonts w:hint="default" w:ascii="Times New Roman" w:hAnsi="Times New Roman" w:eastAsia="宋体" w:cs="Times New Roman"/>
                <w:b w:val="0"/>
                <w:bCs/>
                <w:color w:val="auto"/>
                <w:kern w:val="0"/>
                <w:sz w:val="24"/>
                <w:szCs w:val="24"/>
                <w:lang w:val="en-US" w:eastAsia="zh-CN" w:bidi="ar"/>
              </w:rPr>
              <w:t>产生的</w:t>
            </w:r>
            <w:r>
              <w:rPr>
                <w:rFonts w:hint="default" w:ascii="Times New Roman" w:hAnsi="Times New Roman" w:eastAsia="宋体" w:cs="Times New Roman"/>
                <w:b w:val="0"/>
                <w:bCs/>
                <w:color w:val="auto"/>
                <w:sz w:val="24"/>
                <w:szCs w:val="24"/>
                <w:lang w:val="en-US" w:eastAsia="zh-CN"/>
              </w:rPr>
              <w:t>粉尘</w:t>
            </w:r>
            <w:r>
              <w:rPr>
                <w:rFonts w:hint="default" w:ascii="Times New Roman" w:hAnsi="Times New Roman" w:eastAsia="宋体" w:cs="Times New Roman"/>
                <w:b w:val="0"/>
                <w:bCs/>
                <w:color w:val="auto"/>
                <w:kern w:val="2"/>
                <w:sz w:val="24"/>
                <w:szCs w:val="24"/>
                <w:lang w:val="en-US" w:eastAsia="zh-CN" w:bidi="ar-SA"/>
              </w:rPr>
              <w:t>经管道收集至TA001“布袋除尘器+碱喷淋”处理后，通过1根15m高排气筒（DA001）达标排放；2号膨化炉产生的膨化炉废气</w:t>
            </w:r>
            <w:r>
              <w:rPr>
                <w:rFonts w:hint="eastAsia" w:ascii="Times New Roman" w:hAnsi="Times New Roman" w:eastAsia="宋体" w:cs="Times New Roman"/>
                <w:b w:val="0"/>
                <w:bCs/>
                <w:color w:val="auto"/>
                <w:kern w:val="2"/>
                <w:sz w:val="24"/>
                <w:szCs w:val="24"/>
                <w:lang w:val="en-US" w:eastAsia="zh-CN" w:bidi="ar-SA"/>
              </w:rPr>
              <w:t>及</w:t>
            </w:r>
            <w:r>
              <w:rPr>
                <w:rFonts w:hint="default" w:ascii="Times New Roman" w:hAnsi="Times New Roman" w:eastAsia="宋体" w:cs="Times New Roman"/>
                <w:b w:val="0"/>
                <w:bCs/>
                <w:color w:val="auto"/>
                <w:kern w:val="2"/>
                <w:sz w:val="24"/>
                <w:szCs w:val="24"/>
                <w:lang w:val="en-US" w:eastAsia="zh-CN" w:bidi="ar-SA"/>
              </w:rPr>
              <w:t>2号</w:t>
            </w:r>
            <w:r>
              <w:rPr>
                <w:rFonts w:hint="default" w:ascii="Times New Roman" w:hAnsi="Times New Roman" w:eastAsia="宋体" w:cs="Times New Roman"/>
                <w:b w:val="0"/>
                <w:bCs/>
                <w:color w:val="auto"/>
                <w:kern w:val="0"/>
                <w:sz w:val="24"/>
                <w:szCs w:val="24"/>
                <w:lang w:bidi="ar"/>
              </w:rPr>
              <w:t>物料分级系统</w:t>
            </w:r>
            <w:r>
              <w:rPr>
                <w:rFonts w:hint="default" w:ascii="Times New Roman" w:hAnsi="Times New Roman" w:eastAsia="宋体" w:cs="Times New Roman"/>
                <w:b w:val="0"/>
                <w:bCs/>
                <w:color w:val="auto"/>
                <w:kern w:val="0"/>
                <w:sz w:val="24"/>
                <w:szCs w:val="24"/>
                <w:lang w:val="en-US" w:eastAsia="zh-CN" w:bidi="ar"/>
              </w:rPr>
              <w:t>产生的</w:t>
            </w:r>
            <w:r>
              <w:rPr>
                <w:rFonts w:hint="default" w:ascii="Times New Roman" w:hAnsi="Times New Roman" w:eastAsia="宋体" w:cs="Times New Roman"/>
                <w:b w:val="0"/>
                <w:bCs/>
                <w:color w:val="auto"/>
                <w:sz w:val="24"/>
                <w:szCs w:val="24"/>
                <w:lang w:val="en-US" w:eastAsia="zh-CN"/>
              </w:rPr>
              <w:t>粉尘</w:t>
            </w:r>
            <w:r>
              <w:rPr>
                <w:rFonts w:hint="default" w:ascii="Times New Roman" w:hAnsi="Times New Roman" w:eastAsia="宋体" w:cs="Times New Roman"/>
                <w:b w:val="0"/>
                <w:bCs/>
                <w:color w:val="auto"/>
                <w:kern w:val="2"/>
                <w:sz w:val="24"/>
                <w:szCs w:val="24"/>
                <w:lang w:val="en-US" w:eastAsia="zh-CN" w:bidi="ar-SA"/>
              </w:rPr>
              <w:t>经管道收集至TA002“布袋除尘器+碱喷淋”处理后，通过1根15m高排气筒（DA002）达标排放；</w:t>
            </w:r>
          </w:p>
          <w:p>
            <w:pPr>
              <w:pStyle w:val="4"/>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3</w:t>
            </w:r>
            <w:r>
              <w:rPr>
                <w:rFonts w:hint="default" w:ascii="Times New Roman" w:hAnsi="Times New Roman" w:eastAsia="宋体" w:cs="Times New Roman"/>
                <w:b w:val="0"/>
                <w:bCs/>
                <w:color w:val="auto"/>
                <w:kern w:val="2"/>
                <w:sz w:val="24"/>
                <w:szCs w:val="24"/>
                <w:lang w:val="en-US" w:eastAsia="zh-CN" w:bidi="ar-SA"/>
              </w:rPr>
              <w:t>）切割粉尘产生量较小，直接无组织排放；</w:t>
            </w:r>
          </w:p>
          <w:p>
            <w:pPr>
              <w:pStyle w:val="4"/>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（）气流磨产生的研磨粉尘经设备自带布袋除尘器</w:t>
            </w:r>
            <w:r>
              <w:rPr>
                <w:rFonts w:hint="eastAsia" w:ascii="Times New Roman" w:hAnsi="Times New Roman" w:eastAsia="宋体" w:cs="Times New Roman"/>
                <w:b w:val="0"/>
                <w:bCs/>
                <w:color w:val="auto"/>
                <w:kern w:val="2"/>
                <w:sz w:val="24"/>
                <w:szCs w:val="24"/>
                <w:lang w:val="en-US" w:eastAsia="zh-CN" w:bidi="ar-SA"/>
              </w:rPr>
              <w:t>处理后无组织排放。</w:t>
            </w:r>
          </w:p>
          <w:p>
            <w:pPr>
              <w:pStyle w:val="12"/>
              <w:keepNext w:val="0"/>
              <w:keepLines w:val="0"/>
              <w:pageBreakBefore w:val="0"/>
              <w:kinsoku/>
              <w:wordWrap/>
              <w:overflowPunct/>
              <w:topLinePunct w:val="0"/>
              <w:bidi w:val="0"/>
              <w:snapToGrid/>
              <w:spacing w:after="0" w:line="360" w:lineRule="auto"/>
              <w:rPr>
                <w:b/>
                <w:bCs/>
                <w:color w:val="auto"/>
                <w:kern w:val="2"/>
                <w:szCs w:val="24"/>
              </w:rPr>
            </w:pPr>
            <w:r>
              <w:rPr>
                <w:rFonts w:hint="eastAsia" w:ascii="Times New Roman" w:hAnsi="Times New Roman" w:eastAsia="宋体" w:cs="Times New Roman"/>
                <w:b/>
                <w:bCs/>
                <w:color w:val="auto"/>
                <w:kern w:val="2"/>
                <w:szCs w:val="24"/>
                <w:lang w:val="en-US" w:eastAsia="zh-CN"/>
              </w:rPr>
              <w:t>3、</w:t>
            </w:r>
            <w:r>
              <w:rPr>
                <w:rFonts w:hint="eastAsia" w:ascii="Times New Roman" w:hAnsi="Times New Roman" w:eastAsia="宋体" w:cs="Times New Roman"/>
                <w:b/>
                <w:bCs/>
                <w:color w:val="auto"/>
                <w:kern w:val="2"/>
                <w:szCs w:val="24"/>
              </w:rPr>
              <w:t>废气治理措施可行性分析</w:t>
            </w:r>
          </w:p>
          <w:p>
            <w:pPr>
              <w:pStyle w:val="12"/>
              <w:keepNext w:val="0"/>
              <w:keepLines w:val="0"/>
              <w:pageBreakBefore w:val="0"/>
              <w:kinsoku/>
              <w:wordWrap/>
              <w:overflowPunct/>
              <w:topLinePunct w:val="0"/>
              <w:bidi w:val="0"/>
              <w:snapToGrid/>
              <w:spacing w:after="0" w:line="360" w:lineRule="auto"/>
              <w:ind w:left="0" w:leftChars="0" w:firstLine="482" w:firstLineChars="200"/>
              <w:rPr>
                <w:rFonts w:hint="eastAsia" w:ascii="Times New Roman" w:hAnsi="Times New Roman" w:eastAsia="宋体" w:cs="Times New Roman"/>
                <w:b/>
                <w:bCs/>
                <w:color w:val="auto"/>
                <w:sz w:val="24"/>
                <w:szCs w:val="32"/>
              </w:rPr>
            </w:pPr>
            <w:r>
              <w:rPr>
                <w:rFonts w:hint="default"/>
                <w:b/>
                <w:bCs/>
                <w:color w:val="auto"/>
                <w:kern w:val="2"/>
                <w:szCs w:val="24"/>
                <w:lang w:val="en-US"/>
              </w:rPr>
              <w:t>（1）风量可行性</w:t>
            </w:r>
          </w:p>
          <w:p>
            <w:pPr>
              <w:spacing w:line="360" w:lineRule="auto"/>
              <w:ind w:firstLine="482" w:firstLineChars="200"/>
              <w:rPr>
                <w:rFonts w:hint="eastAsia"/>
                <w:b/>
                <w:bCs/>
                <w:color w:val="auto"/>
                <w:sz w:val="24"/>
                <w:szCs w:val="32"/>
              </w:rPr>
            </w:pPr>
            <w:r>
              <w:rPr>
                <w:rFonts w:hint="eastAsia" w:ascii="Times New Roman" w:hAnsi="Times New Roman" w:eastAsia="宋体" w:cs="Times New Roman"/>
                <w:b/>
                <w:bCs/>
                <w:color w:val="auto"/>
                <w:sz w:val="24"/>
                <w:szCs w:val="32"/>
              </w:rPr>
              <w:t>集</w:t>
            </w:r>
            <w:r>
              <w:rPr>
                <w:rFonts w:hint="eastAsia"/>
                <w:b/>
                <w:bCs/>
                <w:color w:val="auto"/>
                <w:sz w:val="24"/>
                <w:szCs w:val="32"/>
              </w:rPr>
              <w:t>气</w:t>
            </w:r>
            <w:r>
              <w:rPr>
                <w:rFonts w:hint="eastAsia"/>
                <w:b/>
                <w:bCs/>
                <w:color w:val="auto"/>
                <w:sz w:val="24"/>
                <w:szCs w:val="32"/>
                <w:lang w:val="en-US" w:eastAsia="zh-CN"/>
              </w:rPr>
              <w:t>罩</w:t>
            </w:r>
            <w:r>
              <w:rPr>
                <w:rFonts w:hint="eastAsia"/>
                <w:b/>
                <w:bCs/>
                <w:color w:val="auto"/>
                <w:sz w:val="24"/>
                <w:szCs w:val="32"/>
              </w:rPr>
              <w:t>风量计算：</w:t>
            </w:r>
          </w:p>
          <w:p>
            <w:pPr>
              <w:spacing w:line="360" w:lineRule="auto"/>
              <w:ind w:firstLine="480" w:firstLineChars="200"/>
              <w:textAlignment w:val="baseline"/>
              <w:rPr>
                <w:color w:val="auto"/>
                <w:sz w:val="24"/>
              </w:rPr>
            </w:pPr>
            <w:r>
              <w:rPr>
                <w:color w:val="auto"/>
                <w:sz w:val="24"/>
              </w:rPr>
              <w:t>参照《工业通风与除尘》（蒋仲安等编著，冶金工业出版社）中，无边条缝罩集气风量计算：</w:t>
            </w:r>
          </w:p>
          <w:p>
            <w:pPr>
              <w:spacing w:line="360" w:lineRule="auto"/>
              <w:ind w:firstLine="480" w:firstLineChars="200"/>
              <w:textAlignment w:val="baseline"/>
              <w:rPr>
                <w:color w:val="auto"/>
                <w:sz w:val="24"/>
              </w:rPr>
            </w:pPr>
            <w:r>
              <w:rPr>
                <w:color w:val="auto"/>
                <w:sz w:val="24"/>
              </w:rPr>
              <w:t>L=3600*3.7BxV</w:t>
            </w:r>
            <w:r>
              <w:rPr>
                <w:color w:val="auto"/>
                <w:sz w:val="24"/>
                <w:vertAlign w:val="subscript"/>
              </w:rPr>
              <w:t>x</w:t>
            </w:r>
            <w:r>
              <w:rPr>
                <w:color w:val="auto"/>
                <w:sz w:val="24"/>
              </w:rPr>
              <w:t xml:space="preserve">   （公式3.4-1）</w:t>
            </w:r>
          </w:p>
          <w:p>
            <w:pPr>
              <w:spacing w:line="360" w:lineRule="auto"/>
              <w:ind w:firstLine="480" w:firstLineChars="200"/>
              <w:rPr>
                <w:color w:val="auto"/>
                <w:sz w:val="24"/>
              </w:rPr>
            </w:pPr>
            <w:r>
              <w:rPr>
                <w:color w:val="auto"/>
                <w:sz w:val="24"/>
              </w:rPr>
              <w:t>式中：x——控制距离，m，本次取集气罩至污染源最远距离为0.2m；</w:t>
            </w:r>
          </w:p>
          <w:p>
            <w:pPr>
              <w:spacing w:line="360" w:lineRule="auto"/>
              <w:ind w:firstLine="480" w:firstLineChars="200"/>
              <w:textAlignment w:val="baseline"/>
              <w:rPr>
                <w:color w:val="auto"/>
                <w:sz w:val="24"/>
              </w:rPr>
            </w:pPr>
            <w:r>
              <w:rPr>
                <w:color w:val="auto"/>
                <w:sz w:val="24"/>
              </w:rPr>
              <w:t>V</w:t>
            </w:r>
            <w:r>
              <w:rPr>
                <w:color w:val="auto"/>
                <w:sz w:val="24"/>
                <w:vertAlign w:val="subscript"/>
              </w:rPr>
              <w:t>x</w:t>
            </w:r>
            <w:r>
              <w:rPr>
                <w:color w:val="auto"/>
                <w:sz w:val="24"/>
              </w:rPr>
              <w:t>——控制风速，m/s，本次取0.5m/s</w:t>
            </w:r>
          </w:p>
          <w:p>
            <w:pPr>
              <w:spacing w:line="360" w:lineRule="auto"/>
              <w:ind w:firstLine="480" w:firstLineChars="200"/>
              <w:textAlignment w:val="baseline"/>
              <w:rPr>
                <w:rFonts w:hint="default" w:eastAsia="宋体"/>
                <w:color w:val="auto"/>
                <w:sz w:val="24"/>
                <w:lang w:val="en-US" w:eastAsia="zh-CN"/>
              </w:rPr>
            </w:pPr>
            <w:r>
              <w:rPr>
                <w:color w:val="auto"/>
                <w:sz w:val="24"/>
              </w:rPr>
              <w:t>B——罩口长度，m</w:t>
            </w:r>
          </w:p>
          <w:p>
            <w:pPr>
              <w:spacing w:line="360" w:lineRule="auto"/>
              <w:ind w:firstLine="480" w:firstLineChars="200"/>
              <w:rPr>
                <w:rFonts w:hint="eastAsia" w:ascii="Times New Roman" w:hAnsi="Times New Roman" w:eastAsia="宋体" w:cs="Times New Roman"/>
                <w:b/>
                <w:bCs/>
                <w:color w:val="auto"/>
                <w:sz w:val="24"/>
                <w:szCs w:val="24"/>
                <w:lang w:val="en-US" w:eastAsia="zh-CN"/>
              </w:rPr>
            </w:pPr>
            <w:r>
              <w:rPr>
                <w:color w:val="auto"/>
                <w:sz w:val="24"/>
              </w:rPr>
              <w:t>根据业主提供，</w:t>
            </w:r>
            <w:r>
              <w:rPr>
                <w:rFonts w:hint="eastAsia"/>
                <w:color w:val="auto"/>
                <w:sz w:val="24"/>
                <w:lang w:val="en-US" w:eastAsia="zh-CN"/>
              </w:rPr>
              <w:t>本项目使用的集气罩罩口长度为1m，</w:t>
            </w:r>
            <w:r>
              <w:rPr>
                <w:rFonts w:hint="eastAsia" w:ascii="Times New Roman" w:hAnsi="Times New Roman" w:cs="Times New Roman"/>
                <w:b w:val="0"/>
                <w:bCs w:val="0"/>
                <w:color w:val="auto"/>
                <w:sz w:val="24"/>
                <w:szCs w:val="24"/>
                <w:lang w:val="en-US" w:eastAsia="zh-CN"/>
              </w:rPr>
              <w:t>经计算</w:t>
            </w:r>
            <w:r>
              <w:rPr>
                <w:rFonts w:hint="eastAsia"/>
                <w:color w:val="auto"/>
                <w:sz w:val="24"/>
                <w:lang w:val="en-US" w:eastAsia="zh-CN"/>
              </w:rPr>
              <w:t>1个集气罩风量为1332</w:t>
            </w:r>
            <w:r>
              <w:rPr>
                <w:color w:val="auto"/>
                <w:sz w:val="24"/>
              </w:rPr>
              <w:t>m</w:t>
            </w:r>
            <w:r>
              <w:rPr>
                <w:color w:val="auto"/>
                <w:sz w:val="24"/>
                <w:vertAlign w:val="superscript"/>
              </w:rPr>
              <w:t>3</w:t>
            </w:r>
            <w:r>
              <w:rPr>
                <w:color w:val="auto"/>
                <w:sz w:val="24"/>
              </w:rPr>
              <w:t>/h</w:t>
            </w:r>
            <w:r>
              <w:rPr>
                <w:rFonts w:hint="eastAsia"/>
                <w:color w:val="auto"/>
                <w:sz w:val="24"/>
                <w:lang w:eastAsia="zh-CN"/>
              </w:rPr>
              <w:t>。</w:t>
            </w:r>
          </w:p>
          <w:p>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管道风量</w:t>
            </w:r>
            <w:r>
              <w:rPr>
                <w:rFonts w:hint="eastAsia"/>
                <w:b/>
                <w:bCs/>
                <w:color w:val="auto"/>
                <w:sz w:val="24"/>
                <w:szCs w:val="32"/>
              </w:rPr>
              <w:t>计算：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膨化炉与</w:t>
            </w:r>
            <w:r>
              <w:rPr>
                <w:rFonts w:hint="default" w:ascii="Times New Roman" w:hAnsi="Times New Roman" w:eastAsia="宋体" w:cs="Times New Roman"/>
                <w:color w:val="auto"/>
                <w:sz w:val="24"/>
                <w:szCs w:val="24"/>
                <w:lang w:val="en-US" w:eastAsia="zh-CN"/>
              </w:rPr>
              <w:t>物料分级系统</w:t>
            </w:r>
            <w:r>
              <w:rPr>
                <w:rFonts w:hint="eastAsia" w:ascii="Times New Roman" w:hAnsi="Times New Roman" w:eastAsia="宋体" w:cs="Times New Roman"/>
                <w:color w:val="auto"/>
                <w:sz w:val="24"/>
                <w:szCs w:val="24"/>
                <w:lang w:val="en-US" w:eastAsia="zh-CN"/>
              </w:rPr>
              <w:t>密闭管道连接，膨化炉产生的膨化炉废气经密闭管道进入物料分级系统，与</w:t>
            </w:r>
            <w:r>
              <w:rPr>
                <w:rFonts w:hint="default" w:ascii="Times New Roman" w:hAnsi="Times New Roman" w:eastAsia="宋体" w:cs="Times New Roman"/>
                <w:color w:val="auto"/>
                <w:sz w:val="24"/>
                <w:szCs w:val="24"/>
                <w:lang w:val="en-US" w:eastAsia="zh-CN"/>
              </w:rPr>
              <w:t>物料分级系统</w:t>
            </w:r>
            <w:r>
              <w:rPr>
                <w:rFonts w:hint="eastAsia" w:ascii="Times New Roman" w:hAnsi="Times New Roman" w:eastAsia="宋体" w:cs="Times New Roman"/>
                <w:color w:val="auto"/>
                <w:sz w:val="24"/>
                <w:szCs w:val="24"/>
                <w:lang w:val="en-US" w:eastAsia="zh-CN"/>
              </w:rPr>
              <w:t>产生的</w:t>
            </w:r>
            <w:r>
              <w:rPr>
                <w:rFonts w:hint="default" w:ascii="Times New Roman" w:hAnsi="Times New Roman" w:eastAsia="宋体" w:cs="Times New Roman"/>
                <w:b w:val="0"/>
                <w:bCs/>
                <w:color w:val="auto"/>
                <w:sz w:val="24"/>
                <w:szCs w:val="24"/>
                <w:lang w:val="en-US" w:eastAsia="zh-CN"/>
              </w:rPr>
              <w:t>粉尘</w:t>
            </w:r>
            <w:r>
              <w:rPr>
                <w:rFonts w:hint="eastAsia" w:ascii="Times New Roman" w:hAnsi="Times New Roman" w:eastAsia="宋体" w:cs="Times New Roman"/>
                <w:b w:val="0"/>
                <w:bCs/>
                <w:color w:val="auto"/>
                <w:sz w:val="24"/>
                <w:szCs w:val="24"/>
                <w:lang w:val="en-US" w:eastAsia="zh-CN"/>
              </w:rPr>
              <w:t>一起经废气管道收集</w:t>
            </w:r>
            <w:r>
              <w:rPr>
                <w:rFonts w:hint="eastAsia" w:ascii="Times New Roman" w:hAnsi="Times New Roman" w:eastAsia="宋体" w:cs="Times New Roman"/>
                <w:color w:val="auto"/>
                <w:sz w:val="24"/>
                <w:szCs w:val="24"/>
                <w:lang w:val="en-US" w:eastAsia="zh-CN"/>
              </w:rPr>
              <w:t>，设备基本为密闭状态。管道风量计算公式如下：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rPr>
            </w:pPr>
            <w:r>
              <w:rPr>
                <w:color w:val="auto"/>
                <w:sz w:val="24"/>
              </w:rPr>
              <w:t>L=</w:t>
            </w:r>
            <w:r>
              <w:rPr>
                <w:rFonts w:hint="eastAsia"/>
                <w:color w:val="auto"/>
                <w:sz w:val="24"/>
              </w:rPr>
              <w:t>管道截面积</w:t>
            </w:r>
            <w:r>
              <w:rPr>
                <w:color w:val="auto"/>
                <w:sz w:val="24"/>
              </w:rPr>
              <w:t>×</w:t>
            </w:r>
            <w:r>
              <w:rPr>
                <w:rFonts w:hint="eastAsia"/>
                <w:color w:val="auto"/>
                <w:sz w:val="24"/>
              </w:rPr>
              <w:t>风速</w:t>
            </w:r>
            <w:r>
              <w:rPr>
                <w:color w:val="auto"/>
                <w:sz w:val="24"/>
              </w:rPr>
              <w:t>×3600</w:t>
            </w:r>
          </w:p>
          <w:p>
            <w:pPr>
              <w:adjustRightInd w:val="0"/>
              <w:snapToGrid w:val="0"/>
              <w:spacing w:line="360" w:lineRule="auto"/>
              <w:ind w:firstLine="480" w:firstLineChars="200"/>
              <w:rPr>
                <w:color w:val="auto"/>
                <w:sz w:val="24"/>
              </w:rPr>
            </w:pPr>
            <w:r>
              <w:rPr>
                <w:rFonts w:hint="eastAsia"/>
                <w:color w:val="auto"/>
                <w:sz w:val="24"/>
              </w:rPr>
              <w:t>其中，风速为管道内的风速。</w:t>
            </w:r>
            <w:r>
              <w:rPr>
                <w:rFonts w:hint="eastAsia" w:ascii="Times New Roman" w:hAnsi="Times New Roman" w:eastAsia="宋体" w:cs="Times New Roman"/>
                <w:color w:val="auto"/>
                <w:sz w:val="24"/>
                <w:szCs w:val="24"/>
                <w:lang w:val="en-US" w:eastAsia="zh-CN"/>
              </w:rPr>
              <w:t>废气</w:t>
            </w:r>
            <w:r>
              <w:rPr>
                <w:rFonts w:hint="eastAsia"/>
                <w:color w:val="auto"/>
                <w:kern w:val="0"/>
                <w:sz w:val="24"/>
                <w:lang w:val="en-US" w:eastAsia="zh-CN" w:bidi="ar"/>
              </w:rPr>
              <w:t>专用管道</w:t>
            </w:r>
            <w:r>
              <w:rPr>
                <w:rFonts w:hint="eastAsia"/>
                <w:color w:val="auto"/>
                <w:sz w:val="24"/>
              </w:rPr>
              <w:t>风量设计参数如下。</w:t>
            </w:r>
          </w:p>
          <w:p>
            <w:pPr>
              <w:adjustRightInd w:val="0"/>
              <w:snapToGrid w:val="0"/>
              <w:spacing w:line="360" w:lineRule="auto"/>
              <w:jc w:val="center"/>
              <w:rPr>
                <w:b/>
                <w:bCs/>
                <w:color w:val="auto"/>
                <w:szCs w:val="20"/>
              </w:rPr>
            </w:pPr>
            <w:r>
              <w:rPr>
                <w:rFonts w:hint="eastAsia"/>
                <w:b/>
                <w:bCs/>
                <w:color w:val="auto"/>
                <w:szCs w:val="20"/>
              </w:rPr>
              <w:t>表</w:t>
            </w:r>
            <w:r>
              <w:rPr>
                <w:rFonts w:hint="eastAsia"/>
                <w:b/>
                <w:bCs/>
                <w:color w:val="auto"/>
                <w:szCs w:val="20"/>
                <w:lang w:val="en-US" w:eastAsia="zh-CN"/>
              </w:rPr>
              <w:t>4-2</w:t>
            </w:r>
            <w:r>
              <w:rPr>
                <w:rFonts w:hint="eastAsia"/>
                <w:b/>
                <w:bCs/>
                <w:color w:val="auto"/>
                <w:szCs w:val="20"/>
              </w:rPr>
              <w:t xml:space="preserve"> 项</w:t>
            </w:r>
            <w:r>
              <w:rPr>
                <w:rFonts w:hint="eastAsia" w:ascii="Times New Roman" w:hAnsi="Times New Roman" w:eastAsia="宋体" w:cs="Times New Roman"/>
                <w:b/>
                <w:bCs/>
                <w:color w:val="auto"/>
                <w:szCs w:val="20"/>
              </w:rPr>
              <w:t>目</w:t>
            </w:r>
            <w:r>
              <w:rPr>
                <w:rFonts w:hint="eastAsia" w:ascii="Times New Roman" w:hAnsi="Times New Roman" w:eastAsia="宋体" w:cs="Times New Roman"/>
                <w:b/>
                <w:bCs/>
                <w:color w:val="auto"/>
                <w:szCs w:val="20"/>
                <w:lang w:val="en-US" w:eastAsia="zh-CN"/>
              </w:rPr>
              <w:t>管道</w:t>
            </w:r>
            <w:r>
              <w:rPr>
                <w:rFonts w:hint="eastAsia"/>
                <w:b/>
                <w:bCs/>
                <w:color w:val="auto"/>
                <w:szCs w:val="20"/>
              </w:rPr>
              <w:t>风量设计参数表</w:t>
            </w:r>
          </w:p>
          <w:tbl>
            <w:tblPr>
              <w:tblStyle w:val="37"/>
              <w:tblW w:w="80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459"/>
              <w:gridCol w:w="960"/>
              <w:gridCol w:w="1230"/>
              <w:gridCol w:w="1065"/>
              <w:gridCol w:w="1125"/>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3" w:type="dxa"/>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工序</w:t>
                  </w:r>
                </w:p>
              </w:tc>
              <w:tc>
                <w:tcPr>
                  <w:tcW w:w="1459" w:type="dxa"/>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w:t>
                  </w:r>
                </w:p>
              </w:tc>
              <w:tc>
                <w:tcPr>
                  <w:tcW w:w="960" w:type="dxa"/>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管道内径（m）</w:t>
                  </w:r>
                </w:p>
              </w:tc>
              <w:tc>
                <w:tcPr>
                  <w:tcW w:w="1230" w:type="dxa"/>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管道截面</w:t>
                  </w:r>
                </w:p>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积（m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w:t>
                  </w:r>
                </w:p>
              </w:tc>
              <w:tc>
                <w:tcPr>
                  <w:tcW w:w="1065" w:type="dxa"/>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管道风速</w:t>
                  </w:r>
                </w:p>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（m/s）</w:t>
                  </w:r>
                </w:p>
              </w:tc>
              <w:tc>
                <w:tcPr>
                  <w:tcW w:w="1125" w:type="dxa"/>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管道数量</w:t>
                  </w:r>
                </w:p>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（个）</w:t>
                  </w:r>
                </w:p>
              </w:tc>
              <w:tc>
                <w:tcPr>
                  <w:tcW w:w="1041" w:type="dxa"/>
                  <w:noWrap w:val="0"/>
                  <w:vAlign w:val="center"/>
                </w:tcPr>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总风量</w:t>
                  </w:r>
                </w:p>
                <w:p>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3" w:type="dxa"/>
                  <w:vMerge w:val="restart"/>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分级工序</w:t>
                  </w:r>
                </w:p>
              </w:tc>
              <w:tc>
                <w:tcPr>
                  <w:tcW w:w="14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1号</w:t>
                  </w:r>
                  <w:r>
                    <w:rPr>
                      <w:rFonts w:hint="default" w:ascii="Times New Roman" w:hAnsi="Times New Roman" w:eastAsia="宋体" w:cs="Times New Roman"/>
                      <w:color w:val="auto"/>
                      <w:sz w:val="21"/>
                      <w:szCs w:val="21"/>
                      <w:lang w:val="en-US" w:eastAsia="zh-CN"/>
                    </w:rPr>
                    <w:t>物料分级系统</w:t>
                  </w:r>
                </w:p>
              </w:tc>
              <w:tc>
                <w:tcPr>
                  <w:tcW w:w="96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0.273</w:t>
                  </w:r>
                </w:p>
              </w:tc>
              <w:tc>
                <w:tcPr>
                  <w:tcW w:w="123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0.0585</w:t>
                  </w:r>
                </w:p>
              </w:tc>
              <w:tc>
                <w:tcPr>
                  <w:tcW w:w="106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112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041"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33" w:type="dxa"/>
                  <w:vMerge w:val="continue"/>
                  <w:noWrap w:val="0"/>
                  <w:vAlign w:val="center"/>
                </w:tcPr>
                <w:p>
                  <w:pPr>
                    <w:adjustRightInd w:val="0"/>
                    <w:snapToGrid w:val="0"/>
                    <w:jc w:val="center"/>
                    <w:rPr>
                      <w:rFonts w:hint="eastAsia" w:ascii="Times New Roman" w:hAnsi="Times New Roman" w:eastAsia="宋体" w:cs="Times New Roman"/>
                      <w:color w:val="auto"/>
                      <w:sz w:val="21"/>
                      <w:szCs w:val="21"/>
                      <w:lang w:val="en-US" w:eastAsia="zh-CN"/>
                    </w:rPr>
                  </w:pPr>
                </w:p>
              </w:tc>
              <w:tc>
                <w:tcPr>
                  <w:tcW w:w="1459"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2号</w:t>
                  </w:r>
                  <w:r>
                    <w:rPr>
                      <w:rFonts w:hint="default" w:ascii="Times New Roman" w:hAnsi="Times New Roman" w:eastAsia="宋体" w:cs="Times New Roman"/>
                      <w:color w:val="auto"/>
                      <w:sz w:val="21"/>
                      <w:szCs w:val="21"/>
                      <w:lang w:val="en-US" w:eastAsia="zh-CN"/>
                    </w:rPr>
                    <w:t>物料分级系统</w:t>
                  </w:r>
                </w:p>
              </w:tc>
              <w:tc>
                <w:tcPr>
                  <w:tcW w:w="96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0.273</w:t>
                  </w:r>
                </w:p>
              </w:tc>
              <w:tc>
                <w:tcPr>
                  <w:tcW w:w="1230"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0.0585</w:t>
                  </w:r>
                </w:p>
              </w:tc>
              <w:tc>
                <w:tcPr>
                  <w:tcW w:w="106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1125"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041" w:type="dxa"/>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3580.2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1）DA001排气筒风量计算</w:t>
            </w:r>
          </w:p>
          <w:p>
            <w:p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TA001废气治理设施处理1号进料机、1号膨化炉及</w:t>
            </w:r>
            <w:r>
              <w:rPr>
                <w:rFonts w:hint="eastAsia" w:ascii="Times New Roman" w:hAnsi="Times New Roman" w:eastAsia="宋体" w:cs="Times New Roman"/>
                <w:color w:val="auto"/>
                <w:sz w:val="24"/>
                <w:szCs w:val="24"/>
                <w:lang w:val="en-US" w:eastAsia="zh-CN"/>
              </w:rPr>
              <w:t>1号</w:t>
            </w:r>
            <w:r>
              <w:rPr>
                <w:rFonts w:hint="default" w:ascii="Times New Roman" w:hAnsi="Times New Roman" w:eastAsia="宋体" w:cs="Times New Roman"/>
                <w:color w:val="auto"/>
                <w:sz w:val="24"/>
                <w:szCs w:val="24"/>
                <w:lang w:val="en-US" w:eastAsia="zh-CN"/>
              </w:rPr>
              <w:t>物料分级系统</w:t>
            </w:r>
            <w:r>
              <w:rPr>
                <w:rFonts w:hint="eastAsia" w:ascii="Times New Roman" w:hAnsi="Times New Roman" w:eastAsia="宋体" w:cs="Times New Roman"/>
                <w:b w:val="0"/>
                <w:bCs w:val="0"/>
                <w:color w:val="auto"/>
                <w:sz w:val="24"/>
                <w:szCs w:val="24"/>
                <w:lang w:val="en-US" w:eastAsia="zh-CN"/>
              </w:rPr>
              <w:t>产生的废气，设置1个集气罩、1个专用管道，风量为4912.2m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/h，考虑漏风量及风阻，DA001排气筒实际风量设计为5000m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2）DA002排气筒风量计算</w:t>
            </w:r>
          </w:p>
          <w:p>
            <w:pPr>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TA002废气治理设施处理2号进料机、2号膨化炉及</w:t>
            </w:r>
            <w:r>
              <w:rPr>
                <w:rFonts w:hint="eastAsia" w:ascii="Times New Roman" w:hAnsi="Times New Roman" w:eastAsia="宋体" w:cs="Times New Roman"/>
                <w:color w:val="auto"/>
                <w:sz w:val="24"/>
                <w:szCs w:val="24"/>
                <w:lang w:val="en-US" w:eastAsia="zh-CN"/>
              </w:rPr>
              <w:t>2号</w:t>
            </w:r>
            <w:r>
              <w:rPr>
                <w:rFonts w:hint="default" w:ascii="Times New Roman" w:hAnsi="Times New Roman" w:eastAsia="宋体" w:cs="Times New Roman"/>
                <w:color w:val="auto"/>
                <w:sz w:val="24"/>
                <w:szCs w:val="24"/>
                <w:lang w:val="en-US" w:eastAsia="zh-CN"/>
              </w:rPr>
              <w:t>物料分级系统</w:t>
            </w:r>
            <w:r>
              <w:rPr>
                <w:rFonts w:hint="eastAsia" w:ascii="Times New Roman" w:hAnsi="Times New Roman" w:eastAsia="宋体" w:cs="Times New Roman"/>
                <w:b w:val="0"/>
                <w:bCs w:val="0"/>
                <w:color w:val="auto"/>
                <w:sz w:val="24"/>
                <w:szCs w:val="24"/>
                <w:lang w:val="en-US" w:eastAsia="zh-CN"/>
              </w:rPr>
              <w:t>产生的废气，设置1个集气罩、1个专用管道，风量为4912.2m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/h，考虑漏风量及风阻，DA001排气筒实际风量设计为5000m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lang w:val="en-US" w:eastAsia="zh-CN"/>
              </w:rPr>
              <w:t>/h。</w:t>
            </w:r>
          </w:p>
          <w:p>
            <w:pPr>
              <w:spacing w:line="360" w:lineRule="auto"/>
              <w:ind w:firstLine="482" w:firstLineChars="200"/>
              <w:jc w:val="both"/>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（2）处理措施可行性</w:t>
            </w:r>
          </w:p>
          <w:p>
            <w:pPr>
              <w:spacing w:line="360" w:lineRule="auto"/>
              <w:ind w:firstLine="482"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处理措施工艺可行性：</w:t>
            </w:r>
            <w:r>
              <w:rPr>
                <w:rFonts w:hint="eastAsia" w:ascii="Times New Roman" w:hAnsi="Times New Roman" w:eastAsia="宋体" w:cs="Times New Roman"/>
                <w:b w:val="0"/>
                <w:bCs w:val="0"/>
                <w:color w:val="auto"/>
                <w:sz w:val="24"/>
                <w:szCs w:val="24"/>
                <w:lang w:val="en-US" w:eastAsia="zh-CN"/>
              </w:rPr>
              <w:t>本项目产生的废气主要成分有：粉尘（颗粒物）、二氧化硫、氮氧化物。</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本项目产生的氮氧化物产生量小，经管道收集后，通过排气筒直接排放；</w:t>
            </w:r>
            <w:r>
              <w:rPr>
                <w:rFonts w:hint="eastAsia" w:ascii="Times New Roman" w:hAnsi="Times New Roman" w:eastAsia="宋体" w:cs="Times New Roman"/>
                <w:b w:val="0"/>
                <w:bCs w:val="0"/>
                <w:color w:val="auto"/>
                <w:sz w:val="24"/>
                <w:szCs w:val="24"/>
                <w:lang w:val="en-US" w:eastAsia="zh-CN"/>
              </w:rPr>
              <w:t>二氧化硫</w:t>
            </w:r>
            <w:r>
              <w:rPr>
                <w:rFonts w:hint="eastAsia" w:ascii="Times New Roman" w:hAnsi="Times New Roman" w:eastAsia="宋体" w:cs="Times New Roman"/>
                <w:b w:val="0"/>
                <w:bCs/>
                <w:color w:val="auto"/>
                <w:kern w:val="2"/>
                <w:sz w:val="24"/>
                <w:szCs w:val="24"/>
                <w:lang w:val="en-US" w:eastAsia="zh-CN" w:bidi="ar-SA"/>
              </w:rPr>
              <w:t>、粉尘（颗粒物）采用“布袋除尘器+碱喷淋”处理。</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根据《排污许可证申请与核发技术规范—石墨及其他非金属矿物制品制造》（HJ1119-2020）中4.5.2.1废气治理设施包括：布袋除尘器、其他。本项目废气处置采用的推荐工艺，可行。</w:t>
            </w:r>
          </w:p>
          <w:p>
            <w:pPr>
              <w:autoSpaceDE w:val="0"/>
              <w:autoSpaceDN w:val="0"/>
              <w:adjustRightInd w:val="0"/>
              <w:snapToGrid w:val="0"/>
              <w:spacing w:line="360" w:lineRule="auto"/>
              <w:ind w:firstLine="482" w:firstLineChars="200"/>
              <w:jc w:val="left"/>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收集效率合理性：</w:t>
            </w:r>
            <w:r>
              <w:rPr>
                <w:rFonts w:hint="eastAsia" w:ascii="Times New Roman" w:hAnsi="Times New Roman" w:eastAsia="宋体" w:cs="Times New Roman"/>
                <w:b w:val="0"/>
                <w:bCs/>
                <w:color w:val="auto"/>
                <w:kern w:val="2"/>
                <w:sz w:val="24"/>
                <w:szCs w:val="24"/>
                <w:lang w:val="en-US" w:eastAsia="zh-CN" w:bidi="ar-SA"/>
              </w:rPr>
              <w:t>本项目万向集气罩类似密闭集气罩，废气收集效率可达到80%；专用管道为密闭管道，废气收集效率可达到100%。</w:t>
            </w:r>
          </w:p>
          <w:p>
            <w:pPr>
              <w:pStyle w:val="11"/>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2" w:firstLineChars="200"/>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废气治理效率合理性：</w:t>
            </w:r>
          </w:p>
          <w:p>
            <w:pPr>
              <w:pStyle w:val="11"/>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碱喷淋塔主要的运作方式是不断将</w:t>
            </w:r>
            <w:r>
              <w:rPr>
                <w:rFonts w:hint="eastAsia" w:ascii="Times New Roman" w:hAnsi="Times New Roman" w:eastAsia="宋体" w:cs="Times New Roman"/>
                <w:b w:val="0"/>
                <w:bCs w:val="0"/>
                <w:color w:val="auto"/>
                <w:sz w:val="24"/>
                <w:szCs w:val="24"/>
                <w:lang w:val="en-US" w:eastAsia="zh-CN"/>
              </w:rPr>
              <w:t>废气</w:t>
            </w:r>
            <w:r>
              <w:rPr>
                <w:rFonts w:hint="eastAsia" w:ascii="Times New Roman" w:hAnsi="Times New Roman" w:eastAsia="宋体" w:cs="Times New Roman"/>
                <w:b w:val="0"/>
                <w:bCs/>
                <w:color w:val="auto"/>
                <w:kern w:val="2"/>
                <w:sz w:val="24"/>
                <w:szCs w:val="24"/>
                <w:lang w:val="en-US" w:eastAsia="zh-CN" w:bidi="ar-SA"/>
              </w:rPr>
              <w:t>由风管引入净化塔，经过填料层，废气与氢氧化钠吸收液进行气液两相充分接触吸收中和反应，</w:t>
            </w:r>
            <w:r>
              <w:rPr>
                <w:rFonts w:hint="eastAsia" w:ascii="Times New Roman" w:hAnsi="Times New Roman" w:eastAsia="宋体" w:cs="Times New Roman"/>
                <w:b w:val="0"/>
                <w:bCs w:val="0"/>
                <w:color w:val="auto"/>
                <w:sz w:val="24"/>
                <w:szCs w:val="24"/>
                <w:lang w:val="en-US" w:eastAsia="zh-CN"/>
              </w:rPr>
              <w:t>二氧化硫</w:t>
            </w:r>
            <w:r>
              <w:rPr>
                <w:rFonts w:hint="eastAsia" w:ascii="Times New Roman" w:hAnsi="Times New Roman" w:eastAsia="宋体" w:cs="Times New Roman"/>
                <w:b w:val="0"/>
                <w:bCs/>
                <w:color w:val="auto"/>
                <w:kern w:val="2"/>
                <w:sz w:val="24"/>
                <w:szCs w:val="24"/>
                <w:lang w:val="en-US" w:eastAsia="zh-CN" w:bidi="ar-SA"/>
              </w:rPr>
              <w:t>经过净化后，再经除雾板脱水除雾后由风机排出。吸收液在塔底经水泵增压后在塔顶喷淋而下，最后回流至塔底循环使用。喷淋塔在处理</w:t>
            </w:r>
            <w:r>
              <w:rPr>
                <w:rFonts w:hint="eastAsia" w:ascii="Times New Roman" w:hAnsi="Times New Roman" w:eastAsia="宋体" w:cs="Times New Roman"/>
                <w:b w:val="0"/>
                <w:bCs w:val="0"/>
                <w:color w:val="auto"/>
                <w:sz w:val="24"/>
                <w:szCs w:val="24"/>
                <w:lang w:val="en-US" w:eastAsia="zh-CN"/>
              </w:rPr>
              <w:t>二氧化硫</w:t>
            </w:r>
            <w:r>
              <w:rPr>
                <w:rFonts w:hint="eastAsia" w:ascii="Times New Roman" w:hAnsi="Times New Roman" w:eastAsia="宋体" w:cs="Times New Roman"/>
                <w:b w:val="0"/>
                <w:bCs/>
                <w:color w:val="auto"/>
                <w:kern w:val="2"/>
                <w:sz w:val="24"/>
                <w:szCs w:val="24"/>
                <w:lang w:val="en-US" w:eastAsia="zh-CN" w:bidi="ar-SA"/>
              </w:rPr>
              <w:t>中广泛应用，拟采用氢氧化钠作为碱剂，实际应用净化效率达95%以上，本项</w:t>
            </w:r>
            <w:r>
              <w:rPr>
                <w:rFonts w:hint="eastAsia" w:ascii="Times New Roman" w:hAnsi="Times New Roman" w:eastAsia="宋体" w:cs="Times New Roman"/>
                <w:b w:val="0"/>
                <w:bCs w:val="0"/>
                <w:color w:val="auto"/>
                <w:kern w:val="2"/>
                <w:sz w:val="24"/>
                <w:szCs w:val="24"/>
                <w:lang w:val="en-US" w:eastAsia="zh-CN" w:bidi="ar-SA"/>
              </w:rPr>
              <w:t>目以90%计。</w:t>
            </w:r>
          </w:p>
          <w:p>
            <w:pPr>
              <w:pStyle w:val="6"/>
              <w:spacing w:line="360" w:lineRule="auto"/>
              <w:ind w:firstLine="482"/>
              <w:rPr>
                <w:color w:val="auto"/>
                <w:sz w:val="24"/>
              </w:rPr>
            </w:pPr>
            <w:r>
              <w:rPr>
                <w:b/>
                <w:bCs/>
                <w:color w:val="auto"/>
                <w:kern w:val="0"/>
                <w:sz w:val="24"/>
                <w:lang w:bidi="ar"/>
              </w:rPr>
              <w:t>布袋除尘器</w:t>
            </w:r>
            <w:r>
              <w:rPr>
                <w:rFonts w:hint="eastAsia"/>
                <w:b/>
                <w:bCs/>
                <w:color w:val="auto"/>
                <w:kern w:val="0"/>
                <w:sz w:val="24"/>
                <w:lang w:bidi="ar"/>
              </w:rPr>
              <w:t>工作原理：</w:t>
            </w:r>
            <w:r>
              <w:rPr>
                <w:rFonts w:hint="eastAsia" w:ascii="宋体" w:hAnsi="宋体" w:cs="宋体"/>
                <w:color w:val="auto"/>
                <w:kern w:val="0"/>
                <w:sz w:val="24"/>
                <w:lang w:bidi="ar"/>
              </w:rPr>
              <w:t>脉冲袋式除尘器是一种干式滤尘装置。它适用于捕集细小、干燥、非纤维性粉尘。滤袋采用纺织的滤布或非纺织的毡制成，利用纤维织物的过滤作用对含尘气体进行过滤，当含尘气体进入袋式</w:t>
            </w:r>
            <w:r>
              <w:rPr>
                <w:rFonts w:hint="eastAsia" w:ascii="宋体" w:hAnsi="宋体" w:cs="宋体"/>
                <w:color w:val="auto"/>
                <w:kern w:val="0"/>
                <w:sz w:val="24"/>
                <w:lang w:eastAsia="zh-CN" w:bidi="ar"/>
              </w:rPr>
              <w:t>除尘器</w:t>
            </w:r>
            <w:r>
              <w:rPr>
                <w:rFonts w:hint="eastAsia" w:ascii="宋体" w:hAnsi="宋体" w:cs="宋体"/>
                <w:color w:val="auto"/>
                <w:kern w:val="0"/>
                <w:sz w:val="24"/>
                <w:lang w:bidi="ar"/>
              </w:rPr>
              <w:t>，颗粒大、比重大的粉尘，由于重力的作用沉降下来，落入灰斗，含有较细小粉尘的气体在通过滤料时，粉尘被阻留，使气体得到净化。袋式除尘器有以下优点：</w:t>
            </w:r>
          </w:p>
          <w:p>
            <w:pPr>
              <w:widowControl/>
              <w:spacing w:line="360" w:lineRule="auto"/>
              <w:ind w:firstLine="480" w:firstLineChars="200"/>
              <w:jc w:val="left"/>
              <w:rPr>
                <w:color w:val="auto"/>
                <w:sz w:val="24"/>
              </w:rPr>
            </w:pPr>
            <w:r>
              <w:rPr>
                <w:rFonts w:hint="eastAsia" w:ascii="宋体" w:hAnsi="宋体" w:cs="宋体"/>
                <w:color w:val="auto"/>
                <w:kern w:val="0"/>
                <w:sz w:val="24"/>
                <w:lang w:bidi="ar"/>
              </w:rPr>
              <w:t>①除尘效率高，一般在</w:t>
            </w:r>
            <w:r>
              <w:rPr>
                <w:color w:val="auto"/>
                <w:kern w:val="0"/>
                <w:sz w:val="24"/>
                <w:lang w:bidi="ar"/>
              </w:rPr>
              <w:t>9</w:t>
            </w:r>
            <w:r>
              <w:rPr>
                <w:rFonts w:hint="eastAsia"/>
                <w:color w:val="auto"/>
                <w:kern w:val="0"/>
                <w:sz w:val="24"/>
                <w:lang w:bidi="ar"/>
              </w:rPr>
              <w:t>9</w:t>
            </w:r>
            <w:r>
              <w:rPr>
                <w:color w:val="auto"/>
                <w:kern w:val="0"/>
                <w:sz w:val="24"/>
                <w:lang w:bidi="ar"/>
              </w:rPr>
              <w:t>%</w:t>
            </w:r>
            <w:r>
              <w:rPr>
                <w:rFonts w:hint="eastAsia" w:ascii="宋体" w:hAnsi="宋体" w:cs="宋体"/>
                <w:color w:val="auto"/>
                <w:kern w:val="0"/>
                <w:sz w:val="24"/>
                <w:lang w:bidi="ar"/>
              </w:rPr>
              <w:t>以上，除尘器出口气体含尘浓度在数十</w:t>
            </w:r>
            <w:r>
              <w:rPr>
                <w:color w:val="auto"/>
                <w:kern w:val="0"/>
                <w:sz w:val="24"/>
                <w:lang w:bidi="ar"/>
              </w:rPr>
              <w:t>mg/m</w:t>
            </w:r>
            <w:r>
              <w:rPr>
                <w:color w:val="auto"/>
                <w:kern w:val="0"/>
                <w:sz w:val="24"/>
                <w:vertAlign w:val="superscript"/>
                <w:lang w:bidi="ar"/>
              </w:rPr>
              <w:t>3</w:t>
            </w:r>
            <w:r>
              <w:rPr>
                <w:rFonts w:hint="eastAsia" w:ascii="宋体" w:hAnsi="宋体" w:cs="宋体"/>
                <w:color w:val="auto"/>
                <w:kern w:val="0"/>
                <w:sz w:val="24"/>
                <w:lang w:bidi="ar"/>
              </w:rPr>
              <w:t>之内，对亚微米粒径的细尘有较高的分级效率。</w:t>
            </w:r>
          </w:p>
          <w:p>
            <w:pPr>
              <w:widowControl/>
              <w:spacing w:line="360" w:lineRule="auto"/>
              <w:ind w:firstLine="480" w:firstLineChars="200"/>
              <w:jc w:val="left"/>
              <w:rPr>
                <w:color w:val="auto"/>
                <w:sz w:val="24"/>
              </w:rPr>
            </w:pPr>
            <w:r>
              <w:rPr>
                <w:rFonts w:hint="eastAsia" w:ascii="宋体" w:hAnsi="宋体" w:cs="宋体"/>
                <w:color w:val="auto"/>
                <w:kern w:val="0"/>
                <w:sz w:val="24"/>
                <w:lang w:bidi="ar"/>
              </w:rPr>
              <w:t>②处理风量的范围广，小的仅</w:t>
            </w:r>
            <w:r>
              <w:rPr>
                <w:color w:val="auto"/>
                <w:kern w:val="0"/>
                <w:sz w:val="24"/>
                <w:lang w:bidi="ar"/>
              </w:rPr>
              <w:t>1min</w:t>
            </w:r>
            <w:r>
              <w:rPr>
                <w:rFonts w:hint="eastAsia" w:ascii="宋体" w:hAnsi="宋体" w:cs="宋体"/>
                <w:color w:val="auto"/>
                <w:kern w:val="0"/>
                <w:sz w:val="24"/>
                <w:lang w:bidi="ar"/>
              </w:rPr>
              <w:t>数</w:t>
            </w:r>
            <w:r>
              <w:rPr>
                <w:color w:val="auto"/>
                <w:kern w:val="0"/>
                <w:sz w:val="24"/>
                <w:lang w:bidi="ar"/>
              </w:rPr>
              <w:t>m</w:t>
            </w:r>
            <w:r>
              <w:rPr>
                <w:color w:val="auto"/>
                <w:kern w:val="0"/>
                <w:sz w:val="24"/>
                <w:vertAlign w:val="superscript"/>
                <w:lang w:bidi="ar"/>
              </w:rPr>
              <w:t>3</w:t>
            </w:r>
            <w:r>
              <w:rPr>
                <w:rFonts w:hint="eastAsia" w:ascii="宋体" w:hAnsi="宋体" w:cs="宋体"/>
                <w:color w:val="auto"/>
                <w:kern w:val="0"/>
                <w:sz w:val="24"/>
                <w:lang w:bidi="ar"/>
              </w:rPr>
              <w:t>，大的可达</w:t>
            </w:r>
            <w:r>
              <w:rPr>
                <w:color w:val="auto"/>
                <w:kern w:val="0"/>
                <w:sz w:val="24"/>
                <w:lang w:bidi="ar"/>
              </w:rPr>
              <w:t>1min</w:t>
            </w:r>
            <w:r>
              <w:rPr>
                <w:rFonts w:hint="eastAsia" w:ascii="宋体" w:hAnsi="宋体" w:cs="宋体"/>
                <w:color w:val="auto"/>
                <w:kern w:val="0"/>
                <w:sz w:val="24"/>
                <w:lang w:bidi="ar"/>
              </w:rPr>
              <w:t>数万</w:t>
            </w:r>
            <w:r>
              <w:rPr>
                <w:color w:val="auto"/>
                <w:kern w:val="0"/>
                <w:sz w:val="24"/>
                <w:lang w:bidi="ar"/>
              </w:rPr>
              <w:t>m</w:t>
            </w:r>
            <w:r>
              <w:rPr>
                <w:color w:val="auto"/>
                <w:kern w:val="0"/>
                <w:sz w:val="24"/>
                <w:vertAlign w:val="superscript"/>
                <w:lang w:bidi="ar"/>
              </w:rPr>
              <w:t>3</w:t>
            </w:r>
            <w:r>
              <w:rPr>
                <w:rFonts w:hint="eastAsia" w:ascii="宋体" w:hAnsi="宋体" w:cs="宋体"/>
                <w:color w:val="auto"/>
                <w:kern w:val="0"/>
                <w:sz w:val="24"/>
                <w:lang w:bidi="ar"/>
              </w:rPr>
              <w:t>，既可用于工业炉窑的烟气除尘，减少大气污染物的排放。</w:t>
            </w:r>
          </w:p>
          <w:p>
            <w:pPr>
              <w:widowControl/>
              <w:spacing w:line="360" w:lineRule="auto"/>
              <w:ind w:firstLine="480" w:firstLineChars="200"/>
              <w:jc w:val="left"/>
              <w:rPr>
                <w:color w:val="auto"/>
                <w:sz w:val="24"/>
              </w:rPr>
            </w:pPr>
            <w:r>
              <w:rPr>
                <w:rFonts w:hint="eastAsia" w:ascii="宋体" w:hAnsi="宋体" w:cs="宋体"/>
                <w:color w:val="auto"/>
                <w:kern w:val="0"/>
                <w:sz w:val="24"/>
                <w:lang w:bidi="ar"/>
              </w:rPr>
              <w:t>③结构简单，维护操作方便。</w:t>
            </w:r>
          </w:p>
          <w:p>
            <w:pPr>
              <w:widowControl/>
              <w:spacing w:line="360" w:lineRule="auto"/>
              <w:ind w:firstLine="480" w:firstLineChars="200"/>
              <w:jc w:val="left"/>
              <w:rPr>
                <w:color w:val="auto"/>
                <w:sz w:val="24"/>
              </w:rPr>
            </w:pPr>
            <w:r>
              <w:rPr>
                <w:rFonts w:hint="eastAsia" w:ascii="宋体" w:hAnsi="宋体" w:cs="宋体"/>
                <w:color w:val="auto"/>
                <w:kern w:val="0"/>
                <w:sz w:val="24"/>
                <w:lang w:bidi="ar"/>
              </w:rPr>
              <w:t>④在保证同样高除尘效率的前提下，造价低于电除尘器。</w:t>
            </w:r>
          </w:p>
          <w:p>
            <w:pPr>
              <w:widowControl/>
              <w:spacing w:line="360" w:lineRule="auto"/>
              <w:ind w:firstLine="480" w:firstLineChars="200"/>
              <w:jc w:val="left"/>
              <w:rPr>
                <w:color w:val="auto"/>
                <w:sz w:val="24"/>
              </w:rPr>
            </w:pPr>
            <w:r>
              <w:rPr>
                <w:rFonts w:hint="eastAsia" w:ascii="宋体" w:hAnsi="宋体" w:cs="宋体"/>
                <w:color w:val="auto"/>
                <w:kern w:val="0"/>
                <w:sz w:val="24"/>
                <w:lang w:bidi="ar"/>
              </w:rPr>
              <w:t>⑤采用玻璃纤维、聚四氟乙烯、</w:t>
            </w:r>
            <w:r>
              <w:rPr>
                <w:color w:val="auto"/>
                <w:kern w:val="0"/>
                <w:sz w:val="24"/>
                <w:lang w:bidi="ar"/>
              </w:rPr>
              <w:t xml:space="preserve">P84 </w:t>
            </w:r>
            <w:r>
              <w:rPr>
                <w:rFonts w:hint="eastAsia" w:ascii="宋体" w:hAnsi="宋体" w:cs="宋体"/>
                <w:color w:val="auto"/>
                <w:kern w:val="0"/>
                <w:sz w:val="24"/>
                <w:lang w:bidi="ar"/>
              </w:rPr>
              <w:t>等耐高温滤料时，可在</w:t>
            </w:r>
            <w:r>
              <w:rPr>
                <w:color w:val="auto"/>
                <w:kern w:val="0"/>
                <w:sz w:val="24"/>
                <w:lang w:bidi="ar"/>
              </w:rPr>
              <w:t>200</w:t>
            </w:r>
            <w:r>
              <w:rPr>
                <w:rFonts w:hint="eastAsia" w:ascii="宋体" w:hAnsi="宋体" w:cs="宋体"/>
                <w:color w:val="auto"/>
                <w:kern w:val="0"/>
                <w:sz w:val="24"/>
                <w:lang w:bidi="ar"/>
              </w:rPr>
              <w:t>℃以上的高温条件下运行。</w:t>
            </w:r>
          </w:p>
          <w:p>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宋体" w:hAnsi="宋体" w:cs="宋体"/>
                <w:color w:val="auto"/>
                <w:kern w:val="0"/>
                <w:sz w:val="24"/>
                <w:lang w:bidi="ar"/>
              </w:rPr>
              <w:t>⑥对粉尘的特性不敏感，不受粉尘及电阻的影响。</w:t>
            </w:r>
          </w:p>
          <w:p>
            <w:pPr>
              <w:pStyle w:val="35"/>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4、废气排放情况</w:t>
            </w:r>
          </w:p>
          <w:p>
            <w:pPr>
              <w:adjustRightInd w:val="0"/>
              <w:snapToGrid w:val="0"/>
              <w:spacing w:line="360" w:lineRule="auto"/>
              <w:jc w:val="center"/>
              <w:rPr>
                <w:rFonts w:hint="default" w:eastAsia="宋体"/>
                <w:color w:val="auto"/>
                <w:sz w:val="24"/>
                <w:szCs w:val="20"/>
                <w:lang w:val="en-US" w:eastAsia="zh-CN"/>
              </w:rPr>
            </w:pPr>
          </w:p>
        </w:tc>
      </w:tr>
    </w:tbl>
    <w:p>
      <w:pPr>
        <w:adjustRightInd w:val="0"/>
        <w:snapToGrid w:val="0"/>
        <w:jc w:val="center"/>
        <w:rPr>
          <w:rFonts w:hint="eastAsia" w:ascii="宋体" w:hAnsi="宋体" w:cs="宋体"/>
          <w:bCs/>
          <w:color w:val="FF0000"/>
          <w:sz w:val="24"/>
        </w:rPr>
        <w:sectPr>
          <w:pgSz w:w="11907" w:h="16840"/>
          <w:pgMar w:top="1701" w:right="1531" w:bottom="2127" w:left="1531" w:header="851" w:footer="851" w:gutter="0"/>
          <w:cols w:space="720" w:num="1"/>
          <w:docGrid w:linePitch="312" w:charSpace="0"/>
        </w:sectPr>
      </w:pPr>
    </w:p>
    <w:tbl>
      <w:tblPr>
        <w:tblStyle w:val="36"/>
        <w:tblW w:w="1552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151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352" w:type="dxa"/>
            <w:noWrap w:val="0"/>
            <w:tcMar>
              <w:left w:w="28" w:type="dxa"/>
              <w:right w:w="28" w:type="dxa"/>
            </w:tcMar>
            <w:vAlign w:val="center"/>
          </w:tcPr>
          <w:p>
            <w:pPr>
              <w:adjustRightInd w:val="0"/>
              <w:snapToGrid w:val="0"/>
              <w:jc w:val="center"/>
              <w:rPr>
                <w:rFonts w:hint="eastAsia" w:cs="宋体"/>
                <w:bCs/>
                <w:color w:val="auto"/>
                <w:szCs w:val="21"/>
              </w:rPr>
            </w:pPr>
            <w:r>
              <w:rPr>
                <w:rFonts w:hint="eastAsia" w:ascii="宋体" w:hAnsi="宋体" w:cs="宋体"/>
                <w:bCs/>
                <w:color w:val="auto"/>
                <w:sz w:val="24"/>
              </w:rPr>
              <w:t>运营期环境影响和保护</w:t>
            </w:r>
            <w:r>
              <w:rPr>
                <w:rFonts w:hint="eastAsia" w:cs="宋体"/>
                <w:bCs/>
                <w:color w:val="auto"/>
                <w:sz w:val="24"/>
              </w:rPr>
              <w:t>措施</w:t>
            </w:r>
          </w:p>
        </w:tc>
        <w:tc>
          <w:tcPr>
            <w:tcW w:w="15175" w:type="dxa"/>
            <w:noWrap w:val="0"/>
            <w:vAlign w:val="center"/>
          </w:tcPr>
          <w:p>
            <w:pPr>
              <w:spacing w:line="360" w:lineRule="auto"/>
              <w:jc w:val="center"/>
              <w:textAlignment w:val="center"/>
              <w:rPr>
                <w:b/>
                <w:color w:val="auto"/>
                <w:sz w:val="21"/>
                <w:szCs w:val="21"/>
              </w:rPr>
            </w:pPr>
            <w:r>
              <w:rPr>
                <w:b/>
                <w:color w:val="auto"/>
                <w:sz w:val="21"/>
                <w:szCs w:val="21"/>
              </w:rPr>
              <w:t>表</w:t>
            </w:r>
            <w:r>
              <w:rPr>
                <w:rFonts w:hint="eastAsia"/>
                <w:b/>
                <w:color w:val="auto"/>
                <w:sz w:val="21"/>
                <w:szCs w:val="21"/>
              </w:rPr>
              <w:t>4-</w:t>
            </w:r>
            <w:r>
              <w:rPr>
                <w:rFonts w:hint="eastAsia"/>
                <w:b/>
                <w:color w:val="auto"/>
                <w:sz w:val="21"/>
                <w:szCs w:val="21"/>
                <w:lang w:val="en-US" w:eastAsia="zh-CN"/>
              </w:rPr>
              <w:t>3</w:t>
            </w:r>
            <w:r>
              <w:rPr>
                <w:b/>
                <w:color w:val="auto"/>
                <w:sz w:val="21"/>
                <w:szCs w:val="21"/>
              </w:rPr>
              <w:t xml:space="preserve"> 废气主要污染物</w:t>
            </w:r>
            <w:r>
              <w:rPr>
                <w:rFonts w:hint="eastAsia"/>
                <w:b/>
                <w:color w:val="auto"/>
                <w:sz w:val="21"/>
                <w:szCs w:val="21"/>
              </w:rPr>
              <w:t>产生、</w:t>
            </w:r>
            <w:r>
              <w:rPr>
                <w:b/>
                <w:color w:val="auto"/>
                <w:sz w:val="21"/>
                <w:szCs w:val="21"/>
              </w:rPr>
              <w:t>处理及排放情况一览表</w:t>
            </w:r>
          </w:p>
          <w:tbl>
            <w:tblPr>
              <w:tblStyle w:val="36"/>
              <w:tblW w:w="149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379"/>
              <w:gridCol w:w="908"/>
              <w:gridCol w:w="908"/>
              <w:gridCol w:w="869"/>
              <w:gridCol w:w="725"/>
              <w:gridCol w:w="731"/>
              <w:gridCol w:w="743"/>
              <w:gridCol w:w="689"/>
              <w:gridCol w:w="1300"/>
              <w:gridCol w:w="725"/>
              <w:gridCol w:w="833"/>
              <w:gridCol w:w="731"/>
              <w:gridCol w:w="800"/>
              <w:gridCol w:w="737"/>
              <w:gridCol w:w="593"/>
              <w:gridCol w:w="635"/>
              <w:gridCol w:w="779"/>
            </w:tblGrid>
            <w:tr>
              <w:tblPrEx>
                <w:tblLayout w:type="fixed"/>
                <w:tblCellMar>
                  <w:top w:w="0" w:type="dxa"/>
                  <w:left w:w="108" w:type="dxa"/>
                  <w:bottom w:w="0" w:type="dxa"/>
                  <w:right w:w="108" w:type="dxa"/>
                </w:tblCellMar>
              </w:tblPrEx>
              <w:trPr>
                <w:cantSplit/>
                <w:trHeight w:val="227" w:hRule="atLeast"/>
                <w:tblHeader/>
                <w:jc w:val="center"/>
              </w:trPr>
              <w:tc>
                <w:tcPr>
                  <w:tcW w:w="897" w:type="dxa"/>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w:t>
                  </w:r>
                </w:p>
              </w:tc>
              <w:tc>
                <w:tcPr>
                  <w:tcW w:w="1379" w:type="dxa"/>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废气种类</w:t>
                  </w:r>
                </w:p>
              </w:tc>
              <w:tc>
                <w:tcPr>
                  <w:tcW w:w="908" w:type="dxa"/>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排气筒编号</w:t>
                  </w:r>
                </w:p>
              </w:tc>
              <w:tc>
                <w:tcPr>
                  <w:tcW w:w="908" w:type="dxa"/>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排风量m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/h</w:t>
                  </w:r>
                </w:p>
              </w:tc>
              <w:tc>
                <w:tcPr>
                  <w:tcW w:w="869" w:type="dxa"/>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2199" w:type="dxa"/>
                  <w:gridSpan w:val="3"/>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处理前</w:t>
                  </w:r>
                </w:p>
              </w:tc>
              <w:tc>
                <w:tcPr>
                  <w:tcW w:w="689" w:type="dxa"/>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收集效率</w:t>
                  </w:r>
                </w:p>
              </w:tc>
              <w:tc>
                <w:tcPr>
                  <w:tcW w:w="1300" w:type="dxa"/>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处理设施</w:t>
                  </w:r>
                </w:p>
              </w:tc>
              <w:tc>
                <w:tcPr>
                  <w:tcW w:w="3826" w:type="dxa"/>
                  <w:gridSpan w:val="5"/>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处理后</w:t>
                  </w:r>
                </w:p>
              </w:tc>
              <w:tc>
                <w:tcPr>
                  <w:tcW w:w="593" w:type="dxa"/>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处理效率</w:t>
                  </w:r>
                </w:p>
              </w:tc>
              <w:tc>
                <w:tcPr>
                  <w:tcW w:w="1414" w:type="dxa"/>
                  <w:gridSpan w:val="2"/>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vMerge w:val="continue"/>
                  <w:noWrap w:val="0"/>
                  <w:vAlign w:val="center"/>
                </w:tcPr>
                <w:p>
                  <w:pPr>
                    <w:jc w:val="center"/>
                    <w:rPr>
                      <w:rFonts w:hint="default" w:ascii="Times New Roman" w:hAnsi="Times New Roman" w:cs="Times New Roman"/>
                      <w:b/>
                      <w:bCs/>
                      <w:color w:val="auto"/>
                      <w:sz w:val="21"/>
                      <w:szCs w:val="21"/>
                    </w:rPr>
                  </w:pPr>
                </w:p>
              </w:tc>
              <w:tc>
                <w:tcPr>
                  <w:tcW w:w="1379" w:type="dxa"/>
                  <w:vMerge w:val="continue"/>
                  <w:noWrap w:val="0"/>
                  <w:vAlign w:val="center"/>
                </w:tcPr>
                <w:p>
                  <w:pPr>
                    <w:jc w:val="center"/>
                    <w:rPr>
                      <w:rFonts w:hint="default" w:ascii="Times New Roman" w:hAnsi="Times New Roman" w:cs="Times New Roman"/>
                      <w:b/>
                      <w:bCs/>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869" w:type="dxa"/>
                  <w:vMerge w:val="continue"/>
                  <w:noWrap w:val="0"/>
                  <w:vAlign w:val="center"/>
                </w:tcPr>
                <w:p>
                  <w:pPr>
                    <w:jc w:val="center"/>
                    <w:rPr>
                      <w:rFonts w:hint="default" w:ascii="Times New Roman" w:hAnsi="Times New Roman" w:cs="Times New Roman"/>
                      <w:b/>
                      <w:bCs/>
                      <w:color w:val="auto"/>
                      <w:sz w:val="21"/>
                      <w:szCs w:val="21"/>
                    </w:rPr>
                  </w:pPr>
                </w:p>
              </w:tc>
              <w:tc>
                <w:tcPr>
                  <w:tcW w:w="2199" w:type="dxa"/>
                  <w:gridSpan w:val="3"/>
                  <w:vMerge w:val="continue"/>
                  <w:noWrap w:val="0"/>
                  <w:vAlign w:val="center"/>
                </w:tcPr>
                <w:p>
                  <w:pPr>
                    <w:jc w:val="center"/>
                    <w:rPr>
                      <w:rFonts w:hint="default" w:ascii="Times New Roman" w:hAnsi="Times New Roman" w:cs="Times New Roman"/>
                      <w:b/>
                      <w:bCs/>
                      <w:color w:val="auto"/>
                      <w:sz w:val="21"/>
                      <w:szCs w:val="21"/>
                    </w:rPr>
                  </w:pPr>
                </w:p>
              </w:tc>
              <w:tc>
                <w:tcPr>
                  <w:tcW w:w="689" w:type="dxa"/>
                  <w:vMerge w:val="continue"/>
                  <w:noWrap w:val="0"/>
                  <w:vAlign w:val="center"/>
                </w:tcPr>
                <w:p>
                  <w:pPr>
                    <w:jc w:val="center"/>
                    <w:rPr>
                      <w:rFonts w:hint="default" w:ascii="Times New Roman" w:hAnsi="Times New Roman" w:cs="Times New Roman"/>
                      <w:b/>
                      <w:bCs/>
                      <w:color w:val="auto"/>
                      <w:sz w:val="21"/>
                      <w:szCs w:val="21"/>
                    </w:rPr>
                  </w:pPr>
                </w:p>
              </w:tc>
              <w:tc>
                <w:tcPr>
                  <w:tcW w:w="1300" w:type="dxa"/>
                  <w:vMerge w:val="continue"/>
                  <w:noWrap w:val="0"/>
                  <w:vAlign w:val="center"/>
                </w:tcPr>
                <w:p>
                  <w:pPr>
                    <w:jc w:val="center"/>
                    <w:rPr>
                      <w:rFonts w:hint="default" w:ascii="Times New Roman" w:hAnsi="Times New Roman" w:cs="Times New Roman"/>
                      <w:b/>
                      <w:bCs/>
                      <w:color w:val="auto"/>
                      <w:sz w:val="21"/>
                      <w:szCs w:val="21"/>
                    </w:rPr>
                  </w:pPr>
                </w:p>
              </w:tc>
              <w:tc>
                <w:tcPr>
                  <w:tcW w:w="1558" w:type="dxa"/>
                  <w:gridSpan w:val="2"/>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无组织</w:t>
                  </w:r>
                </w:p>
              </w:tc>
              <w:tc>
                <w:tcPr>
                  <w:tcW w:w="2268" w:type="dxa"/>
                  <w:gridSpan w:val="3"/>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有组织</w:t>
                  </w:r>
                </w:p>
              </w:tc>
              <w:tc>
                <w:tcPr>
                  <w:tcW w:w="593" w:type="dxa"/>
                  <w:vMerge w:val="continue"/>
                  <w:noWrap w:val="0"/>
                  <w:vAlign w:val="center"/>
                </w:tcPr>
                <w:p>
                  <w:pPr>
                    <w:jc w:val="center"/>
                    <w:rPr>
                      <w:rFonts w:hint="default" w:ascii="Times New Roman" w:hAnsi="Times New Roman" w:cs="Times New Roman"/>
                      <w:b/>
                      <w:bCs/>
                      <w:color w:val="auto"/>
                      <w:sz w:val="21"/>
                      <w:szCs w:val="21"/>
                    </w:rPr>
                  </w:pPr>
                </w:p>
              </w:tc>
              <w:tc>
                <w:tcPr>
                  <w:tcW w:w="1414" w:type="dxa"/>
                  <w:gridSpan w:val="2"/>
                  <w:vMerge w:val="continue"/>
                  <w:noWrap w:val="0"/>
                  <w:vAlign w:val="center"/>
                </w:tcPr>
                <w:p>
                  <w:pPr>
                    <w:jc w:val="center"/>
                    <w:rPr>
                      <w:rFonts w:hint="default" w:ascii="Times New Roman" w:hAnsi="Times New Roman"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vMerge w:val="continue"/>
                  <w:noWrap w:val="0"/>
                  <w:vAlign w:val="center"/>
                </w:tcPr>
                <w:p>
                  <w:pPr>
                    <w:jc w:val="center"/>
                    <w:rPr>
                      <w:rFonts w:hint="default" w:ascii="Times New Roman" w:hAnsi="Times New Roman" w:cs="Times New Roman"/>
                      <w:b/>
                      <w:bCs/>
                      <w:color w:val="auto"/>
                      <w:sz w:val="21"/>
                      <w:szCs w:val="21"/>
                    </w:rPr>
                  </w:pPr>
                </w:p>
              </w:tc>
              <w:tc>
                <w:tcPr>
                  <w:tcW w:w="1379" w:type="dxa"/>
                  <w:vMerge w:val="continue"/>
                  <w:noWrap w:val="0"/>
                  <w:vAlign w:val="center"/>
                </w:tcPr>
                <w:p>
                  <w:pPr>
                    <w:jc w:val="center"/>
                    <w:rPr>
                      <w:rFonts w:hint="default" w:ascii="Times New Roman" w:hAnsi="Times New Roman" w:cs="Times New Roman"/>
                      <w:b/>
                      <w:bCs/>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869" w:type="dxa"/>
                  <w:vMerge w:val="continue"/>
                  <w:noWrap w:val="0"/>
                  <w:vAlign w:val="center"/>
                </w:tcPr>
                <w:p>
                  <w:pPr>
                    <w:jc w:val="center"/>
                    <w:rPr>
                      <w:rFonts w:hint="default" w:ascii="Times New Roman" w:hAnsi="Times New Roman" w:cs="Times New Roman"/>
                      <w:b/>
                      <w:bCs/>
                      <w:color w:val="auto"/>
                      <w:sz w:val="21"/>
                      <w:szCs w:val="21"/>
                    </w:rPr>
                  </w:pPr>
                </w:p>
              </w:tc>
              <w:tc>
                <w:tcPr>
                  <w:tcW w:w="725"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w:t>
                  </w:r>
                  <w:r>
                    <w:rPr>
                      <w:rFonts w:hint="default" w:ascii="Times New Roman" w:hAnsi="Times New Roman" w:cs="Times New Roman"/>
                      <w:b/>
                      <w:bCs/>
                      <w:color w:val="auto"/>
                      <w:sz w:val="21"/>
                      <w:szCs w:val="21"/>
                      <w:lang w:val="en-US" w:eastAsia="zh-CN"/>
                    </w:rPr>
                    <w:t>t</w:t>
                  </w:r>
                  <w:r>
                    <w:rPr>
                      <w:rFonts w:hint="default" w:ascii="Times New Roman" w:hAnsi="Times New Roman" w:cs="Times New Roman"/>
                      <w:b/>
                      <w:bCs/>
                      <w:color w:val="auto"/>
                      <w:sz w:val="21"/>
                      <w:szCs w:val="21"/>
                    </w:rPr>
                    <w:t>/a</w:t>
                  </w:r>
                </w:p>
              </w:tc>
              <w:tc>
                <w:tcPr>
                  <w:tcW w:w="731"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速率kg/h</w:t>
                  </w:r>
                </w:p>
              </w:tc>
              <w:tc>
                <w:tcPr>
                  <w:tcW w:w="743"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p>
              </w:tc>
              <w:tc>
                <w:tcPr>
                  <w:tcW w:w="689" w:type="dxa"/>
                  <w:vMerge w:val="continue"/>
                  <w:noWrap w:val="0"/>
                  <w:vAlign w:val="center"/>
                </w:tcPr>
                <w:p>
                  <w:pPr>
                    <w:jc w:val="center"/>
                    <w:rPr>
                      <w:rFonts w:hint="default" w:ascii="Times New Roman" w:hAnsi="Times New Roman" w:cs="Times New Roman"/>
                      <w:b/>
                      <w:bCs/>
                      <w:color w:val="auto"/>
                      <w:sz w:val="21"/>
                      <w:szCs w:val="21"/>
                    </w:rPr>
                  </w:pPr>
                </w:p>
              </w:tc>
              <w:tc>
                <w:tcPr>
                  <w:tcW w:w="1300" w:type="dxa"/>
                  <w:vMerge w:val="continue"/>
                  <w:noWrap w:val="0"/>
                  <w:vAlign w:val="center"/>
                </w:tcPr>
                <w:p>
                  <w:pPr>
                    <w:jc w:val="center"/>
                    <w:rPr>
                      <w:rFonts w:hint="default" w:ascii="Times New Roman" w:hAnsi="Times New Roman" w:cs="Times New Roman"/>
                      <w:b/>
                      <w:bCs/>
                      <w:color w:val="auto"/>
                      <w:sz w:val="21"/>
                      <w:szCs w:val="21"/>
                    </w:rPr>
                  </w:pPr>
                </w:p>
              </w:tc>
              <w:tc>
                <w:tcPr>
                  <w:tcW w:w="725"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w:t>
                  </w:r>
                  <w:r>
                    <w:rPr>
                      <w:rFonts w:hint="default" w:ascii="Times New Roman" w:hAnsi="Times New Roman" w:cs="Times New Roman"/>
                      <w:b/>
                      <w:bCs/>
                      <w:color w:val="auto"/>
                      <w:sz w:val="21"/>
                      <w:szCs w:val="21"/>
                      <w:lang w:val="en-US" w:eastAsia="zh-CN"/>
                    </w:rPr>
                    <w:t>t</w:t>
                  </w:r>
                  <w:r>
                    <w:rPr>
                      <w:rFonts w:hint="default" w:ascii="Times New Roman" w:hAnsi="Times New Roman" w:cs="Times New Roman"/>
                      <w:b/>
                      <w:bCs/>
                      <w:color w:val="auto"/>
                      <w:sz w:val="21"/>
                      <w:szCs w:val="21"/>
                    </w:rPr>
                    <w:t>/a</w:t>
                  </w:r>
                </w:p>
              </w:tc>
              <w:tc>
                <w:tcPr>
                  <w:tcW w:w="833"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速率kg/h</w:t>
                  </w:r>
                </w:p>
              </w:tc>
              <w:tc>
                <w:tcPr>
                  <w:tcW w:w="731"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排放量</w:t>
                  </w:r>
                  <w:r>
                    <w:rPr>
                      <w:rFonts w:hint="default" w:ascii="Times New Roman" w:hAnsi="Times New Roman" w:cs="Times New Roman"/>
                      <w:b/>
                      <w:bCs/>
                      <w:color w:val="auto"/>
                      <w:sz w:val="21"/>
                      <w:szCs w:val="21"/>
                      <w:lang w:val="en-US" w:eastAsia="zh-CN"/>
                    </w:rPr>
                    <w:t>t</w:t>
                  </w:r>
                  <w:r>
                    <w:rPr>
                      <w:rFonts w:hint="default" w:ascii="Times New Roman" w:hAnsi="Times New Roman" w:cs="Times New Roman"/>
                      <w:b/>
                      <w:bCs/>
                      <w:color w:val="auto"/>
                      <w:sz w:val="21"/>
                      <w:szCs w:val="21"/>
                    </w:rPr>
                    <w:t>/a</w:t>
                  </w:r>
                </w:p>
              </w:tc>
              <w:tc>
                <w:tcPr>
                  <w:tcW w:w="800"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速率kg/h</w:t>
                  </w:r>
                </w:p>
              </w:tc>
              <w:tc>
                <w:tcPr>
                  <w:tcW w:w="737"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p>
              </w:tc>
              <w:tc>
                <w:tcPr>
                  <w:tcW w:w="593" w:type="dxa"/>
                  <w:vMerge w:val="continue"/>
                  <w:noWrap w:val="0"/>
                  <w:vAlign w:val="center"/>
                </w:tcPr>
                <w:p>
                  <w:pPr>
                    <w:jc w:val="center"/>
                    <w:rPr>
                      <w:rFonts w:hint="default" w:ascii="Times New Roman" w:hAnsi="Times New Roman" w:cs="Times New Roman"/>
                      <w:b/>
                      <w:bCs/>
                      <w:color w:val="auto"/>
                      <w:sz w:val="21"/>
                      <w:szCs w:val="21"/>
                    </w:rPr>
                  </w:pPr>
                </w:p>
              </w:tc>
              <w:tc>
                <w:tcPr>
                  <w:tcW w:w="635"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排放速率kg/h</w:t>
                  </w:r>
                </w:p>
              </w:tc>
              <w:tc>
                <w:tcPr>
                  <w:tcW w:w="779"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noWrap w:val="0"/>
                  <w:vAlign w:val="center"/>
                </w:tcPr>
                <w:p>
                  <w:pPr>
                    <w:pStyle w:val="157"/>
                    <w:spacing w:before="0"/>
                    <w:ind w:left="0" w:left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G1-投料粉尘</w:t>
                  </w:r>
                </w:p>
              </w:tc>
              <w:tc>
                <w:tcPr>
                  <w:tcW w:w="1379" w:type="dxa"/>
                  <w:noWrap w:val="0"/>
                  <w:vAlign w:val="center"/>
                </w:tcPr>
                <w:p>
                  <w:pPr>
                    <w:pStyle w:val="157"/>
                    <w:spacing w:before="0"/>
                    <w:ind w:left="0" w:left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1号进料机产生的投料粉尘</w:t>
                  </w:r>
                </w:p>
              </w:tc>
              <w:tc>
                <w:tcPr>
                  <w:tcW w:w="908"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DA001</w:t>
                  </w:r>
                </w:p>
              </w:tc>
              <w:tc>
                <w:tcPr>
                  <w:tcW w:w="908"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69"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颗粒物</w:t>
                  </w:r>
                </w:p>
              </w:tc>
              <w:tc>
                <w:tcPr>
                  <w:tcW w:w="725" w:type="dxa"/>
                  <w:noWrap w:val="0"/>
                  <w:vAlign w:val="center"/>
                </w:tcPr>
                <w:p>
                  <w:pPr>
                    <w:pStyle w:val="157"/>
                    <w:spacing w:before="0"/>
                    <w:ind w:left="0"/>
                    <w:rPr>
                      <w:rFonts w:hint="default" w:ascii="Times New Roman" w:hAnsi="Times New Roman" w:eastAsia="宋体" w:cs="Times New Roman"/>
                      <w:color w:val="auto"/>
                      <w:sz w:val="21"/>
                      <w:szCs w:val="21"/>
                      <w:lang w:val="en-US" w:bidi="ar"/>
                    </w:rPr>
                  </w:pPr>
                  <w:r>
                    <w:rPr>
                      <w:rFonts w:hint="default" w:ascii="Times New Roman" w:hAnsi="Times New Roman" w:eastAsia="宋体" w:cs="Times New Roman"/>
                      <w:bCs/>
                      <w:color w:val="auto"/>
                      <w:sz w:val="21"/>
                      <w:szCs w:val="21"/>
                      <w:lang w:val="en-US" w:eastAsia="zh-CN"/>
                    </w:rPr>
                    <w:t>0.3658</w:t>
                  </w:r>
                </w:p>
              </w:tc>
              <w:tc>
                <w:tcPr>
                  <w:tcW w:w="731" w:type="dxa"/>
                  <w:noWrap w:val="0"/>
                  <w:vAlign w:val="center"/>
                </w:tcPr>
                <w:p>
                  <w:pPr>
                    <w:jc w:val="center"/>
                    <w:rPr>
                      <w:rFonts w:hint="default" w:ascii="Times New Roman" w:hAnsi="Times New Roman" w:cs="Times New Roman"/>
                      <w:color w:val="auto"/>
                      <w:sz w:val="21"/>
                      <w:szCs w:val="21"/>
                      <w:lang w:bidi="ar"/>
                    </w:rPr>
                  </w:pPr>
                  <w:r>
                    <w:rPr>
                      <w:rFonts w:hint="default" w:ascii="Times New Roman" w:hAnsi="Times New Roman" w:eastAsia="宋体" w:cs="Times New Roman"/>
                      <w:bCs/>
                      <w:color w:val="auto"/>
                      <w:sz w:val="21"/>
                      <w:szCs w:val="21"/>
                      <w:lang w:val="en-US" w:eastAsia="zh-CN"/>
                    </w:rPr>
                    <w:t>0.2771</w:t>
                  </w:r>
                </w:p>
              </w:tc>
              <w:tc>
                <w:tcPr>
                  <w:tcW w:w="743" w:type="dxa"/>
                  <w:noWrap w:val="0"/>
                  <w:vAlign w:val="center"/>
                </w:tcPr>
                <w:p>
                  <w:pPr>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w:t>
                  </w:r>
                </w:p>
              </w:tc>
              <w:tc>
                <w:tcPr>
                  <w:tcW w:w="689"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80</w:t>
                  </w:r>
                  <w:r>
                    <w:rPr>
                      <w:rFonts w:hint="default" w:ascii="Times New Roman" w:hAnsi="Times New Roman" w:cs="Times New Roman"/>
                      <w:color w:val="auto"/>
                      <w:sz w:val="21"/>
                      <w:szCs w:val="21"/>
                    </w:rPr>
                    <w:t>%</w:t>
                  </w:r>
                </w:p>
              </w:tc>
              <w:tc>
                <w:tcPr>
                  <w:tcW w:w="130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集气罩收集+</w:t>
                  </w:r>
                  <w:r>
                    <w:rPr>
                      <w:rFonts w:hint="default" w:ascii="Times New Roman" w:hAnsi="Times New Roman" w:eastAsia="宋体" w:cs="Times New Roman"/>
                      <w:b w:val="0"/>
                      <w:bCs/>
                      <w:color w:val="auto"/>
                      <w:kern w:val="2"/>
                      <w:sz w:val="21"/>
                      <w:szCs w:val="21"/>
                      <w:lang w:val="en-US" w:eastAsia="zh-CN" w:bidi="ar-SA"/>
                    </w:rPr>
                    <w:t>布袋除尘器+碱喷淋</w:t>
                  </w:r>
                </w:p>
              </w:tc>
              <w:tc>
                <w:tcPr>
                  <w:tcW w:w="725" w:type="dxa"/>
                  <w:noWrap w:val="0"/>
                  <w:vAlign w:val="center"/>
                </w:tcPr>
                <w:p>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0.0732</w:t>
                  </w:r>
                </w:p>
              </w:tc>
              <w:tc>
                <w:tcPr>
                  <w:tcW w:w="833" w:type="dxa"/>
                  <w:noWrap w:val="0"/>
                  <w:vAlign w:val="center"/>
                </w:tcPr>
                <w:p>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0.0554</w:t>
                  </w:r>
                </w:p>
              </w:tc>
              <w:tc>
                <w:tcPr>
                  <w:tcW w:w="73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0.0029</w:t>
                  </w:r>
                </w:p>
              </w:tc>
              <w:tc>
                <w:tcPr>
                  <w:tcW w:w="80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0.0022</w:t>
                  </w:r>
                </w:p>
              </w:tc>
              <w:tc>
                <w:tcPr>
                  <w:tcW w:w="737" w:type="dxa"/>
                  <w:noWrap w:val="0"/>
                  <w:vAlign w:val="center"/>
                </w:tcPr>
                <w:p>
                  <w:pPr>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c>
                <w:tcPr>
                  <w:tcW w:w="59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p>
              </w:tc>
              <w:tc>
                <w:tcPr>
                  <w:tcW w:w="635" w:type="dxa"/>
                  <w:noWrap w:val="0"/>
                  <w:vAlign w:val="center"/>
                </w:tcPr>
                <w:p>
                  <w:pPr>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c>
                <w:tcPr>
                  <w:tcW w:w="779" w:type="dxa"/>
                  <w:noWrap/>
                  <w:vAlign w:val="center"/>
                </w:tcPr>
                <w:p>
                  <w:pPr>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vMerge w:val="restart"/>
                  <w:noWrap w:val="0"/>
                  <w:vAlign w:val="center"/>
                </w:tcPr>
                <w:p>
                  <w:pPr>
                    <w:pStyle w:val="157"/>
                    <w:spacing w:before="0"/>
                    <w:ind w:left="0" w:leftChars="0"/>
                    <w:rPr>
                      <w:rFonts w:hint="default" w:ascii="Times New Roman" w:hAnsi="Times New Roman" w:cs="Times New Roman"/>
                      <w:bCs/>
                      <w:color w:val="auto"/>
                      <w:sz w:val="21"/>
                      <w:szCs w:val="21"/>
                    </w:rPr>
                  </w:pPr>
                  <w:r>
                    <w:rPr>
                      <w:rFonts w:hint="default" w:ascii="Times New Roman" w:hAnsi="Times New Roman" w:eastAsia="宋体" w:cs="Times New Roman"/>
                      <w:bCs/>
                      <w:color w:val="auto"/>
                      <w:sz w:val="21"/>
                      <w:szCs w:val="21"/>
                      <w:lang w:val="en-US" w:eastAsia="zh-CN"/>
                    </w:rPr>
                    <w:t>G2-膨化炉废气</w:t>
                  </w:r>
                </w:p>
              </w:tc>
              <w:tc>
                <w:tcPr>
                  <w:tcW w:w="1379" w:type="dxa"/>
                  <w:vMerge w:val="restart"/>
                  <w:noWrap w:val="0"/>
                  <w:vAlign w:val="center"/>
                </w:tcPr>
                <w:p>
                  <w:pPr>
                    <w:pStyle w:val="157"/>
                    <w:spacing w:before="0"/>
                    <w:ind w:left="0" w:leftChars="0"/>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rPr>
                    <w:t>1号膨化炉产生的天然气燃烧废气</w:t>
                  </w:r>
                </w:p>
              </w:tc>
              <w:tc>
                <w:tcPr>
                  <w:tcW w:w="908" w:type="dxa"/>
                  <w:vMerge w:val="continue"/>
                  <w:noWrap w:val="0"/>
                  <w:vAlign w:val="center"/>
                </w:tcPr>
                <w:p>
                  <w:pPr>
                    <w:jc w:val="center"/>
                    <w:rPr>
                      <w:rFonts w:hint="default" w:ascii="Times New Roman" w:hAnsi="Times New Roman" w:cs="Times New Roman"/>
                      <w:color w:val="auto"/>
                      <w:sz w:val="21"/>
                      <w:szCs w:val="21"/>
                    </w:rPr>
                  </w:pPr>
                </w:p>
              </w:tc>
              <w:tc>
                <w:tcPr>
                  <w:tcW w:w="908"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69" w:type="dxa"/>
                  <w:noWrap w:val="0"/>
                  <w:vAlign w:val="center"/>
                </w:tcPr>
                <w:p>
                  <w:pPr>
                    <w:pStyle w:val="157"/>
                    <w:spacing w:before="0"/>
                    <w:ind w:left="0" w:leftChars="0"/>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颗粒物</w:t>
                  </w:r>
                </w:p>
              </w:tc>
              <w:tc>
                <w:tcPr>
                  <w:tcW w:w="725" w:type="dxa"/>
                  <w:noWrap w:val="0"/>
                  <w:vAlign w:val="center"/>
                </w:tcPr>
                <w:p>
                  <w:pPr>
                    <w:pStyle w:val="157"/>
                    <w:spacing w:before="0"/>
                    <w:ind w:left="0" w:leftChars="0"/>
                    <w:rPr>
                      <w:rFonts w:hint="default" w:ascii="Times New Roman" w:hAnsi="Times New Roman" w:eastAsia="仿宋" w:cs="Times New Roman"/>
                      <w:color w:val="auto"/>
                      <w:sz w:val="21"/>
                      <w:szCs w:val="21"/>
                      <w:lang w:val="en-US" w:eastAsia="zh-CN" w:bidi="ar"/>
                    </w:rPr>
                  </w:pPr>
                  <w:r>
                    <w:rPr>
                      <w:rFonts w:hint="default" w:ascii="Times New Roman" w:hAnsi="Times New Roman" w:eastAsia="宋体" w:cs="Times New Roman"/>
                      <w:bCs/>
                      <w:color w:val="auto"/>
                      <w:kern w:val="2"/>
                      <w:sz w:val="21"/>
                      <w:szCs w:val="21"/>
                      <w:lang w:val="en-US" w:eastAsia="zh-CN" w:bidi="ar-SA"/>
                    </w:rPr>
                    <w:t>0.0117</w:t>
                  </w:r>
                </w:p>
              </w:tc>
              <w:tc>
                <w:tcPr>
                  <w:tcW w:w="73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0.0022</w:t>
                  </w:r>
                </w:p>
              </w:tc>
              <w:tc>
                <w:tcPr>
                  <w:tcW w:w="74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89"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100</w:t>
                  </w:r>
                  <w:r>
                    <w:rPr>
                      <w:rFonts w:hint="default" w:ascii="Times New Roman" w:hAnsi="Times New Roman" w:cs="Times New Roman"/>
                      <w:color w:val="auto"/>
                      <w:sz w:val="21"/>
                      <w:szCs w:val="21"/>
                    </w:rPr>
                    <w:t>%</w:t>
                  </w:r>
                </w:p>
              </w:tc>
              <w:tc>
                <w:tcPr>
                  <w:tcW w:w="1300" w:type="dxa"/>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管道收集+</w:t>
                  </w:r>
                  <w:r>
                    <w:rPr>
                      <w:rFonts w:hint="default" w:ascii="Times New Roman" w:hAnsi="Times New Roman" w:eastAsia="宋体" w:cs="Times New Roman"/>
                      <w:b w:val="0"/>
                      <w:bCs/>
                      <w:color w:val="auto"/>
                      <w:kern w:val="2"/>
                      <w:sz w:val="21"/>
                      <w:szCs w:val="21"/>
                      <w:lang w:val="en-US" w:eastAsia="zh-CN" w:bidi="ar-SA"/>
                    </w:rPr>
                    <w:t>布袋除尘器+碱喷淋</w:t>
                  </w:r>
                </w:p>
              </w:tc>
              <w:tc>
                <w:tcPr>
                  <w:tcW w:w="72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p>
              </w:tc>
              <w:tc>
                <w:tcPr>
                  <w:tcW w:w="83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p>
              </w:tc>
              <w:tc>
                <w:tcPr>
                  <w:tcW w:w="731" w:type="dxa"/>
                  <w:noWrap w:val="0"/>
                  <w:vAlign w:val="center"/>
                </w:tcPr>
                <w:p>
                  <w:pPr>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auto"/>
                      <w:sz w:val="21"/>
                      <w:szCs w:val="21"/>
                      <w:lang w:bidi="ar"/>
                    </w:rPr>
                    <w:t>0.000</w:t>
                  </w:r>
                  <w:r>
                    <w:rPr>
                      <w:rFonts w:hint="default" w:ascii="Times New Roman" w:hAnsi="Times New Roman" w:cs="Times New Roman"/>
                      <w:color w:val="auto"/>
                      <w:sz w:val="21"/>
                      <w:szCs w:val="21"/>
                      <w:lang w:val="en-US" w:eastAsia="zh-CN" w:bidi="ar"/>
                    </w:rPr>
                    <w:t>1</w:t>
                  </w:r>
                </w:p>
              </w:tc>
              <w:tc>
                <w:tcPr>
                  <w:tcW w:w="80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0.000</w:t>
                  </w:r>
                  <w:r>
                    <w:rPr>
                      <w:rFonts w:hint="default" w:ascii="Times New Roman" w:hAnsi="Times New Roman" w:cs="Times New Roman"/>
                      <w:color w:val="auto"/>
                      <w:sz w:val="21"/>
                      <w:szCs w:val="21"/>
                      <w:lang w:val="en-US" w:eastAsia="zh-CN"/>
                    </w:rPr>
                    <w:t>02</w:t>
                  </w:r>
                </w:p>
              </w:tc>
              <w:tc>
                <w:tcPr>
                  <w:tcW w:w="73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c>
                <w:tcPr>
                  <w:tcW w:w="59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p>
              </w:tc>
              <w:tc>
                <w:tcPr>
                  <w:tcW w:w="63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c>
                <w:tcPr>
                  <w:tcW w:w="779" w:type="dxa"/>
                  <w:noWrap/>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vMerge w:val="continue"/>
                  <w:noWrap w:val="0"/>
                  <w:vAlign w:val="center"/>
                </w:tcPr>
                <w:p>
                  <w:pPr>
                    <w:jc w:val="center"/>
                    <w:rPr>
                      <w:rFonts w:hint="default" w:ascii="Times New Roman" w:hAnsi="Times New Roman" w:cs="Times New Roman"/>
                      <w:bCs/>
                      <w:color w:val="auto"/>
                      <w:sz w:val="21"/>
                      <w:szCs w:val="21"/>
                    </w:rPr>
                  </w:pPr>
                </w:p>
              </w:tc>
              <w:tc>
                <w:tcPr>
                  <w:tcW w:w="1379" w:type="dxa"/>
                  <w:vMerge w:val="continue"/>
                  <w:noWrap w:val="0"/>
                  <w:vAlign w:val="center"/>
                </w:tcPr>
                <w:p>
                  <w:pPr>
                    <w:jc w:val="center"/>
                    <w:rPr>
                      <w:rFonts w:hint="default" w:ascii="Times New Roman" w:hAnsi="Times New Roman" w:cs="Times New Roman"/>
                      <w:color w:val="auto"/>
                      <w:sz w:val="21"/>
                      <w:szCs w:val="21"/>
                    </w:rPr>
                  </w:pPr>
                </w:p>
              </w:tc>
              <w:tc>
                <w:tcPr>
                  <w:tcW w:w="908" w:type="dxa"/>
                  <w:vMerge w:val="continue"/>
                  <w:noWrap w:val="0"/>
                  <w:vAlign w:val="center"/>
                </w:tcPr>
                <w:p>
                  <w:pPr>
                    <w:jc w:val="center"/>
                    <w:rPr>
                      <w:rFonts w:hint="default" w:ascii="Times New Roman" w:hAnsi="Times New Roman" w:cs="Times New Roman"/>
                      <w:color w:val="auto"/>
                      <w:sz w:val="21"/>
                      <w:szCs w:val="21"/>
                    </w:rPr>
                  </w:pPr>
                </w:p>
              </w:tc>
              <w:tc>
                <w:tcPr>
                  <w:tcW w:w="908" w:type="dxa"/>
                  <w:vMerge w:val="continue"/>
                  <w:noWrap w:val="0"/>
                  <w:vAlign w:val="center"/>
                </w:tcPr>
                <w:p>
                  <w:pPr>
                    <w:jc w:val="center"/>
                    <w:rPr>
                      <w:rFonts w:hint="default" w:ascii="Times New Roman" w:hAnsi="Times New Roman" w:cs="Times New Roman"/>
                      <w:color w:val="auto"/>
                      <w:sz w:val="21"/>
                      <w:szCs w:val="21"/>
                    </w:rPr>
                  </w:pPr>
                </w:p>
              </w:tc>
              <w:tc>
                <w:tcPr>
                  <w:tcW w:w="869" w:type="dxa"/>
                  <w:noWrap w:val="0"/>
                  <w:vAlign w:val="center"/>
                </w:tcPr>
                <w:p>
                  <w:pPr>
                    <w:pStyle w:val="157"/>
                    <w:spacing w:before="0"/>
                    <w:ind w:left="0" w:leftChars="0"/>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rPr>
                    <w:t>二氧化硫</w:t>
                  </w:r>
                </w:p>
              </w:tc>
              <w:tc>
                <w:tcPr>
                  <w:tcW w:w="725" w:type="dxa"/>
                  <w:noWrap w:val="0"/>
                  <w:vAlign w:val="center"/>
                </w:tcPr>
                <w:p>
                  <w:pPr>
                    <w:pStyle w:val="157"/>
                    <w:spacing w:before="0"/>
                    <w:ind w:left="0" w:leftChars="0"/>
                    <w:rPr>
                      <w:rFonts w:hint="default" w:ascii="Times New Roman" w:hAnsi="Times New Roman" w:cs="Times New Roman"/>
                      <w:color w:val="auto"/>
                      <w:sz w:val="21"/>
                      <w:szCs w:val="21"/>
                      <w:lang w:bidi="ar"/>
                    </w:rPr>
                  </w:pPr>
                  <w:r>
                    <w:rPr>
                      <w:rFonts w:hint="default" w:ascii="Times New Roman" w:hAnsi="Times New Roman" w:eastAsia="宋体" w:cs="Times New Roman"/>
                      <w:bCs/>
                      <w:color w:val="auto"/>
                      <w:kern w:val="2"/>
                      <w:sz w:val="21"/>
                      <w:szCs w:val="21"/>
                      <w:lang w:val="en-US" w:eastAsia="zh-CN" w:bidi="ar-SA"/>
                    </w:rPr>
                    <w:t>0.0225</w:t>
                  </w:r>
                </w:p>
              </w:tc>
              <w:tc>
                <w:tcPr>
                  <w:tcW w:w="73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0.0043</w:t>
                  </w:r>
                </w:p>
              </w:tc>
              <w:tc>
                <w:tcPr>
                  <w:tcW w:w="74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89" w:type="dxa"/>
                  <w:vMerge w:val="continue"/>
                  <w:noWrap w:val="0"/>
                  <w:vAlign w:val="center"/>
                </w:tcPr>
                <w:p>
                  <w:pPr>
                    <w:jc w:val="center"/>
                    <w:rPr>
                      <w:rFonts w:hint="default" w:ascii="Times New Roman" w:hAnsi="Times New Roman" w:cs="Times New Roman"/>
                      <w:color w:val="auto"/>
                      <w:sz w:val="21"/>
                      <w:szCs w:val="21"/>
                    </w:rPr>
                  </w:pPr>
                </w:p>
              </w:tc>
              <w:tc>
                <w:tcPr>
                  <w:tcW w:w="1300" w:type="dxa"/>
                  <w:vMerge w:val="continue"/>
                  <w:noWrap w:val="0"/>
                  <w:vAlign w:val="center"/>
                </w:tcPr>
                <w:p>
                  <w:pPr>
                    <w:jc w:val="center"/>
                    <w:rPr>
                      <w:rFonts w:hint="default" w:ascii="Times New Roman" w:hAnsi="Times New Roman" w:cs="Times New Roman"/>
                      <w:color w:val="auto"/>
                      <w:kern w:val="0"/>
                      <w:sz w:val="21"/>
                      <w:szCs w:val="21"/>
                      <w:lang w:bidi="ar"/>
                    </w:rPr>
                  </w:pPr>
                </w:p>
              </w:tc>
              <w:tc>
                <w:tcPr>
                  <w:tcW w:w="72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p>
              </w:tc>
              <w:tc>
                <w:tcPr>
                  <w:tcW w:w="83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p>
              </w:tc>
              <w:tc>
                <w:tcPr>
                  <w:tcW w:w="731" w:type="dxa"/>
                  <w:noWrap w:val="0"/>
                  <w:vAlign w:val="center"/>
                </w:tcPr>
                <w:p>
                  <w:pPr>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cs="Times New Roman"/>
                      <w:color w:val="auto"/>
                      <w:sz w:val="21"/>
                      <w:szCs w:val="21"/>
                      <w:lang w:bidi="ar"/>
                    </w:rPr>
                    <w:t>0.0</w:t>
                  </w:r>
                  <w:r>
                    <w:rPr>
                      <w:rFonts w:hint="default" w:ascii="Times New Roman" w:hAnsi="Times New Roman" w:cs="Times New Roman"/>
                      <w:color w:val="auto"/>
                      <w:sz w:val="21"/>
                      <w:szCs w:val="21"/>
                      <w:lang w:val="en-US" w:eastAsia="zh-CN" w:bidi="ar"/>
                    </w:rPr>
                    <w:t>023</w:t>
                  </w:r>
                </w:p>
              </w:tc>
              <w:tc>
                <w:tcPr>
                  <w:tcW w:w="80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0.00</w:t>
                  </w:r>
                  <w:r>
                    <w:rPr>
                      <w:rFonts w:hint="default" w:ascii="Times New Roman" w:hAnsi="Times New Roman" w:cs="Times New Roman"/>
                      <w:color w:val="auto"/>
                      <w:sz w:val="21"/>
                      <w:szCs w:val="21"/>
                      <w:lang w:val="en-US" w:eastAsia="zh-CN"/>
                    </w:rPr>
                    <w:t>04</w:t>
                  </w:r>
                </w:p>
              </w:tc>
              <w:tc>
                <w:tcPr>
                  <w:tcW w:w="737" w:type="dxa"/>
                  <w:noWrap w:val="0"/>
                  <w:vAlign w:val="center"/>
                </w:tcPr>
                <w:p>
                  <w:pPr>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c>
                <w:tcPr>
                  <w:tcW w:w="59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p>
              </w:tc>
              <w:tc>
                <w:tcPr>
                  <w:tcW w:w="635" w:type="dxa"/>
                  <w:noWrap w:val="0"/>
                  <w:vAlign w:val="center"/>
                </w:tcPr>
                <w:p>
                  <w:pPr>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c>
                <w:tcPr>
                  <w:tcW w:w="779" w:type="dxa"/>
                  <w:noWrap/>
                  <w:vAlign w:val="center"/>
                </w:tcPr>
                <w:p>
                  <w:pPr>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vMerge w:val="continue"/>
                  <w:noWrap w:val="0"/>
                  <w:vAlign w:val="center"/>
                </w:tcPr>
                <w:p>
                  <w:pPr>
                    <w:jc w:val="center"/>
                    <w:rPr>
                      <w:rFonts w:hint="default" w:ascii="Times New Roman" w:hAnsi="Times New Roman" w:cs="Times New Roman"/>
                      <w:bCs/>
                      <w:color w:val="auto"/>
                      <w:sz w:val="21"/>
                      <w:szCs w:val="21"/>
                    </w:rPr>
                  </w:pPr>
                </w:p>
              </w:tc>
              <w:tc>
                <w:tcPr>
                  <w:tcW w:w="1379" w:type="dxa"/>
                  <w:vMerge w:val="continue"/>
                  <w:noWrap w:val="0"/>
                  <w:vAlign w:val="center"/>
                </w:tcPr>
                <w:p>
                  <w:pPr>
                    <w:jc w:val="center"/>
                    <w:rPr>
                      <w:rFonts w:hint="default" w:ascii="Times New Roman" w:hAnsi="Times New Roman" w:cs="Times New Roman"/>
                      <w:color w:val="auto"/>
                      <w:sz w:val="21"/>
                      <w:szCs w:val="21"/>
                    </w:rPr>
                  </w:pPr>
                </w:p>
              </w:tc>
              <w:tc>
                <w:tcPr>
                  <w:tcW w:w="908" w:type="dxa"/>
                  <w:vMerge w:val="continue"/>
                  <w:noWrap w:val="0"/>
                  <w:vAlign w:val="center"/>
                </w:tcPr>
                <w:p>
                  <w:pPr>
                    <w:jc w:val="center"/>
                    <w:rPr>
                      <w:rFonts w:hint="default" w:ascii="Times New Roman" w:hAnsi="Times New Roman" w:cs="Times New Roman"/>
                      <w:color w:val="auto"/>
                      <w:sz w:val="21"/>
                      <w:szCs w:val="21"/>
                    </w:rPr>
                  </w:pPr>
                </w:p>
              </w:tc>
              <w:tc>
                <w:tcPr>
                  <w:tcW w:w="908" w:type="dxa"/>
                  <w:vMerge w:val="continue"/>
                  <w:noWrap w:val="0"/>
                  <w:vAlign w:val="center"/>
                </w:tcPr>
                <w:p>
                  <w:pPr>
                    <w:jc w:val="center"/>
                    <w:rPr>
                      <w:rFonts w:hint="default" w:ascii="Times New Roman" w:hAnsi="Times New Roman" w:cs="Times New Roman"/>
                      <w:color w:val="auto"/>
                      <w:sz w:val="21"/>
                      <w:szCs w:val="21"/>
                    </w:rPr>
                  </w:pPr>
                </w:p>
              </w:tc>
              <w:tc>
                <w:tcPr>
                  <w:tcW w:w="869" w:type="dxa"/>
                  <w:noWrap w:val="0"/>
                  <w:vAlign w:val="center"/>
                </w:tcPr>
                <w:p>
                  <w:pPr>
                    <w:pStyle w:val="157"/>
                    <w:spacing w:before="0"/>
                    <w:ind w:left="0" w:leftChars="0"/>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rPr>
                    <w:t>氮氧化物</w:t>
                  </w:r>
                </w:p>
              </w:tc>
              <w:tc>
                <w:tcPr>
                  <w:tcW w:w="725" w:type="dxa"/>
                  <w:noWrap w:val="0"/>
                  <w:vAlign w:val="center"/>
                </w:tcPr>
                <w:p>
                  <w:pPr>
                    <w:pStyle w:val="157"/>
                    <w:spacing w:before="0"/>
                    <w:ind w:left="0" w:leftChars="0"/>
                    <w:rPr>
                      <w:rFonts w:hint="default" w:ascii="Times New Roman" w:hAnsi="Times New Roman" w:cs="Times New Roman"/>
                      <w:color w:val="auto"/>
                      <w:sz w:val="21"/>
                      <w:szCs w:val="21"/>
                      <w:lang w:bidi="ar"/>
                    </w:rPr>
                  </w:pPr>
                  <w:r>
                    <w:rPr>
                      <w:rFonts w:hint="default" w:ascii="Times New Roman" w:hAnsi="Times New Roman" w:eastAsia="宋体" w:cs="Times New Roman"/>
                      <w:bCs/>
                      <w:color w:val="auto"/>
                      <w:kern w:val="2"/>
                      <w:sz w:val="21"/>
                      <w:szCs w:val="21"/>
                      <w:lang w:val="en-US" w:eastAsia="zh-CN" w:bidi="ar-SA"/>
                    </w:rPr>
                    <w:t>0.0784</w:t>
                  </w:r>
                </w:p>
              </w:tc>
              <w:tc>
                <w:tcPr>
                  <w:tcW w:w="73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0.0148</w:t>
                  </w:r>
                </w:p>
              </w:tc>
              <w:tc>
                <w:tcPr>
                  <w:tcW w:w="74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89" w:type="dxa"/>
                  <w:vMerge w:val="continue"/>
                  <w:noWrap w:val="0"/>
                  <w:vAlign w:val="center"/>
                </w:tcPr>
                <w:p>
                  <w:pPr>
                    <w:jc w:val="center"/>
                    <w:rPr>
                      <w:rFonts w:hint="default" w:ascii="Times New Roman" w:hAnsi="Times New Roman" w:cs="Times New Roman"/>
                      <w:color w:val="auto"/>
                      <w:sz w:val="21"/>
                      <w:szCs w:val="21"/>
                    </w:rPr>
                  </w:pPr>
                </w:p>
              </w:tc>
              <w:tc>
                <w:tcPr>
                  <w:tcW w:w="1300" w:type="dxa"/>
                  <w:vMerge w:val="continue"/>
                  <w:noWrap w:val="0"/>
                  <w:vAlign w:val="center"/>
                </w:tcPr>
                <w:p>
                  <w:pPr>
                    <w:jc w:val="center"/>
                    <w:rPr>
                      <w:rFonts w:hint="default" w:ascii="Times New Roman" w:hAnsi="Times New Roman" w:cs="Times New Roman"/>
                      <w:color w:val="auto"/>
                      <w:kern w:val="0"/>
                      <w:sz w:val="21"/>
                      <w:szCs w:val="21"/>
                      <w:lang w:bidi="ar"/>
                    </w:rPr>
                  </w:pPr>
                </w:p>
              </w:tc>
              <w:tc>
                <w:tcPr>
                  <w:tcW w:w="72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p>
              </w:tc>
              <w:tc>
                <w:tcPr>
                  <w:tcW w:w="83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p>
              </w:tc>
              <w:tc>
                <w:tcPr>
                  <w:tcW w:w="731" w:type="dxa"/>
                  <w:noWrap w:val="0"/>
                  <w:vAlign w:val="center"/>
                </w:tcPr>
                <w:p>
                  <w:pPr>
                    <w:pStyle w:val="157"/>
                    <w:spacing w:before="0"/>
                    <w:ind w:left="0" w:leftChars="0"/>
                    <w:rPr>
                      <w:rFonts w:hint="default" w:ascii="Times New Roman" w:hAnsi="Times New Roman" w:cs="Times New Roman"/>
                      <w:color w:val="auto"/>
                      <w:sz w:val="21"/>
                      <w:szCs w:val="21"/>
                      <w:lang w:bidi="ar"/>
                    </w:rPr>
                  </w:pPr>
                  <w:r>
                    <w:rPr>
                      <w:rFonts w:hint="default" w:ascii="Times New Roman" w:hAnsi="Times New Roman" w:eastAsia="宋体" w:cs="Times New Roman"/>
                      <w:bCs/>
                      <w:color w:val="auto"/>
                      <w:kern w:val="2"/>
                      <w:sz w:val="21"/>
                      <w:szCs w:val="21"/>
                      <w:lang w:val="en-US" w:eastAsia="zh-CN" w:bidi="ar-SA"/>
                    </w:rPr>
                    <w:t>0.0784</w:t>
                  </w:r>
                </w:p>
              </w:tc>
              <w:tc>
                <w:tcPr>
                  <w:tcW w:w="80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0.0148</w:t>
                  </w:r>
                </w:p>
              </w:tc>
              <w:tc>
                <w:tcPr>
                  <w:tcW w:w="737" w:type="dxa"/>
                  <w:noWrap w:val="0"/>
                  <w:vAlign w:val="center"/>
                </w:tcPr>
                <w:p>
                  <w:pPr>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c>
                <w:tcPr>
                  <w:tcW w:w="59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635" w:type="dxa"/>
                  <w:noWrap w:val="0"/>
                  <w:vAlign w:val="center"/>
                </w:tcPr>
                <w:p>
                  <w:pPr>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c>
                <w:tcPr>
                  <w:tcW w:w="779" w:type="dxa"/>
                  <w:noWrap/>
                  <w:vAlign w:val="center"/>
                </w:tcPr>
                <w:p>
                  <w:pPr>
                    <w:jc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vMerge w:val="continue"/>
                  <w:noWrap w:val="0"/>
                  <w:vAlign w:val="center"/>
                </w:tcPr>
                <w:p>
                  <w:pPr>
                    <w:pStyle w:val="157"/>
                    <w:spacing w:before="0"/>
                    <w:ind w:left="0" w:leftChars="0"/>
                    <w:rPr>
                      <w:rFonts w:hint="default" w:ascii="Times New Roman" w:hAnsi="Times New Roman" w:cs="Times New Roman"/>
                      <w:bCs/>
                      <w:color w:val="auto"/>
                      <w:sz w:val="21"/>
                      <w:szCs w:val="21"/>
                    </w:rPr>
                  </w:pPr>
                </w:p>
              </w:tc>
              <w:tc>
                <w:tcPr>
                  <w:tcW w:w="1379" w:type="dxa"/>
                  <w:noWrap w:val="0"/>
                  <w:vAlign w:val="center"/>
                </w:tcPr>
                <w:p>
                  <w:pPr>
                    <w:pStyle w:val="157"/>
                    <w:spacing w:before="0"/>
                    <w:ind w:left="0" w:leftChars="0"/>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rPr>
                    <w:t>1号膨化炉产生的膨化废气</w:t>
                  </w:r>
                </w:p>
              </w:tc>
              <w:tc>
                <w:tcPr>
                  <w:tcW w:w="908" w:type="dxa"/>
                  <w:vMerge w:val="continue"/>
                  <w:noWrap w:val="0"/>
                  <w:vAlign w:val="center"/>
                </w:tcPr>
                <w:p>
                  <w:pPr>
                    <w:jc w:val="center"/>
                    <w:rPr>
                      <w:rFonts w:hint="default" w:ascii="Times New Roman" w:hAnsi="Times New Roman" w:cs="Times New Roman"/>
                      <w:color w:val="auto"/>
                      <w:sz w:val="21"/>
                      <w:szCs w:val="21"/>
                    </w:rPr>
                  </w:pPr>
                </w:p>
              </w:tc>
              <w:tc>
                <w:tcPr>
                  <w:tcW w:w="908" w:type="dxa"/>
                  <w:vMerge w:val="continue"/>
                  <w:noWrap w:val="0"/>
                  <w:vAlign w:val="center"/>
                </w:tcPr>
                <w:p>
                  <w:pPr>
                    <w:jc w:val="center"/>
                    <w:rPr>
                      <w:rFonts w:hint="default" w:ascii="Times New Roman" w:hAnsi="Times New Roman" w:cs="Times New Roman"/>
                      <w:color w:val="auto"/>
                      <w:sz w:val="21"/>
                      <w:szCs w:val="21"/>
                    </w:rPr>
                  </w:pPr>
                </w:p>
              </w:tc>
              <w:tc>
                <w:tcPr>
                  <w:tcW w:w="869" w:type="dxa"/>
                  <w:noWrap w:val="0"/>
                  <w:vAlign w:val="center"/>
                </w:tcPr>
                <w:p>
                  <w:pPr>
                    <w:pStyle w:val="157"/>
                    <w:spacing w:before="0"/>
                    <w:ind w:left="0" w:leftChars="0"/>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rPr>
                    <w:t>二氧化硫</w:t>
                  </w:r>
                </w:p>
              </w:tc>
              <w:tc>
                <w:tcPr>
                  <w:tcW w:w="725" w:type="dxa"/>
                  <w:noWrap w:val="0"/>
                  <w:vAlign w:val="center"/>
                </w:tcPr>
                <w:p>
                  <w:pPr>
                    <w:pStyle w:val="157"/>
                    <w:spacing w:before="0"/>
                    <w:ind w:left="0" w:leftChars="0"/>
                    <w:rPr>
                      <w:rFonts w:hint="default" w:ascii="Times New Roman" w:hAnsi="Times New Roman" w:eastAsia="仿宋" w:cs="Times New Roman"/>
                      <w:color w:val="auto"/>
                      <w:sz w:val="21"/>
                      <w:szCs w:val="21"/>
                      <w:lang w:val="en-US" w:eastAsia="zh-CN" w:bidi="ar"/>
                    </w:rPr>
                  </w:pPr>
                  <w:r>
                    <w:rPr>
                      <w:rFonts w:hint="default" w:ascii="Times New Roman" w:hAnsi="Times New Roman" w:eastAsia="宋体" w:cs="Times New Roman"/>
                      <w:bCs/>
                      <w:color w:val="auto"/>
                      <w:sz w:val="21"/>
                      <w:szCs w:val="21"/>
                      <w:lang w:val="en-US" w:eastAsia="zh-CN"/>
                    </w:rPr>
                    <w:t>19.1608</w:t>
                  </w:r>
                </w:p>
              </w:tc>
              <w:tc>
                <w:tcPr>
                  <w:tcW w:w="731"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3.6289</w:t>
                  </w:r>
                </w:p>
              </w:tc>
              <w:tc>
                <w:tcPr>
                  <w:tcW w:w="74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89" w:type="dxa"/>
                  <w:vMerge w:val="continue"/>
                  <w:noWrap w:val="0"/>
                  <w:vAlign w:val="center"/>
                </w:tcPr>
                <w:p>
                  <w:pPr>
                    <w:jc w:val="center"/>
                    <w:rPr>
                      <w:rFonts w:hint="default" w:ascii="Times New Roman" w:hAnsi="Times New Roman" w:cs="Times New Roman"/>
                      <w:color w:val="auto"/>
                      <w:sz w:val="21"/>
                      <w:szCs w:val="21"/>
                    </w:rPr>
                  </w:pPr>
                </w:p>
              </w:tc>
              <w:tc>
                <w:tcPr>
                  <w:tcW w:w="1300" w:type="dxa"/>
                  <w:vMerge w:val="continue"/>
                  <w:noWrap w:val="0"/>
                  <w:vAlign w:val="center"/>
                </w:tcPr>
                <w:p>
                  <w:pPr>
                    <w:jc w:val="center"/>
                    <w:rPr>
                      <w:rFonts w:hint="default" w:ascii="Times New Roman" w:hAnsi="Times New Roman" w:cs="Times New Roman"/>
                      <w:color w:val="auto"/>
                      <w:sz w:val="21"/>
                      <w:szCs w:val="21"/>
                    </w:rPr>
                  </w:pPr>
                </w:p>
              </w:tc>
              <w:tc>
                <w:tcPr>
                  <w:tcW w:w="72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p>
              </w:tc>
              <w:tc>
                <w:tcPr>
                  <w:tcW w:w="83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p>
              </w:tc>
              <w:tc>
                <w:tcPr>
                  <w:tcW w:w="731" w:type="dxa"/>
                  <w:noWrap w:val="0"/>
                  <w:vAlign w:val="center"/>
                </w:tcPr>
                <w:p>
                  <w:pPr>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1.9161</w:t>
                  </w:r>
                </w:p>
              </w:tc>
              <w:tc>
                <w:tcPr>
                  <w:tcW w:w="80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0.3629</w:t>
                  </w:r>
                </w:p>
              </w:tc>
              <w:tc>
                <w:tcPr>
                  <w:tcW w:w="73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c>
                <w:tcPr>
                  <w:tcW w:w="59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p>
              </w:tc>
              <w:tc>
                <w:tcPr>
                  <w:tcW w:w="63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c>
                <w:tcPr>
                  <w:tcW w:w="779" w:type="dxa"/>
                  <w:noWrap/>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noWrap w:val="0"/>
                  <w:vAlign w:val="center"/>
                </w:tcPr>
                <w:p>
                  <w:pPr>
                    <w:pStyle w:val="157"/>
                    <w:spacing w:before="0"/>
                    <w:ind w:left="0" w:leftChars="0"/>
                    <w:rPr>
                      <w:rFonts w:hint="default" w:ascii="Times New Roman" w:hAnsi="Times New Roman" w:cs="Times New Roman"/>
                      <w:bCs/>
                      <w:color w:val="auto"/>
                      <w:sz w:val="21"/>
                      <w:szCs w:val="21"/>
                    </w:rPr>
                  </w:pPr>
                  <w:r>
                    <w:rPr>
                      <w:rFonts w:hint="default" w:ascii="Times New Roman" w:hAnsi="Times New Roman" w:eastAsia="宋体" w:cs="Times New Roman"/>
                      <w:bCs/>
                      <w:color w:val="auto"/>
                      <w:sz w:val="21"/>
                      <w:szCs w:val="21"/>
                      <w:lang w:val="en-US" w:eastAsia="zh-CN"/>
                    </w:rPr>
                    <w:t>G3-分级粉尘</w:t>
                  </w:r>
                </w:p>
              </w:tc>
              <w:tc>
                <w:tcPr>
                  <w:tcW w:w="1379" w:type="dxa"/>
                  <w:noWrap w:val="0"/>
                  <w:vAlign w:val="center"/>
                </w:tcPr>
                <w:p>
                  <w:pPr>
                    <w:pStyle w:val="157"/>
                    <w:spacing w:before="0"/>
                    <w:ind w:left="0" w:leftChars="0"/>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 w:val="21"/>
                      <w:szCs w:val="21"/>
                      <w:lang w:val="en-US" w:eastAsia="zh-CN"/>
                    </w:rPr>
                    <w:t>1号</w:t>
                  </w:r>
                  <w:r>
                    <w:rPr>
                      <w:rFonts w:hint="default" w:ascii="Times New Roman" w:hAnsi="Times New Roman" w:eastAsia="宋体" w:cs="Times New Roman"/>
                      <w:color w:val="auto"/>
                      <w:kern w:val="0"/>
                      <w:sz w:val="21"/>
                      <w:szCs w:val="21"/>
                      <w:lang w:bidi="ar"/>
                    </w:rPr>
                    <w:t>物料分级系统</w:t>
                  </w:r>
                  <w:r>
                    <w:rPr>
                      <w:rFonts w:hint="default" w:ascii="Times New Roman" w:hAnsi="Times New Roman" w:eastAsia="宋体" w:cs="Times New Roman"/>
                      <w:color w:val="auto"/>
                      <w:kern w:val="0"/>
                      <w:sz w:val="21"/>
                      <w:szCs w:val="21"/>
                      <w:lang w:val="en-US" w:eastAsia="zh-CN" w:bidi="ar"/>
                    </w:rPr>
                    <w:t>产生的</w:t>
                  </w:r>
                  <w:r>
                    <w:rPr>
                      <w:rFonts w:hint="default" w:ascii="Times New Roman" w:hAnsi="Times New Roman" w:eastAsia="宋体" w:cs="Times New Roman"/>
                      <w:bCs/>
                      <w:color w:val="auto"/>
                      <w:sz w:val="21"/>
                      <w:szCs w:val="21"/>
                      <w:lang w:val="en-US" w:eastAsia="zh-CN"/>
                    </w:rPr>
                    <w:t>粉尘</w:t>
                  </w:r>
                </w:p>
              </w:tc>
              <w:tc>
                <w:tcPr>
                  <w:tcW w:w="908" w:type="dxa"/>
                  <w:vMerge w:val="continue"/>
                  <w:noWrap w:val="0"/>
                  <w:vAlign w:val="center"/>
                </w:tcPr>
                <w:p>
                  <w:pPr>
                    <w:jc w:val="center"/>
                    <w:rPr>
                      <w:rFonts w:hint="default" w:ascii="Times New Roman" w:hAnsi="Times New Roman" w:cs="Times New Roman"/>
                      <w:color w:val="auto"/>
                      <w:sz w:val="21"/>
                      <w:szCs w:val="21"/>
                    </w:rPr>
                  </w:pPr>
                </w:p>
              </w:tc>
              <w:tc>
                <w:tcPr>
                  <w:tcW w:w="908"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69"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颗粒物</w:t>
                  </w:r>
                </w:p>
              </w:tc>
              <w:tc>
                <w:tcPr>
                  <w:tcW w:w="725" w:type="dxa"/>
                  <w:noWrap w:val="0"/>
                  <w:vAlign w:val="center"/>
                </w:tcPr>
                <w:p>
                  <w:pPr>
                    <w:pStyle w:val="157"/>
                    <w:spacing w:before="0"/>
                    <w:ind w:left="0" w:leftChars="0"/>
                    <w:rPr>
                      <w:rFonts w:hint="default" w:ascii="Times New Roman" w:hAnsi="Times New Roman" w:cs="Times New Roman"/>
                      <w:color w:val="auto"/>
                      <w:sz w:val="21"/>
                      <w:szCs w:val="21"/>
                      <w:lang w:val="en-US" w:bidi="ar"/>
                    </w:rPr>
                  </w:pPr>
                  <w:r>
                    <w:rPr>
                      <w:rFonts w:hint="default" w:ascii="Times New Roman" w:hAnsi="Times New Roman" w:eastAsia="宋体" w:cs="Times New Roman"/>
                      <w:b w:val="0"/>
                      <w:bCs/>
                      <w:color w:val="auto"/>
                      <w:sz w:val="21"/>
                      <w:szCs w:val="21"/>
                      <w:lang w:val="en-US" w:eastAsia="zh-CN"/>
                    </w:rPr>
                    <w:t>0.7922</w:t>
                  </w:r>
                </w:p>
              </w:tc>
              <w:tc>
                <w:tcPr>
                  <w:tcW w:w="731"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color w:val="auto"/>
                      <w:sz w:val="21"/>
                      <w:szCs w:val="21"/>
                      <w:lang w:val="en-US" w:eastAsia="zh-CN"/>
                    </w:rPr>
                    <w:t>0.6002</w:t>
                  </w:r>
                </w:p>
              </w:tc>
              <w:tc>
                <w:tcPr>
                  <w:tcW w:w="74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689"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100</w:t>
                  </w:r>
                  <w:r>
                    <w:rPr>
                      <w:rFonts w:hint="default" w:ascii="Times New Roman" w:hAnsi="Times New Roman" w:cs="Times New Roman"/>
                      <w:color w:val="auto"/>
                      <w:sz w:val="21"/>
                      <w:szCs w:val="21"/>
                    </w:rPr>
                    <w:t>%</w:t>
                  </w:r>
                </w:p>
              </w:tc>
              <w:tc>
                <w:tcPr>
                  <w:tcW w:w="130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管道</w:t>
                  </w:r>
                  <w:r>
                    <w:rPr>
                      <w:rFonts w:hint="default" w:ascii="Times New Roman" w:hAnsi="Times New Roman" w:cs="Times New Roman"/>
                      <w:color w:val="auto"/>
                      <w:kern w:val="0"/>
                      <w:sz w:val="21"/>
                      <w:szCs w:val="21"/>
                      <w:lang w:val="en-US" w:eastAsia="zh-CN" w:bidi="ar"/>
                    </w:rPr>
                    <w:t>收集+</w:t>
                  </w:r>
                  <w:r>
                    <w:rPr>
                      <w:rFonts w:hint="default" w:ascii="Times New Roman" w:hAnsi="Times New Roman" w:eastAsia="宋体" w:cs="Times New Roman"/>
                      <w:b w:val="0"/>
                      <w:bCs/>
                      <w:color w:val="auto"/>
                      <w:kern w:val="2"/>
                      <w:sz w:val="21"/>
                      <w:szCs w:val="21"/>
                      <w:lang w:val="en-US" w:eastAsia="zh-CN" w:bidi="ar-SA"/>
                    </w:rPr>
                    <w:t>布袋除尘器+碱喷淋</w:t>
                  </w:r>
                </w:p>
              </w:tc>
              <w:tc>
                <w:tcPr>
                  <w:tcW w:w="72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p>
              </w:tc>
              <w:tc>
                <w:tcPr>
                  <w:tcW w:w="83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p>
              </w:tc>
              <w:tc>
                <w:tcPr>
                  <w:tcW w:w="731" w:type="dxa"/>
                  <w:noWrap w:val="0"/>
                  <w:vAlign w:val="center"/>
                </w:tcPr>
                <w:p>
                  <w:pPr>
                    <w:pStyle w:val="73"/>
                    <w:spacing w:line="240" w:lineRule="auto"/>
                    <w:ind w:left="-105" w:leftChars="-50" w:right="-105" w:rightChars="-50"/>
                    <w:rPr>
                      <w:rFonts w:hint="default" w:ascii="Times New Roman" w:hAnsi="Times New Roman" w:eastAsia="宋体" w:cs="Times New Roman"/>
                      <w:b w:val="0"/>
                      <w:bCs/>
                      <w:color w:val="auto"/>
                      <w:sz w:val="21"/>
                      <w:szCs w:val="21"/>
                      <w:lang w:val="en-US" w:eastAsia="zh-CN" w:bidi="ar"/>
                    </w:rPr>
                  </w:pPr>
                  <w:r>
                    <w:rPr>
                      <w:rFonts w:hint="default" w:ascii="Times New Roman" w:hAnsi="Times New Roman" w:eastAsia="宋体" w:cs="Times New Roman"/>
                      <w:b w:val="0"/>
                      <w:bCs/>
                      <w:color w:val="auto"/>
                      <w:sz w:val="21"/>
                      <w:szCs w:val="21"/>
                      <w:lang w:val="en-US" w:eastAsia="zh-CN" w:bidi="ar"/>
                    </w:rPr>
                    <w:t>0.0079</w:t>
                  </w:r>
                </w:p>
              </w:tc>
              <w:tc>
                <w:tcPr>
                  <w:tcW w:w="800" w:type="dxa"/>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0.0060</w:t>
                  </w:r>
                </w:p>
              </w:tc>
              <w:tc>
                <w:tcPr>
                  <w:tcW w:w="73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c>
                <w:tcPr>
                  <w:tcW w:w="59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p>
              </w:tc>
              <w:tc>
                <w:tcPr>
                  <w:tcW w:w="63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c>
                <w:tcPr>
                  <w:tcW w:w="779" w:type="dxa"/>
                  <w:noWrap/>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2276" w:type="dxa"/>
                  <w:gridSpan w:val="2"/>
                  <w:vMerge w:val="restart"/>
                  <w:noWrap w:val="0"/>
                  <w:vAlign w:val="center"/>
                </w:tcPr>
                <w:p>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合计</w:t>
                  </w:r>
                </w:p>
              </w:tc>
              <w:tc>
                <w:tcPr>
                  <w:tcW w:w="908" w:type="dxa"/>
                  <w:vMerge w:val="restart"/>
                  <w:noWrap w:val="0"/>
                  <w:vAlign w:val="center"/>
                </w:tcPr>
                <w:p>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DA001</w:t>
                  </w:r>
                </w:p>
              </w:tc>
              <w:tc>
                <w:tcPr>
                  <w:tcW w:w="908" w:type="dxa"/>
                  <w:vMerge w:val="restart"/>
                  <w:noWrap w:val="0"/>
                  <w:vAlign w:val="center"/>
                </w:tcPr>
                <w:p>
                  <w:pPr>
                    <w:jc w:val="center"/>
                    <w:rPr>
                      <w:rFonts w:hint="default" w:ascii="Times New Roman" w:hAnsi="Times New Roman" w:cs="Times New Roman"/>
                      <w:b/>
                      <w:bCs w:val="0"/>
                      <w:color w:val="auto"/>
                      <w:kern w:val="0"/>
                      <w:sz w:val="21"/>
                      <w:szCs w:val="21"/>
                      <w:lang w:bidi="ar"/>
                    </w:rPr>
                  </w:pPr>
                  <w:r>
                    <w:rPr>
                      <w:rFonts w:hint="default" w:ascii="Times New Roman" w:hAnsi="Times New Roman" w:cs="Times New Roman"/>
                      <w:b/>
                      <w:bCs w:val="0"/>
                      <w:color w:val="auto"/>
                      <w:kern w:val="0"/>
                      <w:sz w:val="21"/>
                      <w:szCs w:val="21"/>
                      <w:lang w:val="en-US" w:eastAsia="zh-CN" w:bidi="ar"/>
                    </w:rPr>
                    <w:t>50</w:t>
                  </w:r>
                  <w:r>
                    <w:rPr>
                      <w:rFonts w:hint="default" w:ascii="Times New Roman" w:hAnsi="Times New Roman" w:cs="Times New Roman"/>
                      <w:b/>
                      <w:bCs w:val="0"/>
                      <w:color w:val="auto"/>
                      <w:kern w:val="0"/>
                      <w:sz w:val="21"/>
                      <w:szCs w:val="21"/>
                      <w:lang w:bidi="ar"/>
                    </w:rPr>
                    <w:t>00</w:t>
                  </w:r>
                </w:p>
              </w:tc>
              <w:tc>
                <w:tcPr>
                  <w:tcW w:w="869" w:type="dxa"/>
                  <w:noWrap w:val="0"/>
                  <w:vAlign w:val="center"/>
                </w:tcPr>
                <w:p>
                  <w:pPr>
                    <w:pStyle w:val="157"/>
                    <w:spacing w:before="0"/>
                    <w:ind w:left="0" w:leftChars="0"/>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颗粒物</w:t>
                  </w:r>
                </w:p>
              </w:tc>
              <w:tc>
                <w:tcPr>
                  <w:tcW w:w="725" w:type="dxa"/>
                  <w:noWrap w:val="0"/>
                  <w:vAlign w:val="center"/>
                </w:tcPr>
                <w:p>
                  <w:pPr>
                    <w:pStyle w:val="157"/>
                    <w:spacing w:before="0"/>
                    <w:ind w:left="0"/>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1.1697</w:t>
                  </w:r>
                </w:p>
              </w:tc>
              <w:tc>
                <w:tcPr>
                  <w:tcW w:w="731" w:type="dxa"/>
                  <w:noWrap w:val="0"/>
                  <w:vAlign w:val="center"/>
                </w:tcPr>
                <w:p>
                  <w:pPr>
                    <w:jc w:val="center"/>
                    <w:rPr>
                      <w:rFonts w:hint="default" w:ascii="Times New Roman" w:hAnsi="Times New Roman" w:eastAsia="宋体" w:cs="Times New Roman"/>
                      <w:b/>
                      <w:bCs w:val="0"/>
                      <w:color w:val="auto"/>
                      <w:sz w:val="21"/>
                      <w:szCs w:val="21"/>
                      <w:lang w:val="en-US" w:eastAsia="zh-CN" w:bidi="ar"/>
                    </w:rPr>
                  </w:pPr>
                  <w:r>
                    <w:rPr>
                      <w:rFonts w:hint="default" w:ascii="Times New Roman" w:hAnsi="Times New Roman" w:eastAsia="宋体" w:cs="Times New Roman"/>
                      <w:b/>
                      <w:bCs w:val="0"/>
                      <w:color w:val="auto"/>
                      <w:sz w:val="21"/>
                      <w:szCs w:val="21"/>
                      <w:lang w:val="en-US" w:eastAsia="zh-CN" w:bidi="ar"/>
                    </w:rPr>
                    <w:t>0.8795</w:t>
                  </w:r>
                </w:p>
              </w:tc>
              <w:tc>
                <w:tcPr>
                  <w:tcW w:w="743" w:type="dxa"/>
                  <w:noWrap w:val="0"/>
                  <w:vAlign w:val="center"/>
                </w:tcPr>
                <w:p>
                  <w:pPr>
                    <w:jc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175.9</w:t>
                  </w:r>
                </w:p>
              </w:tc>
              <w:tc>
                <w:tcPr>
                  <w:tcW w:w="689" w:type="dxa"/>
                  <w:noWrap w:val="0"/>
                  <w:vAlign w:val="center"/>
                </w:tcPr>
                <w:p>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bidi="ar"/>
                    </w:rPr>
                    <w:t>/</w:t>
                  </w:r>
                </w:p>
              </w:tc>
              <w:tc>
                <w:tcPr>
                  <w:tcW w:w="1300" w:type="dxa"/>
                  <w:noWrap w:val="0"/>
                  <w:vAlign w:val="center"/>
                </w:tcPr>
                <w:p>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bidi="ar"/>
                    </w:rPr>
                    <w:t>/</w:t>
                  </w:r>
                </w:p>
              </w:tc>
              <w:tc>
                <w:tcPr>
                  <w:tcW w:w="725" w:type="dxa"/>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kern w:val="0"/>
                      <w:sz w:val="21"/>
                      <w:szCs w:val="21"/>
                      <w:lang w:val="en-US" w:eastAsia="zh-CN" w:bidi="ar"/>
                    </w:rPr>
                    <w:t>0.0732</w:t>
                  </w:r>
                </w:p>
              </w:tc>
              <w:tc>
                <w:tcPr>
                  <w:tcW w:w="833" w:type="dxa"/>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kern w:val="0"/>
                      <w:sz w:val="21"/>
                      <w:szCs w:val="21"/>
                      <w:lang w:val="en-US" w:eastAsia="zh-CN" w:bidi="ar"/>
                    </w:rPr>
                    <w:t>0.0554</w:t>
                  </w:r>
                </w:p>
              </w:tc>
              <w:tc>
                <w:tcPr>
                  <w:tcW w:w="731" w:type="dxa"/>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0.0109</w:t>
                  </w:r>
                </w:p>
              </w:tc>
              <w:tc>
                <w:tcPr>
                  <w:tcW w:w="800" w:type="dxa"/>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0.00822</w:t>
                  </w:r>
                </w:p>
              </w:tc>
              <w:tc>
                <w:tcPr>
                  <w:tcW w:w="73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1.644</w:t>
                  </w:r>
                </w:p>
              </w:tc>
              <w:tc>
                <w:tcPr>
                  <w:tcW w:w="593"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9</w:t>
                  </w:r>
                  <w:r>
                    <w:rPr>
                      <w:rFonts w:hint="default" w:ascii="Times New Roman" w:hAnsi="Times New Roman" w:cs="Times New Roman"/>
                      <w:b/>
                      <w:bCs/>
                      <w:color w:val="auto"/>
                      <w:sz w:val="21"/>
                      <w:szCs w:val="21"/>
                      <w:lang w:val="en-US" w:eastAsia="zh-CN"/>
                    </w:rPr>
                    <w:t>9</w:t>
                  </w:r>
                  <w:r>
                    <w:rPr>
                      <w:rFonts w:hint="default" w:ascii="Times New Roman" w:hAnsi="Times New Roman" w:cs="Times New Roman"/>
                      <w:b/>
                      <w:bCs/>
                      <w:color w:val="auto"/>
                      <w:sz w:val="21"/>
                      <w:szCs w:val="21"/>
                    </w:rPr>
                    <w:t>%</w:t>
                  </w:r>
                </w:p>
              </w:tc>
              <w:tc>
                <w:tcPr>
                  <w:tcW w:w="635" w:type="dxa"/>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bidi="ar"/>
                    </w:rPr>
                    <w:t>/</w:t>
                  </w:r>
                </w:p>
              </w:tc>
              <w:tc>
                <w:tcPr>
                  <w:tcW w:w="779" w:type="dxa"/>
                  <w:noWrap/>
                  <w:vAlign w:val="center"/>
                </w:tcPr>
                <w:p>
                  <w:pPr>
                    <w:pStyle w:val="189"/>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2276" w:type="dxa"/>
                  <w:gridSpan w:val="2"/>
                  <w:vMerge w:val="continue"/>
                  <w:noWrap w:val="0"/>
                  <w:vAlign w:val="center"/>
                </w:tcPr>
                <w:p>
                  <w:pPr>
                    <w:jc w:val="center"/>
                    <w:rPr>
                      <w:rFonts w:hint="default" w:ascii="Times New Roman" w:hAnsi="Times New Roman" w:cs="Times New Roman"/>
                      <w:b/>
                      <w:bCs w:val="0"/>
                      <w:color w:val="auto"/>
                      <w:sz w:val="21"/>
                      <w:szCs w:val="21"/>
                    </w:rPr>
                  </w:pPr>
                </w:p>
              </w:tc>
              <w:tc>
                <w:tcPr>
                  <w:tcW w:w="908" w:type="dxa"/>
                  <w:vMerge w:val="continue"/>
                  <w:noWrap w:val="0"/>
                  <w:vAlign w:val="center"/>
                </w:tcPr>
                <w:p>
                  <w:pPr>
                    <w:jc w:val="center"/>
                    <w:rPr>
                      <w:rFonts w:hint="default" w:ascii="Times New Roman" w:hAnsi="Times New Roman" w:cs="Times New Roman"/>
                      <w:b/>
                      <w:bCs w:val="0"/>
                      <w:color w:val="auto"/>
                      <w:sz w:val="21"/>
                      <w:szCs w:val="21"/>
                    </w:rPr>
                  </w:pPr>
                </w:p>
              </w:tc>
              <w:tc>
                <w:tcPr>
                  <w:tcW w:w="908" w:type="dxa"/>
                  <w:vMerge w:val="continue"/>
                  <w:noWrap w:val="0"/>
                  <w:vAlign w:val="center"/>
                </w:tcPr>
                <w:p>
                  <w:pPr>
                    <w:jc w:val="center"/>
                    <w:rPr>
                      <w:rFonts w:hint="default" w:ascii="Times New Roman" w:hAnsi="Times New Roman" w:cs="Times New Roman"/>
                      <w:b/>
                      <w:bCs w:val="0"/>
                      <w:color w:val="auto"/>
                      <w:kern w:val="0"/>
                      <w:sz w:val="21"/>
                      <w:szCs w:val="21"/>
                      <w:lang w:bidi="ar"/>
                    </w:rPr>
                  </w:pPr>
                </w:p>
              </w:tc>
              <w:tc>
                <w:tcPr>
                  <w:tcW w:w="869" w:type="dxa"/>
                  <w:noWrap w:val="0"/>
                  <w:vAlign w:val="center"/>
                </w:tcPr>
                <w:p>
                  <w:pPr>
                    <w:pStyle w:val="157"/>
                    <w:spacing w:before="0"/>
                    <w:ind w:left="0" w:leftChars="0"/>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二氧化硫</w:t>
                  </w:r>
                </w:p>
              </w:tc>
              <w:tc>
                <w:tcPr>
                  <w:tcW w:w="725" w:type="dxa"/>
                  <w:noWrap w:val="0"/>
                  <w:vAlign w:val="center"/>
                </w:tcPr>
                <w:p>
                  <w:pPr>
                    <w:pStyle w:val="157"/>
                    <w:spacing w:before="0"/>
                    <w:ind w:left="0" w:leftChars="0"/>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19.1833</w:t>
                  </w:r>
                </w:p>
              </w:tc>
              <w:tc>
                <w:tcPr>
                  <w:tcW w:w="731" w:type="dxa"/>
                  <w:noWrap w:val="0"/>
                  <w:vAlign w:val="center"/>
                </w:tcPr>
                <w:p>
                  <w:pPr>
                    <w:pStyle w:val="157"/>
                    <w:spacing w:before="0"/>
                    <w:ind w:left="0" w:leftChars="0"/>
                    <w:rPr>
                      <w:rFonts w:hint="default" w:ascii="Times New Roman" w:hAnsi="Times New Roman" w:eastAsia="仿宋"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3.6332</w:t>
                  </w:r>
                </w:p>
              </w:tc>
              <w:tc>
                <w:tcPr>
                  <w:tcW w:w="743" w:type="dxa"/>
                  <w:noWrap w:val="0"/>
                  <w:vAlign w:val="center"/>
                </w:tcPr>
                <w:p>
                  <w:pPr>
                    <w:jc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726.64</w:t>
                  </w:r>
                </w:p>
              </w:tc>
              <w:tc>
                <w:tcPr>
                  <w:tcW w:w="689" w:type="dxa"/>
                  <w:noWrap w:val="0"/>
                  <w:vAlign w:val="center"/>
                </w:tcPr>
                <w:p>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bidi="ar"/>
                    </w:rPr>
                    <w:t>/</w:t>
                  </w:r>
                </w:p>
              </w:tc>
              <w:tc>
                <w:tcPr>
                  <w:tcW w:w="1300" w:type="dxa"/>
                  <w:noWrap w:val="0"/>
                  <w:vAlign w:val="center"/>
                </w:tcPr>
                <w:p>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bidi="ar"/>
                    </w:rPr>
                    <w:t>/</w:t>
                  </w:r>
                </w:p>
              </w:tc>
              <w:tc>
                <w:tcPr>
                  <w:tcW w:w="725" w:type="dxa"/>
                  <w:noWrap w:val="0"/>
                  <w:vAlign w:val="center"/>
                </w:tcPr>
                <w:p>
                  <w:pPr>
                    <w:jc w:val="center"/>
                    <w:rPr>
                      <w:rFonts w:hint="default" w:ascii="Times New Roman" w:hAnsi="Times New Roman" w:eastAsia="宋体" w:cs="Times New Roman"/>
                      <w:b/>
                      <w:bCs/>
                      <w:color w:val="auto"/>
                      <w:sz w:val="21"/>
                      <w:szCs w:val="21"/>
                      <w:lang w:val="en-US"/>
                    </w:rPr>
                  </w:pPr>
                  <w:r>
                    <w:rPr>
                      <w:rFonts w:hint="default" w:ascii="Times New Roman" w:hAnsi="Times New Roman" w:cs="Times New Roman"/>
                      <w:b/>
                      <w:bCs/>
                      <w:color w:val="auto"/>
                      <w:sz w:val="21"/>
                      <w:szCs w:val="21"/>
                    </w:rPr>
                    <w:t>0</w:t>
                  </w:r>
                </w:p>
              </w:tc>
              <w:tc>
                <w:tcPr>
                  <w:tcW w:w="833"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0</w:t>
                  </w:r>
                </w:p>
              </w:tc>
              <w:tc>
                <w:tcPr>
                  <w:tcW w:w="731" w:type="dxa"/>
                  <w:noWrap w:val="0"/>
                  <w:vAlign w:val="center"/>
                </w:tcPr>
                <w:p>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1.9184</w:t>
                  </w:r>
                </w:p>
              </w:tc>
              <w:tc>
                <w:tcPr>
                  <w:tcW w:w="800" w:type="dxa"/>
                  <w:noWrap w:val="0"/>
                  <w:vAlign w:val="center"/>
                </w:tcPr>
                <w:p>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0.3633</w:t>
                  </w:r>
                </w:p>
              </w:tc>
              <w:tc>
                <w:tcPr>
                  <w:tcW w:w="737" w:type="dxa"/>
                  <w:noWrap w:val="0"/>
                  <w:vAlign w:val="center"/>
                </w:tcPr>
                <w:p>
                  <w:pPr>
                    <w:pStyle w:val="157"/>
                    <w:keepNext w:val="0"/>
                    <w:keepLines w:val="0"/>
                    <w:pageBreakBefore w:val="0"/>
                    <w:widowControl w:val="0"/>
                    <w:kinsoku/>
                    <w:wordWrap/>
                    <w:overflowPunct/>
                    <w:topLinePunct w:val="0"/>
                    <w:autoSpaceDE/>
                    <w:autoSpaceDN/>
                    <w:bidi w:val="0"/>
                    <w:adjustRightInd/>
                    <w:snapToGrid/>
                    <w:spacing w:before="0"/>
                    <w:ind w:left="0" w:leftChars="0"/>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72.66</w:t>
                  </w:r>
                </w:p>
              </w:tc>
              <w:tc>
                <w:tcPr>
                  <w:tcW w:w="593" w:type="dxa"/>
                  <w:noWrap w:val="0"/>
                  <w:vAlign w:val="center"/>
                </w:tcPr>
                <w:p>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9</w:t>
                  </w:r>
                  <w:r>
                    <w:rPr>
                      <w:rFonts w:hint="default" w:ascii="Times New Roman" w:hAnsi="Times New Roman" w:cs="Times New Roman"/>
                      <w:b/>
                      <w:bCs w:val="0"/>
                      <w:color w:val="auto"/>
                      <w:sz w:val="21"/>
                      <w:szCs w:val="21"/>
                      <w:lang w:val="en-US" w:eastAsia="zh-CN"/>
                    </w:rPr>
                    <w:t>0</w:t>
                  </w:r>
                  <w:r>
                    <w:rPr>
                      <w:rFonts w:hint="default" w:ascii="Times New Roman" w:hAnsi="Times New Roman" w:cs="Times New Roman"/>
                      <w:b/>
                      <w:bCs w:val="0"/>
                      <w:color w:val="auto"/>
                      <w:sz w:val="21"/>
                      <w:szCs w:val="21"/>
                    </w:rPr>
                    <w:t>%</w:t>
                  </w:r>
                </w:p>
              </w:tc>
              <w:tc>
                <w:tcPr>
                  <w:tcW w:w="635" w:type="dxa"/>
                  <w:noWrap w:val="0"/>
                  <w:vAlign w:val="center"/>
                </w:tcPr>
                <w:p>
                  <w:pPr>
                    <w:ind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bidi="ar"/>
                    </w:rPr>
                    <w:t>/</w:t>
                  </w:r>
                </w:p>
              </w:tc>
              <w:tc>
                <w:tcPr>
                  <w:tcW w:w="779" w:type="dxa"/>
                  <w:noWrap/>
                  <w:vAlign w:val="center"/>
                </w:tcPr>
                <w:p>
                  <w:pPr>
                    <w:pStyle w:val="189"/>
                    <w:ind w:firstLine="0" w:firstLineChars="0"/>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2276" w:type="dxa"/>
                  <w:gridSpan w:val="2"/>
                  <w:vMerge w:val="continue"/>
                  <w:noWrap w:val="0"/>
                  <w:vAlign w:val="center"/>
                </w:tcPr>
                <w:p>
                  <w:pPr>
                    <w:jc w:val="center"/>
                    <w:rPr>
                      <w:rFonts w:hint="default" w:ascii="Times New Roman" w:hAnsi="Times New Roman" w:cs="Times New Roman"/>
                      <w:b/>
                      <w:bCs w:val="0"/>
                      <w:color w:val="auto"/>
                      <w:sz w:val="21"/>
                      <w:szCs w:val="21"/>
                    </w:rPr>
                  </w:pPr>
                </w:p>
              </w:tc>
              <w:tc>
                <w:tcPr>
                  <w:tcW w:w="908" w:type="dxa"/>
                  <w:vMerge w:val="continue"/>
                  <w:noWrap w:val="0"/>
                  <w:vAlign w:val="center"/>
                </w:tcPr>
                <w:p>
                  <w:pPr>
                    <w:jc w:val="center"/>
                    <w:rPr>
                      <w:rFonts w:hint="default" w:ascii="Times New Roman" w:hAnsi="Times New Roman" w:cs="Times New Roman"/>
                      <w:b/>
                      <w:bCs w:val="0"/>
                      <w:color w:val="auto"/>
                      <w:sz w:val="21"/>
                      <w:szCs w:val="21"/>
                    </w:rPr>
                  </w:pPr>
                </w:p>
              </w:tc>
              <w:tc>
                <w:tcPr>
                  <w:tcW w:w="908" w:type="dxa"/>
                  <w:vMerge w:val="continue"/>
                  <w:noWrap w:val="0"/>
                  <w:vAlign w:val="center"/>
                </w:tcPr>
                <w:p>
                  <w:pPr>
                    <w:jc w:val="center"/>
                    <w:rPr>
                      <w:rFonts w:hint="default" w:ascii="Times New Roman" w:hAnsi="Times New Roman" w:cs="Times New Roman"/>
                      <w:b/>
                      <w:bCs w:val="0"/>
                      <w:color w:val="auto"/>
                      <w:kern w:val="0"/>
                      <w:sz w:val="21"/>
                      <w:szCs w:val="21"/>
                      <w:lang w:bidi="ar"/>
                    </w:rPr>
                  </w:pPr>
                </w:p>
              </w:tc>
              <w:tc>
                <w:tcPr>
                  <w:tcW w:w="869" w:type="dxa"/>
                  <w:noWrap w:val="0"/>
                  <w:vAlign w:val="center"/>
                </w:tcPr>
                <w:p>
                  <w:pPr>
                    <w:pStyle w:val="157"/>
                    <w:spacing w:before="0"/>
                    <w:ind w:left="0" w:leftChars="0"/>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氮氧化物</w:t>
                  </w:r>
                </w:p>
              </w:tc>
              <w:tc>
                <w:tcPr>
                  <w:tcW w:w="725" w:type="dxa"/>
                  <w:noWrap w:val="0"/>
                  <w:vAlign w:val="center"/>
                </w:tcPr>
                <w:p>
                  <w:pPr>
                    <w:pStyle w:val="157"/>
                    <w:spacing w:before="0"/>
                    <w:ind w:left="0" w:leftChars="0"/>
                    <w:rPr>
                      <w:rFonts w:hint="default" w:ascii="Times New Roman" w:hAnsi="Times New Roman" w:eastAsia="宋体" w:cs="Times New Roman"/>
                      <w:b/>
                      <w:bCs w:val="0"/>
                      <w:color w:val="auto"/>
                      <w:kern w:val="0"/>
                      <w:sz w:val="21"/>
                      <w:szCs w:val="21"/>
                      <w:lang w:val="en-US" w:bidi="ar"/>
                    </w:rPr>
                  </w:pPr>
                  <w:r>
                    <w:rPr>
                      <w:rFonts w:hint="default" w:ascii="Times New Roman" w:hAnsi="Times New Roman" w:eastAsia="宋体" w:cs="Times New Roman"/>
                      <w:b/>
                      <w:bCs w:val="0"/>
                      <w:color w:val="auto"/>
                      <w:kern w:val="2"/>
                      <w:sz w:val="21"/>
                      <w:szCs w:val="21"/>
                      <w:lang w:val="en-US" w:eastAsia="zh-CN" w:bidi="ar-SA"/>
                    </w:rPr>
                    <w:t>0.0784</w:t>
                  </w:r>
                </w:p>
              </w:tc>
              <w:tc>
                <w:tcPr>
                  <w:tcW w:w="731" w:type="dxa"/>
                  <w:noWrap w:val="0"/>
                  <w:vAlign w:val="center"/>
                </w:tcPr>
                <w:p>
                  <w:pPr>
                    <w:jc w:val="center"/>
                    <w:rPr>
                      <w:rFonts w:hint="default" w:ascii="Times New Roman" w:hAnsi="Times New Roman" w:cs="Times New Roman"/>
                      <w:b/>
                      <w:bCs w:val="0"/>
                      <w:color w:val="auto"/>
                      <w:sz w:val="21"/>
                      <w:szCs w:val="21"/>
                      <w:lang w:bidi="ar"/>
                    </w:rPr>
                  </w:pPr>
                  <w:r>
                    <w:rPr>
                      <w:rFonts w:hint="default" w:ascii="Times New Roman" w:hAnsi="Times New Roman" w:eastAsia="宋体" w:cs="Times New Roman"/>
                      <w:b/>
                      <w:bCs w:val="0"/>
                      <w:color w:val="auto"/>
                      <w:kern w:val="2"/>
                      <w:sz w:val="21"/>
                      <w:szCs w:val="21"/>
                      <w:lang w:val="en-US" w:eastAsia="zh-CN" w:bidi="ar-SA"/>
                    </w:rPr>
                    <w:t>0.0148</w:t>
                  </w:r>
                </w:p>
              </w:tc>
              <w:tc>
                <w:tcPr>
                  <w:tcW w:w="743" w:type="dxa"/>
                  <w:noWrap w:val="0"/>
                  <w:vAlign w:val="center"/>
                </w:tcPr>
                <w:p>
                  <w:pPr>
                    <w:jc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2.96</w:t>
                  </w:r>
                </w:p>
              </w:tc>
              <w:tc>
                <w:tcPr>
                  <w:tcW w:w="689" w:type="dxa"/>
                  <w:noWrap w:val="0"/>
                  <w:vAlign w:val="center"/>
                </w:tcPr>
                <w:p>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bidi="ar"/>
                    </w:rPr>
                    <w:t>/</w:t>
                  </w:r>
                </w:p>
              </w:tc>
              <w:tc>
                <w:tcPr>
                  <w:tcW w:w="1300" w:type="dxa"/>
                  <w:noWrap w:val="0"/>
                  <w:vAlign w:val="center"/>
                </w:tcPr>
                <w:p>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bidi="ar"/>
                    </w:rPr>
                    <w:t>/</w:t>
                  </w:r>
                </w:p>
              </w:tc>
              <w:tc>
                <w:tcPr>
                  <w:tcW w:w="725" w:type="dxa"/>
                  <w:noWrap w:val="0"/>
                  <w:vAlign w:val="center"/>
                </w:tcPr>
                <w:p>
                  <w:pPr>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cs="Times New Roman"/>
                      <w:b/>
                      <w:bCs/>
                      <w:color w:val="auto"/>
                      <w:sz w:val="21"/>
                      <w:szCs w:val="21"/>
                    </w:rPr>
                    <w:t>0</w:t>
                  </w:r>
                </w:p>
              </w:tc>
              <w:tc>
                <w:tcPr>
                  <w:tcW w:w="833"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0</w:t>
                  </w:r>
                </w:p>
              </w:tc>
              <w:tc>
                <w:tcPr>
                  <w:tcW w:w="731" w:type="dxa"/>
                  <w:noWrap w:val="0"/>
                  <w:vAlign w:val="center"/>
                </w:tcPr>
                <w:p>
                  <w:pPr>
                    <w:pStyle w:val="157"/>
                    <w:spacing w:before="0"/>
                    <w:ind w:left="0" w:leftChars="0"/>
                    <w:rPr>
                      <w:rFonts w:hint="default" w:ascii="Times New Roman" w:hAnsi="Times New Roman" w:eastAsia="宋体" w:cs="Times New Roman"/>
                      <w:b/>
                      <w:bCs w:val="0"/>
                      <w:color w:val="auto"/>
                      <w:sz w:val="21"/>
                      <w:szCs w:val="21"/>
                      <w:lang w:val="en-US" w:eastAsia="zh-CN" w:bidi="ar"/>
                    </w:rPr>
                  </w:pPr>
                  <w:r>
                    <w:rPr>
                      <w:rFonts w:hint="default" w:ascii="Times New Roman" w:hAnsi="Times New Roman" w:eastAsia="宋体" w:cs="Times New Roman"/>
                      <w:b/>
                      <w:bCs w:val="0"/>
                      <w:color w:val="auto"/>
                      <w:kern w:val="2"/>
                      <w:sz w:val="21"/>
                      <w:szCs w:val="21"/>
                      <w:lang w:val="en-US" w:eastAsia="zh-CN" w:bidi="ar-SA"/>
                    </w:rPr>
                    <w:t>0.0784</w:t>
                  </w:r>
                </w:p>
              </w:tc>
              <w:tc>
                <w:tcPr>
                  <w:tcW w:w="800" w:type="dxa"/>
                  <w:noWrap w:val="0"/>
                  <w:vAlign w:val="center"/>
                </w:tcPr>
                <w:p>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kern w:val="2"/>
                      <w:sz w:val="21"/>
                      <w:szCs w:val="21"/>
                      <w:lang w:val="en-US" w:eastAsia="zh-CN" w:bidi="ar-SA"/>
                    </w:rPr>
                    <w:t>0.0148</w:t>
                  </w:r>
                </w:p>
              </w:tc>
              <w:tc>
                <w:tcPr>
                  <w:tcW w:w="737" w:type="dxa"/>
                  <w:noWrap w:val="0"/>
                  <w:vAlign w:val="center"/>
                </w:tcPr>
                <w:p>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2.96</w:t>
                  </w:r>
                </w:p>
              </w:tc>
              <w:tc>
                <w:tcPr>
                  <w:tcW w:w="593" w:type="dxa"/>
                  <w:noWrap w:val="0"/>
                  <w:vAlign w:val="center"/>
                </w:tcPr>
                <w:p>
                  <w:pPr>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val="en-US" w:eastAsia="zh-CN"/>
                    </w:rPr>
                    <w:t>0</w:t>
                  </w:r>
                </w:p>
              </w:tc>
              <w:tc>
                <w:tcPr>
                  <w:tcW w:w="635" w:type="dxa"/>
                  <w:noWrap w:val="0"/>
                  <w:vAlign w:val="center"/>
                </w:tcPr>
                <w:p>
                  <w:pPr>
                    <w:ind w:firstLine="0" w:firstLineChars="0"/>
                    <w:jc w:val="center"/>
                    <w:rPr>
                      <w:rFonts w:hint="default" w:ascii="Times New Roman" w:hAnsi="Times New Roman" w:cs="Times New Roman"/>
                      <w:b/>
                      <w:bCs/>
                      <w:color w:val="auto"/>
                      <w:sz w:val="21"/>
                      <w:szCs w:val="21"/>
                      <w:lang w:val="en-US"/>
                    </w:rPr>
                  </w:pPr>
                  <w:r>
                    <w:rPr>
                      <w:rFonts w:hint="default" w:ascii="Times New Roman" w:hAnsi="Times New Roman" w:cs="Times New Roman"/>
                      <w:b/>
                      <w:bCs/>
                      <w:color w:val="auto"/>
                      <w:sz w:val="21"/>
                      <w:szCs w:val="21"/>
                      <w:lang w:bidi="ar"/>
                    </w:rPr>
                    <w:t>/</w:t>
                  </w:r>
                </w:p>
              </w:tc>
              <w:tc>
                <w:tcPr>
                  <w:tcW w:w="779" w:type="dxa"/>
                  <w:noWrap/>
                  <w:vAlign w:val="center"/>
                </w:tcPr>
                <w:p>
                  <w:pPr>
                    <w:pStyle w:val="189"/>
                    <w:ind w:firstLine="0" w:firstLineChars="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92" w:hRule="atLeast"/>
                <w:tblHeader/>
                <w:jc w:val="center"/>
              </w:trPr>
              <w:tc>
                <w:tcPr>
                  <w:tcW w:w="897" w:type="dxa"/>
                  <w:noWrap w:val="0"/>
                  <w:vAlign w:val="center"/>
                </w:tcPr>
                <w:p>
                  <w:pPr>
                    <w:pStyle w:val="157"/>
                    <w:spacing w:before="0"/>
                    <w:ind w:left="0" w:leftChars="0"/>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G4-切割粉尘</w:t>
                  </w:r>
                </w:p>
              </w:tc>
              <w:tc>
                <w:tcPr>
                  <w:tcW w:w="1379" w:type="dxa"/>
                  <w:noWrap w:val="0"/>
                  <w:vAlign w:val="center"/>
                </w:tcPr>
                <w:p>
                  <w:pPr>
                    <w:pStyle w:val="157"/>
                    <w:spacing w:before="0"/>
                    <w:ind w:left="0" w:leftChars="0"/>
                    <w:rPr>
                      <w:rFonts w:hint="default" w:ascii="Times New Roman" w:hAnsi="Times New Roman"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切割粉尘</w:t>
                  </w:r>
                </w:p>
              </w:tc>
              <w:tc>
                <w:tcPr>
                  <w:tcW w:w="908"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908"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w:t>
                  </w:r>
                </w:p>
              </w:tc>
              <w:tc>
                <w:tcPr>
                  <w:tcW w:w="869"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颗粒物</w:t>
                  </w:r>
                </w:p>
              </w:tc>
              <w:tc>
                <w:tcPr>
                  <w:tcW w:w="725" w:type="dxa"/>
                  <w:noWrap w:val="0"/>
                  <w:vAlign w:val="center"/>
                </w:tcPr>
                <w:p>
                  <w:pPr>
                    <w:jc w:val="center"/>
                    <w:rPr>
                      <w:rFonts w:hint="default" w:ascii="Times New Roman" w:hAnsi="Times New Roman" w:cs="Times New Roman"/>
                      <w:color w:val="auto"/>
                      <w:sz w:val="21"/>
                      <w:szCs w:val="21"/>
                      <w:lang w:bidi="ar"/>
                    </w:rPr>
                  </w:pPr>
                  <w:r>
                    <w:rPr>
                      <w:rFonts w:hint="default" w:ascii="Times New Roman" w:hAnsi="Times New Roman" w:cs="Times New Roman"/>
                      <w:b/>
                      <w:bCs/>
                      <w:color w:val="auto"/>
                      <w:sz w:val="21"/>
                      <w:szCs w:val="21"/>
                      <w:lang w:bidi="ar"/>
                    </w:rPr>
                    <w:t>/</w:t>
                  </w:r>
                </w:p>
              </w:tc>
              <w:tc>
                <w:tcPr>
                  <w:tcW w:w="731"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bidi="ar"/>
                    </w:rPr>
                    <w:t>/</w:t>
                  </w:r>
                </w:p>
              </w:tc>
              <w:tc>
                <w:tcPr>
                  <w:tcW w:w="74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bidi="ar"/>
                    </w:rPr>
                    <w:t>/</w:t>
                  </w:r>
                </w:p>
              </w:tc>
              <w:tc>
                <w:tcPr>
                  <w:tcW w:w="689"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bidi="ar"/>
                    </w:rPr>
                    <w:t>/</w:t>
                  </w:r>
                </w:p>
              </w:tc>
              <w:tc>
                <w:tcPr>
                  <w:tcW w:w="1300"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lang w:val="en-US" w:eastAsia="zh-CN" w:bidi="ar"/>
                    </w:rPr>
                    <w:t>无组织排放</w:t>
                  </w:r>
                </w:p>
              </w:tc>
              <w:tc>
                <w:tcPr>
                  <w:tcW w:w="72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bidi="ar"/>
                    </w:rPr>
                    <w:t>/</w:t>
                  </w:r>
                </w:p>
              </w:tc>
              <w:tc>
                <w:tcPr>
                  <w:tcW w:w="83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bidi="ar"/>
                    </w:rPr>
                    <w:t>/</w:t>
                  </w:r>
                </w:p>
              </w:tc>
              <w:tc>
                <w:tcPr>
                  <w:tcW w:w="731" w:type="dxa"/>
                  <w:noWrap w:val="0"/>
                  <w:vAlign w:val="center"/>
                </w:tcPr>
                <w:p>
                  <w:pPr>
                    <w:jc w:val="center"/>
                    <w:rPr>
                      <w:rFonts w:hint="default" w:ascii="Times New Roman" w:hAnsi="Times New Roman" w:cs="Times New Roman"/>
                      <w:color w:val="auto"/>
                      <w:sz w:val="21"/>
                      <w:szCs w:val="21"/>
                      <w:lang w:bidi="ar"/>
                    </w:rPr>
                  </w:pPr>
                  <w:r>
                    <w:rPr>
                      <w:rFonts w:hint="default" w:ascii="Times New Roman" w:hAnsi="Times New Roman" w:cs="Times New Roman"/>
                      <w:b/>
                      <w:bCs/>
                      <w:color w:val="auto"/>
                      <w:sz w:val="21"/>
                      <w:szCs w:val="21"/>
                      <w:lang w:bidi="ar"/>
                    </w:rPr>
                    <w:t>/</w:t>
                  </w:r>
                </w:p>
              </w:tc>
              <w:tc>
                <w:tcPr>
                  <w:tcW w:w="80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bidi="ar"/>
                    </w:rPr>
                    <w:t>/</w:t>
                  </w:r>
                </w:p>
              </w:tc>
              <w:tc>
                <w:tcPr>
                  <w:tcW w:w="73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bidi="ar"/>
                    </w:rPr>
                    <w:t>/</w:t>
                  </w:r>
                </w:p>
              </w:tc>
              <w:tc>
                <w:tcPr>
                  <w:tcW w:w="59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bidi="ar"/>
                    </w:rPr>
                    <w:t>/</w:t>
                  </w:r>
                </w:p>
              </w:tc>
              <w:tc>
                <w:tcPr>
                  <w:tcW w:w="63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bidi="ar"/>
                    </w:rPr>
                    <w:t>/</w:t>
                  </w:r>
                </w:p>
              </w:tc>
              <w:tc>
                <w:tcPr>
                  <w:tcW w:w="779" w:type="dxa"/>
                  <w:noWrap/>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1" w:hRule="atLeast"/>
                <w:tblHeader/>
                <w:jc w:val="center"/>
              </w:trPr>
              <w:tc>
                <w:tcPr>
                  <w:tcW w:w="897" w:type="dxa"/>
                  <w:noWrap w:val="0"/>
                  <w:vAlign w:val="center"/>
                </w:tcPr>
                <w:p>
                  <w:pPr>
                    <w:pStyle w:val="157"/>
                    <w:spacing w:before="0"/>
                    <w:ind w:left="0" w:leftChars="0"/>
                    <w:rPr>
                      <w:rFonts w:hint="default" w:ascii="Times New Roman" w:hAnsi="Times New Roman" w:cs="Times New Roman"/>
                      <w:b w:val="0"/>
                      <w:bCs w:val="0"/>
                      <w:color w:val="auto"/>
                      <w:kern w:val="0"/>
                      <w:sz w:val="21"/>
                      <w:szCs w:val="21"/>
                    </w:rPr>
                  </w:pPr>
                  <w:r>
                    <w:rPr>
                      <w:rFonts w:hint="default" w:ascii="Times New Roman" w:hAnsi="Times New Roman" w:eastAsia="宋体" w:cs="Times New Roman"/>
                      <w:bCs/>
                      <w:color w:val="auto"/>
                      <w:sz w:val="21"/>
                      <w:szCs w:val="21"/>
                      <w:lang w:val="en-US" w:eastAsia="zh-CN"/>
                    </w:rPr>
                    <w:t>G1-投料粉尘</w:t>
                  </w:r>
                </w:p>
              </w:tc>
              <w:tc>
                <w:tcPr>
                  <w:tcW w:w="1379" w:type="dxa"/>
                  <w:noWrap w:val="0"/>
                  <w:vAlign w:val="center"/>
                </w:tcPr>
                <w:p>
                  <w:pPr>
                    <w:pStyle w:val="157"/>
                    <w:spacing w:before="0"/>
                    <w:ind w:left="0" w:leftChars="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Cs/>
                      <w:color w:val="auto"/>
                      <w:sz w:val="21"/>
                      <w:szCs w:val="21"/>
                      <w:lang w:val="en-US" w:eastAsia="zh-CN"/>
                    </w:rPr>
                    <w:t>2号进料机产生的投料粉尘</w:t>
                  </w:r>
                </w:p>
              </w:tc>
              <w:tc>
                <w:tcPr>
                  <w:tcW w:w="908" w:type="dxa"/>
                  <w:vMerge w:val="restart"/>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color w:val="auto"/>
                      <w:sz w:val="21"/>
                      <w:szCs w:val="21"/>
                    </w:rPr>
                    <w:t>DA00</w:t>
                  </w:r>
                  <w:r>
                    <w:rPr>
                      <w:rFonts w:hint="default" w:ascii="Times New Roman" w:hAnsi="Times New Roman" w:cs="Times New Roman"/>
                      <w:color w:val="auto"/>
                      <w:sz w:val="21"/>
                      <w:szCs w:val="21"/>
                      <w:lang w:val="en-US" w:eastAsia="zh-CN"/>
                    </w:rPr>
                    <w:t>2</w:t>
                  </w:r>
                </w:p>
              </w:tc>
              <w:tc>
                <w:tcPr>
                  <w:tcW w:w="908"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w:t>
                  </w:r>
                </w:p>
              </w:tc>
              <w:tc>
                <w:tcPr>
                  <w:tcW w:w="869"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lang w:val="en-US" w:eastAsia="zh-CN"/>
                    </w:rPr>
                    <w:t>颗粒物</w:t>
                  </w:r>
                </w:p>
              </w:tc>
              <w:tc>
                <w:tcPr>
                  <w:tcW w:w="725" w:type="dxa"/>
                  <w:noWrap w:val="0"/>
                  <w:vAlign w:val="center"/>
                </w:tcPr>
                <w:p>
                  <w:pPr>
                    <w:pStyle w:val="157"/>
                    <w:spacing w:before="0"/>
                    <w:ind w:left="0" w:leftChars="0"/>
                    <w:rPr>
                      <w:rFonts w:hint="default" w:ascii="Times New Roman" w:hAnsi="Times New Roman" w:cs="Times New Roman"/>
                      <w:b/>
                      <w:bCs/>
                      <w:color w:val="auto"/>
                      <w:sz w:val="21"/>
                      <w:szCs w:val="21"/>
                      <w:lang w:bidi="ar"/>
                    </w:rPr>
                  </w:pPr>
                  <w:r>
                    <w:rPr>
                      <w:rFonts w:hint="default" w:ascii="Times New Roman" w:hAnsi="Times New Roman" w:eastAsia="宋体" w:cs="Times New Roman"/>
                      <w:bCs/>
                      <w:color w:val="auto"/>
                      <w:sz w:val="21"/>
                      <w:szCs w:val="21"/>
                      <w:lang w:val="en-US" w:eastAsia="zh-CN"/>
                    </w:rPr>
                    <w:t>0.3658</w:t>
                  </w:r>
                </w:p>
              </w:tc>
              <w:tc>
                <w:tcPr>
                  <w:tcW w:w="731"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eastAsia="宋体" w:cs="Times New Roman"/>
                      <w:bCs/>
                      <w:color w:val="auto"/>
                      <w:sz w:val="21"/>
                      <w:szCs w:val="21"/>
                      <w:lang w:val="en-US" w:eastAsia="zh-CN"/>
                    </w:rPr>
                    <w:t>0.2771</w:t>
                  </w:r>
                </w:p>
              </w:tc>
              <w:tc>
                <w:tcPr>
                  <w:tcW w:w="74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w:t>
                  </w:r>
                </w:p>
              </w:tc>
              <w:tc>
                <w:tcPr>
                  <w:tcW w:w="689"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val="en-US" w:eastAsia="zh-CN"/>
                    </w:rPr>
                    <w:t>80</w:t>
                  </w:r>
                  <w:r>
                    <w:rPr>
                      <w:rFonts w:hint="default" w:ascii="Times New Roman" w:hAnsi="Times New Roman" w:cs="Times New Roman"/>
                      <w:color w:val="auto"/>
                      <w:sz w:val="21"/>
                      <w:szCs w:val="21"/>
                    </w:rPr>
                    <w:t>%</w:t>
                  </w:r>
                </w:p>
              </w:tc>
              <w:tc>
                <w:tcPr>
                  <w:tcW w:w="1300"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kern w:val="0"/>
                      <w:sz w:val="21"/>
                      <w:szCs w:val="21"/>
                      <w:lang w:val="en-US" w:eastAsia="zh-CN" w:bidi="ar"/>
                    </w:rPr>
                    <w:t>集气罩收集+</w:t>
                  </w:r>
                  <w:r>
                    <w:rPr>
                      <w:rFonts w:hint="default" w:ascii="Times New Roman" w:hAnsi="Times New Roman" w:eastAsia="宋体" w:cs="Times New Roman"/>
                      <w:b w:val="0"/>
                      <w:bCs/>
                      <w:color w:val="auto"/>
                      <w:kern w:val="2"/>
                      <w:sz w:val="21"/>
                      <w:szCs w:val="21"/>
                      <w:lang w:val="en-US" w:eastAsia="zh-CN" w:bidi="ar-SA"/>
                    </w:rPr>
                    <w:t>布袋除尘器+碱喷淋</w:t>
                  </w:r>
                </w:p>
              </w:tc>
              <w:tc>
                <w:tcPr>
                  <w:tcW w:w="725"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eastAsia="宋体" w:cs="Times New Roman"/>
                      <w:color w:val="auto"/>
                      <w:kern w:val="0"/>
                      <w:sz w:val="21"/>
                      <w:szCs w:val="21"/>
                      <w:lang w:val="en-US" w:eastAsia="zh-CN" w:bidi="ar"/>
                    </w:rPr>
                    <w:t>0.0732</w:t>
                  </w:r>
                </w:p>
              </w:tc>
              <w:tc>
                <w:tcPr>
                  <w:tcW w:w="83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eastAsia="宋体" w:cs="Times New Roman"/>
                      <w:color w:val="auto"/>
                      <w:kern w:val="0"/>
                      <w:sz w:val="21"/>
                      <w:szCs w:val="21"/>
                      <w:lang w:val="en-US" w:eastAsia="zh-CN" w:bidi="ar"/>
                    </w:rPr>
                    <w:t>0.0554</w:t>
                  </w:r>
                </w:p>
              </w:tc>
              <w:tc>
                <w:tcPr>
                  <w:tcW w:w="731"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eastAsia="宋体" w:cs="Times New Roman"/>
                      <w:color w:val="auto"/>
                      <w:sz w:val="21"/>
                      <w:szCs w:val="21"/>
                      <w:lang w:val="en-US" w:eastAsia="zh-CN"/>
                    </w:rPr>
                    <w:t>0.0029</w:t>
                  </w:r>
                </w:p>
              </w:tc>
              <w:tc>
                <w:tcPr>
                  <w:tcW w:w="800"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eastAsia="宋体" w:cs="Times New Roman"/>
                      <w:color w:val="auto"/>
                      <w:sz w:val="21"/>
                      <w:szCs w:val="21"/>
                      <w:lang w:val="en-US" w:eastAsia="zh-CN"/>
                    </w:rPr>
                    <w:t>0.0022</w:t>
                  </w:r>
                </w:p>
              </w:tc>
              <w:tc>
                <w:tcPr>
                  <w:tcW w:w="73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c>
                <w:tcPr>
                  <w:tcW w:w="59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p>
              </w:tc>
              <w:tc>
                <w:tcPr>
                  <w:tcW w:w="635"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w:t>
                  </w:r>
                </w:p>
              </w:tc>
              <w:tc>
                <w:tcPr>
                  <w:tcW w:w="779" w:type="dxa"/>
                  <w:noWrap/>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vMerge w:val="restart"/>
                  <w:noWrap w:val="0"/>
                  <w:vAlign w:val="center"/>
                </w:tcPr>
                <w:p>
                  <w:pPr>
                    <w:pStyle w:val="157"/>
                    <w:spacing w:before="0"/>
                    <w:ind w:left="0" w:leftChars="0"/>
                    <w:rPr>
                      <w:rFonts w:hint="default" w:ascii="Times New Roman" w:hAnsi="Times New Roman" w:cs="Times New Roman"/>
                      <w:b w:val="0"/>
                      <w:bCs w:val="0"/>
                      <w:color w:val="auto"/>
                      <w:kern w:val="0"/>
                      <w:sz w:val="21"/>
                      <w:szCs w:val="21"/>
                    </w:rPr>
                  </w:pPr>
                  <w:r>
                    <w:rPr>
                      <w:rFonts w:hint="default" w:ascii="Times New Roman" w:hAnsi="Times New Roman" w:eastAsia="宋体" w:cs="Times New Roman"/>
                      <w:bCs/>
                      <w:color w:val="auto"/>
                      <w:sz w:val="21"/>
                      <w:szCs w:val="21"/>
                      <w:lang w:val="en-US" w:eastAsia="zh-CN"/>
                    </w:rPr>
                    <w:t>G2-膨化炉废气</w:t>
                  </w:r>
                </w:p>
              </w:tc>
              <w:tc>
                <w:tcPr>
                  <w:tcW w:w="1379" w:type="dxa"/>
                  <w:vMerge w:val="restart"/>
                  <w:noWrap w:val="0"/>
                  <w:vAlign w:val="center"/>
                </w:tcPr>
                <w:p>
                  <w:pPr>
                    <w:pStyle w:val="157"/>
                    <w:spacing w:before="0"/>
                    <w:ind w:left="0" w:leftChars="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Cs/>
                      <w:color w:val="auto"/>
                      <w:sz w:val="21"/>
                      <w:szCs w:val="21"/>
                      <w:lang w:val="en-US" w:eastAsia="zh-CN"/>
                    </w:rPr>
                    <w:t>2号膨化炉产生的天然气燃烧废气</w:t>
                  </w: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908" w:type="dxa"/>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w:t>
                  </w:r>
                </w:p>
              </w:tc>
              <w:tc>
                <w:tcPr>
                  <w:tcW w:w="869" w:type="dxa"/>
                  <w:noWrap w:val="0"/>
                  <w:vAlign w:val="center"/>
                </w:tcPr>
                <w:p>
                  <w:pPr>
                    <w:pStyle w:val="157"/>
                    <w:spacing w:before="0"/>
                    <w:ind w:left="0" w:leftChars="0"/>
                    <w:rPr>
                      <w:rFonts w:hint="default" w:ascii="Times New Roman" w:hAnsi="Times New Roman" w:cs="Times New Roman"/>
                      <w:b/>
                      <w:bCs/>
                      <w:color w:val="auto"/>
                      <w:sz w:val="21"/>
                      <w:szCs w:val="21"/>
                    </w:rPr>
                  </w:pPr>
                  <w:r>
                    <w:rPr>
                      <w:rFonts w:hint="default" w:ascii="Times New Roman" w:hAnsi="Times New Roman" w:eastAsia="宋体" w:cs="Times New Roman"/>
                      <w:bCs/>
                      <w:color w:val="auto"/>
                      <w:sz w:val="21"/>
                      <w:szCs w:val="21"/>
                      <w:lang w:val="en-US" w:eastAsia="zh-CN"/>
                    </w:rPr>
                    <w:t>颗粒物</w:t>
                  </w:r>
                </w:p>
              </w:tc>
              <w:tc>
                <w:tcPr>
                  <w:tcW w:w="725" w:type="dxa"/>
                  <w:noWrap w:val="0"/>
                  <w:vAlign w:val="center"/>
                </w:tcPr>
                <w:p>
                  <w:pPr>
                    <w:pStyle w:val="157"/>
                    <w:spacing w:before="0"/>
                    <w:ind w:left="0" w:leftChars="0"/>
                    <w:rPr>
                      <w:rFonts w:hint="default" w:ascii="Times New Roman" w:hAnsi="Times New Roman" w:cs="Times New Roman"/>
                      <w:b/>
                      <w:bCs/>
                      <w:color w:val="auto"/>
                      <w:sz w:val="21"/>
                      <w:szCs w:val="21"/>
                      <w:lang w:bidi="ar"/>
                    </w:rPr>
                  </w:pPr>
                  <w:r>
                    <w:rPr>
                      <w:rFonts w:hint="default" w:ascii="Times New Roman" w:hAnsi="Times New Roman" w:eastAsia="宋体" w:cs="Times New Roman"/>
                      <w:bCs/>
                      <w:color w:val="auto"/>
                      <w:kern w:val="2"/>
                      <w:sz w:val="21"/>
                      <w:szCs w:val="21"/>
                      <w:lang w:val="en-US" w:eastAsia="zh-CN" w:bidi="ar-SA"/>
                    </w:rPr>
                    <w:t>0.0117</w:t>
                  </w:r>
                </w:p>
              </w:tc>
              <w:tc>
                <w:tcPr>
                  <w:tcW w:w="731"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eastAsia="宋体" w:cs="Times New Roman"/>
                      <w:b w:val="0"/>
                      <w:bCs/>
                      <w:color w:val="auto"/>
                      <w:kern w:val="2"/>
                      <w:sz w:val="21"/>
                      <w:szCs w:val="21"/>
                      <w:lang w:val="en-US" w:eastAsia="zh-CN" w:bidi="ar-SA"/>
                    </w:rPr>
                    <w:t>0.0022</w:t>
                  </w:r>
                </w:p>
              </w:tc>
              <w:tc>
                <w:tcPr>
                  <w:tcW w:w="74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w:t>
                  </w:r>
                </w:p>
              </w:tc>
              <w:tc>
                <w:tcPr>
                  <w:tcW w:w="689" w:type="dxa"/>
                  <w:vMerge w:val="restart"/>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val="en-US" w:eastAsia="zh-CN"/>
                    </w:rPr>
                    <w:t>100</w:t>
                  </w:r>
                  <w:r>
                    <w:rPr>
                      <w:rFonts w:hint="default" w:ascii="Times New Roman" w:hAnsi="Times New Roman" w:cs="Times New Roman"/>
                      <w:color w:val="auto"/>
                      <w:sz w:val="21"/>
                      <w:szCs w:val="21"/>
                    </w:rPr>
                    <w:t>%</w:t>
                  </w:r>
                </w:p>
              </w:tc>
              <w:tc>
                <w:tcPr>
                  <w:tcW w:w="1300" w:type="dxa"/>
                  <w:vMerge w:val="restart"/>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val="en-US" w:eastAsia="zh-CN"/>
                    </w:rPr>
                    <w:t>管道收集+</w:t>
                  </w:r>
                  <w:r>
                    <w:rPr>
                      <w:rFonts w:hint="default" w:ascii="Times New Roman" w:hAnsi="Times New Roman" w:eastAsia="宋体" w:cs="Times New Roman"/>
                      <w:b w:val="0"/>
                      <w:bCs/>
                      <w:color w:val="auto"/>
                      <w:kern w:val="2"/>
                      <w:sz w:val="21"/>
                      <w:szCs w:val="21"/>
                      <w:lang w:val="en-US" w:eastAsia="zh-CN" w:bidi="ar-SA"/>
                    </w:rPr>
                    <w:t>布袋除尘器+碱喷淋</w:t>
                  </w:r>
                </w:p>
              </w:tc>
              <w:tc>
                <w:tcPr>
                  <w:tcW w:w="725"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0</w:t>
                  </w:r>
                </w:p>
              </w:tc>
              <w:tc>
                <w:tcPr>
                  <w:tcW w:w="83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0</w:t>
                  </w:r>
                </w:p>
              </w:tc>
              <w:tc>
                <w:tcPr>
                  <w:tcW w:w="731"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0.000</w:t>
                  </w:r>
                  <w:r>
                    <w:rPr>
                      <w:rFonts w:hint="default" w:ascii="Times New Roman" w:hAnsi="Times New Roman" w:cs="Times New Roman"/>
                      <w:color w:val="auto"/>
                      <w:sz w:val="21"/>
                      <w:szCs w:val="21"/>
                      <w:lang w:val="en-US" w:eastAsia="zh-CN" w:bidi="ar"/>
                    </w:rPr>
                    <w:t>1</w:t>
                  </w:r>
                </w:p>
              </w:tc>
              <w:tc>
                <w:tcPr>
                  <w:tcW w:w="800"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0.000</w:t>
                  </w:r>
                  <w:r>
                    <w:rPr>
                      <w:rFonts w:hint="default" w:ascii="Times New Roman" w:hAnsi="Times New Roman" w:cs="Times New Roman"/>
                      <w:color w:val="auto"/>
                      <w:sz w:val="21"/>
                      <w:szCs w:val="21"/>
                      <w:lang w:val="en-US" w:eastAsia="zh-CN"/>
                    </w:rPr>
                    <w:t>02</w:t>
                  </w:r>
                </w:p>
              </w:tc>
              <w:tc>
                <w:tcPr>
                  <w:tcW w:w="73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c>
                <w:tcPr>
                  <w:tcW w:w="59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p>
              </w:tc>
              <w:tc>
                <w:tcPr>
                  <w:tcW w:w="635"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w:t>
                  </w:r>
                </w:p>
              </w:tc>
              <w:tc>
                <w:tcPr>
                  <w:tcW w:w="779" w:type="dxa"/>
                  <w:noWrap/>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vMerge w:val="continue"/>
                  <w:noWrap w:val="0"/>
                  <w:vAlign w:val="center"/>
                </w:tcPr>
                <w:p>
                  <w:pPr>
                    <w:jc w:val="center"/>
                    <w:rPr>
                      <w:rFonts w:hint="default" w:ascii="Times New Roman" w:hAnsi="Times New Roman" w:cs="Times New Roman"/>
                      <w:b w:val="0"/>
                      <w:bCs w:val="0"/>
                      <w:color w:val="auto"/>
                      <w:kern w:val="0"/>
                      <w:sz w:val="21"/>
                      <w:szCs w:val="21"/>
                    </w:rPr>
                  </w:pPr>
                </w:p>
              </w:tc>
              <w:tc>
                <w:tcPr>
                  <w:tcW w:w="1379" w:type="dxa"/>
                  <w:vMerge w:val="continue"/>
                  <w:noWrap w:val="0"/>
                  <w:vAlign w:val="center"/>
                </w:tcPr>
                <w:p>
                  <w:pPr>
                    <w:jc w:val="center"/>
                    <w:rPr>
                      <w:rFonts w:hint="default" w:ascii="Times New Roman" w:hAnsi="Times New Roman" w:eastAsia="宋体" w:cs="Times New Roman"/>
                      <w:b w:val="0"/>
                      <w:bCs w:val="0"/>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869" w:type="dxa"/>
                  <w:noWrap w:val="0"/>
                  <w:vAlign w:val="center"/>
                </w:tcPr>
                <w:p>
                  <w:pPr>
                    <w:pStyle w:val="157"/>
                    <w:spacing w:before="0"/>
                    <w:ind w:left="0" w:leftChars="0"/>
                    <w:rPr>
                      <w:rFonts w:hint="default" w:ascii="Times New Roman" w:hAnsi="Times New Roman" w:cs="Times New Roman"/>
                      <w:b/>
                      <w:bCs/>
                      <w:color w:val="auto"/>
                      <w:sz w:val="21"/>
                      <w:szCs w:val="21"/>
                    </w:rPr>
                  </w:pPr>
                  <w:r>
                    <w:rPr>
                      <w:rFonts w:hint="default" w:ascii="Times New Roman" w:hAnsi="Times New Roman" w:eastAsia="宋体" w:cs="Times New Roman"/>
                      <w:bCs/>
                      <w:color w:val="auto"/>
                      <w:sz w:val="21"/>
                      <w:szCs w:val="21"/>
                      <w:lang w:val="en-US" w:eastAsia="zh-CN"/>
                    </w:rPr>
                    <w:t>二氧化硫</w:t>
                  </w:r>
                </w:p>
              </w:tc>
              <w:tc>
                <w:tcPr>
                  <w:tcW w:w="725" w:type="dxa"/>
                  <w:noWrap w:val="0"/>
                  <w:vAlign w:val="center"/>
                </w:tcPr>
                <w:p>
                  <w:pPr>
                    <w:pStyle w:val="157"/>
                    <w:spacing w:before="0"/>
                    <w:ind w:left="0" w:leftChars="0"/>
                    <w:rPr>
                      <w:rFonts w:hint="default" w:ascii="Times New Roman" w:hAnsi="Times New Roman" w:cs="Times New Roman"/>
                      <w:b/>
                      <w:bCs/>
                      <w:color w:val="auto"/>
                      <w:sz w:val="21"/>
                      <w:szCs w:val="21"/>
                      <w:lang w:bidi="ar"/>
                    </w:rPr>
                  </w:pPr>
                  <w:r>
                    <w:rPr>
                      <w:rFonts w:hint="default" w:ascii="Times New Roman" w:hAnsi="Times New Roman" w:eastAsia="宋体" w:cs="Times New Roman"/>
                      <w:bCs/>
                      <w:color w:val="auto"/>
                      <w:kern w:val="2"/>
                      <w:sz w:val="21"/>
                      <w:szCs w:val="21"/>
                      <w:lang w:val="en-US" w:eastAsia="zh-CN" w:bidi="ar-SA"/>
                    </w:rPr>
                    <w:t>0.0225</w:t>
                  </w:r>
                </w:p>
              </w:tc>
              <w:tc>
                <w:tcPr>
                  <w:tcW w:w="731"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eastAsia="宋体" w:cs="Times New Roman"/>
                      <w:b w:val="0"/>
                      <w:bCs/>
                      <w:color w:val="auto"/>
                      <w:kern w:val="2"/>
                      <w:sz w:val="21"/>
                      <w:szCs w:val="21"/>
                      <w:lang w:val="en-US" w:eastAsia="zh-CN" w:bidi="ar-SA"/>
                    </w:rPr>
                    <w:t>0.0043</w:t>
                  </w:r>
                </w:p>
              </w:tc>
              <w:tc>
                <w:tcPr>
                  <w:tcW w:w="74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w:t>
                  </w:r>
                </w:p>
              </w:tc>
              <w:tc>
                <w:tcPr>
                  <w:tcW w:w="689" w:type="dxa"/>
                  <w:vMerge w:val="continue"/>
                  <w:noWrap w:val="0"/>
                  <w:vAlign w:val="center"/>
                </w:tcPr>
                <w:p>
                  <w:pPr>
                    <w:jc w:val="center"/>
                    <w:rPr>
                      <w:rFonts w:hint="default" w:ascii="Times New Roman" w:hAnsi="Times New Roman" w:cs="Times New Roman"/>
                      <w:b/>
                      <w:bCs/>
                      <w:color w:val="auto"/>
                      <w:sz w:val="21"/>
                      <w:szCs w:val="21"/>
                      <w:lang w:bidi="ar"/>
                    </w:rPr>
                  </w:pPr>
                </w:p>
              </w:tc>
              <w:tc>
                <w:tcPr>
                  <w:tcW w:w="1300" w:type="dxa"/>
                  <w:vMerge w:val="continue"/>
                  <w:noWrap w:val="0"/>
                  <w:vAlign w:val="center"/>
                </w:tcPr>
                <w:p>
                  <w:pPr>
                    <w:jc w:val="center"/>
                    <w:rPr>
                      <w:rFonts w:hint="default" w:ascii="Times New Roman" w:hAnsi="Times New Roman" w:cs="Times New Roman"/>
                      <w:b/>
                      <w:bCs/>
                      <w:color w:val="auto"/>
                      <w:sz w:val="21"/>
                      <w:szCs w:val="21"/>
                      <w:lang w:bidi="ar"/>
                    </w:rPr>
                  </w:pPr>
                </w:p>
              </w:tc>
              <w:tc>
                <w:tcPr>
                  <w:tcW w:w="725"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0</w:t>
                  </w:r>
                </w:p>
              </w:tc>
              <w:tc>
                <w:tcPr>
                  <w:tcW w:w="83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0</w:t>
                  </w:r>
                </w:p>
              </w:tc>
              <w:tc>
                <w:tcPr>
                  <w:tcW w:w="731"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0.0</w:t>
                  </w:r>
                  <w:r>
                    <w:rPr>
                      <w:rFonts w:hint="default" w:ascii="Times New Roman" w:hAnsi="Times New Roman" w:cs="Times New Roman"/>
                      <w:color w:val="auto"/>
                      <w:sz w:val="21"/>
                      <w:szCs w:val="21"/>
                      <w:lang w:val="en-US" w:eastAsia="zh-CN" w:bidi="ar"/>
                    </w:rPr>
                    <w:t>023</w:t>
                  </w:r>
                </w:p>
              </w:tc>
              <w:tc>
                <w:tcPr>
                  <w:tcW w:w="800"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0.00</w:t>
                  </w:r>
                  <w:r>
                    <w:rPr>
                      <w:rFonts w:hint="default" w:ascii="Times New Roman" w:hAnsi="Times New Roman" w:cs="Times New Roman"/>
                      <w:color w:val="auto"/>
                      <w:sz w:val="21"/>
                      <w:szCs w:val="21"/>
                      <w:lang w:val="en-US" w:eastAsia="zh-CN"/>
                    </w:rPr>
                    <w:t>04</w:t>
                  </w:r>
                </w:p>
              </w:tc>
              <w:tc>
                <w:tcPr>
                  <w:tcW w:w="73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c>
                <w:tcPr>
                  <w:tcW w:w="59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p>
              </w:tc>
              <w:tc>
                <w:tcPr>
                  <w:tcW w:w="635"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w:t>
                  </w:r>
                </w:p>
              </w:tc>
              <w:tc>
                <w:tcPr>
                  <w:tcW w:w="779" w:type="dxa"/>
                  <w:noWrap/>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vMerge w:val="continue"/>
                  <w:noWrap w:val="0"/>
                  <w:vAlign w:val="center"/>
                </w:tcPr>
                <w:p>
                  <w:pPr>
                    <w:jc w:val="center"/>
                    <w:rPr>
                      <w:rFonts w:hint="default" w:ascii="Times New Roman" w:hAnsi="Times New Roman" w:cs="Times New Roman"/>
                      <w:b w:val="0"/>
                      <w:bCs w:val="0"/>
                      <w:color w:val="auto"/>
                      <w:kern w:val="0"/>
                      <w:sz w:val="21"/>
                      <w:szCs w:val="21"/>
                    </w:rPr>
                  </w:pPr>
                </w:p>
              </w:tc>
              <w:tc>
                <w:tcPr>
                  <w:tcW w:w="1379" w:type="dxa"/>
                  <w:vMerge w:val="continue"/>
                  <w:noWrap w:val="0"/>
                  <w:vAlign w:val="center"/>
                </w:tcPr>
                <w:p>
                  <w:pPr>
                    <w:jc w:val="center"/>
                    <w:rPr>
                      <w:rFonts w:hint="default" w:ascii="Times New Roman" w:hAnsi="Times New Roman" w:eastAsia="宋体" w:cs="Times New Roman"/>
                      <w:b w:val="0"/>
                      <w:bCs w:val="0"/>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869" w:type="dxa"/>
                  <w:noWrap w:val="0"/>
                  <w:vAlign w:val="center"/>
                </w:tcPr>
                <w:p>
                  <w:pPr>
                    <w:pStyle w:val="157"/>
                    <w:spacing w:before="0"/>
                    <w:ind w:left="0" w:leftChars="0"/>
                    <w:rPr>
                      <w:rFonts w:hint="default" w:ascii="Times New Roman" w:hAnsi="Times New Roman" w:cs="Times New Roman"/>
                      <w:b/>
                      <w:bCs/>
                      <w:color w:val="auto"/>
                      <w:sz w:val="21"/>
                      <w:szCs w:val="21"/>
                    </w:rPr>
                  </w:pPr>
                  <w:r>
                    <w:rPr>
                      <w:rFonts w:hint="default" w:ascii="Times New Roman" w:hAnsi="Times New Roman" w:eastAsia="宋体" w:cs="Times New Roman"/>
                      <w:bCs/>
                      <w:color w:val="auto"/>
                      <w:sz w:val="21"/>
                      <w:szCs w:val="21"/>
                      <w:lang w:val="en-US" w:eastAsia="zh-CN"/>
                    </w:rPr>
                    <w:t>氮氧化物</w:t>
                  </w:r>
                </w:p>
              </w:tc>
              <w:tc>
                <w:tcPr>
                  <w:tcW w:w="725" w:type="dxa"/>
                  <w:noWrap w:val="0"/>
                  <w:vAlign w:val="center"/>
                </w:tcPr>
                <w:p>
                  <w:pPr>
                    <w:pStyle w:val="157"/>
                    <w:spacing w:before="0"/>
                    <w:ind w:left="0" w:leftChars="0"/>
                    <w:rPr>
                      <w:rFonts w:hint="default" w:ascii="Times New Roman" w:hAnsi="Times New Roman" w:cs="Times New Roman"/>
                      <w:b/>
                      <w:bCs/>
                      <w:color w:val="auto"/>
                      <w:sz w:val="21"/>
                      <w:szCs w:val="21"/>
                      <w:lang w:bidi="ar"/>
                    </w:rPr>
                  </w:pPr>
                  <w:r>
                    <w:rPr>
                      <w:rFonts w:hint="default" w:ascii="Times New Roman" w:hAnsi="Times New Roman" w:eastAsia="宋体" w:cs="Times New Roman"/>
                      <w:bCs/>
                      <w:color w:val="auto"/>
                      <w:kern w:val="2"/>
                      <w:sz w:val="21"/>
                      <w:szCs w:val="21"/>
                      <w:lang w:val="en-US" w:eastAsia="zh-CN" w:bidi="ar-SA"/>
                    </w:rPr>
                    <w:t>0.0784</w:t>
                  </w:r>
                </w:p>
              </w:tc>
              <w:tc>
                <w:tcPr>
                  <w:tcW w:w="731"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eastAsia="宋体" w:cs="Times New Roman"/>
                      <w:b w:val="0"/>
                      <w:bCs/>
                      <w:color w:val="auto"/>
                      <w:kern w:val="2"/>
                      <w:sz w:val="21"/>
                      <w:szCs w:val="21"/>
                      <w:lang w:val="en-US" w:eastAsia="zh-CN" w:bidi="ar-SA"/>
                    </w:rPr>
                    <w:t>0.0148</w:t>
                  </w:r>
                </w:p>
              </w:tc>
              <w:tc>
                <w:tcPr>
                  <w:tcW w:w="74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w:t>
                  </w:r>
                </w:p>
              </w:tc>
              <w:tc>
                <w:tcPr>
                  <w:tcW w:w="689" w:type="dxa"/>
                  <w:vMerge w:val="continue"/>
                  <w:noWrap w:val="0"/>
                  <w:vAlign w:val="center"/>
                </w:tcPr>
                <w:p>
                  <w:pPr>
                    <w:jc w:val="center"/>
                    <w:rPr>
                      <w:rFonts w:hint="default" w:ascii="Times New Roman" w:hAnsi="Times New Roman" w:cs="Times New Roman"/>
                      <w:b/>
                      <w:bCs/>
                      <w:color w:val="auto"/>
                      <w:sz w:val="21"/>
                      <w:szCs w:val="21"/>
                      <w:lang w:bidi="ar"/>
                    </w:rPr>
                  </w:pPr>
                </w:p>
              </w:tc>
              <w:tc>
                <w:tcPr>
                  <w:tcW w:w="1300" w:type="dxa"/>
                  <w:vMerge w:val="continue"/>
                  <w:noWrap w:val="0"/>
                  <w:vAlign w:val="center"/>
                </w:tcPr>
                <w:p>
                  <w:pPr>
                    <w:jc w:val="center"/>
                    <w:rPr>
                      <w:rFonts w:hint="default" w:ascii="Times New Roman" w:hAnsi="Times New Roman" w:cs="Times New Roman"/>
                      <w:b/>
                      <w:bCs/>
                      <w:color w:val="auto"/>
                      <w:sz w:val="21"/>
                      <w:szCs w:val="21"/>
                      <w:lang w:bidi="ar"/>
                    </w:rPr>
                  </w:pPr>
                </w:p>
              </w:tc>
              <w:tc>
                <w:tcPr>
                  <w:tcW w:w="725"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0</w:t>
                  </w:r>
                </w:p>
              </w:tc>
              <w:tc>
                <w:tcPr>
                  <w:tcW w:w="83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0</w:t>
                  </w:r>
                </w:p>
              </w:tc>
              <w:tc>
                <w:tcPr>
                  <w:tcW w:w="731" w:type="dxa"/>
                  <w:noWrap w:val="0"/>
                  <w:vAlign w:val="center"/>
                </w:tcPr>
                <w:p>
                  <w:pPr>
                    <w:pStyle w:val="157"/>
                    <w:spacing w:before="0"/>
                    <w:ind w:left="0" w:leftChars="0"/>
                    <w:rPr>
                      <w:rFonts w:hint="default" w:ascii="Times New Roman" w:hAnsi="Times New Roman" w:cs="Times New Roman"/>
                      <w:b/>
                      <w:bCs/>
                      <w:color w:val="auto"/>
                      <w:sz w:val="21"/>
                      <w:szCs w:val="21"/>
                      <w:lang w:bidi="ar"/>
                    </w:rPr>
                  </w:pPr>
                  <w:r>
                    <w:rPr>
                      <w:rFonts w:hint="default" w:ascii="Times New Roman" w:hAnsi="Times New Roman" w:eastAsia="宋体" w:cs="Times New Roman"/>
                      <w:bCs/>
                      <w:color w:val="auto"/>
                      <w:kern w:val="2"/>
                      <w:sz w:val="21"/>
                      <w:szCs w:val="21"/>
                      <w:lang w:val="en-US" w:eastAsia="zh-CN" w:bidi="ar-SA"/>
                    </w:rPr>
                    <w:t>0.0784</w:t>
                  </w:r>
                </w:p>
              </w:tc>
              <w:tc>
                <w:tcPr>
                  <w:tcW w:w="800"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eastAsia="宋体" w:cs="Times New Roman"/>
                      <w:b w:val="0"/>
                      <w:bCs/>
                      <w:color w:val="auto"/>
                      <w:kern w:val="2"/>
                      <w:sz w:val="21"/>
                      <w:szCs w:val="21"/>
                      <w:lang w:val="en-US" w:eastAsia="zh-CN" w:bidi="ar-SA"/>
                    </w:rPr>
                    <w:t>0.0148</w:t>
                  </w:r>
                </w:p>
              </w:tc>
              <w:tc>
                <w:tcPr>
                  <w:tcW w:w="73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c>
                <w:tcPr>
                  <w:tcW w:w="59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val="en-US" w:eastAsia="zh-CN"/>
                    </w:rPr>
                    <w:t>0</w:t>
                  </w:r>
                </w:p>
              </w:tc>
              <w:tc>
                <w:tcPr>
                  <w:tcW w:w="635"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w:t>
                  </w:r>
                </w:p>
              </w:tc>
              <w:tc>
                <w:tcPr>
                  <w:tcW w:w="779" w:type="dxa"/>
                  <w:noWrap/>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vMerge w:val="continue"/>
                  <w:noWrap w:val="0"/>
                  <w:vAlign w:val="center"/>
                </w:tcPr>
                <w:p>
                  <w:pPr>
                    <w:pStyle w:val="157"/>
                    <w:spacing w:before="0"/>
                    <w:ind w:left="0" w:leftChars="0"/>
                    <w:rPr>
                      <w:rFonts w:hint="default" w:ascii="Times New Roman" w:hAnsi="Times New Roman" w:cs="Times New Roman"/>
                      <w:b w:val="0"/>
                      <w:bCs w:val="0"/>
                      <w:color w:val="auto"/>
                      <w:kern w:val="0"/>
                      <w:sz w:val="21"/>
                      <w:szCs w:val="21"/>
                    </w:rPr>
                  </w:pPr>
                </w:p>
              </w:tc>
              <w:tc>
                <w:tcPr>
                  <w:tcW w:w="1379" w:type="dxa"/>
                  <w:noWrap w:val="0"/>
                  <w:vAlign w:val="center"/>
                </w:tcPr>
                <w:p>
                  <w:pPr>
                    <w:pStyle w:val="157"/>
                    <w:spacing w:before="0"/>
                    <w:ind w:left="0" w:leftChars="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Cs/>
                      <w:color w:val="auto"/>
                      <w:sz w:val="21"/>
                      <w:szCs w:val="21"/>
                      <w:lang w:val="en-US" w:eastAsia="zh-CN"/>
                    </w:rPr>
                    <w:t>2号膨化炉产生的膨化废气</w:t>
                  </w: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869" w:type="dxa"/>
                  <w:noWrap w:val="0"/>
                  <w:vAlign w:val="center"/>
                </w:tcPr>
                <w:p>
                  <w:pPr>
                    <w:pStyle w:val="157"/>
                    <w:spacing w:before="0"/>
                    <w:ind w:left="0" w:leftChars="0"/>
                    <w:rPr>
                      <w:rFonts w:hint="default" w:ascii="Times New Roman" w:hAnsi="Times New Roman" w:cs="Times New Roman"/>
                      <w:b/>
                      <w:bCs/>
                      <w:color w:val="auto"/>
                      <w:sz w:val="21"/>
                      <w:szCs w:val="21"/>
                    </w:rPr>
                  </w:pPr>
                  <w:r>
                    <w:rPr>
                      <w:rFonts w:hint="default" w:ascii="Times New Roman" w:hAnsi="Times New Roman" w:eastAsia="宋体" w:cs="Times New Roman"/>
                      <w:bCs/>
                      <w:color w:val="auto"/>
                      <w:sz w:val="21"/>
                      <w:szCs w:val="21"/>
                      <w:lang w:val="en-US" w:eastAsia="zh-CN"/>
                    </w:rPr>
                    <w:t>二氧化硫</w:t>
                  </w:r>
                </w:p>
              </w:tc>
              <w:tc>
                <w:tcPr>
                  <w:tcW w:w="725" w:type="dxa"/>
                  <w:noWrap w:val="0"/>
                  <w:vAlign w:val="center"/>
                </w:tcPr>
                <w:p>
                  <w:pPr>
                    <w:pStyle w:val="157"/>
                    <w:spacing w:before="0"/>
                    <w:ind w:left="0" w:leftChars="0"/>
                    <w:rPr>
                      <w:rFonts w:hint="default" w:ascii="Times New Roman" w:hAnsi="Times New Roman" w:cs="Times New Roman"/>
                      <w:b/>
                      <w:bCs/>
                      <w:color w:val="auto"/>
                      <w:sz w:val="21"/>
                      <w:szCs w:val="21"/>
                      <w:lang w:bidi="ar"/>
                    </w:rPr>
                  </w:pPr>
                  <w:r>
                    <w:rPr>
                      <w:rFonts w:hint="default" w:ascii="Times New Roman" w:hAnsi="Times New Roman" w:eastAsia="宋体" w:cs="Times New Roman"/>
                      <w:bCs/>
                      <w:color w:val="auto"/>
                      <w:sz w:val="21"/>
                      <w:szCs w:val="21"/>
                      <w:lang w:val="en-US" w:eastAsia="zh-CN"/>
                    </w:rPr>
                    <w:t>19.1608</w:t>
                  </w:r>
                </w:p>
              </w:tc>
              <w:tc>
                <w:tcPr>
                  <w:tcW w:w="731"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eastAsia="宋体" w:cs="Times New Roman"/>
                      <w:bCs/>
                      <w:color w:val="auto"/>
                      <w:sz w:val="21"/>
                      <w:szCs w:val="21"/>
                      <w:lang w:val="en-US" w:eastAsia="zh-CN"/>
                    </w:rPr>
                    <w:t>3.6289</w:t>
                  </w:r>
                </w:p>
              </w:tc>
              <w:tc>
                <w:tcPr>
                  <w:tcW w:w="74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w:t>
                  </w:r>
                </w:p>
              </w:tc>
              <w:tc>
                <w:tcPr>
                  <w:tcW w:w="689" w:type="dxa"/>
                  <w:vMerge w:val="continue"/>
                  <w:noWrap w:val="0"/>
                  <w:vAlign w:val="center"/>
                </w:tcPr>
                <w:p>
                  <w:pPr>
                    <w:jc w:val="center"/>
                    <w:rPr>
                      <w:rFonts w:hint="default" w:ascii="Times New Roman" w:hAnsi="Times New Roman" w:cs="Times New Roman"/>
                      <w:b/>
                      <w:bCs/>
                      <w:color w:val="auto"/>
                      <w:sz w:val="21"/>
                      <w:szCs w:val="21"/>
                      <w:lang w:bidi="ar"/>
                    </w:rPr>
                  </w:pPr>
                </w:p>
              </w:tc>
              <w:tc>
                <w:tcPr>
                  <w:tcW w:w="1300" w:type="dxa"/>
                  <w:vMerge w:val="continue"/>
                  <w:noWrap w:val="0"/>
                  <w:vAlign w:val="center"/>
                </w:tcPr>
                <w:p>
                  <w:pPr>
                    <w:jc w:val="center"/>
                    <w:rPr>
                      <w:rFonts w:hint="default" w:ascii="Times New Roman" w:hAnsi="Times New Roman" w:cs="Times New Roman"/>
                      <w:b/>
                      <w:bCs/>
                      <w:color w:val="auto"/>
                      <w:sz w:val="21"/>
                      <w:szCs w:val="21"/>
                      <w:lang w:bidi="ar"/>
                    </w:rPr>
                  </w:pPr>
                </w:p>
              </w:tc>
              <w:tc>
                <w:tcPr>
                  <w:tcW w:w="725"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0</w:t>
                  </w:r>
                </w:p>
              </w:tc>
              <w:tc>
                <w:tcPr>
                  <w:tcW w:w="83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0</w:t>
                  </w:r>
                </w:p>
              </w:tc>
              <w:tc>
                <w:tcPr>
                  <w:tcW w:w="731"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eastAsia="宋体" w:cs="Times New Roman"/>
                      <w:color w:val="auto"/>
                      <w:sz w:val="21"/>
                      <w:szCs w:val="21"/>
                      <w:lang w:val="en-US" w:eastAsia="zh-CN" w:bidi="ar"/>
                    </w:rPr>
                    <w:t>1.9161</w:t>
                  </w:r>
                </w:p>
              </w:tc>
              <w:tc>
                <w:tcPr>
                  <w:tcW w:w="800"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eastAsia="宋体" w:cs="Times New Roman"/>
                      <w:color w:val="auto"/>
                      <w:sz w:val="21"/>
                      <w:szCs w:val="21"/>
                      <w:lang w:val="en-US" w:eastAsia="zh-CN"/>
                    </w:rPr>
                    <w:t>0.3629</w:t>
                  </w:r>
                </w:p>
              </w:tc>
              <w:tc>
                <w:tcPr>
                  <w:tcW w:w="73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c>
                <w:tcPr>
                  <w:tcW w:w="59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p>
              </w:tc>
              <w:tc>
                <w:tcPr>
                  <w:tcW w:w="635"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w:t>
                  </w:r>
                </w:p>
              </w:tc>
              <w:tc>
                <w:tcPr>
                  <w:tcW w:w="779" w:type="dxa"/>
                  <w:noWrap/>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897" w:type="dxa"/>
                  <w:noWrap w:val="0"/>
                  <w:vAlign w:val="center"/>
                </w:tcPr>
                <w:p>
                  <w:pPr>
                    <w:pStyle w:val="157"/>
                    <w:spacing w:before="0"/>
                    <w:ind w:left="0" w:leftChars="0"/>
                    <w:rPr>
                      <w:rFonts w:hint="default" w:ascii="Times New Roman" w:hAnsi="Times New Roman" w:cs="Times New Roman"/>
                      <w:b w:val="0"/>
                      <w:bCs/>
                      <w:color w:val="auto"/>
                      <w:kern w:val="0"/>
                      <w:sz w:val="21"/>
                      <w:szCs w:val="21"/>
                    </w:rPr>
                  </w:pPr>
                  <w:r>
                    <w:rPr>
                      <w:rFonts w:hint="default" w:ascii="Times New Roman" w:hAnsi="Times New Roman" w:eastAsia="宋体" w:cs="Times New Roman"/>
                      <w:b w:val="0"/>
                      <w:bCs/>
                      <w:color w:val="auto"/>
                      <w:sz w:val="21"/>
                      <w:szCs w:val="21"/>
                      <w:lang w:val="en-US" w:eastAsia="zh-CN"/>
                    </w:rPr>
                    <w:t>G3-分级粉尘</w:t>
                  </w:r>
                </w:p>
              </w:tc>
              <w:tc>
                <w:tcPr>
                  <w:tcW w:w="1379" w:type="dxa"/>
                  <w:noWrap w:val="0"/>
                  <w:vAlign w:val="center"/>
                </w:tcPr>
                <w:p>
                  <w:pPr>
                    <w:pStyle w:val="157"/>
                    <w:spacing w:before="0"/>
                    <w:ind w:left="0" w:left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2号</w:t>
                  </w:r>
                  <w:r>
                    <w:rPr>
                      <w:rFonts w:hint="default" w:ascii="Times New Roman" w:hAnsi="Times New Roman" w:eastAsia="宋体" w:cs="Times New Roman"/>
                      <w:color w:val="auto"/>
                      <w:kern w:val="0"/>
                      <w:sz w:val="21"/>
                      <w:szCs w:val="21"/>
                      <w:lang w:bidi="ar"/>
                    </w:rPr>
                    <w:t>物料分级系统</w:t>
                  </w:r>
                  <w:r>
                    <w:rPr>
                      <w:rFonts w:hint="default" w:ascii="Times New Roman" w:hAnsi="Times New Roman" w:eastAsia="宋体" w:cs="Times New Roman"/>
                      <w:color w:val="auto"/>
                      <w:kern w:val="0"/>
                      <w:sz w:val="21"/>
                      <w:szCs w:val="21"/>
                      <w:lang w:val="en-US" w:eastAsia="zh-CN" w:bidi="ar"/>
                    </w:rPr>
                    <w:t>产生的</w:t>
                  </w:r>
                  <w:r>
                    <w:rPr>
                      <w:rFonts w:hint="default" w:ascii="Times New Roman" w:hAnsi="Times New Roman" w:eastAsia="宋体" w:cs="Times New Roman"/>
                      <w:bCs/>
                      <w:color w:val="auto"/>
                      <w:sz w:val="21"/>
                      <w:szCs w:val="21"/>
                      <w:lang w:val="en-US" w:eastAsia="zh-CN"/>
                    </w:rPr>
                    <w:t>粉尘</w:t>
                  </w:r>
                </w:p>
              </w:tc>
              <w:tc>
                <w:tcPr>
                  <w:tcW w:w="908" w:type="dxa"/>
                  <w:vMerge w:val="continue"/>
                  <w:noWrap w:val="0"/>
                  <w:vAlign w:val="center"/>
                </w:tcPr>
                <w:p>
                  <w:pPr>
                    <w:jc w:val="center"/>
                    <w:rPr>
                      <w:rFonts w:hint="default" w:ascii="Times New Roman" w:hAnsi="Times New Roman" w:cs="Times New Roman"/>
                      <w:b w:val="0"/>
                      <w:bCs/>
                      <w:color w:val="auto"/>
                      <w:sz w:val="21"/>
                      <w:szCs w:val="21"/>
                    </w:rPr>
                  </w:pPr>
                </w:p>
              </w:tc>
              <w:tc>
                <w:tcPr>
                  <w:tcW w:w="908" w:type="dxa"/>
                  <w:noWrap w:val="0"/>
                  <w:vAlign w:val="center"/>
                </w:tcPr>
                <w:p>
                  <w:pPr>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rPr>
                    <w:t>/</w:t>
                  </w:r>
                </w:p>
              </w:tc>
              <w:tc>
                <w:tcPr>
                  <w:tcW w:w="869" w:type="dxa"/>
                  <w:noWrap w:val="0"/>
                  <w:vAlign w:val="center"/>
                </w:tcPr>
                <w:p>
                  <w:pPr>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lang w:val="en-US" w:eastAsia="zh-CN"/>
                    </w:rPr>
                    <w:t>颗粒物</w:t>
                  </w:r>
                </w:p>
              </w:tc>
              <w:tc>
                <w:tcPr>
                  <w:tcW w:w="725" w:type="dxa"/>
                  <w:noWrap w:val="0"/>
                  <w:vAlign w:val="center"/>
                </w:tcPr>
                <w:p>
                  <w:pPr>
                    <w:pStyle w:val="157"/>
                    <w:spacing w:before="0"/>
                    <w:ind w:left="0" w:leftChars="0"/>
                    <w:rPr>
                      <w:rFonts w:hint="default" w:ascii="Times New Roman" w:hAnsi="Times New Roman" w:cs="Times New Roman"/>
                      <w:b w:val="0"/>
                      <w:bCs/>
                      <w:color w:val="auto"/>
                      <w:sz w:val="21"/>
                      <w:szCs w:val="21"/>
                      <w:lang w:bidi="ar"/>
                    </w:rPr>
                  </w:pPr>
                  <w:r>
                    <w:rPr>
                      <w:rFonts w:hint="default" w:ascii="Times New Roman" w:hAnsi="Times New Roman" w:eastAsia="宋体" w:cs="Times New Roman"/>
                      <w:b w:val="0"/>
                      <w:bCs/>
                      <w:color w:val="auto"/>
                      <w:sz w:val="21"/>
                      <w:szCs w:val="21"/>
                      <w:lang w:val="en-US" w:eastAsia="zh-CN"/>
                    </w:rPr>
                    <w:t>0.7922</w:t>
                  </w:r>
                </w:p>
              </w:tc>
              <w:tc>
                <w:tcPr>
                  <w:tcW w:w="731" w:type="dxa"/>
                  <w:noWrap w:val="0"/>
                  <w:vAlign w:val="center"/>
                </w:tcPr>
                <w:p>
                  <w:pPr>
                    <w:jc w:val="center"/>
                    <w:rPr>
                      <w:rFonts w:hint="default" w:ascii="Times New Roman" w:hAnsi="Times New Roman" w:cs="Times New Roman"/>
                      <w:b w:val="0"/>
                      <w:bCs/>
                      <w:color w:val="auto"/>
                      <w:sz w:val="21"/>
                      <w:szCs w:val="21"/>
                      <w:lang w:bidi="ar"/>
                    </w:rPr>
                  </w:pPr>
                  <w:r>
                    <w:rPr>
                      <w:rFonts w:hint="default" w:ascii="Times New Roman" w:hAnsi="Times New Roman" w:eastAsia="宋体" w:cs="Times New Roman"/>
                      <w:b w:val="0"/>
                      <w:bCs/>
                      <w:color w:val="auto"/>
                      <w:sz w:val="21"/>
                      <w:szCs w:val="21"/>
                      <w:lang w:val="en-US" w:eastAsia="zh-CN"/>
                    </w:rPr>
                    <w:t>0.6002</w:t>
                  </w:r>
                </w:p>
              </w:tc>
              <w:tc>
                <w:tcPr>
                  <w:tcW w:w="743" w:type="dxa"/>
                  <w:noWrap w:val="0"/>
                  <w:vAlign w:val="center"/>
                </w:tcPr>
                <w:p>
                  <w:pPr>
                    <w:jc w:val="center"/>
                    <w:rPr>
                      <w:rFonts w:hint="default" w:ascii="Times New Roman" w:hAnsi="Times New Roman" w:cs="Times New Roman"/>
                      <w:b w:val="0"/>
                      <w:bCs/>
                      <w:color w:val="auto"/>
                      <w:sz w:val="21"/>
                      <w:szCs w:val="21"/>
                      <w:lang w:bidi="ar"/>
                    </w:rPr>
                  </w:pPr>
                  <w:r>
                    <w:rPr>
                      <w:rFonts w:hint="default" w:ascii="Times New Roman" w:hAnsi="Times New Roman" w:cs="Times New Roman"/>
                      <w:color w:val="auto"/>
                      <w:sz w:val="21"/>
                      <w:szCs w:val="21"/>
                    </w:rPr>
                    <w:t>/</w:t>
                  </w:r>
                </w:p>
              </w:tc>
              <w:tc>
                <w:tcPr>
                  <w:tcW w:w="689" w:type="dxa"/>
                  <w:noWrap w:val="0"/>
                  <w:vAlign w:val="center"/>
                </w:tcPr>
                <w:p>
                  <w:pPr>
                    <w:jc w:val="center"/>
                    <w:rPr>
                      <w:rFonts w:hint="default" w:ascii="Times New Roman" w:hAnsi="Times New Roman" w:cs="Times New Roman"/>
                      <w:b w:val="0"/>
                      <w:bCs/>
                      <w:color w:val="auto"/>
                      <w:sz w:val="21"/>
                      <w:szCs w:val="21"/>
                      <w:lang w:bidi="ar"/>
                    </w:rPr>
                  </w:pPr>
                  <w:r>
                    <w:rPr>
                      <w:rFonts w:hint="default" w:ascii="Times New Roman" w:hAnsi="Times New Roman" w:cs="Times New Roman"/>
                      <w:color w:val="auto"/>
                      <w:sz w:val="21"/>
                      <w:szCs w:val="21"/>
                      <w:lang w:val="en-US" w:eastAsia="zh-CN"/>
                    </w:rPr>
                    <w:t>100</w:t>
                  </w:r>
                  <w:r>
                    <w:rPr>
                      <w:rFonts w:hint="default" w:ascii="Times New Roman" w:hAnsi="Times New Roman" w:cs="Times New Roman"/>
                      <w:color w:val="auto"/>
                      <w:sz w:val="21"/>
                      <w:szCs w:val="21"/>
                    </w:rPr>
                    <w:t>%</w:t>
                  </w:r>
                </w:p>
              </w:tc>
              <w:tc>
                <w:tcPr>
                  <w:tcW w:w="1300" w:type="dxa"/>
                  <w:noWrap w:val="0"/>
                  <w:vAlign w:val="center"/>
                </w:tcPr>
                <w:p>
                  <w:pPr>
                    <w:jc w:val="center"/>
                    <w:rPr>
                      <w:rFonts w:hint="default" w:ascii="Times New Roman" w:hAnsi="Times New Roman" w:cs="Times New Roman"/>
                      <w:b w:val="0"/>
                      <w:bCs/>
                      <w:color w:val="auto"/>
                      <w:sz w:val="21"/>
                      <w:szCs w:val="21"/>
                      <w:lang w:bidi="ar"/>
                    </w:rPr>
                  </w:pPr>
                  <w:r>
                    <w:rPr>
                      <w:rFonts w:hint="default" w:ascii="Times New Roman" w:hAnsi="Times New Roman" w:cs="Times New Roman"/>
                      <w:color w:val="auto"/>
                      <w:sz w:val="21"/>
                      <w:szCs w:val="21"/>
                      <w:lang w:val="en-US" w:eastAsia="zh-CN"/>
                    </w:rPr>
                    <w:t>管道</w:t>
                  </w:r>
                  <w:r>
                    <w:rPr>
                      <w:rFonts w:hint="default" w:ascii="Times New Roman" w:hAnsi="Times New Roman" w:cs="Times New Roman"/>
                      <w:color w:val="auto"/>
                      <w:kern w:val="0"/>
                      <w:sz w:val="21"/>
                      <w:szCs w:val="21"/>
                      <w:lang w:val="en-US" w:eastAsia="zh-CN" w:bidi="ar"/>
                    </w:rPr>
                    <w:t>收集+</w:t>
                  </w:r>
                  <w:r>
                    <w:rPr>
                      <w:rFonts w:hint="default" w:ascii="Times New Roman" w:hAnsi="Times New Roman" w:eastAsia="宋体" w:cs="Times New Roman"/>
                      <w:b w:val="0"/>
                      <w:bCs/>
                      <w:color w:val="auto"/>
                      <w:kern w:val="2"/>
                      <w:sz w:val="21"/>
                      <w:szCs w:val="21"/>
                      <w:lang w:val="en-US" w:eastAsia="zh-CN" w:bidi="ar-SA"/>
                    </w:rPr>
                    <w:t>布袋除尘器+碱喷淋</w:t>
                  </w:r>
                </w:p>
              </w:tc>
              <w:tc>
                <w:tcPr>
                  <w:tcW w:w="725" w:type="dxa"/>
                  <w:noWrap w:val="0"/>
                  <w:vAlign w:val="center"/>
                </w:tcPr>
                <w:p>
                  <w:pPr>
                    <w:jc w:val="center"/>
                    <w:rPr>
                      <w:rFonts w:hint="default" w:ascii="Times New Roman" w:hAnsi="Times New Roman" w:cs="Times New Roman"/>
                      <w:b w:val="0"/>
                      <w:bCs/>
                      <w:color w:val="auto"/>
                      <w:sz w:val="21"/>
                      <w:szCs w:val="21"/>
                      <w:lang w:bidi="ar"/>
                    </w:rPr>
                  </w:pPr>
                  <w:r>
                    <w:rPr>
                      <w:rFonts w:hint="default" w:ascii="Times New Roman" w:hAnsi="Times New Roman" w:cs="Times New Roman"/>
                      <w:color w:val="auto"/>
                      <w:sz w:val="21"/>
                      <w:szCs w:val="21"/>
                    </w:rPr>
                    <w:t>0</w:t>
                  </w:r>
                </w:p>
              </w:tc>
              <w:tc>
                <w:tcPr>
                  <w:tcW w:w="833" w:type="dxa"/>
                  <w:noWrap w:val="0"/>
                  <w:vAlign w:val="center"/>
                </w:tcPr>
                <w:p>
                  <w:pPr>
                    <w:jc w:val="center"/>
                    <w:rPr>
                      <w:rFonts w:hint="default" w:ascii="Times New Roman" w:hAnsi="Times New Roman" w:cs="Times New Roman"/>
                      <w:b w:val="0"/>
                      <w:bCs/>
                      <w:color w:val="auto"/>
                      <w:sz w:val="21"/>
                      <w:szCs w:val="21"/>
                      <w:lang w:bidi="ar"/>
                    </w:rPr>
                  </w:pPr>
                  <w:r>
                    <w:rPr>
                      <w:rFonts w:hint="default" w:ascii="Times New Roman" w:hAnsi="Times New Roman" w:cs="Times New Roman"/>
                      <w:color w:val="auto"/>
                      <w:sz w:val="21"/>
                      <w:szCs w:val="21"/>
                    </w:rPr>
                    <w:t>0</w:t>
                  </w:r>
                </w:p>
              </w:tc>
              <w:tc>
                <w:tcPr>
                  <w:tcW w:w="731" w:type="dxa"/>
                  <w:noWrap w:val="0"/>
                  <w:vAlign w:val="center"/>
                </w:tcPr>
                <w:p>
                  <w:pPr>
                    <w:pStyle w:val="73"/>
                    <w:spacing w:line="240" w:lineRule="auto"/>
                    <w:ind w:left="-105" w:leftChars="-50" w:right="-105" w:rightChars="-50" w:firstLine="0" w:firstLineChars="0"/>
                    <w:rPr>
                      <w:rFonts w:hint="default" w:ascii="Times New Roman" w:hAnsi="Times New Roman" w:cs="Times New Roman"/>
                      <w:b w:val="0"/>
                      <w:bCs/>
                      <w:color w:val="auto"/>
                      <w:sz w:val="21"/>
                      <w:szCs w:val="21"/>
                      <w:lang w:bidi="ar"/>
                    </w:rPr>
                  </w:pPr>
                  <w:r>
                    <w:rPr>
                      <w:rFonts w:hint="default" w:ascii="Times New Roman" w:hAnsi="Times New Roman" w:eastAsia="宋体" w:cs="Times New Roman"/>
                      <w:b w:val="0"/>
                      <w:bCs/>
                      <w:color w:val="auto"/>
                      <w:sz w:val="21"/>
                      <w:szCs w:val="21"/>
                      <w:lang w:val="en-US" w:eastAsia="zh-CN" w:bidi="ar"/>
                    </w:rPr>
                    <w:t>0.0079</w:t>
                  </w:r>
                </w:p>
              </w:tc>
              <w:tc>
                <w:tcPr>
                  <w:tcW w:w="800" w:type="dxa"/>
                  <w:noWrap w:val="0"/>
                  <w:vAlign w:val="center"/>
                </w:tcPr>
                <w:p>
                  <w:pPr>
                    <w:jc w:val="center"/>
                    <w:rPr>
                      <w:rFonts w:hint="default" w:ascii="Times New Roman" w:hAnsi="Times New Roman" w:cs="Times New Roman"/>
                      <w:b w:val="0"/>
                      <w:bCs/>
                      <w:color w:val="auto"/>
                      <w:sz w:val="21"/>
                      <w:szCs w:val="21"/>
                      <w:lang w:bidi="ar"/>
                    </w:rPr>
                  </w:pPr>
                  <w:r>
                    <w:rPr>
                      <w:rFonts w:hint="default" w:ascii="Times New Roman" w:hAnsi="Times New Roman" w:eastAsia="宋体" w:cs="Times New Roman"/>
                      <w:b w:val="0"/>
                      <w:bCs/>
                      <w:color w:val="auto"/>
                      <w:sz w:val="21"/>
                      <w:szCs w:val="21"/>
                      <w:lang w:val="en-US" w:eastAsia="zh-CN"/>
                    </w:rPr>
                    <w:t>0.0060</w:t>
                  </w:r>
                </w:p>
              </w:tc>
              <w:tc>
                <w:tcPr>
                  <w:tcW w:w="737" w:type="dxa"/>
                  <w:noWrap w:val="0"/>
                  <w:vAlign w:val="center"/>
                </w:tcPr>
                <w:p>
                  <w:pPr>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lang w:bidi="ar"/>
                    </w:rPr>
                    <w:t>/</w:t>
                  </w:r>
                </w:p>
              </w:tc>
              <w:tc>
                <w:tcPr>
                  <w:tcW w:w="593" w:type="dxa"/>
                  <w:noWrap w:val="0"/>
                  <w:vAlign w:val="center"/>
                </w:tcPr>
                <w:p>
                  <w:pPr>
                    <w:jc w:val="center"/>
                    <w:rPr>
                      <w:rFonts w:hint="default" w:ascii="Times New Roman" w:hAnsi="Times New Roman" w:cs="Times New Roman"/>
                      <w:b w:val="0"/>
                      <w:bCs/>
                      <w:color w:val="auto"/>
                      <w:sz w:val="21"/>
                      <w:szCs w:val="21"/>
                      <w:lang w:bidi="ar"/>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p>
              </w:tc>
              <w:tc>
                <w:tcPr>
                  <w:tcW w:w="635" w:type="dxa"/>
                  <w:noWrap w:val="0"/>
                  <w:vAlign w:val="center"/>
                </w:tcPr>
                <w:p>
                  <w:pPr>
                    <w:jc w:val="center"/>
                    <w:rPr>
                      <w:rFonts w:hint="default" w:ascii="Times New Roman" w:hAnsi="Times New Roman" w:cs="Times New Roman"/>
                      <w:b w:val="0"/>
                      <w:bCs/>
                      <w:color w:val="auto"/>
                      <w:sz w:val="21"/>
                      <w:szCs w:val="21"/>
                      <w:lang w:bidi="ar"/>
                    </w:rPr>
                  </w:pPr>
                  <w:r>
                    <w:rPr>
                      <w:rFonts w:hint="default" w:ascii="Times New Roman" w:hAnsi="Times New Roman" w:cs="Times New Roman"/>
                      <w:color w:val="auto"/>
                      <w:sz w:val="21"/>
                      <w:szCs w:val="21"/>
                      <w:lang w:bidi="ar"/>
                    </w:rPr>
                    <w:t>/</w:t>
                  </w:r>
                </w:p>
              </w:tc>
              <w:tc>
                <w:tcPr>
                  <w:tcW w:w="779" w:type="dxa"/>
                  <w:noWrap/>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2276" w:type="dxa"/>
                  <w:gridSpan w:val="2"/>
                  <w:vMerge w:val="restart"/>
                  <w:noWrap w:val="0"/>
                  <w:vAlign w:val="center"/>
                </w:tcPr>
                <w:p>
                  <w:pPr>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bCs w:val="0"/>
                      <w:color w:val="auto"/>
                      <w:sz w:val="21"/>
                      <w:szCs w:val="21"/>
                    </w:rPr>
                    <w:t>合计</w:t>
                  </w:r>
                </w:p>
              </w:tc>
              <w:tc>
                <w:tcPr>
                  <w:tcW w:w="908" w:type="dxa"/>
                  <w:vMerge w:val="restart"/>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val="0"/>
                      <w:color w:val="auto"/>
                      <w:sz w:val="21"/>
                      <w:szCs w:val="21"/>
                    </w:rPr>
                    <w:t>DA00</w:t>
                  </w:r>
                  <w:r>
                    <w:rPr>
                      <w:rFonts w:hint="default" w:ascii="Times New Roman" w:hAnsi="Times New Roman" w:cs="Times New Roman"/>
                      <w:b/>
                      <w:bCs w:val="0"/>
                      <w:color w:val="auto"/>
                      <w:sz w:val="21"/>
                      <w:szCs w:val="21"/>
                      <w:lang w:val="en-US" w:eastAsia="zh-CN"/>
                    </w:rPr>
                    <w:t>2</w:t>
                  </w:r>
                </w:p>
              </w:tc>
              <w:tc>
                <w:tcPr>
                  <w:tcW w:w="908" w:type="dxa"/>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val="0"/>
                      <w:color w:val="auto"/>
                      <w:kern w:val="0"/>
                      <w:sz w:val="21"/>
                      <w:szCs w:val="21"/>
                      <w:lang w:val="en-US" w:eastAsia="zh-CN" w:bidi="ar"/>
                    </w:rPr>
                    <w:t>50</w:t>
                  </w:r>
                  <w:r>
                    <w:rPr>
                      <w:rFonts w:hint="default" w:ascii="Times New Roman" w:hAnsi="Times New Roman" w:cs="Times New Roman"/>
                      <w:b/>
                      <w:bCs w:val="0"/>
                      <w:color w:val="auto"/>
                      <w:kern w:val="0"/>
                      <w:sz w:val="21"/>
                      <w:szCs w:val="21"/>
                      <w:lang w:bidi="ar"/>
                    </w:rPr>
                    <w:t>00</w:t>
                  </w:r>
                </w:p>
              </w:tc>
              <w:tc>
                <w:tcPr>
                  <w:tcW w:w="869" w:type="dxa"/>
                  <w:noWrap w:val="0"/>
                  <w:vAlign w:val="center"/>
                </w:tcPr>
                <w:p>
                  <w:pPr>
                    <w:pStyle w:val="157"/>
                    <w:spacing w:before="0"/>
                    <w:ind w:left="0" w:leftChars="0"/>
                    <w:rPr>
                      <w:rFonts w:hint="default" w:ascii="Times New Roman" w:hAnsi="Times New Roman" w:cs="Times New Roman"/>
                      <w:b/>
                      <w:bCs/>
                      <w:color w:val="auto"/>
                      <w:sz w:val="21"/>
                      <w:szCs w:val="21"/>
                    </w:rPr>
                  </w:pPr>
                  <w:r>
                    <w:rPr>
                      <w:rFonts w:hint="default" w:ascii="Times New Roman" w:hAnsi="Times New Roman" w:eastAsia="宋体" w:cs="Times New Roman"/>
                      <w:b/>
                      <w:bCs w:val="0"/>
                      <w:color w:val="auto"/>
                      <w:sz w:val="21"/>
                      <w:szCs w:val="21"/>
                      <w:lang w:val="en-US" w:eastAsia="zh-CN"/>
                    </w:rPr>
                    <w:t>颗粒物</w:t>
                  </w:r>
                </w:p>
              </w:tc>
              <w:tc>
                <w:tcPr>
                  <w:tcW w:w="725" w:type="dxa"/>
                  <w:noWrap w:val="0"/>
                  <w:vAlign w:val="center"/>
                </w:tcPr>
                <w:p>
                  <w:pPr>
                    <w:pStyle w:val="157"/>
                    <w:spacing w:before="0"/>
                    <w:ind w:left="0" w:leftChars="0"/>
                    <w:rPr>
                      <w:rFonts w:hint="default" w:ascii="Times New Roman" w:hAnsi="Times New Roman" w:eastAsia="仿宋" w:cs="Times New Roman"/>
                      <w:b/>
                      <w:bCs/>
                      <w:color w:val="auto"/>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1.1697</w:t>
                  </w:r>
                </w:p>
              </w:tc>
              <w:tc>
                <w:tcPr>
                  <w:tcW w:w="731"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val="0"/>
                      <w:color w:val="auto"/>
                      <w:sz w:val="21"/>
                      <w:szCs w:val="21"/>
                      <w:lang w:val="en-US" w:eastAsia="zh-CN" w:bidi="ar"/>
                    </w:rPr>
                    <w:t>0.8795</w:t>
                  </w:r>
                </w:p>
              </w:tc>
              <w:tc>
                <w:tcPr>
                  <w:tcW w:w="743"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175.9</w:t>
                  </w:r>
                </w:p>
              </w:tc>
              <w:tc>
                <w:tcPr>
                  <w:tcW w:w="689"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b/>
                      <w:bCs w:val="0"/>
                      <w:color w:val="auto"/>
                      <w:sz w:val="21"/>
                      <w:szCs w:val="21"/>
                      <w:lang w:bidi="ar"/>
                    </w:rPr>
                    <w:t>/</w:t>
                  </w:r>
                </w:p>
              </w:tc>
              <w:tc>
                <w:tcPr>
                  <w:tcW w:w="1300"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b/>
                      <w:bCs w:val="0"/>
                      <w:color w:val="auto"/>
                      <w:sz w:val="21"/>
                      <w:szCs w:val="21"/>
                      <w:lang w:bidi="ar"/>
                    </w:rPr>
                    <w:t>/</w:t>
                  </w:r>
                </w:p>
              </w:tc>
              <w:tc>
                <w:tcPr>
                  <w:tcW w:w="725"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0.0732</w:t>
                  </w:r>
                </w:p>
              </w:tc>
              <w:tc>
                <w:tcPr>
                  <w:tcW w:w="833"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0.0554</w:t>
                  </w:r>
                </w:p>
              </w:tc>
              <w:tc>
                <w:tcPr>
                  <w:tcW w:w="731"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rPr>
                    <w:t>0.0109</w:t>
                  </w:r>
                </w:p>
              </w:tc>
              <w:tc>
                <w:tcPr>
                  <w:tcW w:w="800"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color w:val="auto"/>
                      <w:sz w:val="21"/>
                      <w:szCs w:val="21"/>
                      <w:lang w:val="en-US" w:eastAsia="zh-CN"/>
                    </w:rPr>
                    <w:t>0.00822</w:t>
                  </w:r>
                </w:p>
              </w:tc>
              <w:tc>
                <w:tcPr>
                  <w:tcW w:w="737"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1.644</w:t>
                  </w:r>
                </w:p>
              </w:tc>
              <w:tc>
                <w:tcPr>
                  <w:tcW w:w="59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rPr>
                    <w:t>9</w:t>
                  </w:r>
                  <w:r>
                    <w:rPr>
                      <w:rFonts w:hint="default" w:ascii="Times New Roman" w:hAnsi="Times New Roman" w:cs="Times New Roman"/>
                      <w:b/>
                      <w:bCs/>
                      <w:color w:val="auto"/>
                      <w:sz w:val="21"/>
                      <w:szCs w:val="21"/>
                      <w:lang w:val="en-US" w:eastAsia="zh-CN"/>
                    </w:rPr>
                    <w:t>9</w:t>
                  </w:r>
                  <w:r>
                    <w:rPr>
                      <w:rFonts w:hint="default" w:ascii="Times New Roman" w:hAnsi="Times New Roman" w:cs="Times New Roman"/>
                      <w:b/>
                      <w:bCs/>
                      <w:color w:val="auto"/>
                      <w:sz w:val="21"/>
                      <w:szCs w:val="21"/>
                    </w:rPr>
                    <w:t>%</w:t>
                  </w:r>
                </w:p>
              </w:tc>
              <w:tc>
                <w:tcPr>
                  <w:tcW w:w="635"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cs="Times New Roman"/>
                      <w:b/>
                      <w:bCs/>
                      <w:color w:val="auto"/>
                      <w:sz w:val="21"/>
                      <w:szCs w:val="21"/>
                      <w:lang w:bidi="ar"/>
                    </w:rPr>
                    <w:t>/</w:t>
                  </w:r>
                </w:p>
              </w:tc>
              <w:tc>
                <w:tcPr>
                  <w:tcW w:w="779" w:type="dxa"/>
                  <w:noWrap/>
                  <w:vAlign w:val="center"/>
                </w:tcPr>
                <w:p>
                  <w:pPr>
                    <w:pStyle w:val="189"/>
                    <w:ind w:firstLine="0" w:firstLineChars="0"/>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2276" w:type="dxa"/>
                  <w:gridSpan w:val="2"/>
                  <w:vMerge w:val="continue"/>
                  <w:noWrap w:val="0"/>
                  <w:vAlign w:val="center"/>
                </w:tcPr>
                <w:p>
                  <w:pPr>
                    <w:jc w:val="center"/>
                    <w:rPr>
                      <w:rFonts w:hint="default" w:ascii="Times New Roman" w:hAnsi="Times New Roman" w:eastAsia="宋体" w:cs="Times New Roman"/>
                      <w:b w:val="0"/>
                      <w:bCs w:val="0"/>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869" w:type="dxa"/>
                  <w:noWrap w:val="0"/>
                  <w:vAlign w:val="center"/>
                </w:tcPr>
                <w:p>
                  <w:pPr>
                    <w:pStyle w:val="157"/>
                    <w:spacing w:before="0"/>
                    <w:ind w:left="0" w:leftChars="0"/>
                    <w:rPr>
                      <w:rFonts w:hint="default" w:ascii="Times New Roman" w:hAnsi="Times New Roman" w:cs="Times New Roman"/>
                      <w:b/>
                      <w:bCs/>
                      <w:color w:val="auto"/>
                      <w:sz w:val="21"/>
                      <w:szCs w:val="21"/>
                    </w:rPr>
                  </w:pPr>
                  <w:r>
                    <w:rPr>
                      <w:rFonts w:hint="default" w:ascii="Times New Roman" w:hAnsi="Times New Roman" w:eastAsia="宋体" w:cs="Times New Roman"/>
                      <w:b/>
                      <w:bCs w:val="0"/>
                      <w:color w:val="auto"/>
                      <w:sz w:val="21"/>
                      <w:szCs w:val="21"/>
                      <w:lang w:val="en-US" w:eastAsia="zh-CN"/>
                    </w:rPr>
                    <w:t>二氧化硫</w:t>
                  </w:r>
                </w:p>
              </w:tc>
              <w:tc>
                <w:tcPr>
                  <w:tcW w:w="725" w:type="dxa"/>
                  <w:noWrap w:val="0"/>
                  <w:vAlign w:val="center"/>
                </w:tcPr>
                <w:p>
                  <w:pPr>
                    <w:pStyle w:val="157"/>
                    <w:spacing w:before="0"/>
                    <w:ind w:left="0" w:leftChars="0"/>
                    <w:rPr>
                      <w:rFonts w:hint="default" w:ascii="Times New Roman" w:hAnsi="Times New Roman" w:cs="Times New Roman"/>
                      <w:b/>
                      <w:bCs/>
                      <w:color w:val="auto"/>
                      <w:sz w:val="21"/>
                      <w:szCs w:val="21"/>
                      <w:lang w:bidi="ar"/>
                    </w:rPr>
                  </w:pPr>
                  <w:r>
                    <w:rPr>
                      <w:rFonts w:hint="default" w:ascii="Times New Roman" w:hAnsi="Times New Roman" w:eastAsia="宋体" w:cs="Times New Roman"/>
                      <w:b/>
                      <w:bCs w:val="0"/>
                      <w:color w:val="auto"/>
                      <w:sz w:val="21"/>
                      <w:szCs w:val="21"/>
                      <w:lang w:val="en-US" w:eastAsia="zh-CN"/>
                    </w:rPr>
                    <w:t>19.1833</w:t>
                  </w:r>
                </w:p>
              </w:tc>
              <w:tc>
                <w:tcPr>
                  <w:tcW w:w="731" w:type="dxa"/>
                  <w:noWrap w:val="0"/>
                  <w:vAlign w:val="center"/>
                </w:tcPr>
                <w:p>
                  <w:pPr>
                    <w:pStyle w:val="157"/>
                    <w:spacing w:before="0"/>
                    <w:ind w:left="0" w:leftChars="0"/>
                    <w:rPr>
                      <w:rFonts w:hint="default" w:ascii="Times New Roman" w:hAnsi="Times New Roman" w:cs="Times New Roman"/>
                      <w:b/>
                      <w:bCs/>
                      <w:color w:val="auto"/>
                      <w:sz w:val="21"/>
                      <w:szCs w:val="21"/>
                      <w:lang w:bidi="ar"/>
                    </w:rPr>
                  </w:pPr>
                  <w:r>
                    <w:rPr>
                      <w:rFonts w:hint="default" w:ascii="Times New Roman" w:hAnsi="Times New Roman" w:cs="Times New Roman"/>
                      <w:b/>
                      <w:bCs w:val="0"/>
                      <w:color w:val="auto"/>
                      <w:sz w:val="21"/>
                      <w:szCs w:val="21"/>
                      <w:lang w:val="en-US" w:eastAsia="zh-CN"/>
                    </w:rPr>
                    <w:t>3.6332</w:t>
                  </w:r>
                </w:p>
              </w:tc>
              <w:tc>
                <w:tcPr>
                  <w:tcW w:w="743"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726.64</w:t>
                  </w:r>
                </w:p>
              </w:tc>
              <w:tc>
                <w:tcPr>
                  <w:tcW w:w="689"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b/>
                      <w:bCs w:val="0"/>
                      <w:color w:val="auto"/>
                      <w:sz w:val="21"/>
                      <w:szCs w:val="21"/>
                      <w:lang w:bidi="ar"/>
                    </w:rPr>
                    <w:t>/</w:t>
                  </w:r>
                </w:p>
              </w:tc>
              <w:tc>
                <w:tcPr>
                  <w:tcW w:w="1300"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b/>
                      <w:bCs w:val="0"/>
                      <w:color w:val="auto"/>
                      <w:sz w:val="21"/>
                      <w:szCs w:val="21"/>
                      <w:lang w:bidi="ar"/>
                    </w:rPr>
                    <w:t>/</w:t>
                  </w:r>
                </w:p>
              </w:tc>
              <w:tc>
                <w:tcPr>
                  <w:tcW w:w="725"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rPr>
                    <w:t>0</w:t>
                  </w:r>
                </w:p>
              </w:tc>
              <w:tc>
                <w:tcPr>
                  <w:tcW w:w="83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rPr>
                    <w:t>0</w:t>
                  </w:r>
                </w:p>
              </w:tc>
              <w:tc>
                <w:tcPr>
                  <w:tcW w:w="731"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val="0"/>
                      <w:color w:val="auto"/>
                      <w:sz w:val="21"/>
                      <w:szCs w:val="21"/>
                      <w:lang w:val="en-US" w:eastAsia="zh-CN"/>
                    </w:rPr>
                    <w:t>1.9184</w:t>
                  </w:r>
                </w:p>
              </w:tc>
              <w:tc>
                <w:tcPr>
                  <w:tcW w:w="800"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val="0"/>
                      <w:color w:val="auto"/>
                      <w:sz w:val="21"/>
                      <w:szCs w:val="21"/>
                      <w:lang w:val="en-US" w:eastAsia="zh-CN"/>
                    </w:rPr>
                    <w:t>0.3633</w:t>
                  </w:r>
                </w:p>
              </w:tc>
              <w:tc>
                <w:tcPr>
                  <w:tcW w:w="737" w:type="dxa"/>
                  <w:noWrap w:val="0"/>
                  <w:vAlign w:val="center"/>
                </w:tcPr>
                <w:p>
                  <w:pPr>
                    <w:pStyle w:val="157"/>
                    <w:keepNext w:val="0"/>
                    <w:keepLines w:val="0"/>
                    <w:pageBreakBefore w:val="0"/>
                    <w:widowControl w:val="0"/>
                    <w:kinsoku/>
                    <w:wordWrap/>
                    <w:overflowPunct/>
                    <w:topLinePunct w:val="0"/>
                    <w:autoSpaceDE/>
                    <w:autoSpaceDN/>
                    <w:bidi w:val="0"/>
                    <w:adjustRightInd/>
                    <w:snapToGrid/>
                    <w:spacing w:before="0"/>
                    <w:ind w:left="0" w:left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val="0"/>
                      <w:color w:val="auto"/>
                      <w:sz w:val="21"/>
                      <w:szCs w:val="21"/>
                      <w:lang w:val="en-US" w:eastAsia="zh-CN"/>
                    </w:rPr>
                    <w:t>72.66</w:t>
                  </w:r>
                </w:p>
              </w:tc>
              <w:tc>
                <w:tcPr>
                  <w:tcW w:w="59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b/>
                      <w:bCs w:val="0"/>
                      <w:color w:val="auto"/>
                      <w:sz w:val="21"/>
                      <w:szCs w:val="21"/>
                    </w:rPr>
                    <w:t>9</w:t>
                  </w:r>
                  <w:r>
                    <w:rPr>
                      <w:rFonts w:hint="default" w:ascii="Times New Roman" w:hAnsi="Times New Roman" w:cs="Times New Roman"/>
                      <w:b/>
                      <w:bCs w:val="0"/>
                      <w:color w:val="auto"/>
                      <w:sz w:val="21"/>
                      <w:szCs w:val="21"/>
                      <w:lang w:val="en-US" w:eastAsia="zh-CN"/>
                    </w:rPr>
                    <w:t>0</w:t>
                  </w:r>
                  <w:r>
                    <w:rPr>
                      <w:rFonts w:hint="default" w:ascii="Times New Roman" w:hAnsi="Times New Roman" w:cs="Times New Roman"/>
                      <w:b/>
                      <w:bCs w:val="0"/>
                      <w:color w:val="auto"/>
                      <w:sz w:val="21"/>
                      <w:szCs w:val="21"/>
                    </w:rPr>
                    <w:t>%</w:t>
                  </w:r>
                </w:p>
              </w:tc>
              <w:tc>
                <w:tcPr>
                  <w:tcW w:w="635" w:type="dxa"/>
                  <w:noWrap w:val="0"/>
                  <w:vAlign w:val="center"/>
                </w:tcPr>
                <w:p>
                  <w:pPr>
                    <w:ind w:firstLine="0" w:firstLineChars="0"/>
                    <w:jc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w:t>
                  </w:r>
                </w:p>
              </w:tc>
              <w:tc>
                <w:tcPr>
                  <w:tcW w:w="779" w:type="dxa"/>
                  <w:noWrap/>
                  <w:vAlign w:val="center"/>
                </w:tcPr>
                <w:p>
                  <w:pPr>
                    <w:pStyle w:val="189"/>
                    <w:ind w:firstLine="0" w:firstLineChars="0"/>
                    <w:rPr>
                      <w:rFonts w:hint="default" w:ascii="Times New Roman" w:hAnsi="Times New Roman" w:cs="Times New Roman"/>
                      <w:b/>
                      <w:bCs/>
                      <w:color w:val="auto"/>
                      <w:sz w:val="21"/>
                      <w:szCs w:val="21"/>
                      <w:lang w:bidi="ar"/>
                    </w:rPr>
                  </w:pPr>
                  <w:r>
                    <w:rPr>
                      <w:rFonts w:hint="default" w:ascii="Times New Roman" w:hAnsi="Times New Roman" w:cs="Times New Roman"/>
                      <w:b/>
                      <w:bCs w:val="0"/>
                      <w:color w:val="auto"/>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2276" w:type="dxa"/>
                  <w:gridSpan w:val="2"/>
                  <w:vMerge w:val="continue"/>
                  <w:noWrap w:val="0"/>
                  <w:vAlign w:val="center"/>
                </w:tcPr>
                <w:p>
                  <w:pPr>
                    <w:jc w:val="center"/>
                    <w:rPr>
                      <w:rFonts w:hint="default" w:ascii="Times New Roman" w:hAnsi="Times New Roman" w:eastAsia="宋体" w:cs="Times New Roman"/>
                      <w:b w:val="0"/>
                      <w:bCs w:val="0"/>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908" w:type="dxa"/>
                  <w:vMerge w:val="continue"/>
                  <w:noWrap w:val="0"/>
                  <w:vAlign w:val="center"/>
                </w:tcPr>
                <w:p>
                  <w:pPr>
                    <w:jc w:val="center"/>
                    <w:rPr>
                      <w:rFonts w:hint="default" w:ascii="Times New Roman" w:hAnsi="Times New Roman" w:cs="Times New Roman"/>
                      <w:b/>
                      <w:bCs/>
                      <w:color w:val="auto"/>
                      <w:sz w:val="21"/>
                      <w:szCs w:val="21"/>
                    </w:rPr>
                  </w:pPr>
                </w:p>
              </w:tc>
              <w:tc>
                <w:tcPr>
                  <w:tcW w:w="869" w:type="dxa"/>
                  <w:noWrap w:val="0"/>
                  <w:vAlign w:val="center"/>
                </w:tcPr>
                <w:p>
                  <w:pPr>
                    <w:pStyle w:val="157"/>
                    <w:spacing w:before="0"/>
                    <w:ind w:left="0" w:leftChars="0"/>
                    <w:rPr>
                      <w:rFonts w:hint="default" w:ascii="Times New Roman" w:hAnsi="Times New Roman" w:cs="Times New Roman"/>
                      <w:b/>
                      <w:bCs/>
                      <w:color w:val="auto"/>
                      <w:sz w:val="21"/>
                      <w:szCs w:val="21"/>
                    </w:rPr>
                  </w:pPr>
                  <w:r>
                    <w:rPr>
                      <w:rFonts w:hint="default" w:ascii="Times New Roman" w:hAnsi="Times New Roman" w:eastAsia="宋体" w:cs="Times New Roman"/>
                      <w:b/>
                      <w:bCs w:val="0"/>
                      <w:color w:val="auto"/>
                      <w:sz w:val="21"/>
                      <w:szCs w:val="21"/>
                      <w:lang w:val="en-US" w:eastAsia="zh-CN"/>
                    </w:rPr>
                    <w:t>氮氧化物</w:t>
                  </w:r>
                </w:p>
              </w:tc>
              <w:tc>
                <w:tcPr>
                  <w:tcW w:w="725" w:type="dxa"/>
                  <w:noWrap w:val="0"/>
                  <w:vAlign w:val="center"/>
                </w:tcPr>
                <w:p>
                  <w:pPr>
                    <w:pStyle w:val="157"/>
                    <w:spacing w:before="0"/>
                    <w:ind w:left="0" w:leftChars="0"/>
                    <w:rPr>
                      <w:rFonts w:hint="default" w:ascii="Times New Roman" w:hAnsi="Times New Roman" w:cs="Times New Roman"/>
                      <w:b/>
                      <w:bCs w:val="0"/>
                      <w:color w:val="auto"/>
                      <w:sz w:val="21"/>
                      <w:szCs w:val="21"/>
                      <w:lang w:bidi="ar"/>
                    </w:rPr>
                  </w:pPr>
                  <w:r>
                    <w:rPr>
                      <w:rFonts w:hint="default" w:ascii="Times New Roman" w:hAnsi="Times New Roman" w:eastAsia="宋体" w:cs="Times New Roman"/>
                      <w:b/>
                      <w:bCs w:val="0"/>
                      <w:color w:val="auto"/>
                      <w:kern w:val="2"/>
                      <w:sz w:val="21"/>
                      <w:szCs w:val="21"/>
                      <w:lang w:val="en-US" w:eastAsia="zh-CN" w:bidi="ar-SA"/>
                    </w:rPr>
                    <w:t>0.0784</w:t>
                  </w:r>
                </w:p>
              </w:tc>
              <w:tc>
                <w:tcPr>
                  <w:tcW w:w="731" w:type="dxa"/>
                  <w:noWrap w:val="0"/>
                  <w:vAlign w:val="center"/>
                </w:tcPr>
                <w:p>
                  <w:pPr>
                    <w:jc w:val="center"/>
                    <w:rPr>
                      <w:rFonts w:hint="default" w:ascii="Times New Roman" w:hAnsi="Times New Roman" w:cs="Times New Roman"/>
                      <w:b/>
                      <w:bCs w:val="0"/>
                      <w:color w:val="auto"/>
                      <w:sz w:val="21"/>
                      <w:szCs w:val="21"/>
                      <w:lang w:bidi="ar"/>
                    </w:rPr>
                  </w:pPr>
                  <w:r>
                    <w:rPr>
                      <w:rFonts w:hint="default" w:ascii="Times New Roman" w:hAnsi="Times New Roman" w:eastAsia="宋体" w:cs="Times New Roman"/>
                      <w:b/>
                      <w:bCs w:val="0"/>
                      <w:color w:val="auto"/>
                      <w:kern w:val="2"/>
                      <w:sz w:val="21"/>
                      <w:szCs w:val="21"/>
                      <w:lang w:val="en-US" w:eastAsia="zh-CN" w:bidi="ar-SA"/>
                    </w:rPr>
                    <w:t>0.0148</w:t>
                  </w:r>
                </w:p>
              </w:tc>
              <w:tc>
                <w:tcPr>
                  <w:tcW w:w="743"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2.96</w:t>
                  </w:r>
                </w:p>
              </w:tc>
              <w:tc>
                <w:tcPr>
                  <w:tcW w:w="689"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b/>
                      <w:bCs w:val="0"/>
                      <w:color w:val="auto"/>
                      <w:sz w:val="21"/>
                      <w:szCs w:val="21"/>
                      <w:lang w:bidi="ar"/>
                    </w:rPr>
                    <w:t>/</w:t>
                  </w:r>
                </w:p>
              </w:tc>
              <w:tc>
                <w:tcPr>
                  <w:tcW w:w="1300"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b/>
                      <w:bCs w:val="0"/>
                      <w:color w:val="auto"/>
                      <w:sz w:val="21"/>
                      <w:szCs w:val="21"/>
                      <w:lang w:bidi="ar"/>
                    </w:rPr>
                    <w:t>/</w:t>
                  </w:r>
                </w:p>
              </w:tc>
              <w:tc>
                <w:tcPr>
                  <w:tcW w:w="725"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cs="Times New Roman"/>
                      <w:b/>
                      <w:bCs/>
                      <w:color w:val="auto"/>
                      <w:sz w:val="21"/>
                      <w:szCs w:val="21"/>
                    </w:rPr>
                    <w:t>0</w:t>
                  </w:r>
                </w:p>
              </w:tc>
              <w:tc>
                <w:tcPr>
                  <w:tcW w:w="833" w:type="dxa"/>
                  <w:noWrap w:val="0"/>
                  <w:vAlign w:val="center"/>
                </w:tcPr>
                <w:p>
                  <w:pPr>
                    <w:jc w:val="center"/>
                    <w:rPr>
                      <w:rFonts w:hint="default" w:ascii="Times New Roman" w:hAnsi="Times New Roman" w:eastAsia="宋体" w:cs="Times New Roman"/>
                      <w:b/>
                      <w:bCs/>
                      <w:color w:val="auto"/>
                      <w:sz w:val="21"/>
                      <w:szCs w:val="21"/>
                      <w:lang w:val="en-US" w:eastAsia="zh-CN" w:bidi="ar"/>
                    </w:rPr>
                  </w:pPr>
                  <w:r>
                    <w:rPr>
                      <w:rFonts w:hint="default" w:ascii="Times New Roman" w:hAnsi="Times New Roman" w:cs="Times New Roman"/>
                      <w:b/>
                      <w:bCs/>
                      <w:color w:val="auto"/>
                      <w:sz w:val="21"/>
                      <w:szCs w:val="21"/>
                    </w:rPr>
                    <w:t>0</w:t>
                  </w:r>
                </w:p>
              </w:tc>
              <w:tc>
                <w:tcPr>
                  <w:tcW w:w="731" w:type="dxa"/>
                  <w:noWrap w:val="0"/>
                  <w:vAlign w:val="center"/>
                </w:tcPr>
                <w:p>
                  <w:pPr>
                    <w:pStyle w:val="157"/>
                    <w:spacing w:before="0"/>
                    <w:ind w:left="0" w:leftChars="0"/>
                    <w:rPr>
                      <w:rFonts w:hint="default" w:ascii="Times New Roman" w:hAnsi="Times New Roman" w:cs="Times New Roman"/>
                      <w:b/>
                      <w:bCs w:val="0"/>
                      <w:color w:val="auto"/>
                      <w:sz w:val="21"/>
                      <w:szCs w:val="21"/>
                      <w:lang w:bidi="ar"/>
                    </w:rPr>
                  </w:pPr>
                  <w:r>
                    <w:rPr>
                      <w:rFonts w:hint="default" w:ascii="Times New Roman" w:hAnsi="Times New Roman" w:eastAsia="宋体" w:cs="Times New Roman"/>
                      <w:b/>
                      <w:bCs w:val="0"/>
                      <w:color w:val="auto"/>
                      <w:kern w:val="2"/>
                      <w:sz w:val="21"/>
                      <w:szCs w:val="21"/>
                      <w:lang w:val="en-US" w:eastAsia="zh-CN" w:bidi="ar-SA"/>
                    </w:rPr>
                    <w:t>0.0784</w:t>
                  </w:r>
                </w:p>
              </w:tc>
              <w:tc>
                <w:tcPr>
                  <w:tcW w:w="800" w:type="dxa"/>
                  <w:noWrap w:val="0"/>
                  <w:vAlign w:val="center"/>
                </w:tcPr>
                <w:p>
                  <w:pPr>
                    <w:jc w:val="center"/>
                    <w:rPr>
                      <w:rFonts w:hint="default" w:ascii="Times New Roman" w:hAnsi="Times New Roman" w:cs="Times New Roman"/>
                      <w:b/>
                      <w:bCs w:val="0"/>
                      <w:color w:val="auto"/>
                      <w:sz w:val="21"/>
                      <w:szCs w:val="21"/>
                      <w:lang w:bidi="ar"/>
                    </w:rPr>
                  </w:pPr>
                  <w:r>
                    <w:rPr>
                      <w:rFonts w:hint="default" w:ascii="Times New Roman" w:hAnsi="Times New Roman" w:eastAsia="宋体" w:cs="Times New Roman"/>
                      <w:b/>
                      <w:bCs w:val="0"/>
                      <w:color w:val="auto"/>
                      <w:kern w:val="2"/>
                      <w:sz w:val="21"/>
                      <w:szCs w:val="21"/>
                      <w:lang w:val="en-US" w:eastAsia="zh-CN" w:bidi="ar-SA"/>
                    </w:rPr>
                    <w:t>0.0148</w:t>
                  </w:r>
                </w:p>
              </w:tc>
              <w:tc>
                <w:tcPr>
                  <w:tcW w:w="737" w:type="dxa"/>
                  <w:noWrap w:val="0"/>
                  <w:vAlign w:val="center"/>
                </w:tcPr>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val="0"/>
                      <w:color w:val="auto"/>
                      <w:sz w:val="21"/>
                      <w:szCs w:val="21"/>
                      <w:lang w:val="en-US" w:eastAsia="zh-CN"/>
                    </w:rPr>
                    <w:t>2.96</w:t>
                  </w:r>
                </w:p>
              </w:tc>
              <w:tc>
                <w:tcPr>
                  <w:tcW w:w="593" w:type="dxa"/>
                  <w:noWrap w:val="0"/>
                  <w:vAlign w:val="center"/>
                </w:tcPr>
                <w:p>
                  <w:pPr>
                    <w:jc w:val="center"/>
                    <w:rPr>
                      <w:rFonts w:hint="default" w:ascii="Times New Roman" w:hAnsi="Times New Roman" w:cs="Times New Roman"/>
                      <w:b/>
                      <w:bCs/>
                      <w:color w:val="auto"/>
                      <w:sz w:val="21"/>
                      <w:szCs w:val="21"/>
                      <w:lang w:bidi="ar"/>
                    </w:rPr>
                  </w:pPr>
                  <w:r>
                    <w:rPr>
                      <w:rFonts w:hint="default" w:ascii="Times New Roman" w:hAnsi="Times New Roman" w:cs="Times New Roman"/>
                      <w:b/>
                      <w:bCs w:val="0"/>
                      <w:color w:val="auto"/>
                      <w:sz w:val="21"/>
                      <w:szCs w:val="21"/>
                      <w:lang w:val="en-US" w:eastAsia="zh-CN"/>
                    </w:rPr>
                    <w:t>0</w:t>
                  </w:r>
                </w:p>
              </w:tc>
              <w:tc>
                <w:tcPr>
                  <w:tcW w:w="635" w:type="dxa"/>
                  <w:noWrap w:val="0"/>
                  <w:vAlign w:val="center"/>
                </w:tcPr>
                <w:p>
                  <w:pPr>
                    <w:ind w:firstLine="0" w:firstLineChars="0"/>
                    <w:jc w:val="center"/>
                    <w:rPr>
                      <w:rFonts w:hint="default" w:ascii="Times New Roman" w:hAnsi="Times New Roman" w:cs="Times New Roman"/>
                      <w:b/>
                      <w:bCs/>
                      <w:color w:val="auto"/>
                      <w:sz w:val="21"/>
                      <w:szCs w:val="21"/>
                      <w:lang w:bidi="ar"/>
                    </w:rPr>
                  </w:pPr>
                  <w:r>
                    <w:rPr>
                      <w:rFonts w:hint="default" w:ascii="Times New Roman" w:hAnsi="Times New Roman" w:cs="Times New Roman"/>
                      <w:b/>
                      <w:bCs/>
                      <w:color w:val="auto"/>
                      <w:sz w:val="21"/>
                      <w:szCs w:val="21"/>
                      <w:lang w:bidi="ar"/>
                    </w:rPr>
                    <w:t>/</w:t>
                  </w:r>
                </w:p>
              </w:tc>
              <w:tc>
                <w:tcPr>
                  <w:tcW w:w="779" w:type="dxa"/>
                  <w:noWrap/>
                  <w:vAlign w:val="center"/>
                </w:tcPr>
                <w:p>
                  <w:pPr>
                    <w:pStyle w:val="189"/>
                    <w:ind w:firstLine="0" w:firstLineChars="0"/>
                    <w:rPr>
                      <w:rFonts w:hint="default" w:ascii="Times New Roman" w:hAnsi="Times New Roman" w:cs="Times New Roman"/>
                      <w:b/>
                      <w:bCs/>
                      <w:color w:val="auto"/>
                      <w:sz w:val="21"/>
                      <w:szCs w:val="21"/>
                      <w:lang w:bidi="ar"/>
                    </w:rPr>
                  </w:pPr>
                  <w:r>
                    <w:rPr>
                      <w:rFonts w:hint="default" w:ascii="Times New Roman" w:hAnsi="Times New Roman" w:cs="Times New Roman"/>
                      <w:b/>
                      <w:bCs w:val="0"/>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7" w:hRule="atLeast"/>
                <w:tblHeader/>
                <w:jc w:val="center"/>
              </w:trPr>
              <w:tc>
                <w:tcPr>
                  <w:tcW w:w="2276" w:type="dxa"/>
                  <w:gridSpan w:val="2"/>
                  <w:noWrap w:val="0"/>
                  <w:vAlign w:val="center"/>
                </w:tcPr>
                <w:p>
                  <w:pPr>
                    <w:pStyle w:val="157"/>
                    <w:spacing w:before="0"/>
                    <w:ind w:left="0" w:left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rPr>
                    <w:t>G5-研磨粉尘</w:t>
                  </w:r>
                </w:p>
              </w:tc>
              <w:tc>
                <w:tcPr>
                  <w:tcW w:w="908" w:type="dxa"/>
                  <w:noWrap w:val="0"/>
                  <w:vAlign w:val="center"/>
                </w:tcPr>
                <w:p>
                  <w:pPr>
                    <w:pStyle w:val="157"/>
                    <w:spacing w:before="0"/>
                    <w:ind w:left="0" w:leftChars="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rPr>
                    <w:t>气流磨产生的研磨粉尘</w:t>
                  </w:r>
                </w:p>
              </w:tc>
              <w:tc>
                <w:tcPr>
                  <w:tcW w:w="908" w:type="dxa"/>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1320</w:t>
                  </w:r>
                </w:p>
              </w:tc>
              <w:tc>
                <w:tcPr>
                  <w:tcW w:w="869" w:type="dxa"/>
                  <w:noWrap w:val="0"/>
                  <w:vAlign w:val="center"/>
                </w:tcPr>
                <w:p>
                  <w:pPr>
                    <w:pStyle w:val="157"/>
                    <w:spacing w:before="0"/>
                    <w:ind w:left="0" w:leftChars="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725" w:type="dxa"/>
                  <w:noWrap w:val="0"/>
                  <w:vAlign w:val="center"/>
                </w:tcPr>
                <w:p>
                  <w:pPr>
                    <w:pStyle w:val="157"/>
                    <w:spacing w:before="0"/>
                    <w:ind w:left="0" w:leftChars="0"/>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lang w:val="en-US" w:eastAsia="zh-CN"/>
                    </w:rPr>
                    <w:t>0.238</w:t>
                  </w:r>
                </w:p>
              </w:tc>
              <w:tc>
                <w:tcPr>
                  <w:tcW w:w="731" w:type="dxa"/>
                  <w:noWrap w:val="0"/>
                  <w:vAlign w:val="center"/>
                </w:tcPr>
                <w:p>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0.2404</w:t>
                  </w:r>
                </w:p>
              </w:tc>
              <w:tc>
                <w:tcPr>
                  <w:tcW w:w="743" w:type="dxa"/>
                  <w:noWrap w:val="0"/>
                  <w:vAlign w:val="center"/>
                </w:tcPr>
                <w:p>
                  <w:pPr>
                    <w:jc w:val="center"/>
                    <w:rPr>
                      <w:rFonts w:hint="default" w:ascii="Times New Roman" w:hAnsi="Times New Roman" w:eastAsia="宋体" w:cs="Times New Roman"/>
                      <w:b w:val="0"/>
                      <w:bCs/>
                      <w:color w:val="auto"/>
                      <w:sz w:val="21"/>
                      <w:szCs w:val="21"/>
                      <w:lang w:val="en-US" w:eastAsia="zh-CN" w:bidi="ar"/>
                    </w:rPr>
                  </w:pPr>
                  <w:r>
                    <w:rPr>
                      <w:rFonts w:hint="default" w:ascii="Times New Roman" w:hAnsi="Times New Roman" w:eastAsia="宋体" w:cs="Times New Roman"/>
                      <w:b w:val="0"/>
                      <w:bCs/>
                      <w:color w:val="auto"/>
                      <w:sz w:val="21"/>
                      <w:szCs w:val="21"/>
                      <w:lang w:val="en-US" w:eastAsia="zh-CN" w:bidi="ar"/>
                    </w:rPr>
                    <w:t>182.1212</w:t>
                  </w:r>
                </w:p>
              </w:tc>
              <w:tc>
                <w:tcPr>
                  <w:tcW w:w="689" w:type="dxa"/>
                  <w:noWrap w:val="0"/>
                  <w:vAlign w:val="center"/>
                </w:tcPr>
                <w:p>
                  <w:pPr>
                    <w:jc w:val="center"/>
                    <w:rPr>
                      <w:rFonts w:hint="default" w:ascii="Times New Roman" w:hAnsi="Times New Roman" w:eastAsia="宋体" w:cs="Times New Roman"/>
                      <w:b w:val="0"/>
                      <w:bCs/>
                      <w:color w:val="auto"/>
                      <w:sz w:val="21"/>
                      <w:szCs w:val="21"/>
                      <w:lang w:bidi="ar"/>
                    </w:rPr>
                  </w:pPr>
                  <w:r>
                    <w:rPr>
                      <w:rFonts w:hint="default" w:ascii="Times New Roman" w:hAnsi="Times New Roman" w:eastAsia="宋体" w:cs="Times New Roman"/>
                      <w:b w:val="0"/>
                      <w:bCs/>
                      <w:color w:val="auto"/>
                      <w:sz w:val="21"/>
                      <w:szCs w:val="21"/>
                      <w:lang w:val="en-US" w:eastAsia="zh-CN"/>
                    </w:rPr>
                    <w:t>100</w:t>
                  </w:r>
                  <w:r>
                    <w:rPr>
                      <w:rFonts w:hint="default" w:ascii="Times New Roman" w:hAnsi="Times New Roman" w:eastAsia="宋体" w:cs="Times New Roman"/>
                      <w:b w:val="0"/>
                      <w:bCs/>
                      <w:color w:val="auto"/>
                      <w:sz w:val="21"/>
                      <w:szCs w:val="21"/>
                    </w:rPr>
                    <w:t>%</w:t>
                  </w:r>
                </w:p>
              </w:tc>
              <w:tc>
                <w:tcPr>
                  <w:tcW w:w="1300" w:type="dxa"/>
                  <w:noWrap w:val="0"/>
                  <w:vAlign w:val="center"/>
                </w:tcPr>
                <w:p>
                  <w:pPr>
                    <w:jc w:val="center"/>
                    <w:rPr>
                      <w:rFonts w:hint="default" w:ascii="Times New Roman" w:hAnsi="Times New Roman" w:eastAsia="宋体" w:cs="Times New Roman"/>
                      <w:b w:val="0"/>
                      <w:bCs/>
                      <w:color w:val="auto"/>
                      <w:sz w:val="21"/>
                      <w:szCs w:val="21"/>
                      <w:lang w:bidi="ar"/>
                    </w:rPr>
                  </w:pPr>
                  <w:r>
                    <w:rPr>
                      <w:rFonts w:hint="default" w:ascii="Times New Roman" w:hAnsi="Times New Roman" w:eastAsia="宋体" w:cs="Times New Roman"/>
                      <w:b w:val="0"/>
                      <w:bCs/>
                      <w:color w:val="auto"/>
                      <w:kern w:val="2"/>
                      <w:sz w:val="21"/>
                      <w:szCs w:val="21"/>
                      <w:lang w:val="en-US" w:eastAsia="zh-CN" w:bidi="ar-SA"/>
                    </w:rPr>
                    <w:t>设备自带布袋除尘器处理后无组织排放</w:t>
                  </w:r>
                </w:p>
              </w:tc>
              <w:tc>
                <w:tcPr>
                  <w:tcW w:w="725"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0.0024</w:t>
                  </w:r>
                </w:p>
              </w:tc>
              <w:tc>
                <w:tcPr>
                  <w:tcW w:w="833"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0.0024</w:t>
                  </w:r>
                </w:p>
              </w:tc>
              <w:tc>
                <w:tcPr>
                  <w:tcW w:w="731" w:type="dxa"/>
                  <w:noWrap w:val="0"/>
                  <w:vAlign w:val="center"/>
                </w:tcPr>
                <w:p>
                  <w:pPr>
                    <w:spacing w:before="0"/>
                    <w:ind w:left="0" w:leftChars="0"/>
                    <w:jc w:val="center"/>
                    <w:rPr>
                      <w:rFonts w:hint="default" w:ascii="Times New Roman" w:hAnsi="Times New Roman" w:eastAsia="宋体" w:cs="Times New Roman"/>
                      <w:b w:val="0"/>
                      <w:bCs w:val="0"/>
                      <w:color w:val="auto"/>
                      <w:sz w:val="21"/>
                      <w:szCs w:val="21"/>
                      <w:lang w:val="en-US"/>
                    </w:rPr>
                  </w:pPr>
                  <w:r>
                    <w:rPr>
                      <w:rFonts w:hint="default" w:ascii="Times New Roman" w:hAnsi="Times New Roman" w:cs="Times New Roman"/>
                      <w:b w:val="0"/>
                      <w:bCs w:val="0"/>
                      <w:color w:val="auto"/>
                      <w:sz w:val="21"/>
                      <w:szCs w:val="21"/>
                      <w:lang w:bidi="ar"/>
                    </w:rPr>
                    <w:t>/</w:t>
                  </w:r>
                </w:p>
              </w:tc>
              <w:tc>
                <w:tcPr>
                  <w:tcW w:w="800"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bidi="ar"/>
                    </w:rPr>
                    <w:t>/</w:t>
                  </w:r>
                </w:p>
              </w:tc>
              <w:tc>
                <w:tcPr>
                  <w:tcW w:w="737"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bidi="ar"/>
                    </w:rPr>
                    <w:t>/</w:t>
                  </w:r>
                </w:p>
              </w:tc>
              <w:tc>
                <w:tcPr>
                  <w:tcW w:w="593" w:type="dxa"/>
                  <w:noWrap w:val="0"/>
                  <w:vAlign w:val="center"/>
                </w:tcPr>
                <w:p>
                  <w:pPr>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rPr>
                    <w:t>9</w:t>
                  </w:r>
                  <w:r>
                    <w:rPr>
                      <w:rFonts w:hint="default" w:ascii="Times New Roman" w:hAnsi="Times New Roman" w:cs="Times New Roman"/>
                      <w:b w:val="0"/>
                      <w:bCs w:val="0"/>
                      <w:color w:val="auto"/>
                      <w:sz w:val="21"/>
                      <w:szCs w:val="21"/>
                      <w:lang w:val="en-US" w:eastAsia="zh-CN"/>
                    </w:rPr>
                    <w:t>9</w:t>
                  </w:r>
                  <w:r>
                    <w:rPr>
                      <w:rFonts w:hint="default" w:ascii="Times New Roman" w:hAnsi="Times New Roman" w:cs="Times New Roman"/>
                      <w:b w:val="0"/>
                      <w:bCs w:val="0"/>
                      <w:color w:val="auto"/>
                      <w:sz w:val="21"/>
                      <w:szCs w:val="21"/>
                    </w:rPr>
                    <w:t>%</w:t>
                  </w:r>
                </w:p>
              </w:tc>
              <w:tc>
                <w:tcPr>
                  <w:tcW w:w="635" w:type="dxa"/>
                  <w:noWrap w:val="0"/>
                  <w:vAlign w:val="center"/>
                </w:tcPr>
                <w:p>
                  <w:pPr>
                    <w:ind w:firstLine="0" w:firstLineChars="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bidi="ar"/>
                    </w:rPr>
                    <w:t>/</w:t>
                  </w:r>
                </w:p>
              </w:tc>
              <w:tc>
                <w:tcPr>
                  <w:tcW w:w="779" w:type="dxa"/>
                  <w:noWrap/>
                  <w:vAlign w:val="center"/>
                </w:tcPr>
                <w:p>
                  <w:pPr>
                    <w:ind w:firstLine="0" w:firstLineChars="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bidi="ar"/>
                    </w:rPr>
                    <w:t>/</w:t>
                  </w:r>
                </w:p>
              </w:tc>
            </w:tr>
          </w:tbl>
          <w:p>
            <w:pPr>
              <w:widowControl/>
              <w:spacing w:line="360" w:lineRule="auto"/>
              <w:ind w:firstLine="480" w:firstLineChars="200"/>
              <w:rPr>
                <w:rFonts w:hint="default" w:ascii="Times New Roman" w:hAnsi="Times New Roman" w:eastAsia="宋体" w:cs="Times New Roman"/>
                <w:color w:val="auto"/>
                <w:sz w:val="24"/>
                <w:szCs w:val="24"/>
                <w:lang w:val="en-US" w:eastAsia="zh-CN"/>
              </w:rPr>
            </w:pPr>
            <w:r>
              <w:rPr>
                <w:color w:val="auto"/>
                <w:sz w:val="24"/>
                <w:szCs w:val="24"/>
              </w:rPr>
              <w:t>综上所述，经采取相应处理措施后，本项目产生的废气</w:t>
            </w:r>
            <w:r>
              <w:rPr>
                <w:rFonts w:hint="eastAsia"/>
                <w:color w:val="auto"/>
                <w:sz w:val="24"/>
                <w:szCs w:val="24"/>
                <w:lang w:val="en-US" w:eastAsia="zh-CN"/>
              </w:rPr>
              <w:t>能达到</w:t>
            </w:r>
            <w:r>
              <w:rPr>
                <w:rFonts w:hint="default" w:ascii="Times New Roman" w:hAnsi="Times New Roman" w:eastAsia="宋体" w:cs="Times New Roman"/>
                <w:color w:val="auto"/>
                <w:kern w:val="0"/>
                <w:sz w:val="24"/>
                <w:lang w:val="en-US" w:eastAsia="zh-CN" w:bidi="ar"/>
              </w:rPr>
              <w:t>《工业炉窑大气污染物排放标准》（GB9078-1996）表2中“非金属加热炉”二级标准</w:t>
            </w:r>
            <w:r>
              <w:rPr>
                <w:rFonts w:hint="eastAsia" w:ascii="Times New Roman" w:hAnsi="Times New Roman" w:eastAsia="宋体" w:cs="Times New Roman"/>
                <w:color w:val="auto"/>
                <w:kern w:val="0"/>
                <w:sz w:val="24"/>
                <w:lang w:val="en-US" w:eastAsia="zh-CN" w:bidi="ar"/>
              </w:rPr>
              <w:t>、</w:t>
            </w:r>
            <w:r>
              <w:rPr>
                <w:rFonts w:hint="default" w:ascii="Times New Roman" w:hAnsi="Times New Roman" w:eastAsia="宋体" w:cs="Times New Roman"/>
                <w:color w:val="auto"/>
                <w:kern w:val="0"/>
                <w:sz w:val="24"/>
                <w:lang w:val="en-US" w:eastAsia="zh-CN" w:bidi="ar"/>
              </w:rPr>
              <w:t>《四川省印发工业窑炉大气污染综合治理实施清单》中的标准限值</w:t>
            </w:r>
            <w:r>
              <w:rPr>
                <w:rFonts w:hint="eastAsia" w:ascii="Times New Roman" w:hAnsi="Times New Roman" w:eastAsia="宋体" w:cs="Times New Roman"/>
                <w:color w:val="auto"/>
                <w:kern w:val="0"/>
                <w:sz w:val="24"/>
                <w:lang w:val="en-US" w:eastAsia="zh-CN" w:bidi="ar"/>
              </w:rPr>
              <w:t>及</w:t>
            </w:r>
            <w:r>
              <w:rPr>
                <w:rFonts w:hint="default" w:ascii="Times New Roman" w:hAnsi="Times New Roman" w:eastAsia="宋体" w:cs="Times New Roman"/>
                <w:color w:val="auto"/>
                <w:kern w:val="0"/>
                <w:sz w:val="24"/>
                <w:lang w:val="en-US" w:eastAsia="zh-CN" w:bidi="ar"/>
              </w:rPr>
              <w:t>《大气污染物综合排放标准》（GB16297-1996）二级排放标准</w:t>
            </w:r>
            <w:r>
              <w:rPr>
                <w:color w:val="auto"/>
                <w:kern w:val="0"/>
                <w:sz w:val="24"/>
                <w:lang w:bidi="ar"/>
              </w:rPr>
              <w:t>限值</w:t>
            </w:r>
            <w:r>
              <w:rPr>
                <w:rFonts w:hint="default" w:ascii="Times New Roman" w:hAnsi="Times New Roman" w:eastAsia="宋体" w:cs="Times New Roman"/>
                <w:color w:val="auto"/>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color w:val="auto"/>
              </w:rPr>
            </w:pPr>
            <w:r>
              <w:rPr>
                <w:rFonts w:hint="eastAsia" w:ascii="Times New Roman" w:hAnsi="Times New Roman" w:eastAsia="宋体" w:cs="Times New Roman"/>
                <w:b/>
                <w:bCs/>
                <w:color w:val="auto"/>
                <w:kern w:val="2"/>
                <w:sz w:val="24"/>
                <w:szCs w:val="24"/>
                <w:lang w:val="en-US" w:eastAsia="zh-CN" w:bidi="ar-SA"/>
              </w:rPr>
              <w:t>5、</w:t>
            </w:r>
            <w:r>
              <w:rPr>
                <w:rFonts w:hint="eastAsia" w:ascii="宋体" w:hAnsi="宋体" w:eastAsia="宋体" w:cs="宋体"/>
                <w:b/>
                <w:bCs/>
                <w:color w:val="auto"/>
                <w:kern w:val="0"/>
                <w:sz w:val="24"/>
                <w:szCs w:val="24"/>
                <w:lang w:val="en-US" w:eastAsia="zh-CN" w:bidi="ar"/>
              </w:rPr>
              <w:t>废气排放口基本情况</w:t>
            </w:r>
          </w:p>
          <w:p>
            <w:pPr>
              <w:spacing w:line="360" w:lineRule="auto"/>
              <w:jc w:val="center"/>
              <w:rPr>
                <w:color w:val="auto"/>
              </w:rPr>
            </w:pPr>
            <w:r>
              <w:rPr>
                <w:b/>
                <w:bCs/>
                <w:color w:val="auto"/>
              </w:rPr>
              <w:t>表</w:t>
            </w:r>
            <w:r>
              <w:rPr>
                <w:rFonts w:hint="eastAsia"/>
                <w:b/>
                <w:bCs/>
                <w:color w:val="auto"/>
              </w:rPr>
              <w:t>4</w:t>
            </w:r>
            <w:r>
              <w:rPr>
                <w:rFonts w:hint="eastAsia"/>
                <w:b/>
                <w:bCs/>
                <w:color w:val="auto"/>
                <w:lang w:val="en-US" w:eastAsia="zh-CN"/>
              </w:rPr>
              <w:t>-4</w:t>
            </w:r>
            <w:r>
              <w:rPr>
                <w:b/>
                <w:bCs/>
                <w:color w:val="auto"/>
              </w:rPr>
              <w:t xml:space="preserve"> </w:t>
            </w:r>
            <w:r>
              <w:rPr>
                <w:rFonts w:hint="eastAsia"/>
                <w:b/>
                <w:bCs/>
                <w:color w:val="auto"/>
                <w:lang w:val="en-US" w:eastAsia="zh-CN"/>
              </w:rPr>
              <w:t>本</w:t>
            </w:r>
            <w:r>
              <w:rPr>
                <w:rFonts w:hint="eastAsia" w:ascii="Times New Roman" w:hAnsi="Times New Roman" w:eastAsia="宋体" w:cs="Times New Roman"/>
                <w:b/>
                <w:bCs/>
                <w:color w:val="auto"/>
                <w:lang w:val="en-US" w:eastAsia="zh-CN"/>
              </w:rPr>
              <w:t>项目废气排放口基本情况</w:t>
            </w:r>
          </w:p>
          <w:tbl>
            <w:tblPr>
              <w:tblStyle w:val="37"/>
              <w:tblW w:w="14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230"/>
              <w:gridCol w:w="1080"/>
              <w:gridCol w:w="1320"/>
              <w:gridCol w:w="1155"/>
              <w:gridCol w:w="1380"/>
              <w:gridCol w:w="1095"/>
              <w:gridCol w:w="1185"/>
              <w:gridCol w:w="1305"/>
              <w:gridCol w:w="825"/>
              <w:gridCol w:w="1845"/>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8" w:type="dxa"/>
                  <w:vMerge w:val="restart"/>
                  <w:noWrap w:val="0"/>
                  <w:vAlign w:val="center"/>
                </w:tcPr>
                <w:p>
                  <w:pPr>
                    <w:numPr>
                      <w:ilvl w:val="0"/>
                      <w:numId w:val="0"/>
                    </w:numPr>
                    <w:spacing w:line="240" w:lineRule="auto"/>
                    <w:jc w:val="center"/>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排气筒编号</w:t>
                  </w:r>
                </w:p>
              </w:tc>
              <w:tc>
                <w:tcPr>
                  <w:tcW w:w="2310"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排气筒底部中心坐标</w:t>
                  </w:r>
                </w:p>
              </w:tc>
              <w:tc>
                <w:tcPr>
                  <w:tcW w:w="1320" w:type="dxa"/>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排气筒底部海拔（m）</w:t>
                  </w:r>
                </w:p>
              </w:tc>
              <w:tc>
                <w:tcPr>
                  <w:tcW w:w="1155" w:type="dxa"/>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排气筒高度（m）</w:t>
                  </w:r>
                </w:p>
              </w:tc>
              <w:tc>
                <w:tcPr>
                  <w:tcW w:w="1380" w:type="dxa"/>
                  <w:vMerge w:val="restart"/>
                  <w:noWrap w:val="0"/>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排气筒出口内径（m）</w:t>
                  </w:r>
                </w:p>
              </w:tc>
              <w:tc>
                <w:tcPr>
                  <w:tcW w:w="1095" w:type="dxa"/>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烟气流速（m/s）</w:t>
                  </w:r>
                </w:p>
              </w:tc>
              <w:tc>
                <w:tcPr>
                  <w:tcW w:w="1185" w:type="dxa"/>
                  <w:vMerge w:val="restart"/>
                  <w:noWrap w:val="0"/>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烟气温度（℃）</w:t>
                  </w:r>
                </w:p>
              </w:tc>
              <w:tc>
                <w:tcPr>
                  <w:tcW w:w="1305" w:type="dxa"/>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年排放小时数（h/a）</w:t>
                  </w:r>
                </w:p>
              </w:tc>
              <w:tc>
                <w:tcPr>
                  <w:tcW w:w="825" w:type="dxa"/>
                  <w:vMerge w:val="restart"/>
                  <w:noWrap w:val="0"/>
                  <w:vAlign w:val="center"/>
                </w:tcPr>
                <w:p>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排放工况</w:t>
                  </w:r>
                </w:p>
              </w:tc>
              <w:tc>
                <w:tcPr>
                  <w:tcW w:w="3353" w:type="dxa"/>
                  <w:gridSpan w:val="2"/>
                  <w:vMerge w:val="restart"/>
                  <w:noWrap w:val="0"/>
                  <w:vAlign w:val="center"/>
                </w:tcPr>
                <w:p>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污染物排放速率（</w:t>
                  </w:r>
                  <w:r>
                    <w:rPr>
                      <w:rFonts w:hint="default" w:ascii="Times New Roman" w:hAnsi="Times New Roman" w:eastAsia="宋体" w:cs="Times New Roman"/>
                      <w:b/>
                      <w:bCs/>
                      <w:color w:val="auto"/>
                      <w:sz w:val="21"/>
                      <w:szCs w:val="21"/>
                      <w:vertAlign w:val="baseline"/>
                      <w:lang w:val="en-US" w:eastAsia="zh-CN"/>
                    </w:rPr>
                    <w:t>kg/h</w:t>
                  </w:r>
                  <w:r>
                    <w:rPr>
                      <w:rFonts w:hint="eastAsia" w:ascii="Times New Roman" w:hAnsi="Times New Roman" w:eastAsia="宋体" w:cs="Times New Roman"/>
                      <w:b/>
                      <w:bCs/>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8"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23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经度</w:t>
                  </w:r>
                </w:p>
              </w:tc>
              <w:tc>
                <w:tcPr>
                  <w:tcW w:w="108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纬度</w:t>
                  </w:r>
                </w:p>
              </w:tc>
              <w:tc>
                <w:tcPr>
                  <w:tcW w:w="1320"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15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380"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09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18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30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82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3353" w:type="dxa"/>
                  <w:gridSpan w:val="2"/>
                  <w:vMerge w:val="continue"/>
                  <w:noWrap w:val="0"/>
                  <w:vAlign w:val="center"/>
                </w:tcPr>
                <w:p>
                  <w:pPr>
                    <w:numPr>
                      <w:ilvl w:val="0"/>
                      <w:numId w:val="0"/>
                    </w:numPr>
                    <w:spacing w:line="240" w:lineRule="auto"/>
                    <w:jc w:val="center"/>
                    <w:rPr>
                      <w:rFonts w:hint="eastAsia"/>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8" w:type="dxa"/>
                  <w:vMerge w:val="restart"/>
                  <w:noWrap w:val="0"/>
                  <w:vAlign w:val="center"/>
                </w:tcPr>
                <w:p>
                  <w:pPr>
                    <w:numPr>
                      <w:ilvl w:val="0"/>
                      <w:numId w:val="0"/>
                    </w:numPr>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DA001</w:t>
                  </w:r>
                </w:p>
              </w:tc>
              <w:tc>
                <w:tcPr>
                  <w:tcW w:w="1230" w:type="dxa"/>
                  <w:vMerge w:val="restar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105°41′26.07882″</w:t>
                  </w:r>
                </w:p>
              </w:tc>
              <w:tc>
                <w:tcPr>
                  <w:tcW w:w="1080" w:type="dxa"/>
                  <w:vMerge w:val="restar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30°27′51.05680″</w:t>
                  </w:r>
                </w:p>
              </w:tc>
              <w:tc>
                <w:tcPr>
                  <w:tcW w:w="1320" w:type="dxa"/>
                  <w:vMerge w:val="restart"/>
                  <w:noWrap w:val="0"/>
                  <w:vAlign w:val="center"/>
                </w:tcPr>
                <w:p>
                  <w:pPr>
                    <w:numPr>
                      <w:ilvl w:val="0"/>
                      <w:numId w:val="0"/>
                    </w:numPr>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514</w:t>
                  </w:r>
                </w:p>
              </w:tc>
              <w:tc>
                <w:tcPr>
                  <w:tcW w:w="1155" w:type="dxa"/>
                  <w:vMerge w:val="restart"/>
                  <w:noWrap w:val="0"/>
                  <w:vAlign w:val="center"/>
                </w:tcPr>
                <w:p>
                  <w:pPr>
                    <w:numPr>
                      <w:ilvl w:val="0"/>
                      <w:numId w:val="0"/>
                    </w:numPr>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15</w:t>
                  </w:r>
                </w:p>
              </w:tc>
              <w:tc>
                <w:tcPr>
                  <w:tcW w:w="1380" w:type="dxa"/>
                  <w:vMerge w:val="restart"/>
                  <w:noWrap w:val="0"/>
                  <w:vAlign w:val="center"/>
                </w:tcPr>
                <w:p>
                  <w:pPr>
                    <w:numPr>
                      <w:ilvl w:val="0"/>
                      <w:numId w:val="0"/>
                    </w:numPr>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0.4</w:t>
                  </w:r>
                </w:p>
              </w:tc>
              <w:tc>
                <w:tcPr>
                  <w:tcW w:w="1095" w:type="dxa"/>
                  <w:vMerge w:val="restart"/>
                  <w:noWrap w:val="0"/>
                  <w:vAlign w:val="center"/>
                </w:tcPr>
                <w:p>
                  <w:pPr>
                    <w:numPr>
                      <w:ilvl w:val="0"/>
                      <w:numId w:val="0"/>
                    </w:numPr>
                    <w:spacing w:line="240" w:lineRule="auto"/>
                    <w:jc w:val="center"/>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11.05</w:t>
                  </w:r>
                </w:p>
              </w:tc>
              <w:tc>
                <w:tcPr>
                  <w:tcW w:w="1185" w:type="dxa"/>
                  <w:vMerge w:val="restart"/>
                  <w:noWrap w:val="0"/>
                  <w:vAlign w:val="center"/>
                </w:tcPr>
                <w:p>
                  <w:pPr>
                    <w:numPr>
                      <w:ilvl w:val="0"/>
                      <w:numId w:val="0"/>
                    </w:numPr>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20</w:t>
                  </w:r>
                </w:p>
              </w:tc>
              <w:tc>
                <w:tcPr>
                  <w:tcW w:w="1305" w:type="dxa"/>
                  <w:vMerge w:val="restart"/>
                  <w:noWrap w:val="0"/>
                  <w:vAlign w:val="center"/>
                </w:tcPr>
                <w:p>
                  <w:pPr>
                    <w:numPr>
                      <w:ilvl w:val="0"/>
                      <w:numId w:val="0"/>
                    </w:numPr>
                    <w:spacing w:line="240" w:lineRule="auto"/>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7920</w:t>
                  </w:r>
                </w:p>
              </w:tc>
              <w:tc>
                <w:tcPr>
                  <w:tcW w:w="825" w:type="dxa"/>
                  <w:vMerge w:val="restart"/>
                  <w:noWrap w:val="0"/>
                  <w:vAlign w:val="center"/>
                </w:tcPr>
                <w:p>
                  <w:pPr>
                    <w:numPr>
                      <w:ilvl w:val="0"/>
                      <w:numId w:val="0"/>
                    </w:numPr>
                    <w:spacing w:line="240" w:lineRule="auto"/>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正常</w:t>
                  </w:r>
                </w:p>
              </w:tc>
              <w:tc>
                <w:tcPr>
                  <w:tcW w:w="1845" w:type="dxa"/>
                  <w:noWrap w:val="0"/>
                  <w:vAlign w:val="center"/>
                </w:tcPr>
                <w:p>
                  <w:pPr>
                    <w:pStyle w:val="157"/>
                    <w:spacing w:before="0"/>
                    <w:ind w:left="0" w:leftChars="0"/>
                    <w:rPr>
                      <w:rFonts w:hint="eastAsia"/>
                      <w:b w:val="0"/>
                      <w:bCs/>
                      <w:color w:val="auto"/>
                      <w:sz w:val="21"/>
                      <w:szCs w:val="21"/>
                      <w:vertAlign w:val="baseline"/>
                    </w:rPr>
                  </w:pPr>
                  <w:r>
                    <w:rPr>
                      <w:rFonts w:hint="eastAsia" w:ascii="Times New Roman" w:hAnsi="Times New Roman" w:eastAsia="宋体" w:cs="Times New Roman"/>
                      <w:b w:val="0"/>
                      <w:bCs/>
                      <w:color w:val="auto"/>
                      <w:szCs w:val="21"/>
                      <w:lang w:val="en-US" w:eastAsia="zh-CN"/>
                    </w:rPr>
                    <w:t>颗粒物</w:t>
                  </w:r>
                </w:p>
              </w:tc>
              <w:tc>
                <w:tcPr>
                  <w:tcW w:w="1508" w:type="dxa"/>
                  <w:noWrap w:val="0"/>
                  <w:vAlign w:val="center"/>
                </w:tcPr>
                <w:p>
                  <w:pPr>
                    <w:jc w:val="center"/>
                    <w:rPr>
                      <w:rFonts w:hint="eastAsia"/>
                      <w:b w:val="0"/>
                      <w:bCs w:val="0"/>
                      <w:color w:val="auto"/>
                      <w:sz w:val="21"/>
                      <w:szCs w:val="21"/>
                      <w:vertAlign w:val="baseline"/>
                    </w:rPr>
                  </w:pPr>
                  <w:r>
                    <w:rPr>
                      <w:rFonts w:hint="eastAsia" w:ascii="Times New Roman" w:hAnsi="Times New Roman" w:eastAsia="宋体" w:cs="Times New Roman"/>
                      <w:b w:val="0"/>
                      <w:bCs w:val="0"/>
                      <w:color w:val="auto"/>
                      <w:szCs w:val="21"/>
                      <w:lang w:val="en-US" w:eastAsia="zh-CN"/>
                    </w:rPr>
                    <w:t>0.00822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8"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23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08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320"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15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380"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09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18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30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82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845" w:type="dxa"/>
                  <w:noWrap w:val="0"/>
                  <w:vAlign w:val="center"/>
                </w:tcPr>
                <w:p>
                  <w:pPr>
                    <w:pStyle w:val="157"/>
                    <w:spacing w:before="0"/>
                    <w:ind w:left="0" w:leftChars="0"/>
                    <w:rPr>
                      <w:rFonts w:hint="eastAsia"/>
                      <w:b w:val="0"/>
                      <w:bCs/>
                      <w:color w:val="auto"/>
                      <w:sz w:val="21"/>
                      <w:szCs w:val="21"/>
                      <w:vertAlign w:val="baseline"/>
                    </w:rPr>
                  </w:pPr>
                  <w:r>
                    <w:rPr>
                      <w:rFonts w:hint="eastAsia" w:ascii="Times New Roman" w:hAnsi="Times New Roman" w:eastAsia="宋体" w:cs="Times New Roman"/>
                      <w:b w:val="0"/>
                      <w:bCs/>
                      <w:color w:val="auto"/>
                      <w:szCs w:val="21"/>
                      <w:lang w:val="en-US" w:eastAsia="zh-CN"/>
                    </w:rPr>
                    <w:t>二氧化硫</w:t>
                  </w:r>
                </w:p>
              </w:tc>
              <w:tc>
                <w:tcPr>
                  <w:tcW w:w="1508" w:type="dxa"/>
                  <w:noWrap w:val="0"/>
                  <w:vAlign w:val="center"/>
                </w:tcPr>
                <w:p>
                  <w:pPr>
                    <w:jc w:val="center"/>
                    <w:rPr>
                      <w:rFonts w:hint="eastAsia"/>
                      <w:b w:val="0"/>
                      <w:bCs w:val="0"/>
                      <w:color w:val="auto"/>
                      <w:sz w:val="21"/>
                      <w:szCs w:val="21"/>
                      <w:vertAlign w:val="baseline"/>
                    </w:rPr>
                  </w:pPr>
                  <w:r>
                    <w:rPr>
                      <w:rFonts w:hint="eastAsia" w:ascii="Times New Roman" w:hAnsi="Times New Roman" w:eastAsia="宋体" w:cs="Times New Roman"/>
                      <w:b w:val="0"/>
                      <w:bCs w:val="0"/>
                      <w:color w:val="auto"/>
                      <w:sz w:val="21"/>
                      <w:szCs w:val="21"/>
                      <w:lang w:val="en-US" w:eastAsia="zh-CN"/>
                    </w:rPr>
                    <w:t>0.3633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8"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23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08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p>
              </w:tc>
              <w:tc>
                <w:tcPr>
                  <w:tcW w:w="1320"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15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380"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09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18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30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82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845" w:type="dxa"/>
                  <w:noWrap w:val="0"/>
                  <w:vAlign w:val="center"/>
                </w:tcPr>
                <w:p>
                  <w:pPr>
                    <w:pStyle w:val="157"/>
                    <w:spacing w:before="0"/>
                    <w:ind w:left="0" w:leftChars="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Cs w:val="21"/>
                      <w:lang w:val="en-US" w:eastAsia="zh-CN"/>
                    </w:rPr>
                    <w:t>氮氧化物</w:t>
                  </w:r>
                </w:p>
              </w:tc>
              <w:tc>
                <w:tcPr>
                  <w:tcW w:w="1508" w:type="dxa"/>
                  <w:noWrap w:val="0"/>
                  <w:vAlign w:val="center"/>
                </w:tcPr>
                <w:p>
                  <w:pPr>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2"/>
                      <w:sz w:val="21"/>
                      <w:szCs w:val="21"/>
                      <w:lang w:val="en-US" w:eastAsia="zh-CN" w:bidi="ar-SA"/>
                    </w:rPr>
                    <w:t>0.0148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8" w:type="dxa"/>
                  <w:vMerge w:val="restart"/>
                  <w:noWrap w:val="0"/>
                  <w:vAlign w:val="center"/>
                </w:tcPr>
                <w:p>
                  <w:pPr>
                    <w:numPr>
                      <w:ilvl w:val="0"/>
                      <w:numId w:val="0"/>
                    </w:numPr>
                    <w:spacing w:line="240" w:lineRule="auto"/>
                    <w:jc w:val="center"/>
                    <w:rPr>
                      <w:rFonts w:hint="eastAsia"/>
                      <w:color w:val="auto"/>
                      <w:sz w:val="21"/>
                      <w:szCs w:val="21"/>
                      <w:vertAlign w:val="baseline"/>
                    </w:rPr>
                  </w:pPr>
                  <w:r>
                    <w:rPr>
                      <w:rFonts w:hint="eastAsia"/>
                      <w:color w:val="auto"/>
                      <w:sz w:val="21"/>
                      <w:szCs w:val="21"/>
                      <w:vertAlign w:val="baseline"/>
                      <w:lang w:val="en-US" w:eastAsia="zh-CN"/>
                    </w:rPr>
                    <w:t>DA002</w:t>
                  </w:r>
                </w:p>
              </w:tc>
              <w:tc>
                <w:tcPr>
                  <w:tcW w:w="1230"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105°41′26.50368″</w:t>
                  </w:r>
                </w:p>
              </w:tc>
              <w:tc>
                <w:tcPr>
                  <w:tcW w:w="1080"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30°27′51.10508″</w:t>
                  </w:r>
                </w:p>
              </w:tc>
              <w:tc>
                <w:tcPr>
                  <w:tcW w:w="1320" w:type="dxa"/>
                  <w:vMerge w:val="restart"/>
                  <w:noWrap w:val="0"/>
                  <w:vAlign w:val="center"/>
                </w:tcPr>
                <w:p>
                  <w:pPr>
                    <w:numPr>
                      <w:ilvl w:val="0"/>
                      <w:numId w:val="0"/>
                    </w:numPr>
                    <w:spacing w:line="240" w:lineRule="auto"/>
                    <w:ind w:left="0" w:leftChars="0" w:firstLine="0" w:firstLineChars="0"/>
                    <w:jc w:val="center"/>
                    <w:rPr>
                      <w:rFonts w:hint="eastAsia"/>
                      <w:color w:val="auto"/>
                      <w:sz w:val="21"/>
                      <w:szCs w:val="21"/>
                      <w:vertAlign w:val="baseline"/>
                    </w:rPr>
                  </w:pPr>
                  <w:r>
                    <w:rPr>
                      <w:rFonts w:hint="eastAsia"/>
                      <w:color w:val="auto"/>
                      <w:sz w:val="21"/>
                      <w:szCs w:val="21"/>
                      <w:vertAlign w:val="baseline"/>
                      <w:lang w:val="en-US" w:eastAsia="zh-CN"/>
                    </w:rPr>
                    <w:t>514</w:t>
                  </w:r>
                </w:p>
              </w:tc>
              <w:tc>
                <w:tcPr>
                  <w:tcW w:w="1155" w:type="dxa"/>
                  <w:vMerge w:val="restart"/>
                  <w:noWrap w:val="0"/>
                  <w:vAlign w:val="center"/>
                </w:tcPr>
                <w:p>
                  <w:pPr>
                    <w:numPr>
                      <w:ilvl w:val="0"/>
                      <w:numId w:val="0"/>
                    </w:numPr>
                    <w:spacing w:line="240" w:lineRule="auto"/>
                    <w:ind w:left="0" w:leftChars="0" w:firstLine="0" w:firstLineChars="0"/>
                    <w:jc w:val="center"/>
                    <w:rPr>
                      <w:rFonts w:hint="eastAsia"/>
                      <w:color w:val="auto"/>
                      <w:sz w:val="21"/>
                      <w:szCs w:val="21"/>
                      <w:vertAlign w:val="baseline"/>
                    </w:rPr>
                  </w:pPr>
                  <w:r>
                    <w:rPr>
                      <w:rFonts w:hint="eastAsia"/>
                      <w:color w:val="auto"/>
                      <w:sz w:val="21"/>
                      <w:szCs w:val="21"/>
                      <w:vertAlign w:val="baseline"/>
                      <w:lang w:val="en-US" w:eastAsia="zh-CN"/>
                    </w:rPr>
                    <w:t>15</w:t>
                  </w:r>
                </w:p>
              </w:tc>
              <w:tc>
                <w:tcPr>
                  <w:tcW w:w="1380" w:type="dxa"/>
                  <w:vMerge w:val="restart"/>
                  <w:noWrap w:val="0"/>
                  <w:vAlign w:val="center"/>
                </w:tcPr>
                <w:p>
                  <w:pPr>
                    <w:numPr>
                      <w:ilvl w:val="0"/>
                      <w:numId w:val="0"/>
                    </w:numPr>
                    <w:spacing w:line="240" w:lineRule="auto"/>
                    <w:ind w:left="0" w:leftChars="0" w:firstLine="0" w:firstLineChars="0"/>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0.4</w:t>
                  </w:r>
                </w:p>
              </w:tc>
              <w:tc>
                <w:tcPr>
                  <w:tcW w:w="1095" w:type="dxa"/>
                  <w:vMerge w:val="restart"/>
                  <w:noWrap w:val="0"/>
                  <w:vAlign w:val="center"/>
                </w:tcPr>
                <w:p>
                  <w:pPr>
                    <w:numPr>
                      <w:ilvl w:val="0"/>
                      <w:numId w:val="0"/>
                    </w:numPr>
                    <w:spacing w:line="240" w:lineRule="auto"/>
                    <w:ind w:left="0" w:leftChars="0" w:firstLine="0" w:firstLineChars="0"/>
                    <w:jc w:val="center"/>
                    <w:rPr>
                      <w:rFonts w:hint="default"/>
                      <w:color w:val="auto"/>
                      <w:sz w:val="21"/>
                      <w:szCs w:val="21"/>
                      <w:vertAlign w:val="baseline"/>
                      <w:lang w:val="en-US"/>
                    </w:rPr>
                  </w:pPr>
                  <w:r>
                    <w:rPr>
                      <w:rFonts w:hint="eastAsia" w:eastAsia="宋体"/>
                      <w:color w:val="auto"/>
                      <w:sz w:val="21"/>
                      <w:szCs w:val="21"/>
                      <w:vertAlign w:val="baseline"/>
                      <w:lang w:val="en-US" w:eastAsia="zh-CN"/>
                    </w:rPr>
                    <w:t>11.05</w:t>
                  </w:r>
                </w:p>
              </w:tc>
              <w:tc>
                <w:tcPr>
                  <w:tcW w:w="1185" w:type="dxa"/>
                  <w:vMerge w:val="restart"/>
                  <w:noWrap w:val="0"/>
                  <w:vAlign w:val="center"/>
                </w:tcPr>
                <w:p>
                  <w:pPr>
                    <w:numPr>
                      <w:ilvl w:val="0"/>
                      <w:numId w:val="0"/>
                    </w:numPr>
                    <w:spacing w:line="240" w:lineRule="auto"/>
                    <w:ind w:left="0" w:leftChars="0" w:firstLine="0" w:firstLineChars="0"/>
                    <w:jc w:val="center"/>
                    <w:rPr>
                      <w:rFonts w:hint="eastAsia"/>
                      <w:color w:val="auto"/>
                      <w:sz w:val="21"/>
                      <w:szCs w:val="21"/>
                      <w:vertAlign w:val="baseline"/>
                    </w:rPr>
                  </w:pPr>
                  <w:r>
                    <w:rPr>
                      <w:rFonts w:hint="eastAsia"/>
                      <w:color w:val="auto"/>
                      <w:sz w:val="21"/>
                      <w:szCs w:val="21"/>
                      <w:vertAlign w:val="baseline"/>
                      <w:lang w:val="en-US" w:eastAsia="zh-CN"/>
                    </w:rPr>
                    <w:t>20</w:t>
                  </w:r>
                </w:p>
              </w:tc>
              <w:tc>
                <w:tcPr>
                  <w:tcW w:w="1305" w:type="dxa"/>
                  <w:vMerge w:val="restart"/>
                  <w:noWrap w:val="0"/>
                  <w:vAlign w:val="center"/>
                </w:tcPr>
                <w:p>
                  <w:pPr>
                    <w:numPr>
                      <w:ilvl w:val="0"/>
                      <w:numId w:val="0"/>
                    </w:numPr>
                    <w:spacing w:line="240" w:lineRule="auto"/>
                    <w:ind w:left="0" w:leftChars="0" w:firstLine="0" w:firstLineChars="0"/>
                    <w:jc w:val="center"/>
                    <w:rPr>
                      <w:rFonts w:hint="eastAsia"/>
                      <w:color w:val="auto"/>
                      <w:sz w:val="21"/>
                      <w:szCs w:val="21"/>
                      <w:vertAlign w:val="baseline"/>
                    </w:rPr>
                  </w:pPr>
                  <w:r>
                    <w:rPr>
                      <w:rFonts w:hint="eastAsia"/>
                      <w:color w:val="auto"/>
                      <w:sz w:val="21"/>
                      <w:szCs w:val="21"/>
                      <w:vertAlign w:val="baseline"/>
                      <w:lang w:val="en-US" w:eastAsia="zh-CN"/>
                    </w:rPr>
                    <w:t>7920</w:t>
                  </w:r>
                </w:p>
              </w:tc>
              <w:tc>
                <w:tcPr>
                  <w:tcW w:w="825" w:type="dxa"/>
                  <w:vMerge w:val="restart"/>
                  <w:noWrap w:val="0"/>
                  <w:vAlign w:val="center"/>
                </w:tcPr>
                <w:p>
                  <w:pPr>
                    <w:numPr>
                      <w:ilvl w:val="0"/>
                      <w:numId w:val="0"/>
                    </w:numPr>
                    <w:spacing w:line="240" w:lineRule="auto"/>
                    <w:ind w:left="0" w:leftChars="0" w:firstLine="0" w:firstLineChars="0"/>
                    <w:jc w:val="center"/>
                    <w:rPr>
                      <w:rFonts w:hint="eastAsia"/>
                      <w:color w:val="auto"/>
                      <w:sz w:val="21"/>
                      <w:szCs w:val="21"/>
                      <w:vertAlign w:val="baseline"/>
                    </w:rPr>
                  </w:pPr>
                  <w:r>
                    <w:rPr>
                      <w:rFonts w:hint="eastAsia"/>
                      <w:color w:val="auto"/>
                      <w:sz w:val="21"/>
                      <w:szCs w:val="21"/>
                      <w:vertAlign w:val="baseline"/>
                      <w:lang w:val="en-US" w:eastAsia="zh-CN"/>
                    </w:rPr>
                    <w:t>正常</w:t>
                  </w:r>
                </w:p>
              </w:tc>
              <w:tc>
                <w:tcPr>
                  <w:tcW w:w="1845" w:type="dxa"/>
                  <w:noWrap w:val="0"/>
                  <w:vAlign w:val="center"/>
                </w:tcPr>
                <w:p>
                  <w:pPr>
                    <w:pStyle w:val="157"/>
                    <w:spacing w:before="0"/>
                    <w:ind w:left="0" w:leftChars="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Cs w:val="21"/>
                      <w:lang w:val="en-US" w:eastAsia="zh-CN"/>
                    </w:rPr>
                    <w:t>颗粒物</w:t>
                  </w:r>
                </w:p>
              </w:tc>
              <w:tc>
                <w:tcPr>
                  <w:tcW w:w="1508"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Cs w:val="21"/>
                      <w:lang w:val="en-US" w:eastAsia="zh-CN"/>
                    </w:rPr>
                    <w:t>0.00822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8"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23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rPr>
                  </w:pPr>
                </w:p>
              </w:tc>
              <w:tc>
                <w:tcPr>
                  <w:tcW w:w="108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rPr>
                  </w:pPr>
                </w:p>
              </w:tc>
              <w:tc>
                <w:tcPr>
                  <w:tcW w:w="1320"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15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380"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09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18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30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82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845" w:type="dxa"/>
                  <w:noWrap w:val="0"/>
                  <w:vAlign w:val="center"/>
                </w:tcPr>
                <w:p>
                  <w:pPr>
                    <w:pStyle w:val="157"/>
                    <w:spacing w:before="0"/>
                    <w:ind w:left="0" w:leftChars="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Cs w:val="21"/>
                      <w:lang w:val="en-US" w:eastAsia="zh-CN"/>
                    </w:rPr>
                    <w:t>二氧化硫</w:t>
                  </w:r>
                </w:p>
              </w:tc>
              <w:tc>
                <w:tcPr>
                  <w:tcW w:w="1508" w:type="dxa"/>
                  <w:noWrap w:val="0"/>
                  <w:vAlign w:val="center"/>
                </w:tcPr>
                <w:p>
                  <w:pPr>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0.3633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8"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23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rPr>
                  </w:pPr>
                </w:p>
              </w:tc>
              <w:tc>
                <w:tcPr>
                  <w:tcW w:w="108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rPr>
                  </w:pPr>
                </w:p>
              </w:tc>
              <w:tc>
                <w:tcPr>
                  <w:tcW w:w="1320"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15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380"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09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18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30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825" w:type="dxa"/>
                  <w:vMerge w:val="continue"/>
                  <w:noWrap w:val="0"/>
                  <w:vAlign w:val="center"/>
                </w:tcPr>
                <w:p>
                  <w:pPr>
                    <w:numPr>
                      <w:ilvl w:val="0"/>
                      <w:numId w:val="0"/>
                    </w:numPr>
                    <w:spacing w:line="240" w:lineRule="auto"/>
                    <w:jc w:val="center"/>
                    <w:rPr>
                      <w:rFonts w:hint="eastAsia"/>
                      <w:color w:val="auto"/>
                      <w:sz w:val="21"/>
                      <w:szCs w:val="21"/>
                      <w:vertAlign w:val="baseline"/>
                    </w:rPr>
                  </w:pPr>
                </w:p>
              </w:tc>
              <w:tc>
                <w:tcPr>
                  <w:tcW w:w="1845" w:type="dxa"/>
                  <w:noWrap w:val="0"/>
                  <w:vAlign w:val="center"/>
                </w:tcPr>
                <w:p>
                  <w:pPr>
                    <w:pStyle w:val="157"/>
                    <w:spacing w:before="0"/>
                    <w:ind w:left="0" w:leftChars="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Cs w:val="21"/>
                      <w:lang w:val="en-US" w:eastAsia="zh-CN"/>
                    </w:rPr>
                    <w:t>氮氧化物</w:t>
                  </w:r>
                </w:p>
              </w:tc>
              <w:tc>
                <w:tcPr>
                  <w:tcW w:w="1508"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0.0148</w:t>
                  </w:r>
                </w:p>
              </w:tc>
            </w:tr>
          </w:tbl>
          <w:p>
            <w:pPr>
              <w:pStyle w:val="35"/>
              <w:spacing w:after="0" w:line="360" w:lineRule="auto"/>
              <w:ind w:left="0" w:leftChars="0" w:firstLine="0" w:firstLineChars="0"/>
              <w:rPr>
                <w:rFonts w:ascii="宋体" w:hAnsi="宋体" w:cs="宋体"/>
                <w:bCs/>
                <w:color w:val="auto"/>
                <w:spacing w:val="-10"/>
                <w:szCs w:val="21"/>
              </w:rPr>
            </w:pPr>
          </w:p>
        </w:tc>
      </w:tr>
    </w:tbl>
    <w:p>
      <w:pPr>
        <w:pStyle w:val="35"/>
        <w:rPr>
          <w:rFonts w:hint="eastAsia"/>
          <w:color w:val="auto"/>
        </w:rPr>
        <w:sectPr>
          <w:pgSz w:w="16840" w:h="11907" w:orient="landscape"/>
          <w:pgMar w:top="1531" w:right="1701" w:bottom="1531" w:left="2127" w:header="851" w:footer="851" w:gutter="0"/>
          <w:cols w:space="720" w:num="1"/>
          <w:docGrid w:linePitch="312" w:charSpace="0"/>
        </w:sectPr>
      </w:pPr>
    </w:p>
    <w:tbl>
      <w:tblPr>
        <w:tblStyle w:val="36"/>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color w:val="auto"/>
                <w:sz w:val="24"/>
              </w:rPr>
            </w:pPr>
            <w:r>
              <w:rPr>
                <w:rFonts w:hint="eastAsia" w:ascii="宋体" w:hAnsi="宋体" w:cs="宋体"/>
                <w:bCs/>
                <w:color w:val="auto"/>
                <w:sz w:val="24"/>
              </w:rPr>
              <w:t>运营</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期环</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境影</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响和</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保护</w:t>
            </w:r>
          </w:p>
          <w:p>
            <w:pPr>
              <w:pStyle w:val="32"/>
              <w:adjustRightInd w:val="0"/>
              <w:snapToGrid w:val="0"/>
              <w:spacing w:before="0" w:beforeAutospacing="0" w:after="0" w:afterAutospacing="0"/>
              <w:jc w:val="center"/>
              <w:rPr>
                <w:rFonts w:hint="eastAsia" w:cs="宋体"/>
                <w:bCs/>
                <w:color w:val="auto"/>
                <w:kern w:val="2"/>
                <w:sz w:val="21"/>
                <w:szCs w:val="21"/>
              </w:rPr>
            </w:pPr>
            <w:r>
              <w:rPr>
                <w:rFonts w:hint="eastAsia" w:cs="宋体"/>
                <w:bCs/>
                <w:color w:val="auto"/>
              </w:rPr>
              <w:t>措施</w:t>
            </w:r>
          </w:p>
        </w:tc>
        <w:tc>
          <w:tcPr>
            <w:tcW w:w="816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color w:val="auto"/>
              </w:rPr>
            </w:pPr>
            <w:r>
              <w:rPr>
                <w:rFonts w:hint="eastAsia" w:ascii="Times New Roman" w:hAnsi="Times New Roman" w:eastAsia="宋体" w:cs="Times New Roman"/>
                <w:b/>
                <w:bCs/>
                <w:color w:val="auto"/>
                <w:kern w:val="2"/>
                <w:sz w:val="24"/>
                <w:szCs w:val="24"/>
                <w:lang w:val="en-US" w:eastAsia="zh-CN" w:bidi="ar-SA"/>
              </w:rPr>
              <w:t>6、</w:t>
            </w:r>
            <w:r>
              <w:rPr>
                <w:rFonts w:hint="eastAsia" w:ascii="宋体" w:hAnsi="宋体" w:eastAsia="宋体" w:cs="宋体"/>
                <w:b/>
                <w:bCs/>
                <w:color w:val="auto"/>
                <w:kern w:val="0"/>
                <w:sz w:val="24"/>
                <w:szCs w:val="24"/>
                <w:lang w:val="en-US" w:eastAsia="zh-CN" w:bidi="ar"/>
              </w:rPr>
              <w:t>跟踪监测计划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根据</w:t>
            </w:r>
            <w:r>
              <w:rPr>
                <w:rFonts w:hint="eastAsia" w:ascii="Times New Roman" w:hAnsi="Times New Roman" w:eastAsia="宋体" w:cs="Times New Roman"/>
                <w:b w:val="0"/>
                <w:bCs/>
                <w:color w:val="auto"/>
                <w:kern w:val="2"/>
                <w:sz w:val="24"/>
                <w:szCs w:val="24"/>
                <w:lang w:val="en-US" w:eastAsia="zh-CN" w:bidi="ar-SA"/>
              </w:rPr>
              <w:t>《排污许可证申请与核发技术规范—石墨及其他非金属矿物制品制造》（HJ1119-2020）</w:t>
            </w:r>
            <w:r>
              <w:rPr>
                <w:rFonts w:hint="eastAsia" w:ascii="宋体" w:hAnsi="宋体" w:eastAsia="宋体" w:cs="宋体"/>
                <w:color w:val="auto"/>
                <w:kern w:val="0"/>
                <w:sz w:val="24"/>
                <w:szCs w:val="24"/>
                <w:lang w:val="en-US" w:eastAsia="zh-CN" w:bidi="ar"/>
              </w:rPr>
              <w:t>，本项目监测计划如下：</w:t>
            </w:r>
          </w:p>
          <w:p>
            <w:pPr>
              <w:keepNext w:val="0"/>
              <w:keepLines w:val="0"/>
              <w:widowControl/>
              <w:suppressLineNumbers w:val="0"/>
              <w:spacing w:line="360" w:lineRule="auto"/>
              <w:jc w:val="center"/>
              <w:rPr>
                <w:rFonts w:hint="eastAsia" w:ascii="宋体" w:hAnsi="宋体" w:eastAsia="宋体" w:cs="宋体"/>
                <w:b/>
                <w:bCs/>
                <w:color w:val="auto"/>
                <w:kern w:val="0"/>
                <w:sz w:val="21"/>
                <w:szCs w:val="21"/>
                <w:lang w:val="en-US" w:eastAsia="zh-CN" w:bidi="ar"/>
              </w:rPr>
            </w:pPr>
            <w:r>
              <w:rPr>
                <w:b/>
                <w:bCs/>
                <w:color w:val="auto"/>
                <w:sz w:val="21"/>
                <w:szCs w:val="21"/>
              </w:rPr>
              <w:t>表</w:t>
            </w:r>
            <w:r>
              <w:rPr>
                <w:rFonts w:hint="eastAsia"/>
                <w:b/>
                <w:bCs/>
                <w:color w:val="auto"/>
                <w:sz w:val="21"/>
                <w:szCs w:val="21"/>
              </w:rPr>
              <w:t>4</w:t>
            </w:r>
            <w:r>
              <w:rPr>
                <w:rFonts w:hint="eastAsia"/>
                <w:b/>
                <w:bCs/>
                <w:color w:val="auto"/>
                <w:sz w:val="21"/>
                <w:szCs w:val="21"/>
                <w:lang w:val="en-US" w:eastAsia="zh-CN"/>
              </w:rPr>
              <w:t>-5</w:t>
            </w:r>
            <w:r>
              <w:rPr>
                <w:b/>
                <w:bCs/>
                <w:color w:val="auto"/>
                <w:sz w:val="21"/>
                <w:szCs w:val="21"/>
              </w:rPr>
              <w:t xml:space="preserve"> </w:t>
            </w:r>
            <w:r>
              <w:rPr>
                <w:rFonts w:hint="eastAsia" w:ascii="宋体" w:hAnsi="宋体" w:eastAsia="宋体" w:cs="宋体"/>
                <w:b/>
                <w:bCs/>
                <w:color w:val="auto"/>
                <w:kern w:val="0"/>
                <w:sz w:val="21"/>
                <w:szCs w:val="21"/>
                <w:lang w:val="en-US" w:eastAsia="zh-CN" w:bidi="ar"/>
              </w:rPr>
              <w:t>本项目废气污染源监测计划</w:t>
            </w:r>
          </w:p>
          <w:tbl>
            <w:tblPr>
              <w:tblStyle w:val="37"/>
              <w:tblW w:w="7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099"/>
              <w:gridCol w:w="1116"/>
              <w:gridCol w:w="1367"/>
              <w:gridCol w:w="1101"/>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0" w:type="dxa"/>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1099" w:type="dxa"/>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监测位置</w:t>
                  </w:r>
                </w:p>
              </w:tc>
              <w:tc>
                <w:tcPr>
                  <w:tcW w:w="1116" w:type="dxa"/>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监测数量</w:t>
                  </w:r>
                </w:p>
              </w:tc>
              <w:tc>
                <w:tcPr>
                  <w:tcW w:w="1367" w:type="dxa"/>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监测因子</w:t>
                  </w:r>
                </w:p>
              </w:tc>
              <w:tc>
                <w:tcPr>
                  <w:tcW w:w="1101" w:type="dxa"/>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监测频次</w:t>
                  </w:r>
                </w:p>
              </w:tc>
              <w:tc>
                <w:tcPr>
                  <w:tcW w:w="2453" w:type="dxa"/>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0"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1</w:t>
                  </w:r>
                </w:p>
              </w:tc>
              <w:tc>
                <w:tcPr>
                  <w:tcW w:w="1099"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DA001</w:t>
                  </w:r>
                </w:p>
              </w:tc>
              <w:tc>
                <w:tcPr>
                  <w:tcW w:w="1116"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1</w:t>
                  </w:r>
                </w:p>
              </w:tc>
              <w:tc>
                <w:tcPr>
                  <w:tcW w:w="1367" w:type="dxa"/>
                  <w:noWrap w:val="0"/>
                  <w:vAlign w:val="center"/>
                </w:tcPr>
                <w:p>
                  <w:pPr>
                    <w:pStyle w:val="157"/>
                    <w:spacing w:before="0"/>
                    <w:ind w:left="0" w:leftChars="0"/>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颗粒物</w:t>
                  </w:r>
                </w:p>
              </w:tc>
              <w:tc>
                <w:tcPr>
                  <w:tcW w:w="1101" w:type="dxa"/>
                  <w:vMerge w:val="restart"/>
                  <w:noWrap w:val="0"/>
                  <w:vAlign w:val="center"/>
                </w:tcPr>
                <w:p>
                  <w:pPr>
                    <w:pStyle w:val="157"/>
                    <w:spacing w:before="0"/>
                    <w:ind w:left="0" w:leftChars="0"/>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半年/次</w:t>
                  </w:r>
                </w:p>
              </w:tc>
              <w:tc>
                <w:tcPr>
                  <w:tcW w:w="2453" w:type="dxa"/>
                  <w:vMerge w:val="restart"/>
                  <w:noWrap w:val="0"/>
                  <w:vAlign w:val="center"/>
                </w:tcPr>
                <w:p>
                  <w:pPr>
                    <w:pStyle w:val="157"/>
                    <w:spacing w:before="0"/>
                    <w:ind w:left="0" w:leftChars="0"/>
                    <w:rPr>
                      <w:rFonts w:hint="eastAsia"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lang w:val="en-US" w:eastAsia="zh-CN"/>
                    </w:rPr>
                    <w:t>《工业炉窑大气污染物排放标准》（GB9078-1996）表2中“非金属加热炉”二级标准</w:t>
                  </w:r>
                  <w:r>
                    <w:rPr>
                      <w:rFonts w:hint="eastAsia" w:ascii="Times New Roman" w:hAnsi="Times New Roman" w:eastAsia="宋体" w:cs="Times New Roman"/>
                      <w:b w:val="0"/>
                      <w:bCs/>
                      <w:color w:val="auto"/>
                      <w:szCs w:val="21"/>
                      <w:lang w:val="en-US" w:eastAsia="zh-CN"/>
                    </w:rPr>
                    <w:t>、</w:t>
                  </w:r>
                  <w:r>
                    <w:rPr>
                      <w:rFonts w:hint="default" w:ascii="Times New Roman" w:hAnsi="Times New Roman" w:eastAsia="宋体" w:cs="Times New Roman"/>
                      <w:b w:val="0"/>
                      <w:bCs/>
                      <w:color w:val="auto"/>
                      <w:szCs w:val="21"/>
                      <w:lang w:val="en-US" w:eastAsia="zh-CN"/>
                    </w:rPr>
                    <w:t>《四川省印发工业窑炉大气污染综合治理实施清单》中的标准限值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0"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099"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116"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367" w:type="dxa"/>
                  <w:noWrap w:val="0"/>
                  <w:vAlign w:val="center"/>
                </w:tcPr>
                <w:p>
                  <w:pPr>
                    <w:pStyle w:val="157"/>
                    <w:spacing w:before="0"/>
                    <w:ind w:left="0" w:leftChars="0"/>
                    <w:rPr>
                      <w:rFonts w:hint="eastAsia"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二氧化硫</w:t>
                  </w:r>
                </w:p>
              </w:tc>
              <w:tc>
                <w:tcPr>
                  <w:tcW w:w="1101" w:type="dxa"/>
                  <w:vMerge w:val="continue"/>
                  <w:noWrap w:val="0"/>
                  <w:vAlign w:val="center"/>
                </w:tcPr>
                <w:p>
                  <w:pPr>
                    <w:pStyle w:val="157"/>
                    <w:spacing w:before="0"/>
                    <w:ind w:left="0" w:leftChars="0"/>
                    <w:rPr>
                      <w:rFonts w:hint="eastAsia" w:ascii="Times New Roman" w:hAnsi="Times New Roman" w:eastAsia="宋体" w:cs="Times New Roman"/>
                      <w:b w:val="0"/>
                      <w:bCs/>
                      <w:color w:val="auto"/>
                      <w:szCs w:val="21"/>
                      <w:lang w:val="en-US" w:eastAsia="zh-CN"/>
                    </w:rPr>
                  </w:pPr>
                </w:p>
              </w:tc>
              <w:tc>
                <w:tcPr>
                  <w:tcW w:w="2453" w:type="dxa"/>
                  <w:vMerge w:val="continue"/>
                  <w:noWrap w:val="0"/>
                  <w:vAlign w:val="center"/>
                </w:tcPr>
                <w:p>
                  <w:pPr>
                    <w:pStyle w:val="157"/>
                    <w:spacing w:before="0"/>
                    <w:ind w:left="0" w:leftChars="0"/>
                    <w:rPr>
                      <w:rFonts w:hint="eastAsia" w:ascii="Times New Roman" w:hAnsi="Times New Roman" w:eastAsia="宋体" w:cs="Times New Roman"/>
                      <w:b w:val="0"/>
                      <w:bCs/>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0"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099"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116"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367" w:type="dxa"/>
                  <w:noWrap w:val="0"/>
                  <w:vAlign w:val="center"/>
                </w:tcPr>
                <w:p>
                  <w:pPr>
                    <w:pStyle w:val="157"/>
                    <w:spacing w:before="0"/>
                    <w:ind w:left="0" w:leftChars="0"/>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氮氧化物</w:t>
                  </w:r>
                </w:p>
              </w:tc>
              <w:tc>
                <w:tcPr>
                  <w:tcW w:w="1101" w:type="dxa"/>
                  <w:vMerge w:val="continue"/>
                  <w:noWrap w:val="0"/>
                  <w:vAlign w:val="center"/>
                </w:tcPr>
                <w:p>
                  <w:pPr>
                    <w:pStyle w:val="157"/>
                    <w:spacing w:before="0"/>
                    <w:ind w:left="0" w:leftChars="0"/>
                    <w:rPr>
                      <w:rFonts w:hint="eastAsia" w:ascii="Times New Roman" w:hAnsi="Times New Roman" w:eastAsia="宋体" w:cs="Times New Roman"/>
                      <w:b w:val="0"/>
                      <w:bCs/>
                      <w:color w:val="auto"/>
                      <w:szCs w:val="21"/>
                      <w:lang w:val="en-US" w:eastAsia="zh-CN"/>
                    </w:rPr>
                  </w:pPr>
                </w:p>
              </w:tc>
              <w:tc>
                <w:tcPr>
                  <w:tcW w:w="2453" w:type="dxa"/>
                  <w:vMerge w:val="continue"/>
                  <w:noWrap w:val="0"/>
                  <w:vAlign w:val="center"/>
                </w:tcPr>
                <w:p>
                  <w:pPr>
                    <w:pStyle w:val="157"/>
                    <w:spacing w:before="0"/>
                    <w:ind w:left="0" w:leftChars="0"/>
                    <w:rPr>
                      <w:rFonts w:hint="eastAsia" w:ascii="Times New Roman" w:hAnsi="Times New Roman" w:eastAsia="宋体" w:cs="Times New Roman"/>
                      <w:b w:val="0"/>
                      <w:bCs/>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0"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099"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116"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367" w:type="dxa"/>
                  <w:noWrap w:val="0"/>
                  <w:vAlign w:val="center"/>
                </w:tcPr>
                <w:p>
                  <w:pPr>
                    <w:pStyle w:val="157"/>
                    <w:spacing w:before="0"/>
                    <w:ind w:left="0" w:leftChars="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烟气黑度（林格曼级）</w:t>
                  </w:r>
                </w:p>
              </w:tc>
              <w:tc>
                <w:tcPr>
                  <w:tcW w:w="1101" w:type="dxa"/>
                  <w:vMerge w:val="continue"/>
                  <w:noWrap w:val="0"/>
                  <w:vAlign w:val="center"/>
                </w:tcPr>
                <w:p>
                  <w:pPr>
                    <w:pStyle w:val="157"/>
                    <w:spacing w:before="0"/>
                    <w:ind w:left="0" w:leftChars="0"/>
                    <w:rPr>
                      <w:rFonts w:hint="eastAsia" w:ascii="Times New Roman" w:hAnsi="Times New Roman" w:eastAsia="宋体" w:cs="Times New Roman"/>
                      <w:b w:val="0"/>
                      <w:bCs/>
                      <w:color w:val="auto"/>
                      <w:sz w:val="21"/>
                      <w:szCs w:val="21"/>
                      <w:lang w:val="en-US" w:eastAsia="zh-CN"/>
                    </w:rPr>
                  </w:pPr>
                </w:p>
              </w:tc>
              <w:tc>
                <w:tcPr>
                  <w:tcW w:w="2453" w:type="dxa"/>
                  <w:vMerge w:val="continue"/>
                  <w:noWrap w:val="0"/>
                  <w:vAlign w:val="center"/>
                </w:tcPr>
                <w:p>
                  <w:pPr>
                    <w:pStyle w:val="157"/>
                    <w:spacing w:before="0"/>
                    <w:ind w:left="0" w:leftChars="0"/>
                    <w:rPr>
                      <w:rFonts w:hint="eastAsia" w:ascii="Times New Roman" w:hAnsi="Times New Roman" w:eastAsia="宋体" w:cs="Times New Roman"/>
                      <w:b w:val="0"/>
                      <w:bCs/>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0"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2</w:t>
                  </w:r>
                </w:p>
              </w:tc>
              <w:tc>
                <w:tcPr>
                  <w:tcW w:w="1099"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DA002</w:t>
                  </w:r>
                </w:p>
              </w:tc>
              <w:tc>
                <w:tcPr>
                  <w:tcW w:w="1116"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1</w:t>
                  </w:r>
                </w:p>
              </w:tc>
              <w:tc>
                <w:tcPr>
                  <w:tcW w:w="1367" w:type="dxa"/>
                  <w:noWrap w:val="0"/>
                  <w:vAlign w:val="center"/>
                </w:tcPr>
                <w:p>
                  <w:pPr>
                    <w:pStyle w:val="157"/>
                    <w:spacing w:before="0"/>
                    <w:ind w:left="0" w:leftChars="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颗粒物</w:t>
                  </w:r>
                </w:p>
              </w:tc>
              <w:tc>
                <w:tcPr>
                  <w:tcW w:w="1101" w:type="dxa"/>
                  <w:vMerge w:val="restart"/>
                  <w:noWrap w:val="0"/>
                  <w:vAlign w:val="center"/>
                </w:tcPr>
                <w:p>
                  <w:pPr>
                    <w:pStyle w:val="157"/>
                    <w:spacing w:before="0"/>
                    <w:ind w:left="0" w:leftChars="0"/>
                    <w:rPr>
                      <w:color w:val="auto"/>
                      <w:sz w:val="21"/>
                      <w:szCs w:val="21"/>
                      <w:vertAlign w:val="baseline"/>
                    </w:rPr>
                  </w:pPr>
                  <w:r>
                    <w:rPr>
                      <w:rFonts w:hint="eastAsia" w:ascii="Times New Roman" w:hAnsi="Times New Roman" w:eastAsia="宋体" w:cs="Times New Roman"/>
                      <w:b w:val="0"/>
                      <w:bCs/>
                      <w:color w:val="auto"/>
                      <w:sz w:val="21"/>
                      <w:szCs w:val="21"/>
                      <w:lang w:val="en-US" w:eastAsia="zh-CN"/>
                    </w:rPr>
                    <w:t>半年/次</w:t>
                  </w:r>
                </w:p>
              </w:tc>
              <w:tc>
                <w:tcPr>
                  <w:tcW w:w="2453" w:type="dxa"/>
                  <w:vMerge w:val="restart"/>
                  <w:noWrap w:val="0"/>
                  <w:vAlign w:val="center"/>
                </w:tcPr>
                <w:p>
                  <w:pPr>
                    <w:pStyle w:val="157"/>
                    <w:spacing w:before="0"/>
                    <w:ind w:left="0" w:leftChars="0"/>
                    <w:rPr>
                      <w:color w:val="auto"/>
                      <w:sz w:val="21"/>
                      <w:szCs w:val="21"/>
                      <w:vertAlign w:val="baseline"/>
                    </w:rPr>
                  </w:pPr>
                  <w:r>
                    <w:rPr>
                      <w:rFonts w:hint="default" w:ascii="Times New Roman" w:hAnsi="Times New Roman" w:eastAsia="宋体" w:cs="Times New Roman"/>
                      <w:b w:val="0"/>
                      <w:bCs/>
                      <w:color w:val="auto"/>
                      <w:sz w:val="21"/>
                      <w:szCs w:val="21"/>
                      <w:lang w:val="en-US" w:eastAsia="zh-CN"/>
                    </w:rPr>
                    <w:t>《工业炉窑大气污染物排放标准》（GB9078-1996）表2中“非金属加热炉”二级标准</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《四川省印发工业窑炉大气污染综合治理实施清单》中的标准限值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0"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099"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116"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367" w:type="dxa"/>
                  <w:noWrap w:val="0"/>
                  <w:vAlign w:val="center"/>
                </w:tcPr>
                <w:p>
                  <w:pPr>
                    <w:pStyle w:val="157"/>
                    <w:spacing w:before="0"/>
                    <w:ind w:left="0" w:leftChars="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color w:val="auto"/>
                      <w:sz w:val="21"/>
                      <w:szCs w:val="21"/>
                      <w:lang w:val="en-US" w:eastAsia="zh-CN"/>
                    </w:rPr>
                    <w:t>二氧化硫</w:t>
                  </w:r>
                </w:p>
              </w:tc>
              <w:tc>
                <w:tcPr>
                  <w:tcW w:w="1101"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2453"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0"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099"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116"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367" w:type="dxa"/>
                  <w:noWrap w:val="0"/>
                  <w:vAlign w:val="center"/>
                </w:tcPr>
                <w:p>
                  <w:pPr>
                    <w:pStyle w:val="157"/>
                    <w:spacing w:before="0"/>
                    <w:ind w:left="0" w:leftChars="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氮氧化物</w:t>
                  </w:r>
                </w:p>
              </w:tc>
              <w:tc>
                <w:tcPr>
                  <w:tcW w:w="1101"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2453"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0"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099"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116"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1367" w:type="dxa"/>
                  <w:noWrap w:val="0"/>
                  <w:vAlign w:val="center"/>
                </w:tcPr>
                <w:p>
                  <w:pPr>
                    <w:pStyle w:val="157"/>
                    <w:spacing w:before="0"/>
                    <w:ind w:left="0" w:leftChars="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烟气黑度（林格曼级）</w:t>
                  </w:r>
                </w:p>
              </w:tc>
              <w:tc>
                <w:tcPr>
                  <w:tcW w:w="1101"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c>
                <w:tcPr>
                  <w:tcW w:w="2453"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0"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3</w:t>
                  </w:r>
                </w:p>
              </w:tc>
              <w:tc>
                <w:tcPr>
                  <w:tcW w:w="1099"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厂界</w:t>
                  </w:r>
                </w:p>
              </w:tc>
              <w:tc>
                <w:tcPr>
                  <w:tcW w:w="1116"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w:t>
                  </w:r>
                </w:p>
              </w:tc>
              <w:tc>
                <w:tcPr>
                  <w:tcW w:w="1367" w:type="dxa"/>
                  <w:noWrap w:val="0"/>
                  <w:vAlign w:val="center"/>
                </w:tcPr>
                <w:p>
                  <w:pPr>
                    <w:pStyle w:val="157"/>
                    <w:spacing w:before="0"/>
                    <w:ind w:left="0" w:left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颗粒物</w:t>
                  </w:r>
                </w:p>
              </w:tc>
              <w:tc>
                <w:tcPr>
                  <w:tcW w:w="1101"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半年/次</w:t>
                  </w:r>
                </w:p>
              </w:tc>
              <w:tc>
                <w:tcPr>
                  <w:tcW w:w="2453" w:type="dxa"/>
                  <w:vMerge w:val="restart"/>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《大气污染物综合排放标准》（GB16297-1996）二级排放标准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0"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p>
              </w:tc>
              <w:tc>
                <w:tcPr>
                  <w:tcW w:w="1099"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p>
              </w:tc>
              <w:tc>
                <w:tcPr>
                  <w:tcW w:w="1116"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p>
              </w:tc>
              <w:tc>
                <w:tcPr>
                  <w:tcW w:w="1367" w:type="dxa"/>
                  <w:noWrap w:val="0"/>
                  <w:vAlign w:val="center"/>
                </w:tcPr>
                <w:p>
                  <w:pPr>
                    <w:pStyle w:val="157"/>
                    <w:spacing w:before="0"/>
                    <w:ind w:left="0" w:leftChars="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b w:val="0"/>
                      <w:bCs/>
                      <w:color w:val="auto"/>
                      <w:szCs w:val="21"/>
                      <w:lang w:val="en-US" w:eastAsia="zh-CN"/>
                    </w:rPr>
                    <w:t>二氧化硫</w:t>
                  </w:r>
                </w:p>
              </w:tc>
              <w:tc>
                <w:tcPr>
                  <w:tcW w:w="1101"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p>
              </w:tc>
              <w:tc>
                <w:tcPr>
                  <w:tcW w:w="2453"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10"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p>
              </w:tc>
              <w:tc>
                <w:tcPr>
                  <w:tcW w:w="1099"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p>
              </w:tc>
              <w:tc>
                <w:tcPr>
                  <w:tcW w:w="1116"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p>
              </w:tc>
              <w:tc>
                <w:tcPr>
                  <w:tcW w:w="1367" w:type="dxa"/>
                  <w:noWrap w:val="0"/>
                  <w:vAlign w:val="center"/>
                </w:tcPr>
                <w:p>
                  <w:pPr>
                    <w:pStyle w:val="157"/>
                    <w:spacing w:before="0"/>
                    <w:ind w:left="0" w:leftChars="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b w:val="0"/>
                      <w:bCs/>
                      <w:color w:val="auto"/>
                      <w:szCs w:val="21"/>
                      <w:lang w:val="en-US" w:eastAsia="zh-CN"/>
                    </w:rPr>
                    <w:t>氮氧化物</w:t>
                  </w:r>
                </w:p>
              </w:tc>
              <w:tc>
                <w:tcPr>
                  <w:tcW w:w="1101"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p>
              </w:tc>
              <w:tc>
                <w:tcPr>
                  <w:tcW w:w="2453" w:type="dxa"/>
                  <w:vMerge w:val="continue"/>
                  <w:noWrap w:val="0"/>
                  <w:vAlign w:val="center"/>
                </w:tcPr>
                <w:p>
                  <w:pPr>
                    <w:pStyle w:val="35"/>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p>
              </w:tc>
            </w:tr>
          </w:tbl>
          <w:p>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eastAsia="宋体"/>
                <w:color w:val="auto"/>
                <w:sz w:val="24"/>
                <w:szCs w:val="32"/>
                <w:lang w:eastAsia="zh-CN"/>
              </w:rPr>
            </w:pPr>
            <w:r>
              <w:rPr>
                <w:rFonts w:hint="eastAsia" w:ascii="Times New Roman" w:hAnsi="Times New Roman" w:eastAsia="宋体" w:cs="Times New Roman"/>
                <w:b/>
                <w:bCs/>
                <w:color w:val="auto"/>
                <w:kern w:val="2"/>
                <w:sz w:val="24"/>
                <w:szCs w:val="24"/>
                <w:lang w:val="en-US" w:eastAsia="zh-CN" w:bidi="ar-SA"/>
              </w:rPr>
              <w:t>7、</w:t>
            </w:r>
            <w:r>
              <w:rPr>
                <w:rFonts w:hint="eastAsia"/>
                <w:b/>
                <w:bCs/>
                <w:color w:val="auto"/>
                <w:sz w:val="24"/>
              </w:rPr>
              <w:t>非正常</w:t>
            </w:r>
            <w:r>
              <w:rPr>
                <w:rFonts w:hint="eastAsia"/>
                <w:b/>
                <w:bCs/>
                <w:color w:val="auto"/>
                <w:sz w:val="24"/>
                <w:lang w:val="en-US" w:eastAsia="zh-CN"/>
              </w:rPr>
              <w:t>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szCs w:val="32"/>
              </w:rPr>
              <w:t>非正常排放是指本项目</w:t>
            </w:r>
            <w:r>
              <w:rPr>
                <w:rFonts w:hint="eastAsia"/>
                <w:color w:val="auto"/>
                <w:sz w:val="24"/>
                <w:szCs w:val="32"/>
                <w:lang w:val="en-US" w:eastAsia="zh-CN"/>
              </w:rPr>
              <w:t>研发运行</w:t>
            </w:r>
            <w:r>
              <w:rPr>
                <w:rFonts w:hint="eastAsia"/>
                <w:color w:val="auto"/>
                <w:sz w:val="24"/>
                <w:szCs w:val="32"/>
              </w:rPr>
              <w:t>阶段的设备故障、一般性事故时污染物的不正常排放。根据项目</w:t>
            </w:r>
            <w:r>
              <w:rPr>
                <w:rFonts w:hint="eastAsia"/>
                <w:color w:val="auto"/>
                <w:sz w:val="24"/>
                <w:szCs w:val="32"/>
                <w:lang w:val="en-US" w:eastAsia="zh-CN"/>
              </w:rPr>
              <w:t>研发</w:t>
            </w:r>
            <w:r>
              <w:rPr>
                <w:rFonts w:hint="eastAsia"/>
                <w:color w:val="auto"/>
                <w:sz w:val="24"/>
                <w:szCs w:val="32"/>
              </w:rPr>
              <w:t>特点以及污染物排放特点，本项目考虑环保设施故障，废气处理效率为</w:t>
            </w:r>
            <w:r>
              <w:rPr>
                <w:color w:val="auto"/>
                <w:sz w:val="24"/>
                <w:szCs w:val="32"/>
              </w:rPr>
              <w:t>0</w:t>
            </w:r>
            <w:r>
              <w:rPr>
                <w:rFonts w:hint="eastAsia"/>
                <w:color w:val="auto"/>
                <w:sz w:val="24"/>
                <w:szCs w:val="32"/>
              </w:rPr>
              <w:t>情况下非正常排放量核算，详见下表。</w:t>
            </w:r>
          </w:p>
          <w:p>
            <w:pPr>
              <w:spacing w:line="360" w:lineRule="auto"/>
              <w:jc w:val="center"/>
              <w:rPr>
                <w:color w:val="auto"/>
              </w:rPr>
            </w:pPr>
            <w:bookmarkStart w:id="3" w:name="_Toc17180_WPSOffice_Level2"/>
            <w:r>
              <w:rPr>
                <w:b/>
                <w:bCs/>
                <w:color w:val="auto"/>
              </w:rPr>
              <w:t>表</w:t>
            </w:r>
            <w:r>
              <w:rPr>
                <w:rFonts w:hint="eastAsia"/>
                <w:b/>
                <w:bCs/>
                <w:color w:val="auto"/>
              </w:rPr>
              <w:t>4</w:t>
            </w:r>
            <w:r>
              <w:rPr>
                <w:rFonts w:hint="eastAsia"/>
                <w:b/>
                <w:bCs/>
                <w:color w:val="auto"/>
                <w:lang w:val="en-US" w:eastAsia="zh-CN"/>
              </w:rPr>
              <w:t>-6</w:t>
            </w:r>
            <w:r>
              <w:rPr>
                <w:b/>
                <w:bCs/>
                <w:color w:val="auto"/>
              </w:rPr>
              <w:t xml:space="preserve"> 非正常工况下污染源强表</w:t>
            </w:r>
            <w:bookmarkEnd w:id="3"/>
          </w:p>
          <w:tbl>
            <w:tblPr>
              <w:tblStyle w:val="36"/>
              <w:tblW w:w="79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5"/>
              <w:gridCol w:w="1320"/>
              <w:gridCol w:w="1065"/>
              <w:gridCol w:w="1260"/>
              <w:gridCol w:w="1410"/>
              <w:gridCol w:w="900"/>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095" w:type="dxa"/>
                  <w:noWrap w:val="0"/>
                  <w:vAlign w:val="center"/>
                </w:tcPr>
                <w:p>
                  <w:pPr>
                    <w:pStyle w:val="11"/>
                    <w:spacing w:before="0" w:after="0" w:line="240" w:lineRule="auto"/>
                    <w:ind w:right="0"/>
                    <w:jc w:val="center"/>
                    <w:rPr>
                      <w:b/>
                      <w:bCs/>
                      <w:color w:val="auto"/>
                      <w:sz w:val="21"/>
                      <w:szCs w:val="21"/>
                    </w:rPr>
                  </w:pPr>
                  <w:r>
                    <w:rPr>
                      <w:b/>
                      <w:bCs/>
                      <w:color w:val="auto"/>
                      <w:sz w:val="21"/>
                      <w:szCs w:val="21"/>
                    </w:rPr>
                    <w:t>非正常排放源</w:t>
                  </w:r>
                </w:p>
              </w:tc>
              <w:tc>
                <w:tcPr>
                  <w:tcW w:w="1320" w:type="dxa"/>
                  <w:noWrap w:val="0"/>
                  <w:vAlign w:val="center"/>
                </w:tcPr>
                <w:p>
                  <w:pPr>
                    <w:pStyle w:val="11"/>
                    <w:spacing w:before="0" w:after="0" w:line="240" w:lineRule="auto"/>
                    <w:ind w:right="0"/>
                    <w:jc w:val="center"/>
                    <w:rPr>
                      <w:b/>
                      <w:bCs/>
                      <w:color w:val="auto"/>
                      <w:sz w:val="21"/>
                      <w:szCs w:val="21"/>
                    </w:rPr>
                  </w:pPr>
                  <w:r>
                    <w:rPr>
                      <w:b/>
                      <w:bCs/>
                      <w:color w:val="auto"/>
                      <w:sz w:val="21"/>
                      <w:szCs w:val="21"/>
                    </w:rPr>
                    <w:t>非正常排放原因</w:t>
                  </w:r>
                </w:p>
              </w:tc>
              <w:tc>
                <w:tcPr>
                  <w:tcW w:w="1065" w:type="dxa"/>
                  <w:noWrap w:val="0"/>
                  <w:vAlign w:val="center"/>
                </w:tcPr>
                <w:p>
                  <w:pPr>
                    <w:pStyle w:val="11"/>
                    <w:spacing w:before="0" w:after="0" w:line="240" w:lineRule="auto"/>
                    <w:ind w:right="0"/>
                    <w:jc w:val="center"/>
                    <w:rPr>
                      <w:b/>
                      <w:bCs/>
                      <w:color w:val="auto"/>
                      <w:sz w:val="21"/>
                      <w:szCs w:val="21"/>
                    </w:rPr>
                  </w:pPr>
                  <w:r>
                    <w:rPr>
                      <w:b/>
                      <w:bCs/>
                      <w:color w:val="auto"/>
                      <w:sz w:val="21"/>
                      <w:szCs w:val="21"/>
                    </w:rPr>
                    <w:t>污染物</w:t>
                  </w:r>
                </w:p>
              </w:tc>
              <w:tc>
                <w:tcPr>
                  <w:tcW w:w="1260" w:type="dxa"/>
                  <w:noWrap w:val="0"/>
                  <w:vAlign w:val="center"/>
                </w:tcPr>
                <w:p>
                  <w:pPr>
                    <w:pStyle w:val="11"/>
                    <w:spacing w:before="0" w:after="0" w:line="240" w:lineRule="auto"/>
                    <w:ind w:right="0"/>
                    <w:jc w:val="center"/>
                    <w:rPr>
                      <w:b/>
                      <w:bCs/>
                      <w:color w:val="auto"/>
                      <w:sz w:val="21"/>
                      <w:szCs w:val="21"/>
                    </w:rPr>
                  </w:pPr>
                  <w:r>
                    <w:rPr>
                      <w:b/>
                      <w:bCs/>
                      <w:color w:val="auto"/>
                      <w:sz w:val="21"/>
                      <w:szCs w:val="21"/>
                    </w:rPr>
                    <w:t>非正常</w:t>
                  </w:r>
                  <w:r>
                    <w:rPr>
                      <w:rFonts w:hint="eastAsia"/>
                      <w:b/>
                      <w:bCs/>
                      <w:color w:val="auto"/>
                      <w:sz w:val="21"/>
                      <w:szCs w:val="21"/>
                      <w:lang w:eastAsia="zh-CN"/>
                    </w:rPr>
                    <w:t>排放</w:t>
                  </w:r>
                  <w:r>
                    <w:rPr>
                      <w:b/>
                      <w:bCs/>
                      <w:color w:val="auto"/>
                      <w:sz w:val="21"/>
                      <w:szCs w:val="21"/>
                    </w:rPr>
                    <w:t>速率（kg/h）</w:t>
                  </w:r>
                </w:p>
              </w:tc>
              <w:tc>
                <w:tcPr>
                  <w:tcW w:w="1410" w:type="dxa"/>
                  <w:noWrap w:val="0"/>
                  <w:vAlign w:val="center"/>
                </w:tcPr>
                <w:p>
                  <w:pPr>
                    <w:pStyle w:val="11"/>
                    <w:spacing w:before="0" w:after="0" w:line="240" w:lineRule="auto"/>
                    <w:ind w:right="0"/>
                    <w:jc w:val="center"/>
                    <w:rPr>
                      <w:b/>
                      <w:bCs/>
                      <w:color w:val="auto"/>
                      <w:sz w:val="21"/>
                      <w:szCs w:val="21"/>
                    </w:rPr>
                  </w:pPr>
                  <w:r>
                    <w:rPr>
                      <w:b/>
                      <w:bCs/>
                      <w:color w:val="auto"/>
                      <w:sz w:val="21"/>
                      <w:szCs w:val="21"/>
                    </w:rPr>
                    <w:t>非正常排放浓度（mg/m</w:t>
                  </w:r>
                  <w:r>
                    <w:rPr>
                      <w:b/>
                      <w:bCs/>
                      <w:color w:val="auto"/>
                      <w:sz w:val="21"/>
                      <w:szCs w:val="21"/>
                      <w:vertAlign w:val="superscript"/>
                    </w:rPr>
                    <w:t>3</w:t>
                  </w:r>
                  <w:r>
                    <w:rPr>
                      <w:b/>
                      <w:bCs/>
                      <w:color w:val="auto"/>
                      <w:sz w:val="21"/>
                      <w:szCs w:val="21"/>
                    </w:rPr>
                    <w:t>）</w:t>
                  </w:r>
                </w:p>
              </w:tc>
              <w:tc>
                <w:tcPr>
                  <w:tcW w:w="900" w:type="dxa"/>
                  <w:noWrap w:val="0"/>
                  <w:vAlign w:val="center"/>
                </w:tcPr>
                <w:p>
                  <w:pPr>
                    <w:pStyle w:val="11"/>
                    <w:spacing w:before="0" w:after="0" w:line="240" w:lineRule="auto"/>
                    <w:ind w:right="0"/>
                    <w:jc w:val="center"/>
                    <w:rPr>
                      <w:b/>
                      <w:bCs/>
                      <w:color w:val="auto"/>
                      <w:sz w:val="21"/>
                      <w:szCs w:val="21"/>
                    </w:rPr>
                  </w:pPr>
                  <w:r>
                    <w:rPr>
                      <w:b/>
                      <w:bCs/>
                      <w:color w:val="auto"/>
                      <w:sz w:val="21"/>
                      <w:szCs w:val="21"/>
                    </w:rPr>
                    <w:t>单次持续时间/h</w:t>
                  </w:r>
                </w:p>
              </w:tc>
              <w:tc>
                <w:tcPr>
                  <w:tcW w:w="939" w:type="dxa"/>
                  <w:noWrap w:val="0"/>
                  <w:vAlign w:val="center"/>
                </w:tcPr>
                <w:p>
                  <w:pPr>
                    <w:pStyle w:val="11"/>
                    <w:spacing w:before="0" w:after="0" w:line="240" w:lineRule="auto"/>
                    <w:ind w:right="0"/>
                    <w:jc w:val="center"/>
                    <w:rPr>
                      <w:b/>
                      <w:bCs/>
                      <w:color w:val="auto"/>
                      <w:sz w:val="21"/>
                      <w:szCs w:val="21"/>
                    </w:rPr>
                  </w:pPr>
                  <w:r>
                    <w:rPr>
                      <w:b/>
                      <w:bCs/>
                      <w:color w:val="auto"/>
                      <w:sz w:val="21"/>
                      <w:szCs w:val="21"/>
                    </w:rPr>
                    <w:t>年发生频次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095" w:type="dxa"/>
                  <w:vMerge w:val="restart"/>
                  <w:noWrap w:val="0"/>
                  <w:vAlign w:val="center"/>
                </w:tcPr>
                <w:p>
                  <w:pPr>
                    <w:jc w:val="center"/>
                    <w:rPr>
                      <w:b w:val="0"/>
                      <w:bCs w:val="0"/>
                      <w:color w:val="auto"/>
                      <w:szCs w:val="21"/>
                    </w:rPr>
                  </w:pPr>
                  <w:r>
                    <w:rPr>
                      <w:b w:val="0"/>
                      <w:bCs w:val="0"/>
                      <w:color w:val="auto"/>
                      <w:szCs w:val="21"/>
                    </w:rPr>
                    <w:t>排气筒</w:t>
                  </w:r>
                  <w:r>
                    <w:rPr>
                      <w:rFonts w:hint="eastAsia"/>
                      <w:b w:val="0"/>
                      <w:bCs w:val="0"/>
                      <w:color w:val="auto"/>
                      <w:szCs w:val="21"/>
                    </w:rPr>
                    <w:t>（DA001）</w:t>
                  </w:r>
                </w:p>
              </w:tc>
              <w:tc>
                <w:tcPr>
                  <w:tcW w:w="1320" w:type="dxa"/>
                  <w:vMerge w:val="restart"/>
                  <w:noWrap w:val="0"/>
                  <w:vAlign w:val="center"/>
                </w:tcPr>
                <w:p>
                  <w:pPr>
                    <w:pStyle w:val="11"/>
                    <w:spacing w:before="0" w:after="0" w:line="240" w:lineRule="auto"/>
                    <w:ind w:right="0"/>
                    <w:jc w:val="center"/>
                    <w:rPr>
                      <w:b w:val="0"/>
                      <w:bCs w:val="0"/>
                      <w:color w:val="auto"/>
                      <w:sz w:val="21"/>
                      <w:szCs w:val="21"/>
                    </w:rPr>
                  </w:pPr>
                  <w:r>
                    <w:rPr>
                      <w:rFonts w:hint="eastAsia"/>
                      <w:b w:val="0"/>
                      <w:bCs w:val="0"/>
                      <w:color w:val="auto"/>
                      <w:sz w:val="21"/>
                      <w:szCs w:val="21"/>
                    </w:rPr>
                    <w:t>废</w:t>
                  </w:r>
                  <w:r>
                    <w:rPr>
                      <w:b w:val="0"/>
                      <w:bCs w:val="0"/>
                      <w:color w:val="auto"/>
                      <w:sz w:val="21"/>
                      <w:szCs w:val="21"/>
                    </w:rPr>
                    <w:t>气处理</w:t>
                  </w:r>
                  <w:r>
                    <w:rPr>
                      <w:rFonts w:hint="eastAsia"/>
                      <w:b w:val="0"/>
                      <w:bCs w:val="0"/>
                      <w:color w:val="auto"/>
                      <w:sz w:val="21"/>
                      <w:szCs w:val="21"/>
                    </w:rPr>
                    <w:t>设施</w:t>
                  </w:r>
                  <w:r>
                    <w:rPr>
                      <w:b w:val="0"/>
                      <w:bCs w:val="0"/>
                      <w:color w:val="auto"/>
                      <w:sz w:val="21"/>
                      <w:szCs w:val="21"/>
                    </w:rPr>
                    <w:t>失效</w:t>
                  </w:r>
                </w:p>
              </w:tc>
              <w:tc>
                <w:tcPr>
                  <w:tcW w:w="1065" w:type="dxa"/>
                  <w:noWrap w:val="0"/>
                  <w:vAlign w:val="center"/>
                </w:tcPr>
                <w:p>
                  <w:pPr>
                    <w:pStyle w:val="157"/>
                    <w:spacing w:before="0"/>
                    <w:ind w:left="0" w:leftChars="0"/>
                    <w:rPr>
                      <w:rFonts w:hint="eastAsia"/>
                      <w:b w:val="0"/>
                      <w:bCs w:val="0"/>
                      <w:color w:val="auto"/>
                      <w:szCs w:val="21"/>
                    </w:rPr>
                  </w:pPr>
                  <w:r>
                    <w:rPr>
                      <w:rFonts w:hint="eastAsia" w:ascii="Times New Roman" w:hAnsi="Times New Roman" w:eastAsia="宋体" w:cs="Times New Roman"/>
                      <w:b w:val="0"/>
                      <w:bCs w:val="0"/>
                      <w:color w:val="auto"/>
                      <w:szCs w:val="21"/>
                      <w:lang w:val="en-US" w:eastAsia="zh-CN"/>
                    </w:rPr>
                    <w:t>颗粒物</w:t>
                  </w:r>
                </w:p>
              </w:tc>
              <w:tc>
                <w:tcPr>
                  <w:tcW w:w="1260" w:type="dxa"/>
                  <w:noWrap w:val="0"/>
                  <w:vAlign w:val="center"/>
                </w:tcPr>
                <w:p>
                  <w:pPr>
                    <w:jc w:val="center"/>
                    <w:rPr>
                      <w:b w:val="0"/>
                      <w:bCs/>
                      <w:color w:val="auto"/>
                      <w:szCs w:val="21"/>
                    </w:rPr>
                  </w:pPr>
                  <w:r>
                    <w:rPr>
                      <w:rFonts w:hint="eastAsia" w:ascii="Times New Roman" w:hAnsi="Times New Roman" w:eastAsia="宋体" w:cs="Times New Roman"/>
                      <w:b w:val="0"/>
                      <w:bCs/>
                      <w:color w:val="auto"/>
                      <w:szCs w:val="21"/>
                      <w:lang w:val="en-US" w:eastAsia="zh-CN" w:bidi="ar"/>
                    </w:rPr>
                    <w:t>0.8795</w:t>
                  </w:r>
                </w:p>
              </w:tc>
              <w:tc>
                <w:tcPr>
                  <w:tcW w:w="1410" w:type="dxa"/>
                  <w:noWrap w:val="0"/>
                  <w:vAlign w:val="center"/>
                </w:tcPr>
                <w:p>
                  <w:pPr>
                    <w:jc w:val="center"/>
                    <w:rPr>
                      <w:b w:val="0"/>
                      <w:bCs/>
                      <w:color w:val="auto"/>
                      <w:szCs w:val="21"/>
                    </w:rPr>
                  </w:pPr>
                  <w:r>
                    <w:rPr>
                      <w:rFonts w:hint="eastAsia" w:ascii="Times New Roman" w:hAnsi="Times New Roman" w:eastAsia="宋体" w:cs="Times New Roman"/>
                      <w:b w:val="0"/>
                      <w:bCs/>
                      <w:color w:val="auto"/>
                      <w:kern w:val="0"/>
                      <w:szCs w:val="21"/>
                      <w:lang w:val="en-US" w:eastAsia="zh-CN" w:bidi="ar"/>
                    </w:rPr>
                    <w:t>175.9</w:t>
                  </w:r>
                </w:p>
              </w:tc>
              <w:tc>
                <w:tcPr>
                  <w:tcW w:w="900" w:type="dxa"/>
                  <w:vMerge w:val="restart"/>
                  <w:noWrap w:val="0"/>
                  <w:vAlign w:val="center"/>
                </w:tcPr>
                <w:p>
                  <w:pPr>
                    <w:jc w:val="center"/>
                    <w:rPr>
                      <w:rFonts w:hint="eastAsia"/>
                      <w:color w:val="auto"/>
                      <w:szCs w:val="21"/>
                    </w:rPr>
                  </w:pPr>
                  <w:r>
                    <w:rPr>
                      <w:rFonts w:hint="eastAsia"/>
                      <w:color w:val="auto"/>
                      <w:szCs w:val="21"/>
                    </w:rPr>
                    <w:t>0.5</w:t>
                  </w:r>
                </w:p>
              </w:tc>
              <w:tc>
                <w:tcPr>
                  <w:tcW w:w="939" w:type="dxa"/>
                  <w:vMerge w:val="restart"/>
                  <w:noWrap w:val="0"/>
                  <w:vAlign w:val="center"/>
                </w:tcPr>
                <w:p>
                  <w:pPr>
                    <w:jc w:val="center"/>
                    <w:rPr>
                      <w:rFonts w:hint="eastAsia"/>
                      <w:color w:val="auto"/>
                      <w:szCs w:val="21"/>
                    </w:rPr>
                  </w:pPr>
                  <w:r>
                    <w:rPr>
                      <w:rFonts w:hint="eastAsia"/>
                      <w:color w:val="auto"/>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095" w:type="dxa"/>
                  <w:vMerge w:val="continue"/>
                  <w:noWrap w:val="0"/>
                  <w:vAlign w:val="center"/>
                </w:tcPr>
                <w:p>
                  <w:pPr>
                    <w:jc w:val="center"/>
                    <w:rPr>
                      <w:b w:val="0"/>
                      <w:bCs w:val="0"/>
                      <w:color w:val="auto"/>
                      <w:szCs w:val="21"/>
                    </w:rPr>
                  </w:pPr>
                </w:p>
              </w:tc>
              <w:tc>
                <w:tcPr>
                  <w:tcW w:w="1320" w:type="dxa"/>
                  <w:vMerge w:val="continue"/>
                  <w:noWrap w:val="0"/>
                  <w:vAlign w:val="center"/>
                </w:tcPr>
                <w:p>
                  <w:pPr>
                    <w:pStyle w:val="11"/>
                    <w:spacing w:before="0" w:after="0" w:line="240" w:lineRule="auto"/>
                    <w:ind w:right="0"/>
                    <w:jc w:val="center"/>
                    <w:rPr>
                      <w:rFonts w:hint="eastAsia"/>
                      <w:b w:val="0"/>
                      <w:bCs w:val="0"/>
                      <w:color w:val="auto"/>
                      <w:sz w:val="21"/>
                      <w:szCs w:val="21"/>
                    </w:rPr>
                  </w:pPr>
                </w:p>
              </w:tc>
              <w:tc>
                <w:tcPr>
                  <w:tcW w:w="1065" w:type="dxa"/>
                  <w:noWrap w:val="0"/>
                  <w:vAlign w:val="center"/>
                </w:tcPr>
                <w:p>
                  <w:pPr>
                    <w:pStyle w:val="157"/>
                    <w:spacing w:before="0"/>
                    <w:ind w:left="0" w:leftChars="0"/>
                    <w:rPr>
                      <w:rFonts w:hint="eastAsia"/>
                      <w:b w:val="0"/>
                      <w:bCs w:val="0"/>
                      <w:color w:val="auto"/>
                      <w:szCs w:val="21"/>
                    </w:rPr>
                  </w:pPr>
                  <w:r>
                    <w:rPr>
                      <w:rFonts w:hint="eastAsia" w:ascii="Times New Roman" w:hAnsi="Times New Roman" w:eastAsia="宋体" w:cs="Times New Roman"/>
                      <w:b w:val="0"/>
                      <w:bCs w:val="0"/>
                      <w:color w:val="auto"/>
                      <w:szCs w:val="21"/>
                      <w:lang w:val="en-US" w:eastAsia="zh-CN"/>
                    </w:rPr>
                    <w:t>二氧化硫</w:t>
                  </w:r>
                </w:p>
              </w:tc>
              <w:tc>
                <w:tcPr>
                  <w:tcW w:w="1260" w:type="dxa"/>
                  <w:noWrap w:val="0"/>
                  <w:vAlign w:val="center"/>
                </w:tcPr>
                <w:p>
                  <w:pPr>
                    <w:pStyle w:val="157"/>
                    <w:spacing w:before="0"/>
                    <w:ind w:left="0" w:leftChars="0"/>
                    <w:rPr>
                      <w:rFonts w:hint="eastAsia"/>
                      <w:b w:val="0"/>
                      <w:bCs/>
                      <w:color w:val="auto"/>
                      <w:kern w:val="0"/>
                      <w:szCs w:val="21"/>
                      <w:lang w:bidi="ar"/>
                    </w:rPr>
                  </w:pPr>
                  <w:r>
                    <w:rPr>
                      <w:rFonts w:hint="eastAsia" w:ascii="Times New Roman" w:hAnsi="Times New Roman" w:cs="Times New Roman"/>
                      <w:b w:val="0"/>
                      <w:bCs/>
                      <w:color w:val="auto"/>
                      <w:sz w:val="21"/>
                      <w:szCs w:val="21"/>
                      <w:lang w:val="en-US" w:eastAsia="zh-CN"/>
                    </w:rPr>
                    <w:t>3.6332</w:t>
                  </w:r>
                </w:p>
              </w:tc>
              <w:tc>
                <w:tcPr>
                  <w:tcW w:w="1410" w:type="dxa"/>
                  <w:noWrap w:val="0"/>
                  <w:vAlign w:val="center"/>
                </w:tcPr>
                <w:p>
                  <w:pPr>
                    <w:jc w:val="center"/>
                    <w:rPr>
                      <w:b w:val="0"/>
                      <w:bCs/>
                      <w:color w:val="auto"/>
                      <w:szCs w:val="21"/>
                    </w:rPr>
                  </w:pPr>
                  <w:r>
                    <w:rPr>
                      <w:rFonts w:hint="eastAsia" w:ascii="Times New Roman" w:hAnsi="Times New Roman" w:eastAsia="宋体" w:cs="Times New Roman"/>
                      <w:b w:val="0"/>
                      <w:bCs/>
                      <w:color w:val="auto"/>
                      <w:kern w:val="0"/>
                      <w:sz w:val="21"/>
                      <w:szCs w:val="21"/>
                      <w:lang w:val="en-US" w:eastAsia="zh-CN" w:bidi="ar"/>
                    </w:rPr>
                    <w:t>726.64</w:t>
                  </w:r>
                </w:p>
              </w:tc>
              <w:tc>
                <w:tcPr>
                  <w:tcW w:w="900" w:type="dxa"/>
                  <w:vMerge w:val="continue"/>
                  <w:noWrap w:val="0"/>
                  <w:vAlign w:val="center"/>
                </w:tcPr>
                <w:p>
                  <w:pPr>
                    <w:jc w:val="center"/>
                    <w:rPr>
                      <w:rFonts w:hint="eastAsia"/>
                      <w:color w:val="auto"/>
                      <w:szCs w:val="21"/>
                    </w:rPr>
                  </w:pPr>
                </w:p>
              </w:tc>
              <w:tc>
                <w:tcPr>
                  <w:tcW w:w="939" w:type="dxa"/>
                  <w:vMerge w:val="continue"/>
                  <w:noWrap w:val="0"/>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095" w:type="dxa"/>
                  <w:vMerge w:val="continue"/>
                  <w:noWrap w:val="0"/>
                  <w:vAlign w:val="center"/>
                </w:tcPr>
                <w:p>
                  <w:pPr>
                    <w:jc w:val="center"/>
                    <w:rPr>
                      <w:b w:val="0"/>
                      <w:bCs w:val="0"/>
                      <w:color w:val="auto"/>
                      <w:szCs w:val="21"/>
                    </w:rPr>
                  </w:pPr>
                </w:p>
              </w:tc>
              <w:tc>
                <w:tcPr>
                  <w:tcW w:w="1320" w:type="dxa"/>
                  <w:vMerge w:val="continue"/>
                  <w:noWrap w:val="0"/>
                  <w:vAlign w:val="center"/>
                </w:tcPr>
                <w:p>
                  <w:pPr>
                    <w:pStyle w:val="11"/>
                    <w:spacing w:before="0" w:after="0" w:line="240" w:lineRule="auto"/>
                    <w:ind w:right="0"/>
                    <w:jc w:val="center"/>
                    <w:rPr>
                      <w:rFonts w:hint="eastAsia"/>
                      <w:b w:val="0"/>
                      <w:bCs w:val="0"/>
                      <w:color w:val="auto"/>
                      <w:sz w:val="21"/>
                      <w:szCs w:val="21"/>
                    </w:rPr>
                  </w:pPr>
                </w:p>
              </w:tc>
              <w:tc>
                <w:tcPr>
                  <w:tcW w:w="1065" w:type="dxa"/>
                  <w:noWrap w:val="0"/>
                  <w:vAlign w:val="center"/>
                </w:tcPr>
                <w:p>
                  <w:pPr>
                    <w:pStyle w:val="157"/>
                    <w:spacing w:before="0"/>
                    <w:ind w:left="0" w:leftChars="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Cs w:val="21"/>
                      <w:lang w:val="en-US" w:eastAsia="zh-CN"/>
                    </w:rPr>
                    <w:t>氮氧化物</w:t>
                  </w:r>
                </w:p>
              </w:tc>
              <w:tc>
                <w:tcPr>
                  <w:tcW w:w="1260" w:type="dxa"/>
                  <w:noWrap w:val="0"/>
                  <w:vAlign w:val="center"/>
                </w:tcPr>
                <w:p>
                  <w:pPr>
                    <w:jc w:val="center"/>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0.0148</w:t>
                  </w:r>
                </w:p>
              </w:tc>
              <w:tc>
                <w:tcPr>
                  <w:tcW w:w="1410" w:type="dxa"/>
                  <w:noWrap w:val="0"/>
                  <w:vAlign w:val="center"/>
                </w:tcPr>
                <w:p>
                  <w:pPr>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
                    </w:rPr>
                    <w:t>2.96</w:t>
                  </w:r>
                </w:p>
              </w:tc>
              <w:tc>
                <w:tcPr>
                  <w:tcW w:w="900" w:type="dxa"/>
                  <w:vMerge w:val="continue"/>
                  <w:noWrap w:val="0"/>
                  <w:vAlign w:val="center"/>
                </w:tcPr>
                <w:p>
                  <w:pPr>
                    <w:jc w:val="center"/>
                    <w:rPr>
                      <w:rFonts w:hint="eastAsia"/>
                      <w:color w:val="auto"/>
                      <w:szCs w:val="21"/>
                    </w:rPr>
                  </w:pPr>
                </w:p>
              </w:tc>
              <w:tc>
                <w:tcPr>
                  <w:tcW w:w="939" w:type="dxa"/>
                  <w:vMerge w:val="continue"/>
                  <w:noWrap w:val="0"/>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095" w:type="dxa"/>
                  <w:vMerge w:val="restart"/>
                  <w:noWrap w:val="0"/>
                  <w:vAlign w:val="center"/>
                </w:tcPr>
                <w:p>
                  <w:pPr>
                    <w:jc w:val="center"/>
                    <w:rPr>
                      <w:b w:val="0"/>
                      <w:bCs w:val="0"/>
                      <w:color w:val="auto"/>
                      <w:szCs w:val="21"/>
                    </w:rPr>
                  </w:pPr>
                  <w:r>
                    <w:rPr>
                      <w:b w:val="0"/>
                      <w:bCs w:val="0"/>
                      <w:color w:val="auto"/>
                      <w:szCs w:val="21"/>
                    </w:rPr>
                    <w:t>排气筒</w:t>
                  </w:r>
                  <w:r>
                    <w:rPr>
                      <w:rFonts w:hint="eastAsia"/>
                      <w:b w:val="0"/>
                      <w:bCs w:val="0"/>
                      <w:color w:val="auto"/>
                      <w:szCs w:val="21"/>
                    </w:rPr>
                    <w:t>（DA00</w:t>
                  </w:r>
                  <w:r>
                    <w:rPr>
                      <w:rFonts w:hint="eastAsia"/>
                      <w:b w:val="0"/>
                      <w:bCs w:val="0"/>
                      <w:color w:val="auto"/>
                      <w:szCs w:val="21"/>
                      <w:lang w:val="en-US" w:eastAsia="zh-CN"/>
                    </w:rPr>
                    <w:t>2</w:t>
                  </w:r>
                  <w:r>
                    <w:rPr>
                      <w:rFonts w:hint="eastAsia"/>
                      <w:b w:val="0"/>
                      <w:bCs w:val="0"/>
                      <w:color w:val="auto"/>
                      <w:szCs w:val="21"/>
                    </w:rPr>
                    <w:t>）</w:t>
                  </w:r>
                </w:p>
              </w:tc>
              <w:tc>
                <w:tcPr>
                  <w:tcW w:w="1320" w:type="dxa"/>
                  <w:vMerge w:val="restart"/>
                  <w:noWrap w:val="0"/>
                  <w:vAlign w:val="center"/>
                </w:tcPr>
                <w:p>
                  <w:pPr>
                    <w:pStyle w:val="11"/>
                    <w:spacing w:before="0" w:after="0" w:line="240" w:lineRule="auto"/>
                    <w:ind w:right="0" w:rightChars="0"/>
                    <w:jc w:val="center"/>
                    <w:rPr>
                      <w:rFonts w:hint="eastAsia"/>
                      <w:b w:val="0"/>
                      <w:bCs w:val="0"/>
                      <w:color w:val="auto"/>
                      <w:sz w:val="21"/>
                      <w:szCs w:val="21"/>
                    </w:rPr>
                  </w:pPr>
                  <w:r>
                    <w:rPr>
                      <w:rFonts w:hint="eastAsia"/>
                      <w:b w:val="0"/>
                      <w:bCs w:val="0"/>
                      <w:color w:val="auto"/>
                      <w:sz w:val="21"/>
                      <w:szCs w:val="21"/>
                    </w:rPr>
                    <w:t>废</w:t>
                  </w:r>
                  <w:r>
                    <w:rPr>
                      <w:b w:val="0"/>
                      <w:bCs w:val="0"/>
                      <w:color w:val="auto"/>
                      <w:sz w:val="21"/>
                      <w:szCs w:val="21"/>
                    </w:rPr>
                    <w:t>气处理</w:t>
                  </w:r>
                  <w:r>
                    <w:rPr>
                      <w:rFonts w:hint="eastAsia"/>
                      <w:b w:val="0"/>
                      <w:bCs w:val="0"/>
                      <w:color w:val="auto"/>
                      <w:sz w:val="21"/>
                      <w:szCs w:val="21"/>
                    </w:rPr>
                    <w:t>设施</w:t>
                  </w:r>
                  <w:r>
                    <w:rPr>
                      <w:b w:val="0"/>
                      <w:bCs w:val="0"/>
                      <w:color w:val="auto"/>
                      <w:sz w:val="21"/>
                      <w:szCs w:val="21"/>
                    </w:rPr>
                    <w:t>失效</w:t>
                  </w:r>
                </w:p>
              </w:tc>
              <w:tc>
                <w:tcPr>
                  <w:tcW w:w="1065" w:type="dxa"/>
                  <w:noWrap w:val="0"/>
                  <w:vAlign w:val="center"/>
                </w:tcPr>
                <w:p>
                  <w:pPr>
                    <w:pStyle w:val="157"/>
                    <w:spacing w:before="0"/>
                    <w:ind w:left="0" w:leftChars="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Cs w:val="21"/>
                      <w:lang w:val="en-US" w:eastAsia="zh-CN"/>
                    </w:rPr>
                    <w:t>颗粒物</w:t>
                  </w:r>
                </w:p>
              </w:tc>
              <w:tc>
                <w:tcPr>
                  <w:tcW w:w="1260" w:type="dxa"/>
                  <w:noWrap w:val="0"/>
                  <w:vAlign w:val="center"/>
                </w:tcPr>
                <w:p>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Cs w:val="21"/>
                      <w:lang w:val="en-US" w:eastAsia="zh-CN" w:bidi="ar"/>
                    </w:rPr>
                    <w:t>0.8795</w:t>
                  </w:r>
                </w:p>
              </w:tc>
              <w:tc>
                <w:tcPr>
                  <w:tcW w:w="1410" w:type="dxa"/>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kern w:val="0"/>
                      <w:szCs w:val="21"/>
                      <w:lang w:val="en-US" w:eastAsia="zh-CN" w:bidi="ar"/>
                    </w:rPr>
                    <w:t>175.9</w:t>
                  </w:r>
                </w:p>
              </w:tc>
              <w:tc>
                <w:tcPr>
                  <w:tcW w:w="900" w:type="dxa"/>
                  <w:vMerge w:val="restart"/>
                  <w:noWrap w:val="0"/>
                  <w:vAlign w:val="center"/>
                </w:tcPr>
                <w:p>
                  <w:pPr>
                    <w:jc w:val="center"/>
                    <w:rPr>
                      <w:rFonts w:hint="eastAsia"/>
                      <w:color w:val="auto"/>
                      <w:szCs w:val="21"/>
                    </w:rPr>
                  </w:pPr>
                  <w:r>
                    <w:rPr>
                      <w:rFonts w:hint="eastAsia"/>
                      <w:color w:val="auto"/>
                      <w:szCs w:val="21"/>
                    </w:rPr>
                    <w:t>0.5</w:t>
                  </w:r>
                </w:p>
              </w:tc>
              <w:tc>
                <w:tcPr>
                  <w:tcW w:w="939" w:type="dxa"/>
                  <w:vMerge w:val="restart"/>
                  <w:noWrap w:val="0"/>
                  <w:vAlign w:val="center"/>
                </w:tcPr>
                <w:p>
                  <w:pPr>
                    <w:jc w:val="center"/>
                    <w:rPr>
                      <w:rFonts w:hint="eastAsia"/>
                      <w:color w:val="auto"/>
                      <w:szCs w:val="21"/>
                    </w:rPr>
                  </w:pPr>
                  <w:r>
                    <w:rPr>
                      <w:rFonts w:hint="eastAsia"/>
                      <w:color w:val="auto"/>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095" w:type="dxa"/>
                  <w:vMerge w:val="continue"/>
                  <w:noWrap w:val="0"/>
                  <w:vAlign w:val="center"/>
                </w:tcPr>
                <w:p>
                  <w:pPr>
                    <w:jc w:val="center"/>
                    <w:rPr>
                      <w:b w:val="0"/>
                      <w:bCs w:val="0"/>
                      <w:color w:val="auto"/>
                      <w:szCs w:val="21"/>
                    </w:rPr>
                  </w:pPr>
                </w:p>
              </w:tc>
              <w:tc>
                <w:tcPr>
                  <w:tcW w:w="1320" w:type="dxa"/>
                  <w:vMerge w:val="continue"/>
                  <w:noWrap w:val="0"/>
                  <w:vAlign w:val="center"/>
                </w:tcPr>
                <w:p>
                  <w:pPr>
                    <w:pStyle w:val="11"/>
                    <w:spacing w:before="0" w:after="0" w:line="240" w:lineRule="auto"/>
                    <w:ind w:right="0"/>
                    <w:jc w:val="center"/>
                    <w:rPr>
                      <w:rFonts w:hint="eastAsia"/>
                      <w:b w:val="0"/>
                      <w:bCs w:val="0"/>
                      <w:color w:val="auto"/>
                      <w:sz w:val="21"/>
                      <w:szCs w:val="21"/>
                    </w:rPr>
                  </w:pPr>
                </w:p>
              </w:tc>
              <w:tc>
                <w:tcPr>
                  <w:tcW w:w="1065" w:type="dxa"/>
                  <w:noWrap w:val="0"/>
                  <w:vAlign w:val="center"/>
                </w:tcPr>
                <w:p>
                  <w:pPr>
                    <w:pStyle w:val="157"/>
                    <w:spacing w:before="0"/>
                    <w:ind w:left="0" w:leftChars="0"/>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Cs w:val="21"/>
                      <w:lang w:val="en-US" w:eastAsia="zh-CN"/>
                    </w:rPr>
                    <w:t>二氧化硫</w:t>
                  </w:r>
                </w:p>
              </w:tc>
              <w:tc>
                <w:tcPr>
                  <w:tcW w:w="1260" w:type="dxa"/>
                  <w:noWrap w:val="0"/>
                  <w:vAlign w:val="center"/>
                </w:tcPr>
                <w:p>
                  <w:pPr>
                    <w:pStyle w:val="157"/>
                    <w:spacing w:before="0"/>
                    <w:ind w:left="0" w:leftChars="0"/>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3.6332</w:t>
                  </w:r>
                </w:p>
              </w:tc>
              <w:tc>
                <w:tcPr>
                  <w:tcW w:w="1410" w:type="dxa"/>
                  <w:noWrap w:val="0"/>
                  <w:vAlign w:val="center"/>
                </w:tcPr>
                <w:p>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kern w:val="0"/>
                      <w:sz w:val="21"/>
                      <w:szCs w:val="21"/>
                      <w:lang w:val="en-US" w:eastAsia="zh-CN" w:bidi="ar"/>
                    </w:rPr>
                    <w:t>726.64</w:t>
                  </w:r>
                </w:p>
              </w:tc>
              <w:tc>
                <w:tcPr>
                  <w:tcW w:w="900" w:type="dxa"/>
                  <w:vMerge w:val="continue"/>
                  <w:noWrap w:val="0"/>
                  <w:vAlign w:val="center"/>
                </w:tcPr>
                <w:p>
                  <w:pPr>
                    <w:jc w:val="center"/>
                    <w:rPr>
                      <w:rFonts w:hint="eastAsia"/>
                      <w:color w:val="auto"/>
                      <w:szCs w:val="21"/>
                    </w:rPr>
                  </w:pPr>
                </w:p>
              </w:tc>
              <w:tc>
                <w:tcPr>
                  <w:tcW w:w="939" w:type="dxa"/>
                  <w:vMerge w:val="continue"/>
                  <w:noWrap w:val="0"/>
                  <w:vAlign w:val="center"/>
                </w:tcPr>
                <w:p>
                  <w:pPr>
                    <w:jc w:val="center"/>
                    <w:rPr>
                      <w:rFonts w:hint="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095" w:type="dxa"/>
                  <w:vMerge w:val="continue"/>
                  <w:noWrap w:val="0"/>
                  <w:vAlign w:val="center"/>
                </w:tcPr>
                <w:p>
                  <w:pPr>
                    <w:jc w:val="center"/>
                    <w:rPr>
                      <w:b w:val="0"/>
                      <w:bCs w:val="0"/>
                      <w:color w:val="auto"/>
                      <w:szCs w:val="21"/>
                    </w:rPr>
                  </w:pPr>
                </w:p>
              </w:tc>
              <w:tc>
                <w:tcPr>
                  <w:tcW w:w="1320" w:type="dxa"/>
                  <w:vMerge w:val="continue"/>
                  <w:noWrap w:val="0"/>
                  <w:vAlign w:val="center"/>
                </w:tcPr>
                <w:p>
                  <w:pPr>
                    <w:pStyle w:val="11"/>
                    <w:spacing w:before="0" w:after="0" w:line="240" w:lineRule="auto"/>
                    <w:ind w:right="0"/>
                    <w:jc w:val="center"/>
                    <w:rPr>
                      <w:rFonts w:hint="eastAsia"/>
                      <w:b w:val="0"/>
                      <w:bCs w:val="0"/>
                      <w:color w:val="auto"/>
                      <w:sz w:val="21"/>
                      <w:szCs w:val="21"/>
                    </w:rPr>
                  </w:pPr>
                </w:p>
              </w:tc>
              <w:tc>
                <w:tcPr>
                  <w:tcW w:w="1065" w:type="dxa"/>
                  <w:noWrap w:val="0"/>
                  <w:vAlign w:val="center"/>
                </w:tcPr>
                <w:p>
                  <w:pPr>
                    <w:pStyle w:val="157"/>
                    <w:spacing w:before="0"/>
                    <w:ind w:left="0" w:leftChars="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Cs w:val="21"/>
                      <w:lang w:val="en-US" w:eastAsia="zh-CN"/>
                    </w:rPr>
                    <w:t>氮氧化物</w:t>
                  </w:r>
                </w:p>
              </w:tc>
              <w:tc>
                <w:tcPr>
                  <w:tcW w:w="1260" w:type="dxa"/>
                  <w:noWrap w:val="0"/>
                  <w:vAlign w:val="center"/>
                </w:tcPr>
                <w:p>
                  <w:pPr>
                    <w:jc w:val="center"/>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kern w:val="2"/>
                      <w:sz w:val="21"/>
                      <w:szCs w:val="21"/>
                      <w:lang w:val="en-US" w:eastAsia="zh-CN" w:bidi="ar-SA"/>
                    </w:rPr>
                    <w:t>0.0148</w:t>
                  </w:r>
                </w:p>
              </w:tc>
              <w:tc>
                <w:tcPr>
                  <w:tcW w:w="1410" w:type="dxa"/>
                  <w:noWrap w:val="0"/>
                  <w:vAlign w:val="center"/>
                </w:tcPr>
                <w:p>
                  <w:pPr>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kern w:val="0"/>
                      <w:sz w:val="21"/>
                      <w:szCs w:val="21"/>
                      <w:lang w:val="en-US" w:eastAsia="zh-CN" w:bidi="ar"/>
                    </w:rPr>
                    <w:t>2.96</w:t>
                  </w:r>
                </w:p>
              </w:tc>
              <w:tc>
                <w:tcPr>
                  <w:tcW w:w="900" w:type="dxa"/>
                  <w:vMerge w:val="continue"/>
                  <w:noWrap w:val="0"/>
                  <w:vAlign w:val="center"/>
                </w:tcPr>
                <w:p>
                  <w:pPr>
                    <w:jc w:val="center"/>
                    <w:rPr>
                      <w:rFonts w:hint="eastAsia"/>
                      <w:color w:val="auto"/>
                      <w:szCs w:val="21"/>
                    </w:rPr>
                  </w:pPr>
                </w:p>
              </w:tc>
              <w:tc>
                <w:tcPr>
                  <w:tcW w:w="939" w:type="dxa"/>
                  <w:vMerge w:val="continue"/>
                  <w:noWrap w:val="0"/>
                  <w:vAlign w:val="center"/>
                </w:tcPr>
                <w:p>
                  <w:pPr>
                    <w:jc w:val="center"/>
                    <w:rPr>
                      <w:rFonts w:hint="eastAsia"/>
                      <w:color w:val="auto"/>
                      <w:szCs w:val="21"/>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color w:val="auto"/>
                <w:sz w:val="24"/>
                <w:szCs w:val="24"/>
              </w:rPr>
            </w:pPr>
            <w:r>
              <w:rPr>
                <w:rFonts w:hint="eastAsia" w:ascii="宋体" w:hAnsi="宋体" w:eastAsia="宋体" w:cs="宋体"/>
                <w:b/>
                <w:bCs/>
                <w:color w:val="auto"/>
                <w:kern w:val="0"/>
                <w:sz w:val="24"/>
                <w:szCs w:val="24"/>
                <w:lang w:val="en-US" w:eastAsia="zh-CN" w:bidi="ar"/>
              </w:rPr>
              <w:t>应对措施：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建立环保设备运行台账，每天对设备的运行情况进行如实记录。记录要点按照《排污单位环境管理台账及排污许可证执行报告技术规范 总则》（</w:t>
            </w:r>
            <w:r>
              <w:rPr>
                <w:rFonts w:hint="default" w:ascii="Times New Roman" w:hAnsi="Times New Roman" w:eastAsia="宋体" w:cs="Times New Roman"/>
                <w:color w:val="auto"/>
                <w:kern w:val="0"/>
                <w:sz w:val="24"/>
                <w:szCs w:val="24"/>
                <w:lang w:val="en-US" w:eastAsia="zh-CN" w:bidi="ar"/>
              </w:rPr>
              <w:t>HJ944-2018</w:t>
            </w:r>
            <w:r>
              <w:rPr>
                <w:rFonts w:hint="eastAsia" w:ascii="宋体" w:hAnsi="宋体" w:eastAsia="宋体" w:cs="宋体"/>
                <w:color w:val="auto"/>
                <w:kern w:val="0"/>
                <w:sz w:val="24"/>
                <w:szCs w:val="24"/>
                <w:lang w:val="en-US" w:eastAsia="zh-CN" w:bidi="ar"/>
              </w:rPr>
              <w:t>）中相应模板进行记录；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建立环保设备维护制度，每天定时查看设备运行状态，一旦故障可及时发现及时处理；</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按照监测计划定期监测环保设备污染物排放浓度，通过数据准确判断环保处理设备的有效性；</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环保设备设置规范的排污口及采样口，配置一名专门的环保管理专员；环保设备一旦发生故障，涉及污染物产生的工序均立即停止运行；</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需立即委托专业单位维修，维修完成后才可再次恢复运行。</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2" w:firstLineChars="200"/>
              <w:jc w:val="left"/>
              <w:textAlignment w:val="auto"/>
              <w:rPr>
                <w:color w:val="auto"/>
              </w:rPr>
            </w:pPr>
            <w:r>
              <w:rPr>
                <w:rFonts w:hint="eastAsia" w:ascii="Times New Roman" w:hAnsi="Times New Roman" w:eastAsia="宋体" w:cs="Times New Roman"/>
                <w:b/>
                <w:bCs/>
                <w:color w:val="auto"/>
                <w:kern w:val="2"/>
                <w:sz w:val="24"/>
                <w:szCs w:val="24"/>
                <w:lang w:val="en-US" w:eastAsia="zh-CN" w:bidi="ar-SA"/>
              </w:rPr>
              <w:t>8、废气排放的环境影响结论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b w:val="0"/>
                <w:bCs/>
                <w:color w:val="auto"/>
                <w:sz w:val="24"/>
              </w:rPr>
            </w:pPr>
            <w:r>
              <w:rPr>
                <w:rFonts w:hint="eastAsia" w:ascii="宋体" w:hAnsi="宋体" w:eastAsia="宋体" w:cs="宋体"/>
                <w:color w:val="auto"/>
                <w:kern w:val="0"/>
                <w:sz w:val="24"/>
                <w:szCs w:val="24"/>
                <w:lang w:val="en-US" w:eastAsia="zh-CN" w:bidi="ar"/>
              </w:rPr>
              <w:t>经前述治理措施后，本项目废气达标排放对大气环境造成的影响较小</w:t>
            </w:r>
            <w:r>
              <w:rPr>
                <w:b w:val="0"/>
                <w:bCs/>
                <w:color w:val="auto"/>
                <w:sz w:val="24"/>
              </w:rPr>
              <w:t>。</w:t>
            </w:r>
          </w:p>
          <w:p>
            <w:pPr>
              <w:pStyle w:val="131"/>
              <w:spacing w:line="360" w:lineRule="auto"/>
              <w:rPr>
                <w:rFonts w:hint="eastAsia" w:hAnsi="宋体"/>
                <w:color w:val="auto"/>
                <w:szCs w:val="24"/>
              </w:rPr>
            </w:pPr>
            <w:r>
              <w:rPr>
                <w:rFonts w:hint="eastAsia"/>
                <w:color w:val="auto"/>
                <w:szCs w:val="24"/>
              </w:rPr>
              <w:t>二、</w:t>
            </w:r>
            <w:r>
              <w:rPr>
                <w:rFonts w:hAnsi="宋体"/>
                <w:color w:val="auto"/>
                <w:szCs w:val="24"/>
              </w:rPr>
              <w:t>废水</w:t>
            </w:r>
          </w:p>
          <w:p>
            <w:pPr>
              <w:widowControl/>
              <w:spacing w:line="360" w:lineRule="auto"/>
              <w:ind w:firstLine="482" w:firstLineChars="200"/>
              <w:jc w:val="left"/>
              <w:rPr>
                <w:b/>
                <w:bCs/>
                <w:color w:val="auto"/>
                <w:sz w:val="24"/>
              </w:rPr>
            </w:pPr>
            <w:r>
              <w:rPr>
                <w:rFonts w:hint="eastAsia"/>
                <w:b/>
                <w:bCs/>
                <w:color w:val="auto"/>
                <w:kern w:val="0"/>
                <w:sz w:val="24"/>
                <w:lang w:val="en-US" w:eastAsia="zh-CN" w:bidi="ar"/>
              </w:rPr>
              <w:t>1、</w:t>
            </w:r>
            <w:r>
              <w:rPr>
                <w:rFonts w:hint="eastAsia" w:ascii="宋体" w:hAnsi="宋体" w:cs="宋体"/>
                <w:b/>
                <w:bCs/>
                <w:color w:val="auto"/>
                <w:kern w:val="0"/>
                <w:sz w:val="24"/>
                <w:lang w:bidi="ar"/>
              </w:rPr>
              <w:t>废水污染物源强</w:t>
            </w:r>
          </w:p>
          <w:p>
            <w:pPr>
              <w:pStyle w:val="160"/>
              <w:spacing w:line="36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本项目产生的废水主要包括生活污水</w:t>
            </w:r>
            <w:r>
              <w:rPr>
                <w:rFonts w:hint="eastAsia" w:ascii="Times New Roman" w:hAnsi="Times New Roman" w:eastAsia="宋体" w:cs="Times New Roman"/>
                <w:color w:val="auto"/>
                <w:lang w:val="en-US" w:eastAsia="zh-CN"/>
              </w:rPr>
              <w:t>、碱喷淋废水。</w:t>
            </w:r>
          </w:p>
          <w:p>
            <w:pPr>
              <w:spacing w:line="360" w:lineRule="auto"/>
              <w:ind w:firstLine="482" w:firstLineChars="200"/>
              <w:rPr>
                <w:rFonts w:hint="eastAsia"/>
                <w:b/>
                <w:color w:val="auto"/>
                <w:sz w:val="24"/>
              </w:rPr>
            </w:pPr>
            <w:r>
              <w:rPr>
                <w:rFonts w:hint="eastAsia"/>
                <w:b/>
                <w:color w:val="auto"/>
                <w:sz w:val="24"/>
              </w:rPr>
              <w:t>（1）生活污水</w:t>
            </w:r>
          </w:p>
          <w:p>
            <w:pPr>
              <w:spacing w:line="360" w:lineRule="auto"/>
              <w:ind w:firstLine="480" w:firstLineChars="200"/>
              <w:rPr>
                <w:rFonts w:hint="eastAsia"/>
                <w:bCs/>
                <w:color w:val="auto"/>
                <w:sz w:val="24"/>
              </w:rPr>
            </w:pPr>
            <w:r>
              <w:rPr>
                <w:rFonts w:hint="eastAsia"/>
                <w:bCs/>
                <w:color w:val="auto"/>
                <w:sz w:val="24"/>
              </w:rPr>
              <w:t>本</w:t>
            </w:r>
            <w:r>
              <w:rPr>
                <w:bCs/>
                <w:color w:val="auto"/>
                <w:sz w:val="24"/>
              </w:rPr>
              <w:t>项目员工</w:t>
            </w:r>
            <w:r>
              <w:rPr>
                <w:rFonts w:hint="eastAsia"/>
                <w:bCs/>
                <w:color w:val="auto"/>
                <w:sz w:val="24"/>
              </w:rPr>
              <w:t>生活</w:t>
            </w:r>
            <w:r>
              <w:rPr>
                <w:bCs/>
                <w:color w:val="auto"/>
                <w:sz w:val="24"/>
              </w:rPr>
              <w:t>日用水量约为</w:t>
            </w:r>
            <w:r>
              <w:rPr>
                <w:rFonts w:hint="eastAsia"/>
                <w:color w:val="auto"/>
                <w:sz w:val="24"/>
                <w:highlight w:val="none"/>
                <w:lang w:val="en-US" w:eastAsia="zh-CN"/>
              </w:rPr>
              <w:t>1.6</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/d</w:t>
            </w:r>
            <w:r>
              <w:rPr>
                <w:rFonts w:hint="eastAsia"/>
                <w:color w:val="auto"/>
                <w:sz w:val="24"/>
                <w:highlight w:val="none"/>
                <w:lang w:eastAsia="zh-CN"/>
              </w:rPr>
              <w:t>（</w:t>
            </w:r>
            <w:r>
              <w:rPr>
                <w:rFonts w:hint="eastAsia" w:ascii="Times New Roman" w:hAnsi="Times New Roman" w:eastAsia="宋体" w:cs="Times New Roman"/>
                <w:color w:val="auto"/>
                <w:kern w:val="0"/>
                <w:sz w:val="24"/>
                <w:szCs w:val="20"/>
                <w:lang w:val="en-US" w:eastAsia="zh-CN" w:bidi="ar-SA"/>
              </w:rPr>
              <w:t>528</w:t>
            </w:r>
            <w:r>
              <w:rPr>
                <w:rFonts w:hint="default" w:ascii="Times New Roman" w:hAnsi="Times New Roman" w:eastAsia="宋体" w:cs="Times New Roman"/>
                <w:color w:val="auto"/>
                <w:kern w:val="0"/>
                <w:sz w:val="24"/>
                <w:szCs w:val="20"/>
                <w:lang w:val="en-US" w:eastAsia="zh-CN" w:bidi="ar-SA"/>
              </w:rPr>
              <w:t>m</w:t>
            </w:r>
            <w:r>
              <w:rPr>
                <w:rFonts w:hint="default" w:ascii="Times New Roman" w:hAnsi="Times New Roman" w:eastAsia="宋体" w:cs="Times New Roman"/>
                <w:color w:val="auto"/>
                <w:kern w:val="0"/>
                <w:sz w:val="24"/>
                <w:szCs w:val="20"/>
                <w:vertAlign w:val="superscript"/>
                <w:lang w:val="en-US" w:eastAsia="zh-CN" w:bidi="ar-SA"/>
              </w:rPr>
              <w:t>3</w:t>
            </w:r>
            <w:r>
              <w:rPr>
                <w:rFonts w:hint="default" w:ascii="Times New Roman" w:hAnsi="Times New Roman" w:eastAsia="宋体" w:cs="Times New Roman"/>
                <w:color w:val="auto"/>
                <w:kern w:val="0"/>
                <w:sz w:val="24"/>
                <w:szCs w:val="20"/>
                <w:lang w:val="en-US" w:eastAsia="zh-CN" w:bidi="ar-SA"/>
              </w:rPr>
              <w:t>/a</w:t>
            </w:r>
            <w:r>
              <w:rPr>
                <w:rFonts w:ascii="宋体" w:hAnsi="宋体"/>
                <w:color w:val="auto"/>
                <w:sz w:val="24"/>
              </w:rPr>
              <w:t>）</w:t>
            </w:r>
            <w:r>
              <w:rPr>
                <w:bCs/>
                <w:color w:val="auto"/>
                <w:sz w:val="24"/>
              </w:rPr>
              <w:t>，</w:t>
            </w:r>
            <w:r>
              <w:rPr>
                <w:rFonts w:hint="eastAsia" w:ascii="Times New Roman" w:hAnsi="Times New Roman" w:eastAsia="宋体" w:cs="Times New Roman"/>
                <w:bCs/>
                <w:color w:val="auto"/>
                <w:sz w:val="24"/>
                <w:lang w:val="en-US" w:eastAsia="zh-CN"/>
              </w:rPr>
              <w:t>产污系数</w:t>
            </w:r>
            <w:r>
              <w:rPr>
                <w:rFonts w:hint="default" w:ascii="Times New Roman" w:hAnsi="Times New Roman" w:eastAsia="宋体" w:cs="Times New Roman"/>
                <w:bCs/>
                <w:color w:val="auto"/>
                <w:sz w:val="24"/>
                <w:lang w:val="en-US" w:eastAsia="zh-CN"/>
              </w:rPr>
              <w:t>0.8</w:t>
            </w:r>
            <w:r>
              <w:rPr>
                <w:rFonts w:hint="eastAsia" w:ascii="Times New Roman" w:hAnsi="Times New Roman" w:eastAsia="宋体" w:cs="Times New Roman"/>
                <w:bCs/>
                <w:color w:val="auto"/>
                <w:sz w:val="24"/>
                <w:lang w:val="en-US" w:eastAsia="zh-CN"/>
              </w:rPr>
              <w:t>5计</w:t>
            </w:r>
            <w:r>
              <w:rPr>
                <w:bCs/>
                <w:color w:val="auto"/>
                <w:sz w:val="24"/>
              </w:rPr>
              <w:t>，即</w:t>
            </w:r>
            <w:r>
              <w:rPr>
                <w:rFonts w:hint="eastAsia"/>
                <w:bCs/>
                <w:color w:val="auto"/>
                <w:sz w:val="24"/>
              </w:rPr>
              <w:t>生活污水</w:t>
            </w:r>
            <w:r>
              <w:rPr>
                <w:bCs/>
                <w:color w:val="auto"/>
                <w:sz w:val="24"/>
              </w:rPr>
              <w:t>排放量为</w:t>
            </w:r>
            <w:r>
              <w:rPr>
                <w:rFonts w:hint="eastAsia"/>
                <w:color w:val="auto"/>
                <w:sz w:val="24"/>
                <w:highlight w:val="none"/>
                <w:lang w:val="en-US" w:eastAsia="zh-CN"/>
              </w:rPr>
              <w:t>1.36</w:t>
            </w:r>
            <w:r>
              <w:rPr>
                <w:rFonts w:hint="default"/>
                <w:color w:val="auto"/>
                <w:sz w:val="24"/>
                <w:highlight w:val="none"/>
              </w:rPr>
              <w:t>m</w:t>
            </w:r>
            <w:r>
              <w:rPr>
                <w:rFonts w:hint="default"/>
                <w:color w:val="auto"/>
                <w:sz w:val="24"/>
                <w:highlight w:val="none"/>
                <w:vertAlign w:val="superscript"/>
              </w:rPr>
              <w:t>3</w:t>
            </w:r>
            <w:r>
              <w:rPr>
                <w:rFonts w:hint="default"/>
                <w:color w:val="auto"/>
                <w:sz w:val="24"/>
                <w:highlight w:val="none"/>
              </w:rPr>
              <w:t>/d</w:t>
            </w:r>
            <w:r>
              <w:rPr>
                <w:rFonts w:hint="eastAsia"/>
                <w:color w:val="auto"/>
                <w:sz w:val="24"/>
                <w:highlight w:val="none"/>
                <w:lang w:eastAsia="zh-CN"/>
              </w:rPr>
              <w:t>（</w:t>
            </w:r>
            <w:r>
              <w:rPr>
                <w:rFonts w:hint="eastAsia"/>
                <w:color w:val="auto"/>
                <w:sz w:val="24"/>
                <w:lang w:val="en-US" w:eastAsia="zh-CN"/>
              </w:rPr>
              <w:t>448.8</w:t>
            </w:r>
            <w:r>
              <w:rPr>
                <w:rFonts w:hint="eastAsia"/>
                <w:bCs/>
                <w:color w:val="auto"/>
                <w:sz w:val="24"/>
              </w:rPr>
              <w:t>m</w:t>
            </w:r>
            <w:r>
              <w:rPr>
                <w:bCs/>
                <w:color w:val="auto"/>
                <w:sz w:val="24"/>
                <w:vertAlign w:val="superscript"/>
              </w:rPr>
              <w:t>3</w:t>
            </w:r>
            <w:r>
              <w:rPr>
                <w:bCs/>
                <w:color w:val="auto"/>
                <w:sz w:val="24"/>
              </w:rPr>
              <w:t>/a</w:t>
            </w:r>
            <w:r>
              <w:rPr>
                <w:rFonts w:hint="eastAsia"/>
                <w:color w:val="auto"/>
                <w:sz w:val="24"/>
                <w:highlight w:val="none"/>
                <w:lang w:eastAsia="zh-CN"/>
              </w:rPr>
              <w:t>）</w:t>
            </w:r>
            <w:r>
              <w:rPr>
                <w:rFonts w:hint="eastAsia"/>
                <w:bCs/>
                <w:color w:val="auto"/>
                <w:sz w:val="24"/>
              </w:rPr>
              <w:t>。</w:t>
            </w:r>
          </w:p>
          <w:p>
            <w:pPr>
              <w:pStyle w:val="2"/>
              <w:keepLines w:val="0"/>
              <w:pageBreakBefore w:val="0"/>
              <w:widowControl w:val="0"/>
              <w:kinsoku/>
              <w:wordWrap/>
              <w:topLinePunct w:val="0"/>
              <w:autoSpaceDE/>
              <w:autoSpaceDN/>
              <w:bidi w:val="0"/>
              <w:adjustRightInd/>
              <w:spacing w:before="0" w:after="0" w:line="360" w:lineRule="auto"/>
              <w:ind w:left="0" w:firstLine="482" w:firstLineChars="200"/>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（2）碱喷淋废水</w:t>
            </w:r>
          </w:p>
          <w:p>
            <w:pPr>
              <w:spacing w:line="360" w:lineRule="auto"/>
              <w:ind w:firstLine="480" w:firstLineChars="200"/>
              <w:rPr>
                <w:rFonts w:hint="default" w:ascii="Times New Roman" w:hAnsi="Times New Roman" w:eastAsia="宋体" w:cs="Times New Roman"/>
                <w:b w:val="0"/>
                <w:bCs/>
                <w:color w:val="auto"/>
                <w:sz w:val="24"/>
                <w:szCs w:val="24"/>
              </w:rPr>
            </w:pPr>
            <w:r>
              <w:rPr>
                <w:rFonts w:hint="eastAsia" w:ascii="Times New Roman" w:hAnsi="Times New Roman" w:eastAsia="宋体"/>
                <w:color w:val="auto"/>
                <w:kern w:val="0"/>
                <w:sz w:val="24"/>
                <w:szCs w:val="24"/>
              </w:rPr>
              <w:t>本项目共设置2座碱液喷淋塔，喷淋塔中碱液配置完成后定期补水和碱剂循环使用，喷淋塔每日补水量约为0.</w:t>
            </w:r>
            <w:r>
              <w:rPr>
                <w:rFonts w:hint="eastAsia" w:ascii="Times New Roman" w:hAnsi="Times New Roman" w:eastAsia="宋体"/>
                <w:color w:val="auto"/>
                <w:kern w:val="0"/>
                <w:sz w:val="24"/>
                <w:szCs w:val="24"/>
                <w:lang w:val="en-US" w:eastAsia="zh-CN"/>
              </w:rPr>
              <w:t>1</w:t>
            </w:r>
            <w:r>
              <w:rPr>
                <w:rFonts w:hint="eastAsia" w:ascii="Times New Roman" w:hAnsi="Times New Roman" w:eastAsia="宋体"/>
                <w:color w:val="auto"/>
                <w:kern w:val="0"/>
                <w:sz w:val="24"/>
                <w:szCs w:val="24"/>
              </w:rPr>
              <w:t>m</w:t>
            </w:r>
            <w:r>
              <w:rPr>
                <w:rFonts w:hint="eastAsia" w:ascii="Times New Roman" w:hAnsi="Times New Roman" w:eastAsia="宋体"/>
                <w:color w:val="auto"/>
                <w:kern w:val="0"/>
                <w:sz w:val="24"/>
                <w:szCs w:val="24"/>
                <w:vertAlign w:val="superscript"/>
              </w:rPr>
              <w:t>3</w:t>
            </w:r>
            <w:r>
              <w:rPr>
                <w:rFonts w:hint="eastAsia" w:ascii="Times New Roman" w:hAnsi="Times New Roman" w:eastAsia="宋体"/>
                <w:color w:val="auto"/>
                <w:kern w:val="0"/>
                <w:sz w:val="24"/>
                <w:szCs w:val="24"/>
              </w:rPr>
              <w:t>，</w:t>
            </w:r>
            <w:r>
              <w:rPr>
                <w:rFonts w:hint="eastAsia" w:ascii="Times New Roman" w:hAnsi="Times New Roman" w:eastAsia="宋体" w:cs="Times New Roman"/>
                <w:color w:val="auto"/>
                <w:kern w:val="0"/>
                <w:sz w:val="24"/>
                <w:szCs w:val="24"/>
                <w:lang w:val="en-US" w:eastAsia="zh-CN"/>
              </w:rPr>
              <w:t>碱喷淋废水</w:t>
            </w:r>
            <w:r>
              <w:rPr>
                <w:rFonts w:hint="eastAsia" w:ascii="Times New Roman" w:hAnsi="Times New Roman" w:eastAsia="宋体"/>
                <w:color w:val="auto"/>
                <w:kern w:val="0"/>
                <w:sz w:val="24"/>
                <w:szCs w:val="24"/>
              </w:rPr>
              <w:t>每</w:t>
            </w:r>
            <w:r>
              <w:rPr>
                <w:rFonts w:hint="eastAsia" w:ascii="Times New Roman" w:hAnsi="Times New Roman" w:eastAsia="宋体"/>
                <w:color w:val="auto"/>
                <w:kern w:val="0"/>
                <w:sz w:val="24"/>
                <w:szCs w:val="24"/>
                <w:lang w:val="en-US" w:eastAsia="zh-CN"/>
              </w:rPr>
              <w:t>季度</w:t>
            </w:r>
            <w:r>
              <w:rPr>
                <w:rFonts w:hint="eastAsia" w:ascii="Times New Roman" w:hAnsi="Times New Roman" w:eastAsia="宋体"/>
                <w:color w:val="auto"/>
                <w:kern w:val="0"/>
                <w:sz w:val="24"/>
                <w:szCs w:val="24"/>
              </w:rPr>
              <w:t>整体更换1次，每次更换量为</w:t>
            </w:r>
            <w:r>
              <w:rPr>
                <w:rFonts w:hint="eastAsia" w:ascii="Times New Roman" w:hAnsi="Times New Roman" w:eastAsia="宋体"/>
                <w:color w:val="auto"/>
                <w:kern w:val="0"/>
                <w:sz w:val="24"/>
                <w:szCs w:val="24"/>
                <w:lang w:val="en-US" w:eastAsia="zh-CN"/>
              </w:rPr>
              <w:t>2</w:t>
            </w:r>
            <w:r>
              <w:rPr>
                <w:rFonts w:hint="eastAsia" w:ascii="Times New Roman" w:hAnsi="Times New Roman" w:eastAsia="宋体"/>
                <w:color w:val="auto"/>
                <w:kern w:val="0"/>
                <w:sz w:val="24"/>
                <w:szCs w:val="24"/>
              </w:rPr>
              <w:t>m</w:t>
            </w:r>
            <w:r>
              <w:rPr>
                <w:rFonts w:hint="eastAsia" w:ascii="Times New Roman" w:hAnsi="Times New Roman" w:eastAsia="宋体"/>
                <w:color w:val="auto"/>
                <w:kern w:val="0"/>
                <w:sz w:val="24"/>
                <w:szCs w:val="24"/>
                <w:vertAlign w:val="superscript"/>
              </w:rPr>
              <w:t>3</w:t>
            </w:r>
            <w:r>
              <w:rPr>
                <w:rFonts w:hint="eastAsia" w:ascii="Times New Roman" w:hAnsi="Times New Roman" w:eastAsia="宋体"/>
                <w:color w:val="auto"/>
                <w:kern w:val="0"/>
                <w:sz w:val="24"/>
                <w:szCs w:val="24"/>
              </w:rPr>
              <w:t>，</w:t>
            </w:r>
            <w:r>
              <w:rPr>
                <w:rFonts w:hint="eastAsia" w:ascii="Times New Roman" w:hAnsi="Times New Roman" w:eastAsia="宋体" w:cs="Times New Roman"/>
                <w:color w:val="auto"/>
                <w:kern w:val="0"/>
                <w:sz w:val="24"/>
                <w:szCs w:val="24"/>
                <w:lang w:val="en-US" w:eastAsia="zh-CN"/>
              </w:rPr>
              <w:t>碱喷淋废水排放</w:t>
            </w:r>
            <w:r>
              <w:rPr>
                <w:rFonts w:hint="eastAsia"/>
                <w:color w:val="auto"/>
                <w:kern w:val="0"/>
                <w:sz w:val="24"/>
                <w:szCs w:val="24"/>
              </w:rPr>
              <w:t>量为</w:t>
            </w:r>
            <w:r>
              <w:rPr>
                <w:rFonts w:hint="eastAsia"/>
                <w:color w:val="auto"/>
                <w:kern w:val="0"/>
                <w:sz w:val="24"/>
                <w:szCs w:val="24"/>
                <w:lang w:val="en-US" w:eastAsia="zh-CN"/>
              </w:rPr>
              <w:t>8</w:t>
            </w:r>
            <w:r>
              <w:rPr>
                <w:rFonts w:hint="eastAsia"/>
                <w:color w:val="auto"/>
                <w:kern w:val="0"/>
                <w:sz w:val="24"/>
                <w:szCs w:val="24"/>
              </w:rPr>
              <w:t>m</w:t>
            </w:r>
            <w:r>
              <w:rPr>
                <w:rFonts w:hint="eastAsia"/>
                <w:color w:val="auto"/>
                <w:kern w:val="0"/>
                <w:sz w:val="24"/>
                <w:szCs w:val="24"/>
                <w:vertAlign w:val="superscript"/>
              </w:rPr>
              <w:t>3</w:t>
            </w:r>
            <w:r>
              <w:rPr>
                <w:rFonts w:hint="eastAsia"/>
                <w:color w:val="auto"/>
                <w:kern w:val="0"/>
                <w:sz w:val="24"/>
                <w:szCs w:val="24"/>
              </w:rPr>
              <w:t>/a</w:t>
            </w:r>
            <w:r>
              <w:rPr>
                <w:rFonts w:hint="eastAsia"/>
                <w:color w:val="auto"/>
                <w:kern w:val="0"/>
                <w:sz w:val="24"/>
                <w:szCs w:val="24"/>
                <w:lang w:eastAsia="zh-CN"/>
              </w:rPr>
              <w:t>（</w:t>
            </w:r>
            <w:r>
              <w:rPr>
                <w:rFonts w:hint="eastAsia"/>
                <w:color w:val="auto"/>
                <w:kern w:val="0"/>
                <w:sz w:val="24"/>
                <w:szCs w:val="24"/>
                <w:lang w:val="en-US" w:eastAsia="zh-CN"/>
              </w:rPr>
              <w:t>日最大排水量2</w:t>
            </w:r>
            <w:r>
              <w:rPr>
                <w:rFonts w:hint="default" w:ascii="Times New Roman" w:hAnsi="Times New Roman" w:eastAsia="宋体" w:cs="Times New Roman"/>
                <w:bCs/>
                <w:color w:val="auto"/>
                <w:sz w:val="24"/>
                <w:szCs w:val="24"/>
                <w:lang w:val="en-US" w:eastAsia="zh-CN"/>
              </w:rPr>
              <w:t>m</w:t>
            </w:r>
            <w:r>
              <w:rPr>
                <w:rFonts w:hint="eastAsia"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/d</w:t>
            </w:r>
            <w:r>
              <w:rPr>
                <w:rFonts w:hint="eastAsia"/>
                <w:color w:val="auto"/>
                <w:kern w:val="0"/>
                <w:sz w:val="24"/>
                <w:szCs w:val="24"/>
                <w:lang w:eastAsia="zh-CN"/>
              </w:rPr>
              <w:t>）</w:t>
            </w:r>
            <w:r>
              <w:rPr>
                <w:rFonts w:hint="default" w:ascii="Times New Roman" w:hAnsi="Times New Roman" w:eastAsia="宋体" w:cs="Times New Roman"/>
                <w:b w:val="0"/>
                <w:bCs/>
                <w:color w:val="auto"/>
                <w:sz w:val="24"/>
                <w:szCs w:val="24"/>
                <w:lang w:val="en-US" w:eastAsia="zh-CN"/>
              </w:rPr>
              <w:t>。</w:t>
            </w:r>
          </w:p>
          <w:p>
            <w:pPr>
              <w:pStyle w:val="131"/>
              <w:spacing w:line="360" w:lineRule="auto"/>
              <w:rPr>
                <w:color w:val="auto"/>
                <w:szCs w:val="24"/>
              </w:rPr>
            </w:pPr>
            <w:r>
              <w:rPr>
                <w:rFonts w:hint="eastAsia"/>
                <w:color w:val="auto"/>
                <w:szCs w:val="24"/>
                <w:lang w:val="en-US" w:eastAsia="zh-CN"/>
              </w:rPr>
              <w:t>2、</w:t>
            </w:r>
            <w:r>
              <w:rPr>
                <w:rFonts w:hint="eastAsia"/>
                <w:color w:val="auto"/>
                <w:szCs w:val="24"/>
              </w:rPr>
              <w:t>废水治理措施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eastAsia" w:ascii="Times New Roman" w:hAnsi="Times New Roman" w:eastAsia="宋体" w:cs="Times New Roman"/>
                <w:color w:val="auto"/>
                <w:kern w:val="0"/>
                <w:sz w:val="24"/>
                <w:lang w:val="en-US" w:eastAsia="zh-CN" w:bidi="ar"/>
              </w:rPr>
              <w:t>本项目产生的碱喷淋废水经酸碱中和预处理后，</w:t>
            </w:r>
            <w:r>
              <w:rPr>
                <w:rFonts w:hint="eastAsia" w:cs="Times New Roman"/>
                <w:color w:val="auto"/>
                <w:kern w:val="0"/>
                <w:sz w:val="24"/>
                <w:lang w:val="en-US" w:eastAsia="zh-CN" w:bidi="ar"/>
              </w:rPr>
              <w:t>和</w:t>
            </w:r>
            <w:r>
              <w:rPr>
                <w:rFonts w:hint="eastAsia" w:ascii="Times New Roman" w:hAnsi="Times New Roman" w:eastAsia="宋体" w:cs="Times New Roman"/>
                <w:color w:val="auto"/>
                <w:kern w:val="0"/>
                <w:sz w:val="24"/>
                <w:lang w:val="en-US" w:eastAsia="zh-CN" w:bidi="ar"/>
              </w:rPr>
              <w:t>生活污水一起排入四川翔丰华新能源材料有限公司已建4#预处理池处理后排入园区污水管网，再经</w:t>
            </w:r>
            <w:r>
              <w:rPr>
                <w:rFonts w:ascii="Times New Roman" w:hAnsi="Times New Roman" w:eastAsia="宋体" w:cs="Times New Roman"/>
                <w:color w:val="auto"/>
                <w:sz w:val="24"/>
              </w:rPr>
              <w:t>污水管网排入</w:t>
            </w:r>
            <w:r>
              <w:rPr>
                <w:rFonts w:hint="eastAsia" w:ascii="Times New Roman" w:hAnsi="Times New Roman" w:eastAsia="宋体" w:cs="Times New Roman"/>
                <w:color w:val="auto"/>
                <w:sz w:val="24"/>
                <w:lang w:eastAsia="zh-CN"/>
              </w:rPr>
              <w:t>遂宁金桥新区城市污水处理厂</w:t>
            </w:r>
            <w:r>
              <w:rPr>
                <w:rFonts w:ascii="Times New Roman" w:hAnsi="Times New Roman" w:eastAsia="宋体" w:cs="Times New Roman"/>
                <w:color w:val="auto"/>
                <w:sz w:val="24"/>
              </w:rPr>
              <w:t>集中处理</w:t>
            </w:r>
            <w:r>
              <w:rPr>
                <w:rFonts w:hint="eastAsia" w:ascii="Times New Roman" w:hAnsi="Times New Roman" w:eastAsia="宋体" w:cs="Times New Roman"/>
                <w:color w:val="auto"/>
                <w:sz w:val="24"/>
                <w:lang w:eastAsia="zh-CN"/>
              </w:rPr>
              <w:t>达到</w:t>
            </w:r>
            <w:r>
              <w:rPr>
                <w:rFonts w:hint="eastAsia" w:ascii="Times New Roman" w:hAnsi="Times New Roman" w:eastAsia="宋体" w:cs="Times New Roman"/>
                <w:color w:val="auto"/>
                <w:sz w:val="24"/>
                <w:lang w:val="en-US" w:eastAsia="zh-CN"/>
              </w:rPr>
              <w:t>《城镇污水处理厂污染物排放标准》（</w:t>
            </w:r>
            <w:r>
              <w:rPr>
                <w:rFonts w:hint="default" w:ascii="Times New Roman" w:hAnsi="Times New Roman" w:eastAsia="宋体" w:cs="Times New Roman"/>
                <w:color w:val="auto"/>
                <w:sz w:val="24"/>
                <w:lang w:val="en-US" w:eastAsia="zh-CN"/>
              </w:rPr>
              <w:t>GB18918-2002</w:t>
            </w:r>
            <w:r>
              <w:rPr>
                <w:rFonts w:hint="eastAsia" w:ascii="Times New Roman" w:hAnsi="Times New Roman" w:eastAsia="宋体" w:cs="Times New Roman"/>
                <w:color w:val="auto"/>
                <w:sz w:val="24"/>
                <w:lang w:val="en-US" w:eastAsia="zh-CN"/>
              </w:rPr>
              <w:t>）一级</w:t>
            </w:r>
            <w:r>
              <w:rPr>
                <w:rFonts w:hint="default"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val="en-US" w:eastAsia="zh-CN"/>
              </w:rPr>
              <w:t>标准</w:t>
            </w:r>
            <w:r>
              <w:rPr>
                <w:rFonts w:ascii="Times New Roman" w:hAnsi="Times New Roman" w:eastAsia="宋体" w:cs="Times New Roman"/>
                <w:color w:val="auto"/>
                <w:sz w:val="24"/>
              </w:rPr>
              <w:t>后排入</w:t>
            </w:r>
            <w:r>
              <w:rPr>
                <w:rFonts w:hint="default" w:ascii="Times New Roman" w:hAnsi="Times New Roman" w:eastAsia="宋体" w:cs="Times New Roman"/>
                <w:color w:val="auto"/>
                <w:sz w:val="24"/>
              </w:rPr>
              <w:t>涪江</w:t>
            </w:r>
            <w:r>
              <w:rPr>
                <w:rFonts w:hint="default" w:ascii="Times New Roman" w:hAnsi="Times New Roman" w:cs="Times New Roman"/>
                <w:color w:val="auto"/>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3、废水排放情况</w:t>
            </w:r>
          </w:p>
          <w:p>
            <w:pPr>
              <w:pStyle w:val="163"/>
              <w:spacing w:line="360" w:lineRule="auto"/>
              <w:ind w:firstLine="480"/>
              <w:rPr>
                <w:color w:val="auto"/>
              </w:rPr>
            </w:pPr>
            <w:r>
              <w:rPr>
                <w:rFonts w:hint="eastAsia"/>
                <w:color w:val="auto"/>
              </w:rPr>
              <w:t>本</w:t>
            </w:r>
            <w:r>
              <w:rPr>
                <w:color w:val="auto"/>
              </w:rPr>
              <w:t>项目</w:t>
            </w:r>
            <w:r>
              <w:rPr>
                <w:rFonts w:hint="eastAsia"/>
                <w:color w:val="auto"/>
                <w:lang w:val="en-US" w:eastAsia="zh-CN"/>
              </w:rPr>
              <w:t>产生的碱喷淋废水污染因子主要为pH、SS，</w:t>
            </w:r>
            <w:r>
              <w:rPr>
                <w:rFonts w:hint="eastAsia" w:ascii="Times New Roman" w:hAnsi="Times New Roman" w:eastAsia="宋体"/>
                <w:color w:val="auto"/>
              </w:rPr>
              <w:t>水质较为简单</w:t>
            </w:r>
            <w:r>
              <w:rPr>
                <w:rFonts w:hint="eastAsia" w:ascii="Times New Roman" w:hAnsi="Times New Roman" w:eastAsia="宋体"/>
                <w:color w:val="auto"/>
                <w:lang w:eastAsia="zh-CN"/>
              </w:rPr>
              <w:t>，</w:t>
            </w:r>
            <w:r>
              <w:rPr>
                <w:color w:val="auto"/>
              </w:rPr>
              <w:t>生活污水水质参照城镇污水水质，</w:t>
            </w:r>
            <w:r>
              <w:rPr>
                <w:rFonts w:hint="eastAsia"/>
                <w:color w:val="auto"/>
                <w:lang w:val="en-US" w:eastAsia="zh-CN"/>
              </w:rPr>
              <w:t>水质</w:t>
            </w:r>
            <w:r>
              <w:rPr>
                <w:color w:val="auto"/>
              </w:rPr>
              <w:t>源强详见下表：</w:t>
            </w:r>
          </w:p>
          <w:p>
            <w:pPr>
              <w:widowControl/>
              <w:spacing w:line="360" w:lineRule="auto"/>
              <w:jc w:val="center"/>
              <w:rPr>
                <w:rFonts w:hint="eastAsia"/>
                <w:b/>
                <w:color w:val="auto"/>
                <w:kern w:val="0"/>
                <w:lang w:bidi="ar"/>
              </w:rPr>
            </w:pPr>
            <w:r>
              <w:rPr>
                <w:b/>
                <w:color w:val="auto"/>
                <w:kern w:val="0"/>
                <w:szCs w:val="21"/>
                <w:lang w:bidi="ar"/>
              </w:rPr>
              <w:t>表4-</w:t>
            </w:r>
            <w:r>
              <w:rPr>
                <w:rFonts w:hint="eastAsia"/>
                <w:b/>
                <w:color w:val="auto"/>
                <w:kern w:val="0"/>
                <w:szCs w:val="21"/>
                <w:lang w:val="en-US" w:eastAsia="zh-CN" w:bidi="ar"/>
              </w:rPr>
              <w:t>7</w:t>
            </w:r>
            <w:r>
              <w:rPr>
                <w:b/>
                <w:color w:val="auto"/>
                <w:kern w:val="0"/>
                <w:szCs w:val="21"/>
                <w:lang w:bidi="ar"/>
              </w:rPr>
              <w:t xml:space="preserve"> </w:t>
            </w:r>
            <w:r>
              <w:rPr>
                <w:b/>
                <w:color w:val="auto"/>
                <w:szCs w:val="21"/>
                <w:lang w:bidi="ar"/>
              </w:rPr>
              <w:t>废水产生浓度   单位：</w:t>
            </w:r>
            <w:r>
              <w:rPr>
                <w:b/>
                <w:bCs/>
                <w:color w:val="auto"/>
                <w:kern w:val="0"/>
                <w:szCs w:val="21"/>
                <w:lang w:bidi="ar"/>
              </w:rPr>
              <w:t>mg/</w:t>
            </w:r>
            <w:r>
              <w:rPr>
                <w:rFonts w:hint="eastAsia"/>
                <w:b/>
                <w:bCs/>
                <w:color w:val="auto"/>
                <w:kern w:val="0"/>
                <w:szCs w:val="21"/>
                <w:lang w:bidi="ar"/>
              </w:rPr>
              <w:t>L</w:t>
            </w:r>
          </w:p>
          <w:tbl>
            <w:tblPr>
              <w:tblStyle w:val="36"/>
              <w:tblW w:w="794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1230"/>
              <w:gridCol w:w="1369"/>
              <w:gridCol w:w="1366"/>
              <w:gridCol w:w="1368"/>
              <w:gridCol w:w="11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05" w:type="dxa"/>
                  <w:tcBorders>
                    <w:top w:val="single" w:color="auto" w:sz="4" w:space="0"/>
                    <w:left w:val="single" w:color="auto" w:sz="0" w:space="0"/>
                  </w:tcBorders>
                  <w:noWrap w:val="0"/>
                  <w:vAlign w:val="center"/>
                </w:tcPr>
                <w:p>
                  <w:pPr>
                    <w:widowControl/>
                    <w:jc w:val="center"/>
                    <w:rPr>
                      <w:b/>
                      <w:color w:val="auto"/>
                      <w:kern w:val="0"/>
                      <w:szCs w:val="21"/>
                      <w:lang w:bidi="ar"/>
                    </w:rPr>
                  </w:pPr>
                  <w:r>
                    <w:rPr>
                      <w:b/>
                      <w:color w:val="auto"/>
                      <w:kern w:val="0"/>
                      <w:szCs w:val="21"/>
                      <w:lang w:bidi="ar"/>
                    </w:rPr>
                    <w:t>项目</w:t>
                  </w:r>
                </w:p>
              </w:tc>
              <w:tc>
                <w:tcPr>
                  <w:tcW w:w="1230" w:type="dxa"/>
                  <w:tcBorders>
                    <w:top w:val="single" w:color="auto" w:sz="4" w:space="0"/>
                  </w:tcBorders>
                  <w:noWrap w:val="0"/>
                  <w:vAlign w:val="center"/>
                </w:tcPr>
                <w:p>
                  <w:pPr>
                    <w:widowControl/>
                    <w:jc w:val="center"/>
                    <w:textAlignment w:val="center"/>
                    <w:rPr>
                      <w:b/>
                      <w:color w:val="auto"/>
                      <w:szCs w:val="21"/>
                    </w:rPr>
                  </w:pPr>
                  <w:r>
                    <w:rPr>
                      <w:b/>
                      <w:color w:val="auto"/>
                      <w:kern w:val="0"/>
                      <w:szCs w:val="21"/>
                      <w:lang w:bidi="ar"/>
                    </w:rPr>
                    <w:t>COD</w:t>
                  </w:r>
                </w:p>
              </w:tc>
              <w:tc>
                <w:tcPr>
                  <w:tcW w:w="1369" w:type="dxa"/>
                  <w:tcBorders>
                    <w:top w:val="single" w:color="auto" w:sz="4" w:space="0"/>
                  </w:tcBorders>
                  <w:noWrap w:val="0"/>
                  <w:vAlign w:val="center"/>
                </w:tcPr>
                <w:p>
                  <w:pPr>
                    <w:widowControl/>
                    <w:jc w:val="center"/>
                    <w:textAlignment w:val="center"/>
                    <w:rPr>
                      <w:b/>
                      <w:color w:val="auto"/>
                      <w:szCs w:val="21"/>
                    </w:rPr>
                  </w:pPr>
                  <w:r>
                    <w:rPr>
                      <w:b/>
                      <w:color w:val="auto"/>
                      <w:kern w:val="0"/>
                      <w:szCs w:val="21"/>
                      <w:lang w:bidi="ar"/>
                    </w:rPr>
                    <w:t>BOD</w:t>
                  </w:r>
                  <w:r>
                    <w:rPr>
                      <w:b/>
                      <w:color w:val="auto"/>
                      <w:kern w:val="0"/>
                      <w:szCs w:val="21"/>
                      <w:vertAlign w:val="subscript"/>
                      <w:lang w:bidi="ar"/>
                    </w:rPr>
                    <w:t>5</w:t>
                  </w:r>
                </w:p>
              </w:tc>
              <w:tc>
                <w:tcPr>
                  <w:tcW w:w="1366" w:type="dxa"/>
                  <w:tcBorders>
                    <w:top w:val="single" w:color="auto" w:sz="4" w:space="0"/>
                  </w:tcBorders>
                  <w:noWrap w:val="0"/>
                  <w:vAlign w:val="center"/>
                </w:tcPr>
                <w:p>
                  <w:pPr>
                    <w:widowControl/>
                    <w:jc w:val="center"/>
                    <w:textAlignment w:val="center"/>
                    <w:rPr>
                      <w:b/>
                      <w:color w:val="auto"/>
                      <w:szCs w:val="21"/>
                    </w:rPr>
                  </w:pPr>
                  <w:r>
                    <w:rPr>
                      <w:b/>
                      <w:color w:val="auto"/>
                      <w:kern w:val="0"/>
                      <w:szCs w:val="21"/>
                      <w:lang w:bidi="ar"/>
                    </w:rPr>
                    <w:t>SS</w:t>
                  </w:r>
                </w:p>
              </w:tc>
              <w:tc>
                <w:tcPr>
                  <w:tcW w:w="1368" w:type="dxa"/>
                  <w:tcBorders>
                    <w:top w:val="single" w:color="auto" w:sz="4" w:space="0"/>
                  </w:tcBorders>
                  <w:noWrap w:val="0"/>
                  <w:vAlign w:val="center"/>
                </w:tcPr>
                <w:p>
                  <w:pPr>
                    <w:widowControl/>
                    <w:jc w:val="center"/>
                    <w:textAlignment w:val="center"/>
                    <w:rPr>
                      <w:b/>
                      <w:color w:val="auto"/>
                      <w:szCs w:val="21"/>
                    </w:rPr>
                  </w:pPr>
                  <w:r>
                    <w:rPr>
                      <w:b/>
                      <w:color w:val="auto"/>
                      <w:kern w:val="0"/>
                      <w:szCs w:val="21"/>
                      <w:lang w:bidi="ar"/>
                    </w:rPr>
                    <w:t>NH</w:t>
                  </w:r>
                  <w:r>
                    <w:rPr>
                      <w:b/>
                      <w:color w:val="auto"/>
                      <w:kern w:val="0"/>
                      <w:szCs w:val="21"/>
                      <w:vertAlign w:val="subscript"/>
                      <w:lang w:bidi="ar"/>
                    </w:rPr>
                    <w:t>3</w:t>
                  </w:r>
                  <w:r>
                    <w:rPr>
                      <w:rStyle w:val="83"/>
                      <w:rFonts w:hint="default" w:ascii="Times New Roman" w:hAnsi="Times New Roman" w:cs="Times New Roman"/>
                      <w:b/>
                      <w:color w:val="auto"/>
                      <w:sz w:val="21"/>
                      <w:szCs w:val="21"/>
                      <w:lang w:bidi="ar"/>
                    </w:rPr>
                    <w:t>-N</w:t>
                  </w:r>
                </w:p>
              </w:tc>
              <w:tc>
                <w:tcPr>
                  <w:tcW w:w="1104" w:type="dxa"/>
                  <w:tcBorders>
                    <w:top w:val="single" w:color="auto" w:sz="4" w:space="0"/>
                    <w:right w:val="single" w:color="auto" w:sz="4" w:space="0"/>
                  </w:tcBorders>
                  <w:noWrap w:val="0"/>
                  <w:vAlign w:val="center"/>
                </w:tcPr>
                <w:p>
                  <w:pPr>
                    <w:widowControl/>
                    <w:jc w:val="center"/>
                    <w:textAlignment w:val="center"/>
                    <w:rPr>
                      <w:b/>
                      <w:color w:val="auto"/>
                      <w:kern w:val="0"/>
                      <w:szCs w:val="21"/>
                      <w:lang w:bidi="ar"/>
                    </w:rPr>
                  </w:pPr>
                  <w:r>
                    <w:rPr>
                      <w:b/>
                      <w:color w:val="auto"/>
                      <w:kern w:val="0"/>
                      <w:szCs w:val="21"/>
                      <w:lang w:bidi="ar"/>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05" w:type="dxa"/>
                  <w:tcBorders>
                    <w:left w:val="single" w:color="auto" w:sz="4" w:space="0"/>
                  </w:tcBorders>
                  <w:noWrap w:val="0"/>
                  <w:vAlign w:val="center"/>
                </w:tcPr>
                <w:p>
                  <w:pPr>
                    <w:widowControl/>
                    <w:jc w:val="center"/>
                    <w:rPr>
                      <w:bCs/>
                      <w:color w:val="auto"/>
                      <w:kern w:val="0"/>
                      <w:szCs w:val="21"/>
                      <w:lang w:bidi="ar"/>
                    </w:rPr>
                  </w:pPr>
                  <w:r>
                    <w:rPr>
                      <w:bCs/>
                      <w:color w:val="auto"/>
                      <w:kern w:val="0"/>
                      <w:szCs w:val="21"/>
                      <w:lang w:bidi="ar"/>
                    </w:rPr>
                    <w:t>浓度范围</w:t>
                  </w:r>
                </w:p>
              </w:tc>
              <w:tc>
                <w:tcPr>
                  <w:tcW w:w="1230" w:type="dxa"/>
                  <w:noWrap w:val="0"/>
                  <w:vAlign w:val="center"/>
                </w:tcPr>
                <w:p>
                  <w:pPr>
                    <w:pStyle w:val="165"/>
                    <w:rPr>
                      <w:rFonts w:ascii="Times New Roman" w:hAnsi="Times New Roman"/>
                      <w:color w:val="auto"/>
                      <w:szCs w:val="21"/>
                    </w:rPr>
                  </w:pPr>
                  <w:r>
                    <w:rPr>
                      <w:rFonts w:ascii="Times New Roman" w:hAnsi="Times New Roman"/>
                      <w:color w:val="auto"/>
                      <w:szCs w:val="21"/>
                      <w:lang w:bidi="ar"/>
                    </w:rPr>
                    <w:t>300~550</w:t>
                  </w:r>
                </w:p>
              </w:tc>
              <w:tc>
                <w:tcPr>
                  <w:tcW w:w="1369" w:type="dxa"/>
                  <w:noWrap w:val="0"/>
                  <w:vAlign w:val="center"/>
                </w:tcPr>
                <w:p>
                  <w:pPr>
                    <w:pStyle w:val="165"/>
                    <w:rPr>
                      <w:rFonts w:ascii="Times New Roman" w:hAnsi="Times New Roman"/>
                      <w:color w:val="auto"/>
                      <w:szCs w:val="21"/>
                    </w:rPr>
                  </w:pPr>
                  <w:r>
                    <w:rPr>
                      <w:rFonts w:ascii="Times New Roman" w:hAnsi="Times New Roman"/>
                      <w:color w:val="auto"/>
                      <w:szCs w:val="21"/>
                      <w:lang w:bidi="ar"/>
                    </w:rPr>
                    <w:t>200~400</w:t>
                  </w:r>
                </w:p>
              </w:tc>
              <w:tc>
                <w:tcPr>
                  <w:tcW w:w="1366" w:type="dxa"/>
                  <w:noWrap w:val="0"/>
                  <w:vAlign w:val="center"/>
                </w:tcPr>
                <w:p>
                  <w:pPr>
                    <w:pStyle w:val="165"/>
                    <w:rPr>
                      <w:rFonts w:ascii="Times New Roman" w:hAnsi="Times New Roman"/>
                      <w:color w:val="auto"/>
                      <w:szCs w:val="21"/>
                    </w:rPr>
                  </w:pPr>
                  <w:r>
                    <w:rPr>
                      <w:rFonts w:ascii="Times New Roman" w:hAnsi="Times New Roman"/>
                      <w:color w:val="auto"/>
                      <w:szCs w:val="21"/>
                      <w:lang w:bidi="ar"/>
                    </w:rPr>
                    <w:t>200~420</w:t>
                  </w:r>
                </w:p>
              </w:tc>
              <w:tc>
                <w:tcPr>
                  <w:tcW w:w="1368" w:type="dxa"/>
                  <w:noWrap w:val="0"/>
                  <w:vAlign w:val="center"/>
                </w:tcPr>
                <w:p>
                  <w:pPr>
                    <w:pStyle w:val="165"/>
                    <w:rPr>
                      <w:rFonts w:ascii="Times New Roman" w:hAnsi="Times New Roman"/>
                      <w:color w:val="auto"/>
                      <w:szCs w:val="21"/>
                    </w:rPr>
                  </w:pPr>
                  <w:r>
                    <w:rPr>
                      <w:rFonts w:ascii="Times New Roman" w:hAnsi="Times New Roman"/>
                      <w:color w:val="auto"/>
                      <w:szCs w:val="21"/>
                      <w:lang w:bidi="ar"/>
                    </w:rPr>
                    <w:t>10~50</w:t>
                  </w:r>
                </w:p>
              </w:tc>
              <w:tc>
                <w:tcPr>
                  <w:tcW w:w="1104" w:type="dxa"/>
                  <w:tcBorders>
                    <w:right w:val="single" w:color="auto" w:sz="4" w:space="0"/>
                  </w:tcBorders>
                  <w:noWrap w:val="0"/>
                  <w:vAlign w:val="center"/>
                </w:tcPr>
                <w:p>
                  <w:pPr>
                    <w:widowControl/>
                    <w:jc w:val="center"/>
                    <w:rPr>
                      <w:bCs/>
                      <w:color w:val="auto"/>
                      <w:kern w:val="0"/>
                      <w:szCs w:val="21"/>
                      <w:lang w:bidi="ar"/>
                    </w:rPr>
                  </w:pPr>
                  <w:r>
                    <w:rPr>
                      <w:bCs/>
                      <w:color w:val="auto"/>
                      <w:kern w:val="0"/>
                      <w:szCs w:val="21"/>
                      <w:lang w:bidi="ar"/>
                    </w:rPr>
                    <w:t>4~15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05" w:type="dxa"/>
                  <w:tcBorders>
                    <w:left w:val="single" w:color="auto" w:sz="4" w:space="0"/>
                    <w:bottom w:val="single" w:color="auto" w:sz="4" w:space="0"/>
                  </w:tcBorders>
                  <w:noWrap w:val="0"/>
                  <w:vAlign w:val="center"/>
                </w:tcPr>
                <w:p>
                  <w:pPr>
                    <w:widowControl/>
                    <w:jc w:val="center"/>
                    <w:rPr>
                      <w:bCs/>
                      <w:color w:val="auto"/>
                      <w:kern w:val="0"/>
                      <w:szCs w:val="21"/>
                      <w:lang w:bidi="ar"/>
                    </w:rPr>
                  </w:pPr>
                  <w:r>
                    <w:rPr>
                      <w:rFonts w:hint="eastAsia"/>
                      <w:bCs/>
                      <w:color w:val="auto"/>
                      <w:kern w:val="0"/>
                      <w:szCs w:val="21"/>
                      <w:lang w:val="en-US" w:eastAsia="zh-CN" w:bidi="ar"/>
                    </w:rPr>
                    <w:t>本项目数</w:t>
                  </w:r>
                  <w:r>
                    <w:rPr>
                      <w:bCs/>
                      <w:color w:val="auto"/>
                      <w:kern w:val="0"/>
                      <w:szCs w:val="21"/>
                      <w:lang w:bidi="ar"/>
                    </w:rPr>
                    <w:t>值</w:t>
                  </w:r>
                </w:p>
              </w:tc>
              <w:tc>
                <w:tcPr>
                  <w:tcW w:w="1230" w:type="dxa"/>
                  <w:tcBorders>
                    <w:bottom w:val="single" w:color="auto" w:sz="4" w:space="0"/>
                  </w:tcBorders>
                  <w:noWrap w:val="0"/>
                  <w:vAlign w:val="center"/>
                </w:tcPr>
                <w:p>
                  <w:pPr>
                    <w:pStyle w:val="165"/>
                    <w:rPr>
                      <w:rFonts w:ascii="Times New Roman" w:hAnsi="Times New Roman"/>
                      <w:color w:val="auto"/>
                      <w:szCs w:val="21"/>
                    </w:rPr>
                  </w:pPr>
                  <w:r>
                    <w:rPr>
                      <w:rFonts w:ascii="Times New Roman" w:hAnsi="Times New Roman"/>
                      <w:color w:val="auto"/>
                      <w:szCs w:val="21"/>
                      <w:lang w:bidi="ar"/>
                    </w:rPr>
                    <w:t>550</w:t>
                  </w:r>
                </w:p>
              </w:tc>
              <w:tc>
                <w:tcPr>
                  <w:tcW w:w="1369" w:type="dxa"/>
                  <w:tcBorders>
                    <w:bottom w:val="single" w:color="auto" w:sz="4" w:space="0"/>
                  </w:tcBorders>
                  <w:noWrap w:val="0"/>
                  <w:vAlign w:val="center"/>
                </w:tcPr>
                <w:p>
                  <w:pPr>
                    <w:pStyle w:val="165"/>
                    <w:rPr>
                      <w:rFonts w:ascii="Times New Roman" w:hAnsi="Times New Roman"/>
                      <w:color w:val="auto"/>
                      <w:szCs w:val="21"/>
                    </w:rPr>
                  </w:pPr>
                  <w:r>
                    <w:rPr>
                      <w:rFonts w:ascii="Times New Roman" w:hAnsi="Times New Roman"/>
                      <w:color w:val="auto"/>
                      <w:szCs w:val="21"/>
                      <w:lang w:bidi="ar"/>
                    </w:rPr>
                    <w:t>400</w:t>
                  </w:r>
                </w:p>
              </w:tc>
              <w:tc>
                <w:tcPr>
                  <w:tcW w:w="1366" w:type="dxa"/>
                  <w:tcBorders>
                    <w:bottom w:val="single" w:color="auto" w:sz="4" w:space="0"/>
                  </w:tcBorders>
                  <w:noWrap w:val="0"/>
                  <w:vAlign w:val="center"/>
                </w:tcPr>
                <w:p>
                  <w:pPr>
                    <w:pStyle w:val="165"/>
                    <w:rPr>
                      <w:rFonts w:ascii="Times New Roman" w:hAnsi="Times New Roman"/>
                      <w:color w:val="auto"/>
                      <w:szCs w:val="21"/>
                    </w:rPr>
                  </w:pPr>
                  <w:r>
                    <w:rPr>
                      <w:rFonts w:ascii="Times New Roman" w:hAnsi="Times New Roman"/>
                      <w:color w:val="auto"/>
                      <w:szCs w:val="21"/>
                      <w:lang w:bidi="ar"/>
                    </w:rPr>
                    <w:t>420</w:t>
                  </w:r>
                </w:p>
              </w:tc>
              <w:tc>
                <w:tcPr>
                  <w:tcW w:w="1368" w:type="dxa"/>
                  <w:tcBorders>
                    <w:bottom w:val="single" w:color="auto" w:sz="4" w:space="0"/>
                  </w:tcBorders>
                  <w:noWrap w:val="0"/>
                  <w:vAlign w:val="center"/>
                </w:tcPr>
                <w:p>
                  <w:pPr>
                    <w:pStyle w:val="165"/>
                    <w:rPr>
                      <w:rFonts w:ascii="Times New Roman" w:hAnsi="Times New Roman"/>
                      <w:color w:val="auto"/>
                      <w:szCs w:val="21"/>
                    </w:rPr>
                  </w:pPr>
                  <w:r>
                    <w:rPr>
                      <w:rFonts w:ascii="Times New Roman" w:hAnsi="Times New Roman"/>
                      <w:color w:val="auto"/>
                      <w:szCs w:val="21"/>
                      <w:lang w:bidi="ar"/>
                    </w:rPr>
                    <w:t>50</w:t>
                  </w:r>
                </w:p>
              </w:tc>
              <w:tc>
                <w:tcPr>
                  <w:tcW w:w="1104" w:type="dxa"/>
                  <w:tcBorders>
                    <w:bottom w:val="single" w:color="auto" w:sz="4" w:space="0"/>
                    <w:right w:val="single" w:color="auto" w:sz="4" w:space="0"/>
                  </w:tcBorders>
                  <w:noWrap w:val="0"/>
                  <w:vAlign w:val="center"/>
                </w:tcPr>
                <w:p>
                  <w:pPr>
                    <w:widowControl/>
                    <w:jc w:val="center"/>
                    <w:rPr>
                      <w:bCs/>
                      <w:color w:val="auto"/>
                      <w:kern w:val="0"/>
                      <w:szCs w:val="21"/>
                      <w:lang w:bidi="ar"/>
                    </w:rPr>
                  </w:pPr>
                  <w:r>
                    <w:rPr>
                      <w:bCs/>
                      <w:color w:val="auto"/>
                      <w:kern w:val="0"/>
                      <w:szCs w:val="21"/>
                      <w:lang w:bidi="ar"/>
                    </w:rPr>
                    <w:t>15</w:t>
                  </w:r>
                </w:p>
              </w:tc>
            </w:tr>
          </w:tbl>
          <w:p>
            <w:pPr>
              <w:pStyle w:val="160"/>
              <w:spacing w:line="360" w:lineRule="auto"/>
              <w:rPr>
                <w:rFonts w:hint="eastAsia" w:eastAsia="宋体"/>
                <w:b/>
                <w:bCs/>
                <w:color w:val="auto"/>
                <w:lang w:eastAsia="zh-CN"/>
              </w:rPr>
            </w:pPr>
            <w:r>
              <w:rPr>
                <w:rFonts w:hint="eastAsia"/>
                <w:color w:val="auto"/>
              </w:rPr>
              <w:t>废水排放情况见下表</w:t>
            </w:r>
            <w:r>
              <w:rPr>
                <w:rFonts w:hint="eastAsia"/>
                <w:color w:val="auto"/>
                <w:lang w:eastAsia="zh-CN"/>
              </w:rPr>
              <w:t>：</w:t>
            </w:r>
          </w:p>
          <w:p>
            <w:pPr>
              <w:spacing w:line="360" w:lineRule="auto"/>
              <w:jc w:val="center"/>
              <w:rPr>
                <w:b/>
                <w:bCs/>
                <w:color w:val="auto"/>
                <w:sz w:val="21"/>
                <w:szCs w:val="21"/>
              </w:rPr>
            </w:pPr>
            <w:r>
              <w:rPr>
                <w:rFonts w:hint="eastAsia"/>
                <w:b/>
                <w:bCs/>
                <w:color w:val="auto"/>
                <w:sz w:val="21"/>
                <w:szCs w:val="21"/>
              </w:rPr>
              <w:t>表4-</w:t>
            </w:r>
            <w:r>
              <w:rPr>
                <w:rFonts w:hint="eastAsia"/>
                <w:b/>
                <w:bCs/>
                <w:color w:val="auto"/>
                <w:sz w:val="21"/>
                <w:szCs w:val="21"/>
                <w:lang w:val="en-US" w:eastAsia="zh-CN"/>
              </w:rPr>
              <w:t>8</w:t>
            </w:r>
            <w:r>
              <w:rPr>
                <w:rFonts w:hint="eastAsia"/>
                <w:b/>
                <w:bCs/>
                <w:color w:val="auto"/>
                <w:sz w:val="21"/>
                <w:szCs w:val="21"/>
              </w:rPr>
              <w:t xml:space="preserve"> 本项目废水排放情况一览表</w:t>
            </w:r>
          </w:p>
          <w:tbl>
            <w:tblPr>
              <w:tblStyle w:val="36"/>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705"/>
              <w:gridCol w:w="1080"/>
              <w:gridCol w:w="951"/>
              <w:gridCol w:w="945"/>
              <w:gridCol w:w="1020"/>
              <w:gridCol w:w="825"/>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222" w:type="dxa"/>
                  <w:gridSpan w:val="3"/>
                  <w:vMerge w:val="restart"/>
                  <w:noWrap w:val="0"/>
                  <w:vAlign w:val="center"/>
                </w:tcPr>
                <w:p>
                  <w:pPr>
                    <w:jc w:val="center"/>
                    <w:rPr>
                      <w:b/>
                      <w:bCs/>
                      <w:color w:val="auto"/>
                      <w:sz w:val="21"/>
                      <w:szCs w:val="21"/>
                    </w:rPr>
                  </w:pPr>
                  <w:r>
                    <w:rPr>
                      <w:b/>
                      <w:bCs/>
                      <w:color w:val="auto"/>
                      <w:sz w:val="21"/>
                      <w:szCs w:val="21"/>
                    </w:rPr>
                    <w:t>废水性质</w:t>
                  </w:r>
                </w:p>
              </w:tc>
              <w:tc>
                <w:tcPr>
                  <w:tcW w:w="4724" w:type="dxa"/>
                  <w:gridSpan w:val="5"/>
                  <w:noWrap w:val="0"/>
                  <w:vAlign w:val="center"/>
                </w:tcPr>
                <w:p>
                  <w:pPr>
                    <w:jc w:val="center"/>
                    <w:rPr>
                      <w:b/>
                      <w:bCs/>
                      <w:color w:val="auto"/>
                      <w:sz w:val="21"/>
                      <w:szCs w:val="21"/>
                    </w:rPr>
                  </w:pPr>
                  <w:r>
                    <w:rPr>
                      <w:rFonts w:hint="eastAsia"/>
                      <w:b/>
                      <w:bCs/>
                      <w:color w:val="auto"/>
                      <w:sz w:val="21"/>
                      <w:szCs w:val="21"/>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222" w:type="dxa"/>
                  <w:gridSpan w:val="3"/>
                  <w:vMerge w:val="continue"/>
                  <w:noWrap w:val="0"/>
                  <w:vAlign w:val="center"/>
                </w:tcPr>
                <w:p>
                  <w:pPr>
                    <w:jc w:val="center"/>
                    <w:rPr>
                      <w:b/>
                      <w:bCs/>
                      <w:color w:val="auto"/>
                      <w:sz w:val="21"/>
                      <w:szCs w:val="21"/>
                    </w:rPr>
                  </w:pPr>
                </w:p>
              </w:tc>
              <w:tc>
                <w:tcPr>
                  <w:tcW w:w="951" w:type="dxa"/>
                  <w:noWrap w:val="0"/>
                  <w:vAlign w:val="center"/>
                </w:tcPr>
                <w:p>
                  <w:pPr>
                    <w:spacing w:line="240" w:lineRule="exact"/>
                    <w:jc w:val="center"/>
                    <w:outlineLvl w:val="0"/>
                    <w:rPr>
                      <w:b/>
                      <w:bCs/>
                      <w:color w:val="auto"/>
                      <w:sz w:val="21"/>
                      <w:szCs w:val="21"/>
                    </w:rPr>
                  </w:pPr>
                  <w:r>
                    <w:rPr>
                      <w:b/>
                      <w:bCs/>
                      <w:color w:val="auto"/>
                      <w:sz w:val="21"/>
                      <w:szCs w:val="21"/>
                    </w:rPr>
                    <w:t>COD</w:t>
                  </w:r>
                </w:p>
              </w:tc>
              <w:tc>
                <w:tcPr>
                  <w:tcW w:w="945" w:type="dxa"/>
                  <w:noWrap w:val="0"/>
                  <w:vAlign w:val="center"/>
                </w:tcPr>
                <w:p>
                  <w:pPr>
                    <w:spacing w:line="240" w:lineRule="exact"/>
                    <w:jc w:val="center"/>
                    <w:outlineLvl w:val="0"/>
                    <w:rPr>
                      <w:b/>
                      <w:bCs/>
                      <w:color w:val="auto"/>
                      <w:sz w:val="21"/>
                      <w:szCs w:val="21"/>
                    </w:rPr>
                  </w:pPr>
                  <w:r>
                    <w:rPr>
                      <w:b/>
                      <w:bCs/>
                      <w:color w:val="auto"/>
                      <w:sz w:val="21"/>
                      <w:szCs w:val="21"/>
                    </w:rPr>
                    <w:t>BOD</w:t>
                  </w:r>
                  <w:r>
                    <w:rPr>
                      <w:b/>
                      <w:bCs/>
                      <w:color w:val="auto"/>
                      <w:sz w:val="21"/>
                      <w:szCs w:val="21"/>
                      <w:vertAlign w:val="subscript"/>
                    </w:rPr>
                    <w:t>5</w:t>
                  </w:r>
                </w:p>
              </w:tc>
              <w:tc>
                <w:tcPr>
                  <w:tcW w:w="1020" w:type="dxa"/>
                  <w:noWrap w:val="0"/>
                  <w:vAlign w:val="center"/>
                </w:tcPr>
                <w:p>
                  <w:pPr>
                    <w:spacing w:line="240" w:lineRule="exact"/>
                    <w:jc w:val="center"/>
                    <w:outlineLvl w:val="0"/>
                    <w:rPr>
                      <w:b/>
                      <w:bCs/>
                      <w:color w:val="auto"/>
                      <w:sz w:val="21"/>
                      <w:szCs w:val="21"/>
                    </w:rPr>
                  </w:pPr>
                  <w:r>
                    <w:rPr>
                      <w:b/>
                      <w:bCs/>
                      <w:color w:val="auto"/>
                      <w:sz w:val="21"/>
                      <w:szCs w:val="21"/>
                    </w:rPr>
                    <w:t>NH</w:t>
                  </w:r>
                  <w:r>
                    <w:rPr>
                      <w:b/>
                      <w:bCs/>
                      <w:color w:val="auto"/>
                      <w:sz w:val="21"/>
                      <w:szCs w:val="21"/>
                      <w:vertAlign w:val="subscript"/>
                    </w:rPr>
                    <w:t>3</w:t>
                  </w:r>
                  <w:r>
                    <w:rPr>
                      <w:b/>
                      <w:bCs/>
                      <w:color w:val="auto"/>
                      <w:sz w:val="21"/>
                      <w:szCs w:val="21"/>
                    </w:rPr>
                    <w:t>-N</w:t>
                  </w:r>
                  <w:r>
                    <w:rPr>
                      <w:rFonts w:hint="eastAsia"/>
                      <w:color w:val="auto"/>
                      <w:sz w:val="21"/>
                      <w:szCs w:val="21"/>
                    </w:rPr>
                    <w:t>*</w:t>
                  </w:r>
                </w:p>
              </w:tc>
              <w:tc>
                <w:tcPr>
                  <w:tcW w:w="825" w:type="dxa"/>
                  <w:noWrap w:val="0"/>
                  <w:vAlign w:val="center"/>
                </w:tcPr>
                <w:p>
                  <w:pPr>
                    <w:spacing w:line="240" w:lineRule="exact"/>
                    <w:jc w:val="center"/>
                    <w:outlineLvl w:val="0"/>
                    <w:rPr>
                      <w:b/>
                      <w:bCs/>
                      <w:color w:val="auto"/>
                      <w:sz w:val="21"/>
                      <w:szCs w:val="21"/>
                    </w:rPr>
                  </w:pPr>
                  <w:r>
                    <w:rPr>
                      <w:b/>
                      <w:bCs/>
                      <w:color w:val="auto"/>
                      <w:sz w:val="21"/>
                      <w:szCs w:val="21"/>
                    </w:rPr>
                    <w:t>SS</w:t>
                  </w:r>
                </w:p>
              </w:tc>
              <w:tc>
                <w:tcPr>
                  <w:tcW w:w="983" w:type="dxa"/>
                  <w:noWrap w:val="0"/>
                  <w:vAlign w:val="center"/>
                </w:tcPr>
                <w:p>
                  <w:pPr>
                    <w:spacing w:line="240" w:lineRule="exact"/>
                    <w:jc w:val="center"/>
                    <w:outlineLvl w:val="0"/>
                    <w:rPr>
                      <w:b/>
                      <w:bCs/>
                      <w:color w:val="auto"/>
                      <w:sz w:val="21"/>
                      <w:szCs w:val="21"/>
                    </w:rPr>
                  </w:pPr>
                  <w:r>
                    <w:rPr>
                      <w:b/>
                      <w:bCs/>
                      <w:color w:val="auto"/>
                      <w:sz w:val="21"/>
                      <w:szCs w:val="21"/>
                    </w:rPr>
                    <w:t>TP</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37" w:type="dxa"/>
                  <w:vMerge w:val="restart"/>
                  <w:noWrap w:val="0"/>
                  <w:vAlign w:val="center"/>
                </w:tcPr>
                <w:p>
                  <w:pPr>
                    <w:jc w:val="center"/>
                    <w:rPr>
                      <w:color w:val="auto"/>
                      <w:sz w:val="21"/>
                      <w:szCs w:val="21"/>
                    </w:rPr>
                  </w:pPr>
                  <w:r>
                    <w:rPr>
                      <w:bCs/>
                      <w:color w:val="auto"/>
                      <w:sz w:val="21"/>
                      <w:szCs w:val="21"/>
                    </w:rPr>
                    <w:t>预处理池</w:t>
                  </w:r>
                  <w:r>
                    <w:rPr>
                      <w:rFonts w:hint="eastAsia"/>
                      <w:bCs/>
                      <w:color w:val="auto"/>
                      <w:sz w:val="21"/>
                      <w:szCs w:val="21"/>
                      <w:lang w:val="en-US" w:eastAsia="zh-CN"/>
                    </w:rPr>
                    <w:t>456.8</w:t>
                  </w:r>
                  <w:r>
                    <w:rPr>
                      <w:bCs/>
                      <w:color w:val="auto"/>
                      <w:sz w:val="21"/>
                      <w:szCs w:val="21"/>
                    </w:rPr>
                    <w:t>m</w:t>
                  </w:r>
                  <w:r>
                    <w:rPr>
                      <w:bCs/>
                      <w:color w:val="auto"/>
                      <w:sz w:val="21"/>
                      <w:szCs w:val="21"/>
                      <w:vertAlign w:val="superscript"/>
                    </w:rPr>
                    <w:t>3</w:t>
                  </w:r>
                  <w:r>
                    <w:rPr>
                      <w:bCs/>
                      <w:color w:val="auto"/>
                      <w:sz w:val="21"/>
                      <w:szCs w:val="21"/>
                    </w:rPr>
                    <w:t>/a</w:t>
                  </w:r>
                  <w:r>
                    <w:rPr>
                      <w:rFonts w:hint="eastAsia"/>
                      <w:bCs/>
                      <w:color w:val="auto"/>
                      <w:sz w:val="21"/>
                      <w:szCs w:val="21"/>
                    </w:rPr>
                    <w:t>（</w:t>
                  </w:r>
                  <w:r>
                    <w:rPr>
                      <w:rFonts w:hint="eastAsia"/>
                      <w:bCs/>
                      <w:color w:val="auto"/>
                      <w:sz w:val="21"/>
                      <w:szCs w:val="21"/>
                      <w:lang w:val="en-US" w:eastAsia="zh-CN"/>
                    </w:rPr>
                    <w:t>3.36</w:t>
                  </w:r>
                  <w:r>
                    <w:rPr>
                      <w:rFonts w:hint="eastAsia"/>
                      <w:bCs/>
                      <w:color w:val="auto"/>
                      <w:sz w:val="21"/>
                      <w:szCs w:val="21"/>
                    </w:rPr>
                    <w:t>m</w:t>
                  </w:r>
                  <w:r>
                    <w:rPr>
                      <w:rFonts w:hint="eastAsia"/>
                      <w:bCs/>
                      <w:color w:val="auto"/>
                      <w:sz w:val="21"/>
                      <w:szCs w:val="21"/>
                      <w:vertAlign w:val="superscript"/>
                    </w:rPr>
                    <w:t>3</w:t>
                  </w:r>
                  <w:r>
                    <w:rPr>
                      <w:rFonts w:hint="eastAsia"/>
                      <w:bCs/>
                      <w:color w:val="auto"/>
                      <w:sz w:val="21"/>
                      <w:szCs w:val="21"/>
                    </w:rPr>
                    <w:t>/d）</w:t>
                  </w:r>
                </w:p>
              </w:tc>
              <w:tc>
                <w:tcPr>
                  <w:tcW w:w="705" w:type="dxa"/>
                  <w:vMerge w:val="restart"/>
                  <w:noWrap w:val="0"/>
                  <w:vAlign w:val="center"/>
                </w:tcPr>
                <w:p>
                  <w:pPr>
                    <w:spacing w:line="240" w:lineRule="exact"/>
                    <w:jc w:val="center"/>
                    <w:outlineLvl w:val="0"/>
                    <w:rPr>
                      <w:rFonts w:hint="eastAsia" w:eastAsia="宋体"/>
                      <w:color w:val="auto"/>
                      <w:sz w:val="21"/>
                      <w:szCs w:val="21"/>
                      <w:lang w:val="en-US" w:eastAsia="zh-CN"/>
                    </w:rPr>
                  </w:pPr>
                  <w:r>
                    <w:rPr>
                      <w:rFonts w:hint="eastAsia"/>
                      <w:color w:val="auto"/>
                      <w:sz w:val="21"/>
                      <w:szCs w:val="21"/>
                      <w:lang w:val="en-US" w:eastAsia="zh-CN"/>
                    </w:rPr>
                    <w:t>处理前</w:t>
                  </w:r>
                </w:p>
              </w:tc>
              <w:tc>
                <w:tcPr>
                  <w:tcW w:w="1080" w:type="dxa"/>
                  <w:noWrap w:val="0"/>
                  <w:vAlign w:val="center"/>
                </w:tcPr>
                <w:p>
                  <w:pPr>
                    <w:spacing w:line="240" w:lineRule="exact"/>
                    <w:jc w:val="center"/>
                    <w:outlineLvl w:val="0"/>
                    <w:rPr>
                      <w:color w:val="auto"/>
                      <w:sz w:val="21"/>
                      <w:szCs w:val="21"/>
                    </w:rPr>
                  </w:pPr>
                  <w:r>
                    <w:rPr>
                      <w:color w:val="auto"/>
                      <w:sz w:val="21"/>
                      <w:szCs w:val="21"/>
                    </w:rPr>
                    <w:t>浓度（mg/L）</w:t>
                  </w:r>
                </w:p>
              </w:tc>
              <w:tc>
                <w:tcPr>
                  <w:tcW w:w="951" w:type="dxa"/>
                  <w:noWrap w:val="0"/>
                  <w:vAlign w:val="center"/>
                </w:tcPr>
                <w:p>
                  <w:pPr>
                    <w:spacing w:line="240" w:lineRule="exact"/>
                    <w:jc w:val="center"/>
                    <w:rPr>
                      <w:color w:val="auto"/>
                      <w:sz w:val="21"/>
                      <w:szCs w:val="21"/>
                    </w:rPr>
                  </w:pPr>
                  <w:r>
                    <w:rPr>
                      <w:color w:val="auto"/>
                      <w:sz w:val="21"/>
                      <w:szCs w:val="21"/>
                    </w:rPr>
                    <w:t>550</w:t>
                  </w:r>
                </w:p>
              </w:tc>
              <w:tc>
                <w:tcPr>
                  <w:tcW w:w="945" w:type="dxa"/>
                  <w:noWrap w:val="0"/>
                  <w:vAlign w:val="center"/>
                </w:tcPr>
                <w:p>
                  <w:pPr>
                    <w:spacing w:line="240" w:lineRule="exact"/>
                    <w:jc w:val="center"/>
                    <w:rPr>
                      <w:color w:val="auto"/>
                      <w:sz w:val="21"/>
                      <w:szCs w:val="21"/>
                      <w:lang w:bidi="ar"/>
                    </w:rPr>
                  </w:pPr>
                  <w:r>
                    <w:rPr>
                      <w:color w:val="auto"/>
                      <w:sz w:val="21"/>
                      <w:szCs w:val="21"/>
                      <w:lang w:bidi="ar"/>
                    </w:rPr>
                    <w:t>400</w:t>
                  </w:r>
                </w:p>
              </w:tc>
              <w:tc>
                <w:tcPr>
                  <w:tcW w:w="1020" w:type="dxa"/>
                  <w:noWrap w:val="0"/>
                  <w:vAlign w:val="center"/>
                </w:tcPr>
                <w:p>
                  <w:pPr>
                    <w:spacing w:line="240" w:lineRule="exact"/>
                    <w:jc w:val="center"/>
                    <w:rPr>
                      <w:color w:val="auto"/>
                      <w:sz w:val="21"/>
                      <w:szCs w:val="21"/>
                    </w:rPr>
                  </w:pPr>
                  <w:r>
                    <w:rPr>
                      <w:color w:val="auto"/>
                      <w:sz w:val="21"/>
                      <w:szCs w:val="21"/>
                    </w:rPr>
                    <w:t>50</w:t>
                  </w:r>
                </w:p>
              </w:tc>
              <w:tc>
                <w:tcPr>
                  <w:tcW w:w="825" w:type="dxa"/>
                  <w:noWrap w:val="0"/>
                  <w:vAlign w:val="center"/>
                </w:tcPr>
                <w:p>
                  <w:pPr>
                    <w:spacing w:line="240" w:lineRule="exact"/>
                    <w:jc w:val="center"/>
                    <w:rPr>
                      <w:color w:val="auto"/>
                      <w:sz w:val="21"/>
                      <w:szCs w:val="21"/>
                    </w:rPr>
                  </w:pPr>
                  <w:r>
                    <w:rPr>
                      <w:color w:val="auto"/>
                      <w:sz w:val="21"/>
                      <w:szCs w:val="21"/>
                    </w:rPr>
                    <w:t>4</w:t>
                  </w:r>
                  <w:r>
                    <w:rPr>
                      <w:rFonts w:hint="eastAsia"/>
                      <w:color w:val="auto"/>
                      <w:sz w:val="21"/>
                      <w:szCs w:val="21"/>
                    </w:rPr>
                    <w:t>2</w:t>
                  </w:r>
                  <w:r>
                    <w:rPr>
                      <w:color w:val="auto"/>
                      <w:sz w:val="21"/>
                      <w:szCs w:val="21"/>
                    </w:rPr>
                    <w:t>0</w:t>
                  </w:r>
                </w:p>
              </w:tc>
              <w:tc>
                <w:tcPr>
                  <w:tcW w:w="983" w:type="dxa"/>
                  <w:noWrap w:val="0"/>
                  <w:vAlign w:val="center"/>
                </w:tcPr>
                <w:p>
                  <w:pPr>
                    <w:spacing w:line="240" w:lineRule="exact"/>
                    <w:jc w:val="center"/>
                    <w:rPr>
                      <w:rFonts w:hint="eastAsia"/>
                      <w:color w:val="auto"/>
                      <w:sz w:val="21"/>
                      <w:szCs w:val="21"/>
                    </w:rPr>
                  </w:pPr>
                  <w:r>
                    <w:rPr>
                      <w:rFonts w:hint="eastAsia"/>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37" w:type="dxa"/>
                  <w:vMerge w:val="continue"/>
                  <w:noWrap w:val="0"/>
                  <w:vAlign w:val="center"/>
                </w:tcPr>
                <w:p>
                  <w:pPr>
                    <w:jc w:val="center"/>
                    <w:rPr>
                      <w:bCs/>
                      <w:color w:val="auto"/>
                      <w:sz w:val="21"/>
                      <w:szCs w:val="21"/>
                    </w:rPr>
                  </w:pPr>
                </w:p>
              </w:tc>
              <w:tc>
                <w:tcPr>
                  <w:tcW w:w="705" w:type="dxa"/>
                  <w:vMerge w:val="continue"/>
                  <w:noWrap w:val="0"/>
                  <w:vAlign w:val="center"/>
                </w:tcPr>
                <w:p>
                  <w:pPr>
                    <w:spacing w:line="240" w:lineRule="exact"/>
                    <w:jc w:val="center"/>
                    <w:outlineLvl w:val="0"/>
                    <w:rPr>
                      <w:color w:val="auto"/>
                      <w:sz w:val="21"/>
                      <w:szCs w:val="21"/>
                    </w:rPr>
                  </w:pPr>
                </w:p>
              </w:tc>
              <w:tc>
                <w:tcPr>
                  <w:tcW w:w="1080" w:type="dxa"/>
                  <w:noWrap w:val="0"/>
                  <w:vAlign w:val="center"/>
                </w:tcPr>
                <w:p>
                  <w:pPr>
                    <w:spacing w:line="240" w:lineRule="exact"/>
                    <w:jc w:val="center"/>
                    <w:outlineLvl w:val="0"/>
                    <w:rPr>
                      <w:color w:val="auto"/>
                      <w:sz w:val="21"/>
                      <w:szCs w:val="21"/>
                    </w:rPr>
                  </w:pPr>
                  <w:r>
                    <w:rPr>
                      <w:color w:val="auto"/>
                      <w:sz w:val="21"/>
                      <w:szCs w:val="21"/>
                    </w:rPr>
                    <w:t>排放量（t/a）</w:t>
                  </w:r>
                </w:p>
              </w:tc>
              <w:tc>
                <w:tcPr>
                  <w:tcW w:w="951" w:type="dxa"/>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rPr>
                    <w:t>0.2512</w:t>
                  </w:r>
                </w:p>
              </w:tc>
              <w:tc>
                <w:tcPr>
                  <w:tcW w:w="945" w:type="dxa"/>
                  <w:noWrap w:val="0"/>
                  <w:vAlign w:val="center"/>
                </w:tcPr>
                <w:p>
                  <w:pPr>
                    <w:jc w:val="center"/>
                    <w:rPr>
                      <w:rFonts w:hint="default" w:eastAsia="宋体"/>
                      <w:color w:val="auto"/>
                      <w:sz w:val="21"/>
                      <w:szCs w:val="21"/>
                      <w:lang w:val="en-US" w:eastAsia="zh-CN" w:bidi="ar"/>
                    </w:rPr>
                  </w:pPr>
                  <w:r>
                    <w:rPr>
                      <w:rFonts w:hint="eastAsia" w:eastAsia="宋体"/>
                      <w:color w:val="auto"/>
                      <w:sz w:val="21"/>
                      <w:szCs w:val="21"/>
                      <w:lang w:val="en-US" w:eastAsia="zh-CN" w:bidi="ar"/>
                    </w:rPr>
                    <w:t>0.1827</w:t>
                  </w:r>
                </w:p>
              </w:tc>
              <w:tc>
                <w:tcPr>
                  <w:tcW w:w="1020" w:type="dxa"/>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rPr>
                    <w:t>0.0228</w:t>
                  </w:r>
                </w:p>
              </w:tc>
              <w:tc>
                <w:tcPr>
                  <w:tcW w:w="825" w:type="dxa"/>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rPr>
                    <w:t>0.1918</w:t>
                  </w:r>
                </w:p>
              </w:tc>
              <w:tc>
                <w:tcPr>
                  <w:tcW w:w="983" w:type="dxa"/>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rPr>
                    <w:t>0.0069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37" w:type="dxa"/>
                  <w:vMerge w:val="continue"/>
                  <w:noWrap w:val="0"/>
                  <w:vAlign w:val="center"/>
                </w:tcPr>
                <w:p>
                  <w:pPr>
                    <w:jc w:val="center"/>
                    <w:rPr>
                      <w:color w:val="auto"/>
                      <w:sz w:val="21"/>
                      <w:szCs w:val="21"/>
                    </w:rPr>
                  </w:pPr>
                </w:p>
              </w:tc>
              <w:tc>
                <w:tcPr>
                  <w:tcW w:w="705" w:type="dxa"/>
                  <w:vMerge w:val="restart"/>
                  <w:noWrap w:val="0"/>
                  <w:vAlign w:val="center"/>
                </w:tcPr>
                <w:p>
                  <w:pPr>
                    <w:spacing w:line="240" w:lineRule="exact"/>
                    <w:jc w:val="center"/>
                    <w:outlineLvl w:val="0"/>
                    <w:rPr>
                      <w:color w:val="auto"/>
                      <w:sz w:val="21"/>
                      <w:szCs w:val="21"/>
                    </w:rPr>
                  </w:pPr>
                  <w:r>
                    <w:rPr>
                      <w:rFonts w:hint="eastAsia"/>
                      <w:color w:val="auto"/>
                      <w:sz w:val="21"/>
                      <w:szCs w:val="21"/>
                      <w:lang w:val="en-US" w:eastAsia="zh-CN"/>
                    </w:rPr>
                    <w:t>处理后</w:t>
                  </w:r>
                </w:p>
              </w:tc>
              <w:tc>
                <w:tcPr>
                  <w:tcW w:w="1080" w:type="dxa"/>
                  <w:noWrap w:val="0"/>
                  <w:vAlign w:val="center"/>
                </w:tcPr>
                <w:p>
                  <w:pPr>
                    <w:spacing w:line="240" w:lineRule="exact"/>
                    <w:jc w:val="center"/>
                    <w:outlineLvl w:val="0"/>
                    <w:rPr>
                      <w:color w:val="auto"/>
                      <w:sz w:val="21"/>
                      <w:szCs w:val="21"/>
                    </w:rPr>
                  </w:pPr>
                  <w:r>
                    <w:rPr>
                      <w:color w:val="auto"/>
                      <w:sz w:val="21"/>
                      <w:szCs w:val="21"/>
                    </w:rPr>
                    <w:t>浓度（mg/L）</w:t>
                  </w:r>
                </w:p>
              </w:tc>
              <w:tc>
                <w:tcPr>
                  <w:tcW w:w="951" w:type="dxa"/>
                  <w:noWrap w:val="0"/>
                  <w:vAlign w:val="center"/>
                </w:tcPr>
                <w:p>
                  <w:pPr>
                    <w:spacing w:line="240" w:lineRule="exact"/>
                    <w:jc w:val="center"/>
                    <w:rPr>
                      <w:rFonts w:hint="default" w:eastAsia="宋体"/>
                      <w:color w:val="auto"/>
                      <w:sz w:val="21"/>
                      <w:szCs w:val="21"/>
                      <w:lang w:val="en-US" w:eastAsia="zh-CN"/>
                    </w:rPr>
                  </w:pPr>
                  <w:r>
                    <w:rPr>
                      <w:rFonts w:hint="eastAsia"/>
                      <w:color w:val="auto"/>
                      <w:sz w:val="21"/>
                      <w:szCs w:val="21"/>
                      <w:lang w:val="en-US" w:eastAsia="zh-CN"/>
                    </w:rPr>
                    <w:t>400</w:t>
                  </w:r>
                </w:p>
              </w:tc>
              <w:tc>
                <w:tcPr>
                  <w:tcW w:w="945" w:type="dxa"/>
                  <w:noWrap w:val="0"/>
                  <w:vAlign w:val="center"/>
                </w:tcPr>
                <w:p>
                  <w:pPr>
                    <w:spacing w:line="240" w:lineRule="exact"/>
                    <w:jc w:val="center"/>
                    <w:rPr>
                      <w:rFonts w:hint="default" w:eastAsia="宋体"/>
                      <w:color w:val="auto"/>
                      <w:sz w:val="21"/>
                      <w:szCs w:val="21"/>
                      <w:lang w:val="en-US" w:eastAsia="zh-CN"/>
                    </w:rPr>
                  </w:pPr>
                  <w:r>
                    <w:rPr>
                      <w:rFonts w:hint="eastAsia"/>
                      <w:color w:val="auto"/>
                      <w:sz w:val="21"/>
                      <w:szCs w:val="21"/>
                      <w:lang w:val="en-US" w:eastAsia="zh-CN" w:bidi="ar"/>
                    </w:rPr>
                    <w:t>200</w:t>
                  </w:r>
                </w:p>
              </w:tc>
              <w:tc>
                <w:tcPr>
                  <w:tcW w:w="1020" w:type="dxa"/>
                  <w:noWrap w:val="0"/>
                  <w:vAlign w:val="center"/>
                </w:tcPr>
                <w:p>
                  <w:pPr>
                    <w:spacing w:line="240" w:lineRule="exact"/>
                    <w:jc w:val="center"/>
                    <w:rPr>
                      <w:rFonts w:hint="default" w:eastAsia="宋体"/>
                      <w:color w:val="auto"/>
                      <w:sz w:val="21"/>
                      <w:szCs w:val="21"/>
                      <w:lang w:val="en-US" w:eastAsia="zh-CN"/>
                    </w:rPr>
                  </w:pPr>
                  <w:r>
                    <w:rPr>
                      <w:rFonts w:hint="eastAsia"/>
                      <w:color w:val="auto"/>
                      <w:sz w:val="21"/>
                      <w:szCs w:val="21"/>
                      <w:lang w:val="en-US" w:eastAsia="zh-CN"/>
                    </w:rPr>
                    <w:t>12</w:t>
                  </w:r>
                </w:p>
              </w:tc>
              <w:tc>
                <w:tcPr>
                  <w:tcW w:w="825" w:type="dxa"/>
                  <w:noWrap w:val="0"/>
                  <w:vAlign w:val="center"/>
                </w:tcPr>
                <w:p>
                  <w:pPr>
                    <w:spacing w:line="240" w:lineRule="exact"/>
                    <w:jc w:val="center"/>
                    <w:rPr>
                      <w:rFonts w:hint="default" w:eastAsia="宋体"/>
                      <w:color w:val="auto"/>
                      <w:sz w:val="21"/>
                      <w:szCs w:val="21"/>
                      <w:lang w:val="en-US" w:eastAsia="zh-CN"/>
                    </w:rPr>
                  </w:pPr>
                  <w:r>
                    <w:rPr>
                      <w:rFonts w:hint="eastAsia"/>
                      <w:color w:val="auto"/>
                      <w:sz w:val="21"/>
                      <w:szCs w:val="21"/>
                      <w:lang w:val="en-US" w:eastAsia="zh-CN"/>
                    </w:rPr>
                    <w:t>100</w:t>
                  </w:r>
                </w:p>
              </w:tc>
              <w:tc>
                <w:tcPr>
                  <w:tcW w:w="983" w:type="dxa"/>
                  <w:noWrap w:val="0"/>
                  <w:vAlign w:val="center"/>
                </w:tcPr>
                <w:p>
                  <w:pPr>
                    <w:spacing w:line="240" w:lineRule="exact"/>
                    <w:jc w:val="center"/>
                    <w:rPr>
                      <w:rFonts w:hint="eastAsia" w:eastAsia="宋体"/>
                      <w:color w:val="auto"/>
                      <w:sz w:val="21"/>
                      <w:szCs w:val="21"/>
                      <w:lang w:eastAsia="zh-CN"/>
                    </w:rPr>
                  </w:pPr>
                  <w:r>
                    <w:rPr>
                      <w:rFonts w:hint="eastAsia"/>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37" w:type="dxa"/>
                  <w:vMerge w:val="continue"/>
                  <w:noWrap w:val="0"/>
                  <w:vAlign w:val="center"/>
                </w:tcPr>
                <w:p>
                  <w:pPr>
                    <w:jc w:val="center"/>
                    <w:rPr>
                      <w:color w:val="auto"/>
                      <w:sz w:val="21"/>
                      <w:szCs w:val="21"/>
                    </w:rPr>
                  </w:pPr>
                </w:p>
              </w:tc>
              <w:tc>
                <w:tcPr>
                  <w:tcW w:w="705" w:type="dxa"/>
                  <w:vMerge w:val="continue"/>
                  <w:noWrap w:val="0"/>
                  <w:vAlign w:val="center"/>
                </w:tcPr>
                <w:p>
                  <w:pPr>
                    <w:spacing w:line="240" w:lineRule="exact"/>
                    <w:jc w:val="center"/>
                    <w:outlineLvl w:val="0"/>
                    <w:rPr>
                      <w:color w:val="auto"/>
                      <w:sz w:val="21"/>
                      <w:szCs w:val="21"/>
                    </w:rPr>
                  </w:pPr>
                </w:p>
              </w:tc>
              <w:tc>
                <w:tcPr>
                  <w:tcW w:w="1080" w:type="dxa"/>
                  <w:noWrap w:val="0"/>
                  <w:vAlign w:val="center"/>
                </w:tcPr>
                <w:p>
                  <w:pPr>
                    <w:spacing w:line="240" w:lineRule="exact"/>
                    <w:jc w:val="center"/>
                    <w:outlineLvl w:val="0"/>
                    <w:rPr>
                      <w:color w:val="auto"/>
                      <w:sz w:val="21"/>
                      <w:szCs w:val="21"/>
                    </w:rPr>
                  </w:pPr>
                  <w:r>
                    <w:rPr>
                      <w:color w:val="auto"/>
                      <w:sz w:val="21"/>
                      <w:szCs w:val="21"/>
                    </w:rPr>
                    <w:t>排放量（t/a）</w:t>
                  </w:r>
                </w:p>
              </w:tc>
              <w:tc>
                <w:tcPr>
                  <w:tcW w:w="951" w:type="dxa"/>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bidi="ar"/>
                    </w:rPr>
                    <w:t>0.1827</w:t>
                  </w:r>
                </w:p>
              </w:tc>
              <w:tc>
                <w:tcPr>
                  <w:tcW w:w="945" w:type="dxa"/>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rPr>
                    <w:t>0.0914</w:t>
                  </w:r>
                </w:p>
              </w:tc>
              <w:tc>
                <w:tcPr>
                  <w:tcW w:w="1020" w:type="dxa"/>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rPr>
                    <w:t>0.0055</w:t>
                  </w:r>
                </w:p>
              </w:tc>
              <w:tc>
                <w:tcPr>
                  <w:tcW w:w="825" w:type="dxa"/>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rPr>
                    <w:t>0.0457</w:t>
                  </w:r>
                </w:p>
              </w:tc>
              <w:tc>
                <w:tcPr>
                  <w:tcW w:w="983" w:type="dxa"/>
                  <w:noWrap w:val="0"/>
                  <w:vAlign w:val="center"/>
                </w:tcPr>
                <w:p>
                  <w:pPr>
                    <w:jc w:val="center"/>
                    <w:rPr>
                      <w:rFonts w:hint="default" w:eastAsia="宋体"/>
                      <w:color w:val="auto"/>
                      <w:sz w:val="21"/>
                      <w:szCs w:val="21"/>
                      <w:lang w:val="en-US" w:eastAsia="zh-CN"/>
                    </w:rPr>
                  </w:pPr>
                  <w:r>
                    <w:rPr>
                      <w:rFonts w:hint="eastAsia" w:eastAsia="宋体"/>
                      <w:color w:val="auto"/>
                      <w:sz w:val="21"/>
                      <w:szCs w:val="21"/>
                      <w:lang w:val="en-US" w:eastAsia="zh-CN"/>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222" w:type="dxa"/>
                  <w:gridSpan w:val="3"/>
                  <w:noWrap w:val="0"/>
                  <w:vAlign w:val="center"/>
                </w:tcPr>
                <w:p>
                  <w:pPr>
                    <w:spacing w:line="240" w:lineRule="exact"/>
                    <w:jc w:val="center"/>
                    <w:outlineLvl w:val="0"/>
                    <w:rPr>
                      <w:color w:val="auto"/>
                      <w:sz w:val="21"/>
                      <w:szCs w:val="21"/>
                    </w:rPr>
                  </w:pPr>
                  <w:r>
                    <w:rPr>
                      <w:rFonts w:hint="default" w:ascii="Times New Roman" w:hAnsi="Times New Roman" w:eastAsia="宋体" w:cs="Times New Roman"/>
                      <w:b w:val="0"/>
                      <w:bCs w:val="0"/>
                      <w:color w:val="auto"/>
                      <w:sz w:val="21"/>
                      <w:szCs w:val="21"/>
                    </w:rPr>
                    <w:t>《污水综合排放标准》（GB8978－1996）表4中三级标准限值</w:t>
                  </w:r>
                  <w:r>
                    <w:rPr>
                      <w:color w:val="auto"/>
                      <w:sz w:val="21"/>
                      <w:szCs w:val="21"/>
                    </w:rPr>
                    <w:t>（mg/L）</w:t>
                  </w:r>
                </w:p>
              </w:tc>
              <w:tc>
                <w:tcPr>
                  <w:tcW w:w="951" w:type="dxa"/>
                  <w:noWrap w:val="0"/>
                  <w:vAlign w:val="center"/>
                </w:tcPr>
                <w:p>
                  <w:pPr>
                    <w:spacing w:line="240" w:lineRule="exact"/>
                    <w:jc w:val="center"/>
                    <w:outlineLvl w:val="0"/>
                    <w:rPr>
                      <w:color w:val="auto"/>
                      <w:sz w:val="21"/>
                      <w:szCs w:val="21"/>
                    </w:rPr>
                  </w:pPr>
                  <w:r>
                    <w:rPr>
                      <w:color w:val="auto"/>
                      <w:sz w:val="21"/>
                      <w:szCs w:val="21"/>
                    </w:rPr>
                    <w:t>500</w:t>
                  </w:r>
                </w:p>
              </w:tc>
              <w:tc>
                <w:tcPr>
                  <w:tcW w:w="945" w:type="dxa"/>
                  <w:noWrap w:val="0"/>
                  <w:vAlign w:val="center"/>
                </w:tcPr>
                <w:p>
                  <w:pPr>
                    <w:spacing w:line="240" w:lineRule="exact"/>
                    <w:jc w:val="center"/>
                    <w:outlineLvl w:val="0"/>
                    <w:rPr>
                      <w:color w:val="auto"/>
                      <w:sz w:val="21"/>
                      <w:szCs w:val="21"/>
                    </w:rPr>
                  </w:pPr>
                  <w:r>
                    <w:rPr>
                      <w:rFonts w:hint="eastAsia"/>
                      <w:color w:val="auto"/>
                      <w:sz w:val="21"/>
                      <w:szCs w:val="21"/>
                      <w:lang w:val="en-US" w:eastAsia="zh-CN"/>
                    </w:rPr>
                    <w:t>3</w:t>
                  </w:r>
                  <w:r>
                    <w:rPr>
                      <w:color w:val="auto"/>
                      <w:sz w:val="21"/>
                      <w:szCs w:val="21"/>
                    </w:rPr>
                    <w:t>00</w:t>
                  </w:r>
                </w:p>
              </w:tc>
              <w:tc>
                <w:tcPr>
                  <w:tcW w:w="1020" w:type="dxa"/>
                  <w:noWrap w:val="0"/>
                  <w:vAlign w:val="center"/>
                </w:tcPr>
                <w:p>
                  <w:pPr>
                    <w:spacing w:line="240" w:lineRule="exact"/>
                    <w:jc w:val="center"/>
                    <w:outlineLvl w:val="0"/>
                    <w:rPr>
                      <w:color w:val="auto"/>
                      <w:sz w:val="21"/>
                      <w:szCs w:val="21"/>
                    </w:rPr>
                  </w:pPr>
                  <w:r>
                    <w:rPr>
                      <w:color w:val="auto"/>
                      <w:sz w:val="21"/>
                      <w:szCs w:val="21"/>
                    </w:rPr>
                    <w:t>45</w:t>
                  </w:r>
                </w:p>
              </w:tc>
              <w:tc>
                <w:tcPr>
                  <w:tcW w:w="825" w:type="dxa"/>
                  <w:noWrap w:val="0"/>
                  <w:vAlign w:val="center"/>
                </w:tcPr>
                <w:p>
                  <w:pPr>
                    <w:spacing w:line="240" w:lineRule="exact"/>
                    <w:jc w:val="center"/>
                    <w:outlineLvl w:val="0"/>
                    <w:rPr>
                      <w:color w:val="auto"/>
                      <w:sz w:val="21"/>
                      <w:szCs w:val="21"/>
                    </w:rPr>
                  </w:pPr>
                  <w:r>
                    <w:rPr>
                      <w:color w:val="auto"/>
                      <w:sz w:val="21"/>
                      <w:szCs w:val="21"/>
                    </w:rPr>
                    <w:t>400</w:t>
                  </w:r>
                </w:p>
              </w:tc>
              <w:tc>
                <w:tcPr>
                  <w:tcW w:w="983" w:type="dxa"/>
                  <w:noWrap w:val="0"/>
                  <w:vAlign w:val="center"/>
                </w:tcPr>
                <w:p>
                  <w:pPr>
                    <w:spacing w:line="240" w:lineRule="exact"/>
                    <w:jc w:val="center"/>
                    <w:outlineLvl w:val="0"/>
                    <w:rPr>
                      <w:color w:val="auto"/>
                      <w:sz w:val="21"/>
                      <w:szCs w:val="21"/>
                    </w:rPr>
                  </w:pPr>
                  <w:r>
                    <w:rPr>
                      <w:color w:val="auto"/>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222" w:type="dxa"/>
                  <w:gridSpan w:val="3"/>
                  <w:noWrap w:val="0"/>
                  <w:vAlign w:val="center"/>
                </w:tcPr>
                <w:p>
                  <w:pPr>
                    <w:spacing w:line="240" w:lineRule="exact"/>
                    <w:jc w:val="center"/>
                    <w:outlineLvl w:val="0"/>
                    <w:rPr>
                      <w:color w:val="auto"/>
                      <w:sz w:val="21"/>
                      <w:szCs w:val="21"/>
                    </w:rPr>
                  </w:pPr>
                  <w:r>
                    <w:rPr>
                      <w:rFonts w:hint="eastAsia" w:ascii="Times New Roman" w:hAnsi="Times New Roman" w:eastAsia="宋体" w:cs="Times New Roman"/>
                      <w:color w:val="auto"/>
                      <w:sz w:val="21"/>
                      <w:szCs w:val="21"/>
                      <w:lang w:val="en-US" w:eastAsia="zh-CN"/>
                    </w:rPr>
                    <w:t>《城镇污水处理厂污染物排放标准》（</w:t>
                  </w:r>
                  <w:r>
                    <w:rPr>
                      <w:rFonts w:hint="default" w:ascii="Times New Roman" w:hAnsi="Times New Roman" w:eastAsia="宋体" w:cs="Times New Roman"/>
                      <w:color w:val="auto"/>
                      <w:sz w:val="21"/>
                      <w:szCs w:val="21"/>
                      <w:lang w:val="en-US" w:eastAsia="zh-CN"/>
                    </w:rPr>
                    <w:t>GB18918-2002</w:t>
                  </w:r>
                  <w:r>
                    <w:rPr>
                      <w:rFonts w:hint="eastAsia" w:ascii="Times New Roman" w:hAnsi="Times New Roman" w:eastAsia="宋体" w:cs="Times New Roman"/>
                      <w:color w:val="auto"/>
                      <w:sz w:val="21"/>
                      <w:szCs w:val="21"/>
                      <w:lang w:val="en-US" w:eastAsia="zh-CN"/>
                    </w:rPr>
                    <w:t>）一级</w:t>
                  </w:r>
                  <w:r>
                    <w:rPr>
                      <w:rFonts w:hint="default" w:ascii="Times New Roman" w:hAnsi="Times New Roman" w:eastAsia="宋体" w:cs="Times New Roman"/>
                      <w:color w:val="auto"/>
                      <w:sz w:val="21"/>
                      <w:szCs w:val="21"/>
                      <w:lang w:val="en-US" w:eastAsia="zh-CN"/>
                    </w:rPr>
                    <w:t>A</w:t>
                  </w:r>
                  <w:r>
                    <w:rPr>
                      <w:rFonts w:hint="eastAsia" w:ascii="Times New Roman" w:hAnsi="Times New Roman" w:eastAsia="宋体" w:cs="Times New Roman"/>
                      <w:color w:val="auto"/>
                      <w:sz w:val="21"/>
                      <w:szCs w:val="21"/>
                      <w:lang w:val="en-US" w:eastAsia="zh-CN"/>
                    </w:rPr>
                    <w:t>标准</w:t>
                  </w:r>
                  <w:r>
                    <w:rPr>
                      <w:color w:val="auto"/>
                      <w:sz w:val="21"/>
                      <w:szCs w:val="21"/>
                    </w:rPr>
                    <w:t>（mg/L）</w:t>
                  </w:r>
                </w:p>
              </w:tc>
              <w:tc>
                <w:tcPr>
                  <w:tcW w:w="951" w:type="dxa"/>
                  <w:noWrap w:val="0"/>
                  <w:vAlign w:val="center"/>
                </w:tcPr>
                <w:p>
                  <w:pPr>
                    <w:spacing w:line="240" w:lineRule="exact"/>
                    <w:jc w:val="center"/>
                    <w:outlineLvl w:val="0"/>
                    <w:rPr>
                      <w:rFonts w:hint="default" w:eastAsia="宋体"/>
                      <w:color w:val="auto"/>
                      <w:sz w:val="21"/>
                      <w:szCs w:val="21"/>
                      <w:lang w:val="en-US" w:eastAsia="zh-CN"/>
                    </w:rPr>
                  </w:pPr>
                  <w:r>
                    <w:rPr>
                      <w:rFonts w:hint="eastAsia"/>
                      <w:color w:val="auto"/>
                      <w:sz w:val="21"/>
                      <w:szCs w:val="21"/>
                      <w:lang w:val="en-US" w:eastAsia="zh-CN"/>
                    </w:rPr>
                    <w:t>50</w:t>
                  </w:r>
                </w:p>
              </w:tc>
              <w:tc>
                <w:tcPr>
                  <w:tcW w:w="945" w:type="dxa"/>
                  <w:noWrap w:val="0"/>
                  <w:vAlign w:val="center"/>
                </w:tcPr>
                <w:p>
                  <w:pPr>
                    <w:spacing w:line="240" w:lineRule="exact"/>
                    <w:jc w:val="center"/>
                    <w:outlineLvl w:val="0"/>
                    <w:rPr>
                      <w:rFonts w:hint="default" w:eastAsia="宋体"/>
                      <w:color w:val="auto"/>
                      <w:sz w:val="21"/>
                      <w:szCs w:val="21"/>
                      <w:lang w:val="en-US" w:eastAsia="zh-CN"/>
                    </w:rPr>
                  </w:pPr>
                  <w:r>
                    <w:rPr>
                      <w:rFonts w:hint="eastAsia"/>
                      <w:color w:val="auto"/>
                      <w:sz w:val="21"/>
                      <w:szCs w:val="21"/>
                      <w:lang w:val="en-US" w:eastAsia="zh-CN"/>
                    </w:rPr>
                    <w:t>10</w:t>
                  </w:r>
                </w:p>
              </w:tc>
              <w:tc>
                <w:tcPr>
                  <w:tcW w:w="1020" w:type="dxa"/>
                  <w:noWrap w:val="0"/>
                  <w:vAlign w:val="center"/>
                </w:tcPr>
                <w:p>
                  <w:pPr>
                    <w:spacing w:line="240" w:lineRule="exact"/>
                    <w:jc w:val="center"/>
                    <w:outlineLvl w:val="0"/>
                    <w:rPr>
                      <w:rFonts w:hint="eastAsia" w:eastAsia="宋体"/>
                      <w:color w:val="auto"/>
                      <w:sz w:val="21"/>
                      <w:szCs w:val="21"/>
                      <w:lang w:eastAsia="zh-CN"/>
                    </w:rPr>
                  </w:pPr>
                  <w:r>
                    <w:rPr>
                      <w:rFonts w:hint="eastAsia"/>
                      <w:color w:val="auto"/>
                      <w:sz w:val="21"/>
                      <w:szCs w:val="21"/>
                      <w:lang w:val="en-US" w:eastAsia="zh-CN"/>
                    </w:rPr>
                    <w:t>5</w:t>
                  </w:r>
                </w:p>
              </w:tc>
              <w:tc>
                <w:tcPr>
                  <w:tcW w:w="825" w:type="dxa"/>
                  <w:noWrap w:val="0"/>
                  <w:vAlign w:val="center"/>
                </w:tcPr>
                <w:p>
                  <w:pPr>
                    <w:spacing w:line="240" w:lineRule="exact"/>
                    <w:jc w:val="center"/>
                    <w:outlineLvl w:val="0"/>
                    <w:rPr>
                      <w:color w:val="auto"/>
                      <w:sz w:val="21"/>
                      <w:szCs w:val="21"/>
                    </w:rPr>
                  </w:pPr>
                  <w:r>
                    <w:rPr>
                      <w:color w:val="auto"/>
                      <w:sz w:val="21"/>
                      <w:szCs w:val="21"/>
                    </w:rPr>
                    <w:t>10</w:t>
                  </w:r>
                </w:p>
              </w:tc>
              <w:tc>
                <w:tcPr>
                  <w:tcW w:w="983" w:type="dxa"/>
                  <w:noWrap w:val="0"/>
                  <w:vAlign w:val="center"/>
                </w:tcPr>
                <w:p>
                  <w:pPr>
                    <w:spacing w:line="240" w:lineRule="exact"/>
                    <w:jc w:val="center"/>
                    <w:outlineLvl w:val="0"/>
                    <w:rPr>
                      <w:rFonts w:hint="default" w:eastAsia="宋体"/>
                      <w:color w:val="auto"/>
                      <w:sz w:val="21"/>
                      <w:szCs w:val="21"/>
                      <w:lang w:val="en-US" w:eastAsia="zh-CN"/>
                    </w:rPr>
                  </w:pPr>
                  <w:r>
                    <w:rPr>
                      <w:rFonts w:hint="eastAsia"/>
                      <w:color w:val="auto"/>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946" w:type="dxa"/>
                  <w:gridSpan w:val="8"/>
                  <w:noWrap w:val="0"/>
                  <w:vAlign w:val="center"/>
                </w:tcPr>
                <w:p>
                  <w:pPr>
                    <w:spacing w:line="240" w:lineRule="exact"/>
                    <w:jc w:val="left"/>
                    <w:outlineLvl w:val="0"/>
                    <w:rPr>
                      <w:rFonts w:hint="eastAsia"/>
                      <w:color w:val="auto"/>
                      <w:sz w:val="21"/>
                      <w:szCs w:val="21"/>
                      <w:lang w:val="en-US" w:eastAsia="zh-CN"/>
                    </w:rPr>
                  </w:pPr>
                  <w:r>
                    <w:rPr>
                      <w:rFonts w:hint="eastAsia" w:ascii="宋体" w:hAnsi="宋体" w:eastAsia="宋体" w:cs="宋体"/>
                      <w:b w:val="0"/>
                      <w:bCs w:val="0"/>
                      <w:color w:val="auto"/>
                      <w:kern w:val="0"/>
                      <w:sz w:val="21"/>
                      <w:szCs w:val="21"/>
                      <w:lang w:val="en-US" w:eastAsia="zh-CN" w:bidi="ar"/>
                    </w:rPr>
                    <w:t>注</w:t>
                  </w:r>
                  <w:r>
                    <w:rPr>
                      <w:rFonts w:hint="default" w:ascii="Times New Roman" w:hAnsi="Times New Roman" w:eastAsia="宋体" w:cs="Times New Roman"/>
                      <w:b w:val="0"/>
                      <w:bCs w:val="0"/>
                      <w:color w:val="auto"/>
                      <w:sz w:val="21"/>
                      <w:szCs w:val="21"/>
                      <w:vertAlign w:val="baseline"/>
                      <w:lang w:val="en-US" w:eastAsia="zh-CN"/>
                    </w:rPr>
                    <w:t>*</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氨氮、总磷</w:t>
                  </w:r>
                  <w:r>
                    <w:rPr>
                      <w:rFonts w:hint="eastAsia" w:ascii="Times New Roman" w:hAnsi="Times New Roman" w:eastAsia="宋体" w:cs="Times New Roman"/>
                      <w:b w:val="0"/>
                      <w:bCs w:val="0"/>
                      <w:color w:val="auto"/>
                      <w:kern w:val="0"/>
                      <w:sz w:val="21"/>
                      <w:szCs w:val="21"/>
                      <w:lang w:val="en-US" w:eastAsia="zh-CN" w:bidi="ar"/>
                    </w:rPr>
                    <w:t>参照执行</w:t>
                  </w:r>
                  <w:r>
                    <w:rPr>
                      <w:rFonts w:hint="default" w:ascii="Times New Roman" w:hAnsi="Times New Roman" w:eastAsia="宋体" w:cs="Times New Roman"/>
                      <w:b w:val="0"/>
                      <w:bCs w:val="0"/>
                      <w:color w:val="auto"/>
                      <w:kern w:val="0"/>
                      <w:sz w:val="21"/>
                      <w:szCs w:val="21"/>
                      <w:lang w:val="en-US" w:eastAsia="zh-CN" w:bidi="ar"/>
                    </w:rPr>
                    <w:t>《污水排入城镇下水道水质标准》（GB/T3 1962-2015）B级标准</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color w:val="auto"/>
              </w:rPr>
            </w:pPr>
            <w:r>
              <w:rPr>
                <w:rFonts w:hint="eastAsia" w:ascii="Times New Roman" w:hAnsi="Times New Roman" w:eastAsia="宋体" w:cs="Times New Roman"/>
                <w:b/>
                <w:color w:val="auto"/>
                <w:kern w:val="2"/>
                <w:sz w:val="24"/>
                <w:szCs w:val="24"/>
                <w:lang w:val="en-US" w:eastAsia="zh-CN" w:bidi="ar-SA"/>
              </w:rPr>
              <w:t>4、</w:t>
            </w:r>
            <w:r>
              <w:rPr>
                <w:rFonts w:hint="eastAsia" w:ascii="宋体" w:hAnsi="宋体" w:eastAsia="宋体" w:cs="宋体"/>
                <w:b/>
                <w:bCs/>
                <w:color w:val="auto"/>
                <w:kern w:val="0"/>
                <w:sz w:val="24"/>
                <w:szCs w:val="24"/>
                <w:lang w:val="en-US" w:eastAsia="zh-CN" w:bidi="ar"/>
              </w:rPr>
              <w:t>废水排放口基本情况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项目废水类别、污染物及治理设施信息如下：</w:t>
            </w:r>
          </w:p>
          <w:p>
            <w:pPr>
              <w:keepNext w:val="0"/>
              <w:keepLines w:val="0"/>
              <w:widowControl/>
              <w:suppressLineNumbers w:val="0"/>
              <w:spacing w:line="360" w:lineRule="auto"/>
              <w:jc w:val="center"/>
              <w:rPr>
                <w:color w:val="auto"/>
                <w:sz w:val="21"/>
                <w:szCs w:val="21"/>
              </w:rPr>
            </w:pPr>
            <w:r>
              <w:rPr>
                <w:b/>
                <w:bCs/>
                <w:color w:val="auto"/>
                <w:sz w:val="21"/>
                <w:szCs w:val="21"/>
              </w:rPr>
              <w:t>表4-</w:t>
            </w:r>
            <w:r>
              <w:rPr>
                <w:rFonts w:hint="eastAsia"/>
                <w:b/>
                <w:bCs/>
                <w:color w:val="auto"/>
                <w:sz w:val="21"/>
                <w:szCs w:val="21"/>
                <w:lang w:val="en-US" w:eastAsia="zh-CN"/>
              </w:rPr>
              <w:t>9</w:t>
            </w:r>
            <w:r>
              <w:rPr>
                <w:b/>
                <w:bCs/>
                <w:color w:val="auto"/>
                <w:sz w:val="21"/>
                <w:szCs w:val="21"/>
              </w:rPr>
              <w:t xml:space="preserve"> </w:t>
            </w:r>
            <w:r>
              <w:rPr>
                <w:rFonts w:hint="eastAsia" w:ascii="宋体" w:hAnsi="宋体" w:eastAsia="宋体" w:cs="宋体"/>
                <w:b/>
                <w:bCs/>
                <w:color w:val="auto"/>
                <w:kern w:val="0"/>
                <w:sz w:val="21"/>
                <w:szCs w:val="21"/>
                <w:lang w:val="en-US" w:eastAsia="zh-CN" w:bidi="ar"/>
              </w:rPr>
              <w:t>本项目废水类别、污染物及治理设施信息表</w:t>
            </w:r>
          </w:p>
          <w:tbl>
            <w:tblPr>
              <w:tblStyle w:val="37"/>
              <w:tblW w:w="7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794"/>
              <w:gridCol w:w="794"/>
              <w:gridCol w:w="794"/>
              <w:gridCol w:w="795"/>
              <w:gridCol w:w="795"/>
              <w:gridCol w:w="795"/>
              <w:gridCol w:w="795"/>
              <w:gridCol w:w="704"/>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rPr>
                    <w:t>废水类别</w:t>
                  </w:r>
                </w:p>
              </w:tc>
              <w:tc>
                <w:tcPr>
                  <w:tcW w:w="79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rPr>
                    <w:t>污染物种类</w:t>
                  </w:r>
                </w:p>
              </w:tc>
              <w:tc>
                <w:tcPr>
                  <w:tcW w:w="79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rPr>
                    <w:t>排放去向</w:t>
                  </w:r>
                </w:p>
              </w:tc>
              <w:tc>
                <w:tcPr>
                  <w:tcW w:w="79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rPr>
                    <w:t>排放规律</w:t>
                  </w:r>
                </w:p>
              </w:tc>
              <w:tc>
                <w:tcPr>
                  <w:tcW w:w="2385" w:type="dxa"/>
                  <w:gridSpan w:val="3"/>
                  <w:noWrap w:val="0"/>
                  <w:vAlign w:val="center"/>
                </w:tcPr>
                <w:p>
                  <w:pPr>
                    <w:pStyle w:val="134"/>
                    <w:keepNext w:val="0"/>
                    <w:keepLines w:val="0"/>
                    <w:pageBreakBefore w:val="0"/>
                    <w:tabs>
                      <w:tab w:val="left" w:pos="640"/>
                      <w:tab w:val="clear" w:pos="1440"/>
                      <w:tab w:val="clear" w:pos="4368"/>
                    </w:tabs>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污染治理设施</w:t>
                  </w:r>
                </w:p>
              </w:tc>
              <w:tc>
                <w:tcPr>
                  <w:tcW w:w="79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rPr>
                    <w:t>排放口编号</w:t>
                  </w:r>
                </w:p>
              </w:tc>
              <w:tc>
                <w:tcPr>
                  <w:tcW w:w="70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rPr>
                    <w:t>排放口设置是否符合要求</w:t>
                  </w:r>
                </w:p>
              </w:tc>
              <w:tc>
                <w:tcPr>
                  <w:tcW w:w="886"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cs="Times New Roman"/>
                      <w:b/>
                      <w:bCs/>
                      <w:color w:val="auto"/>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4" w:type="dxa"/>
                  <w:vMerge w:val="continue"/>
                  <w:noWrap w:val="0"/>
                  <w:vAlign w:val="center"/>
                </w:tcPr>
                <w:p>
                  <w:pPr>
                    <w:pStyle w:val="134"/>
                    <w:keepNext w:val="0"/>
                    <w:keepLines w:val="0"/>
                    <w:pageBreakBefore w:val="0"/>
                    <w:tabs>
                      <w:tab w:val="left" w:pos="640"/>
                      <w:tab w:val="clear" w:pos="1440"/>
                      <w:tab w:val="clear" w:pos="4368"/>
                    </w:tabs>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p>
              </w:tc>
              <w:tc>
                <w:tcPr>
                  <w:tcW w:w="794" w:type="dxa"/>
                  <w:vMerge w:val="continue"/>
                  <w:noWrap w:val="0"/>
                  <w:vAlign w:val="center"/>
                </w:tcPr>
                <w:p>
                  <w:pPr>
                    <w:pStyle w:val="134"/>
                    <w:keepNext w:val="0"/>
                    <w:keepLines w:val="0"/>
                    <w:pageBreakBefore w:val="0"/>
                    <w:tabs>
                      <w:tab w:val="left" w:pos="640"/>
                      <w:tab w:val="clear" w:pos="1440"/>
                      <w:tab w:val="clear" w:pos="4368"/>
                    </w:tabs>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p>
              </w:tc>
              <w:tc>
                <w:tcPr>
                  <w:tcW w:w="794" w:type="dxa"/>
                  <w:vMerge w:val="continue"/>
                  <w:noWrap w:val="0"/>
                  <w:vAlign w:val="center"/>
                </w:tcPr>
                <w:p>
                  <w:pPr>
                    <w:pStyle w:val="134"/>
                    <w:keepNext w:val="0"/>
                    <w:keepLines w:val="0"/>
                    <w:pageBreakBefore w:val="0"/>
                    <w:tabs>
                      <w:tab w:val="left" w:pos="640"/>
                      <w:tab w:val="clear" w:pos="1440"/>
                      <w:tab w:val="clear" w:pos="4368"/>
                    </w:tabs>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p>
              </w:tc>
              <w:tc>
                <w:tcPr>
                  <w:tcW w:w="794" w:type="dxa"/>
                  <w:vMerge w:val="continue"/>
                  <w:noWrap w:val="0"/>
                  <w:vAlign w:val="center"/>
                </w:tcPr>
                <w:p>
                  <w:pPr>
                    <w:pStyle w:val="134"/>
                    <w:keepNext w:val="0"/>
                    <w:keepLines w:val="0"/>
                    <w:pageBreakBefore w:val="0"/>
                    <w:tabs>
                      <w:tab w:val="left" w:pos="640"/>
                      <w:tab w:val="clear" w:pos="1440"/>
                      <w:tab w:val="clear" w:pos="4368"/>
                    </w:tabs>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污染治理设施编号</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污染治理设施名称</w:t>
                  </w:r>
                </w:p>
              </w:tc>
              <w:tc>
                <w:tcPr>
                  <w:tcW w:w="79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污染治理设施工艺</w:t>
                  </w:r>
                </w:p>
              </w:tc>
              <w:tc>
                <w:tcPr>
                  <w:tcW w:w="795" w:type="dxa"/>
                  <w:vMerge w:val="continue"/>
                  <w:noWrap w:val="0"/>
                  <w:vAlign w:val="center"/>
                </w:tcPr>
                <w:p>
                  <w:pPr>
                    <w:pStyle w:val="134"/>
                    <w:keepNext w:val="0"/>
                    <w:keepLines w:val="0"/>
                    <w:pageBreakBefore w:val="0"/>
                    <w:tabs>
                      <w:tab w:val="left" w:pos="640"/>
                      <w:tab w:val="clear" w:pos="1440"/>
                      <w:tab w:val="clear" w:pos="4368"/>
                    </w:tabs>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p>
              </w:tc>
              <w:tc>
                <w:tcPr>
                  <w:tcW w:w="704" w:type="dxa"/>
                  <w:vMerge w:val="continue"/>
                  <w:noWrap w:val="0"/>
                  <w:vAlign w:val="center"/>
                </w:tcPr>
                <w:p>
                  <w:pPr>
                    <w:pStyle w:val="134"/>
                    <w:keepNext w:val="0"/>
                    <w:keepLines w:val="0"/>
                    <w:pageBreakBefore w:val="0"/>
                    <w:tabs>
                      <w:tab w:val="left" w:pos="640"/>
                      <w:tab w:val="clear" w:pos="1440"/>
                      <w:tab w:val="clear" w:pos="4368"/>
                    </w:tabs>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p>
              </w:tc>
              <w:tc>
                <w:tcPr>
                  <w:tcW w:w="886" w:type="dxa"/>
                  <w:vMerge w:val="continue"/>
                  <w:noWrap w:val="0"/>
                  <w:vAlign w:val="center"/>
                </w:tcPr>
                <w:p>
                  <w:pPr>
                    <w:pStyle w:val="134"/>
                    <w:keepNext w:val="0"/>
                    <w:keepLines w:val="0"/>
                    <w:pageBreakBefore w:val="0"/>
                    <w:tabs>
                      <w:tab w:val="left" w:pos="640"/>
                      <w:tab w:val="clear" w:pos="1440"/>
                      <w:tab w:val="clear" w:pos="4368"/>
                    </w:tabs>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94" w:type="dxa"/>
                  <w:noWrap w:val="0"/>
                  <w:vAlign w:val="center"/>
                </w:tcPr>
                <w:p>
                  <w:pPr>
                    <w:pStyle w:val="16"/>
                    <w:jc w:val="center"/>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rPr>
                    <w:t>生活污水</w:t>
                  </w:r>
                </w:p>
              </w:tc>
              <w:tc>
                <w:tcPr>
                  <w:tcW w:w="794" w:type="dxa"/>
                  <w:vMerge w:val="restart"/>
                  <w:noWrap w:val="0"/>
                  <w:vAlign w:val="center"/>
                </w:tcPr>
                <w:p>
                  <w:pPr>
                    <w:jc w:val="center"/>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rPr>
                    <w:t>pH、COD、BOD</w:t>
                  </w:r>
                  <w:r>
                    <w:rPr>
                      <w:rFonts w:hint="default" w:ascii="Times New Roman" w:hAnsi="Times New Roman" w:cs="Times New Roman"/>
                      <w:b w:val="0"/>
                      <w:bCs w:val="0"/>
                      <w:color w:val="auto"/>
                      <w:sz w:val="21"/>
                      <w:szCs w:val="21"/>
                      <w:vertAlign w:val="subscript"/>
                    </w:rPr>
                    <w:t>5</w:t>
                  </w:r>
                  <w:r>
                    <w:rPr>
                      <w:rFonts w:hint="default" w:ascii="Times New Roman" w:hAnsi="Times New Roman" w:cs="Times New Roman"/>
                      <w:b w:val="0"/>
                      <w:bCs w:val="0"/>
                      <w:color w:val="auto"/>
                      <w:sz w:val="21"/>
                      <w:szCs w:val="21"/>
                    </w:rPr>
                    <w:t>、SS、氨氮、TP</w:t>
                  </w:r>
                </w:p>
              </w:tc>
              <w:tc>
                <w:tcPr>
                  <w:tcW w:w="794" w:type="dxa"/>
                  <w:vMerge w:val="restart"/>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vertAlign w:val="baseline"/>
                    </w:rPr>
                  </w:pPr>
                  <w:r>
                    <w:rPr>
                      <w:rFonts w:hint="eastAsia" w:ascii="Times New Roman" w:hAnsi="Times New Roman" w:eastAsia="宋体" w:cs="Times New Roman"/>
                      <w:color w:val="auto"/>
                      <w:sz w:val="21"/>
                      <w:szCs w:val="21"/>
                      <w:lang w:eastAsia="zh-CN"/>
                    </w:rPr>
                    <w:t>遂宁金桥新区城市污水处理厂</w:t>
                  </w:r>
                </w:p>
              </w:tc>
              <w:tc>
                <w:tcPr>
                  <w:tcW w:w="794" w:type="dxa"/>
                  <w:vMerge w:val="restart"/>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vertAlign w:val="baseline"/>
                    </w:rPr>
                  </w:pPr>
                  <w:r>
                    <w:rPr>
                      <w:rFonts w:hint="default" w:ascii="Times New Roman" w:hAnsi="Times New Roman" w:eastAsia="宋体" w:cs="Times New Roman"/>
                      <w:b w:val="0"/>
                      <w:bCs w:val="0"/>
                      <w:color w:val="auto"/>
                      <w:kern w:val="0"/>
                      <w:sz w:val="21"/>
                      <w:szCs w:val="21"/>
                      <w:lang w:val="en-US" w:eastAsia="zh-CN" w:bidi="ar"/>
                    </w:rPr>
                    <w:t>间断排放，排放期间流量稳定</w:t>
                  </w:r>
                </w:p>
              </w:tc>
              <w:tc>
                <w:tcPr>
                  <w:tcW w:w="795" w:type="dxa"/>
                  <w:vMerge w:val="restart"/>
                  <w:noWrap w:val="0"/>
                  <w:vAlign w:val="center"/>
                </w:tcPr>
                <w:p>
                  <w:pPr>
                    <w:pStyle w:val="134"/>
                    <w:keepNext w:val="0"/>
                    <w:keepLines w:val="0"/>
                    <w:pageBreakBefore w:val="0"/>
                    <w:tabs>
                      <w:tab w:val="left" w:pos="640"/>
                      <w:tab w:val="clear" w:pos="1440"/>
                      <w:tab w:val="clear" w:pos="4368"/>
                    </w:tabs>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TW001</w:t>
                  </w:r>
                </w:p>
              </w:tc>
              <w:tc>
                <w:tcPr>
                  <w:tcW w:w="795" w:type="dxa"/>
                  <w:noWrap w:val="0"/>
                  <w:vAlign w:val="center"/>
                </w:tcPr>
                <w:p>
                  <w:pPr>
                    <w:pStyle w:val="134"/>
                    <w:keepNext w:val="0"/>
                    <w:keepLines w:val="0"/>
                    <w:pageBreakBefore w:val="0"/>
                    <w:tabs>
                      <w:tab w:val="left" w:pos="640"/>
                      <w:tab w:val="clear" w:pos="1440"/>
                      <w:tab w:val="clear" w:pos="4368"/>
                    </w:tabs>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四川翔丰华新能源材料有限公司已建4#预处理池</w:t>
                  </w:r>
                </w:p>
              </w:tc>
              <w:tc>
                <w:tcPr>
                  <w:tcW w:w="795" w:type="dxa"/>
                  <w:noWrap w:val="0"/>
                  <w:vAlign w:val="center"/>
                </w:tcPr>
                <w:p>
                  <w:pPr>
                    <w:pStyle w:val="134"/>
                    <w:keepNext w:val="0"/>
                    <w:keepLines w:val="0"/>
                    <w:pageBreakBefore w:val="0"/>
                    <w:tabs>
                      <w:tab w:val="left" w:pos="640"/>
                      <w:tab w:val="clear" w:pos="1440"/>
                      <w:tab w:val="clear" w:pos="4368"/>
                    </w:tabs>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沉淀</w:t>
                  </w:r>
                </w:p>
              </w:tc>
              <w:tc>
                <w:tcPr>
                  <w:tcW w:w="795" w:type="dxa"/>
                  <w:vMerge w:val="restart"/>
                  <w:noWrap w:val="0"/>
                  <w:vAlign w:val="center"/>
                </w:tcPr>
                <w:p>
                  <w:pPr>
                    <w:pStyle w:val="134"/>
                    <w:keepNext w:val="0"/>
                    <w:keepLines w:val="0"/>
                    <w:pageBreakBefore w:val="0"/>
                    <w:tabs>
                      <w:tab w:val="left" w:pos="640"/>
                      <w:tab w:val="clear" w:pos="1440"/>
                      <w:tab w:val="clear" w:pos="4368"/>
                    </w:tabs>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DW001</w:t>
                  </w:r>
                </w:p>
              </w:tc>
              <w:tc>
                <w:tcPr>
                  <w:tcW w:w="704" w:type="dxa"/>
                  <w:vMerge w:val="restart"/>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sym w:font="Wingdings 2" w:char="0052"/>
                  </w:r>
                  <w:r>
                    <w:rPr>
                      <w:rFonts w:hint="default" w:ascii="Times New Roman" w:hAnsi="Times New Roman" w:cs="Times New Roman"/>
                      <w:b w:val="0"/>
                      <w:bCs w:val="0"/>
                      <w:color w:val="auto"/>
                      <w:sz w:val="21"/>
                      <w:szCs w:val="21"/>
                    </w:rPr>
                    <w:t>是</w:t>
                  </w:r>
                </w:p>
                <w:p>
                  <w:pPr>
                    <w:jc w:val="center"/>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rPr>
                    <w:sym w:font="Wingdings 2" w:char="00A3"/>
                  </w:r>
                  <w:r>
                    <w:rPr>
                      <w:rFonts w:hint="default" w:ascii="Times New Roman" w:hAnsi="Times New Roman" w:cs="Times New Roman"/>
                      <w:b w:val="0"/>
                      <w:bCs w:val="0"/>
                      <w:color w:val="auto"/>
                      <w:sz w:val="21"/>
                      <w:szCs w:val="21"/>
                    </w:rPr>
                    <w:t>否</w:t>
                  </w:r>
                </w:p>
              </w:tc>
              <w:tc>
                <w:tcPr>
                  <w:tcW w:w="886" w:type="dxa"/>
                  <w:vMerge w:val="restart"/>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sym w:font="Wingdings 2" w:char="0052"/>
                  </w:r>
                  <w:r>
                    <w:rPr>
                      <w:rFonts w:hint="default" w:ascii="Times New Roman" w:hAnsi="Times New Roman" w:cs="Times New Roman"/>
                      <w:b w:val="0"/>
                      <w:bCs w:val="0"/>
                      <w:color w:val="auto"/>
                      <w:sz w:val="21"/>
                      <w:szCs w:val="21"/>
                    </w:rPr>
                    <w:t>企业总排</w:t>
                  </w:r>
                </w:p>
                <w:p>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sym w:font="Wingdings 2" w:char="00A3"/>
                  </w:r>
                  <w:r>
                    <w:rPr>
                      <w:rFonts w:hint="default" w:ascii="Times New Roman" w:hAnsi="Times New Roman" w:cs="Times New Roman"/>
                      <w:b w:val="0"/>
                      <w:bCs w:val="0"/>
                      <w:color w:val="auto"/>
                      <w:sz w:val="21"/>
                      <w:szCs w:val="21"/>
                    </w:rPr>
                    <w:t>雨水排放</w:t>
                  </w:r>
                </w:p>
                <w:p>
                  <w:pPr>
                    <w:jc w:val="center"/>
                    <w:rPr>
                      <w:rFonts w:hint="default" w:ascii="Times New Roman" w:hAnsi="Times New Roman" w:cs="Times New Roman"/>
                      <w:b w:val="0"/>
                      <w:bCs w:val="0"/>
                      <w:color w:val="auto"/>
                      <w:sz w:val="21"/>
                      <w:szCs w:val="21"/>
                      <w:vertAlign w:val="baseline"/>
                    </w:rPr>
                  </w:pPr>
                  <w:r>
                    <w:rPr>
                      <w:rFonts w:hint="default" w:ascii="Times New Roman" w:hAnsi="Times New Roman" w:cs="Times New Roman"/>
                      <w:b w:val="0"/>
                      <w:bCs w:val="0"/>
                      <w:color w:val="auto"/>
                      <w:sz w:val="21"/>
                      <w:szCs w:val="21"/>
                    </w:rPr>
                    <w:sym w:font="Wingdings 2" w:char="00A3"/>
                  </w:r>
                  <w:r>
                    <w:rPr>
                      <w:rFonts w:hint="default" w:ascii="Times New Roman" w:hAnsi="Times New Roman" w:cs="Times New Roman"/>
                      <w:b w:val="0"/>
                      <w:bCs w:val="0"/>
                      <w:color w:val="auto"/>
                      <w:sz w:val="21"/>
                      <w:szCs w:val="21"/>
                    </w:rPr>
                    <w:t>清净下水排放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94"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碱喷淋废水</w:t>
                  </w:r>
                </w:p>
              </w:tc>
              <w:tc>
                <w:tcPr>
                  <w:tcW w:w="794" w:type="dxa"/>
                  <w:vMerge w:val="continue"/>
                  <w:noWrap w:val="0"/>
                  <w:vAlign w:val="center"/>
                </w:tcPr>
                <w:p>
                  <w:pPr>
                    <w:jc w:val="center"/>
                    <w:rPr>
                      <w:rFonts w:hint="default" w:ascii="Times New Roman" w:hAnsi="Times New Roman" w:cs="Times New Roman"/>
                      <w:b w:val="0"/>
                      <w:bCs w:val="0"/>
                      <w:color w:val="auto"/>
                      <w:sz w:val="21"/>
                      <w:szCs w:val="21"/>
                    </w:rPr>
                  </w:pPr>
                </w:p>
              </w:tc>
              <w:tc>
                <w:tcPr>
                  <w:tcW w:w="794" w:type="dxa"/>
                  <w:vMerge w:val="continue"/>
                  <w:noWrap w:val="0"/>
                  <w:vAlign w:val="center"/>
                </w:tcPr>
                <w:p>
                  <w:pPr>
                    <w:jc w:val="center"/>
                    <w:rPr>
                      <w:rFonts w:hint="default" w:ascii="Times New Roman" w:hAnsi="Times New Roman" w:cs="Times New Roman"/>
                      <w:b w:val="0"/>
                      <w:bCs w:val="0"/>
                      <w:color w:val="auto"/>
                      <w:sz w:val="21"/>
                      <w:szCs w:val="21"/>
                    </w:rPr>
                  </w:pPr>
                </w:p>
              </w:tc>
              <w:tc>
                <w:tcPr>
                  <w:tcW w:w="794" w:type="dxa"/>
                  <w:vMerge w:val="continue"/>
                  <w:noWrap w:val="0"/>
                  <w:vAlign w:val="center"/>
                </w:tcPr>
                <w:p>
                  <w:pPr>
                    <w:jc w:val="center"/>
                    <w:rPr>
                      <w:rFonts w:hint="default" w:ascii="Times New Roman" w:hAnsi="Times New Roman" w:cs="Times New Roman"/>
                      <w:b w:val="0"/>
                      <w:bCs w:val="0"/>
                      <w:color w:val="auto"/>
                      <w:sz w:val="21"/>
                      <w:szCs w:val="21"/>
                    </w:rPr>
                  </w:pPr>
                </w:p>
              </w:tc>
              <w:tc>
                <w:tcPr>
                  <w:tcW w:w="795" w:type="dxa"/>
                  <w:vMerge w:val="continue"/>
                  <w:noWrap w:val="0"/>
                  <w:vAlign w:val="center"/>
                </w:tcPr>
                <w:p>
                  <w:pPr>
                    <w:jc w:val="center"/>
                    <w:rPr>
                      <w:rFonts w:hint="default" w:ascii="Times New Roman" w:hAnsi="Times New Roman" w:cs="Times New Roman"/>
                      <w:b w:val="0"/>
                      <w:bCs w:val="0"/>
                      <w:color w:val="auto"/>
                      <w:sz w:val="21"/>
                      <w:szCs w:val="21"/>
                    </w:rPr>
                  </w:pPr>
                </w:p>
              </w:tc>
              <w:tc>
                <w:tcPr>
                  <w:tcW w:w="795"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酸碱中和+四川翔丰华新能源材料有限公司已建4#预处理池</w:t>
                  </w:r>
                </w:p>
              </w:tc>
              <w:tc>
                <w:tcPr>
                  <w:tcW w:w="795"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酸碱中和+沉淀</w:t>
                  </w:r>
                </w:p>
              </w:tc>
              <w:tc>
                <w:tcPr>
                  <w:tcW w:w="795" w:type="dxa"/>
                  <w:vMerge w:val="continue"/>
                  <w:noWrap w:val="0"/>
                  <w:vAlign w:val="center"/>
                </w:tcPr>
                <w:p>
                  <w:pPr>
                    <w:jc w:val="center"/>
                    <w:rPr>
                      <w:rFonts w:hint="default" w:ascii="Times New Roman" w:hAnsi="Times New Roman" w:cs="Times New Roman"/>
                      <w:b w:val="0"/>
                      <w:bCs w:val="0"/>
                      <w:color w:val="auto"/>
                      <w:sz w:val="21"/>
                      <w:szCs w:val="21"/>
                    </w:rPr>
                  </w:pPr>
                </w:p>
              </w:tc>
              <w:tc>
                <w:tcPr>
                  <w:tcW w:w="704" w:type="dxa"/>
                  <w:vMerge w:val="continue"/>
                  <w:noWrap w:val="0"/>
                  <w:vAlign w:val="center"/>
                </w:tcPr>
                <w:p>
                  <w:pPr>
                    <w:jc w:val="center"/>
                    <w:rPr>
                      <w:rFonts w:hint="default" w:ascii="Times New Roman" w:hAnsi="Times New Roman" w:cs="Times New Roman"/>
                      <w:b w:val="0"/>
                      <w:bCs w:val="0"/>
                      <w:color w:val="auto"/>
                      <w:sz w:val="21"/>
                      <w:szCs w:val="21"/>
                    </w:rPr>
                  </w:pPr>
                </w:p>
              </w:tc>
              <w:tc>
                <w:tcPr>
                  <w:tcW w:w="886" w:type="dxa"/>
                  <w:vMerge w:val="continue"/>
                  <w:noWrap w:val="0"/>
                  <w:vAlign w:val="center"/>
                </w:tcPr>
                <w:p>
                  <w:pPr>
                    <w:jc w:val="center"/>
                    <w:rPr>
                      <w:rFonts w:hint="default" w:ascii="Times New Roman" w:hAnsi="Times New Roman" w:cs="Times New Roman"/>
                      <w:b w:val="0"/>
                      <w:bCs w:val="0"/>
                      <w:color w:val="auto"/>
                      <w:sz w:val="21"/>
                      <w:szCs w:val="21"/>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b/>
                <w:bCs/>
                <w:color w:val="auto"/>
                <w:sz w:val="21"/>
                <w:szCs w:val="21"/>
              </w:rPr>
            </w:pPr>
            <w:r>
              <w:rPr>
                <w:rFonts w:hint="eastAsia" w:ascii="宋体" w:hAnsi="宋体" w:eastAsia="宋体" w:cs="宋体"/>
                <w:color w:val="auto"/>
                <w:kern w:val="0"/>
                <w:sz w:val="24"/>
                <w:szCs w:val="24"/>
                <w:lang w:val="en-US" w:eastAsia="zh-CN" w:bidi="ar"/>
              </w:rPr>
              <w:t>废水排放口的设置情况如下：</w:t>
            </w:r>
          </w:p>
          <w:p>
            <w:pPr>
              <w:keepNext w:val="0"/>
              <w:keepLines w:val="0"/>
              <w:widowControl/>
              <w:suppressLineNumbers w:val="0"/>
              <w:spacing w:line="360" w:lineRule="auto"/>
              <w:jc w:val="center"/>
              <w:rPr>
                <w:rFonts w:ascii="Times New Roman" w:hAnsi="Times New Roman" w:eastAsia="宋体" w:cs="Times New Roman"/>
                <w:b/>
                <w:bCs/>
                <w:color w:val="auto"/>
                <w:sz w:val="21"/>
                <w:szCs w:val="21"/>
              </w:rPr>
            </w:pPr>
            <w:r>
              <w:rPr>
                <w:b/>
                <w:bCs/>
                <w:color w:val="auto"/>
                <w:sz w:val="21"/>
                <w:szCs w:val="21"/>
              </w:rPr>
              <w:t>表</w:t>
            </w:r>
            <w:r>
              <w:rPr>
                <w:rFonts w:ascii="Times New Roman" w:hAnsi="Times New Roman" w:eastAsia="宋体" w:cs="Times New Roman"/>
                <w:b/>
                <w:bCs/>
                <w:color w:val="auto"/>
                <w:sz w:val="21"/>
                <w:szCs w:val="21"/>
              </w:rPr>
              <w:t>4-</w:t>
            </w:r>
            <w:r>
              <w:rPr>
                <w:rFonts w:hint="eastAsia" w:ascii="Times New Roman" w:hAnsi="Times New Roman" w:eastAsia="宋体" w:cs="Times New Roman"/>
                <w:b/>
                <w:bCs/>
                <w:color w:val="auto"/>
                <w:sz w:val="21"/>
                <w:szCs w:val="21"/>
                <w:lang w:val="en-US" w:eastAsia="zh-CN"/>
              </w:rPr>
              <w:t>10</w:t>
            </w:r>
            <w:r>
              <w:rPr>
                <w:rFonts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本项目废水排放口基本情况</w:t>
            </w:r>
          </w:p>
          <w:tbl>
            <w:tblPr>
              <w:tblStyle w:val="36"/>
              <w:tblW w:w="7948"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6"/>
              <w:gridCol w:w="708"/>
              <w:gridCol w:w="735"/>
              <w:gridCol w:w="1638"/>
              <w:gridCol w:w="912"/>
              <w:gridCol w:w="620"/>
              <w:gridCol w:w="520"/>
              <w:gridCol w:w="546"/>
              <w:gridCol w:w="854"/>
              <w:gridCol w:w="9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426" w:type="dxa"/>
                  <w:vMerge w:val="restart"/>
                  <w:tcBorders>
                    <w:left w:val="single" w:color="auto" w:sz="0" w:space="0"/>
                  </w:tcBorders>
                  <w:noWrap w:val="0"/>
                  <w:vAlign w:val="center"/>
                </w:tcPr>
                <w:p>
                  <w:pPr>
                    <w:jc w:val="center"/>
                    <w:rPr>
                      <w:b/>
                      <w:bCs/>
                      <w:color w:val="auto"/>
                      <w:sz w:val="21"/>
                      <w:szCs w:val="21"/>
                    </w:rPr>
                  </w:pPr>
                  <w:r>
                    <w:rPr>
                      <w:b/>
                      <w:bCs/>
                      <w:color w:val="auto"/>
                      <w:sz w:val="21"/>
                      <w:szCs w:val="21"/>
                    </w:rPr>
                    <w:t>序号</w:t>
                  </w:r>
                </w:p>
              </w:tc>
              <w:tc>
                <w:tcPr>
                  <w:tcW w:w="708" w:type="dxa"/>
                  <w:vMerge w:val="restart"/>
                  <w:noWrap w:val="0"/>
                  <w:vAlign w:val="center"/>
                </w:tcPr>
                <w:p>
                  <w:pPr>
                    <w:jc w:val="center"/>
                    <w:rPr>
                      <w:b/>
                      <w:bCs/>
                      <w:color w:val="auto"/>
                      <w:sz w:val="21"/>
                      <w:szCs w:val="21"/>
                    </w:rPr>
                  </w:pPr>
                  <w:r>
                    <w:rPr>
                      <w:b/>
                      <w:bCs/>
                      <w:color w:val="auto"/>
                      <w:sz w:val="21"/>
                      <w:szCs w:val="21"/>
                    </w:rPr>
                    <w:t>排放口名称</w:t>
                  </w:r>
                </w:p>
              </w:tc>
              <w:tc>
                <w:tcPr>
                  <w:tcW w:w="735" w:type="dxa"/>
                  <w:vMerge w:val="restart"/>
                  <w:noWrap w:val="0"/>
                  <w:vAlign w:val="center"/>
                </w:tcPr>
                <w:p>
                  <w:pPr>
                    <w:jc w:val="center"/>
                    <w:rPr>
                      <w:b/>
                      <w:bCs/>
                      <w:color w:val="auto"/>
                      <w:sz w:val="21"/>
                      <w:szCs w:val="21"/>
                    </w:rPr>
                  </w:pPr>
                  <w:r>
                    <w:rPr>
                      <w:b/>
                      <w:bCs/>
                      <w:color w:val="auto"/>
                      <w:sz w:val="21"/>
                      <w:szCs w:val="21"/>
                    </w:rPr>
                    <w:t>排放口类型</w:t>
                  </w:r>
                </w:p>
              </w:tc>
              <w:tc>
                <w:tcPr>
                  <w:tcW w:w="1638" w:type="dxa"/>
                  <w:vMerge w:val="restart"/>
                  <w:noWrap w:val="0"/>
                  <w:vAlign w:val="center"/>
                </w:tcPr>
                <w:p>
                  <w:pPr>
                    <w:jc w:val="center"/>
                    <w:rPr>
                      <w:b/>
                      <w:bCs/>
                      <w:color w:val="auto"/>
                      <w:sz w:val="21"/>
                      <w:szCs w:val="21"/>
                    </w:rPr>
                  </w:pPr>
                  <w:r>
                    <w:rPr>
                      <w:b/>
                      <w:bCs/>
                      <w:color w:val="auto"/>
                      <w:sz w:val="21"/>
                      <w:szCs w:val="21"/>
                    </w:rPr>
                    <w:t>排放口地理坐标</w:t>
                  </w:r>
                </w:p>
              </w:tc>
              <w:tc>
                <w:tcPr>
                  <w:tcW w:w="912" w:type="dxa"/>
                  <w:vMerge w:val="restart"/>
                  <w:noWrap w:val="0"/>
                  <w:vAlign w:val="center"/>
                </w:tcPr>
                <w:p>
                  <w:pPr>
                    <w:jc w:val="center"/>
                    <w:rPr>
                      <w:b/>
                      <w:bCs/>
                      <w:color w:val="auto"/>
                      <w:sz w:val="21"/>
                      <w:szCs w:val="21"/>
                    </w:rPr>
                  </w:pPr>
                  <w:r>
                    <w:rPr>
                      <w:b/>
                      <w:bCs/>
                      <w:color w:val="auto"/>
                      <w:sz w:val="21"/>
                      <w:szCs w:val="21"/>
                    </w:rPr>
                    <w:t>废水排放量（t/a）</w:t>
                  </w:r>
                </w:p>
              </w:tc>
              <w:tc>
                <w:tcPr>
                  <w:tcW w:w="620" w:type="dxa"/>
                  <w:vMerge w:val="restart"/>
                  <w:noWrap w:val="0"/>
                  <w:vAlign w:val="center"/>
                </w:tcPr>
                <w:p>
                  <w:pPr>
                    <w:jc w:val="center"/>
                    <w:rPr>
                      <w:b/>
                      <w:bCs/>
                      <w:color w:val="auto"/>
                      <w:sz w:val="21"/>
                      <w:szCs w:val="21"/>
                    </w:rPr>
                  </w:pPr>
                  <w:r>
                    <w:rPr>
                      <w:b/>
                      <w:bCs/>
                      <w:color w:val="auto"/>
                      <w:sz w:val="21"/>
                      <w:szCs w:val="21"/>
                    </w:rPr>
                    <w:t>排放去向</w:t>
                  </w:r>
                </w:p>
              </w:tc>
              <w:tc>
                <w:tcPr>
                  <w:tcW w:w="520" w:type="dxa"/>
                  <w:vMerge w:val="restart"/>
                  <w:noWrap w:val="0"/>
                  <w:vAlign w:val="center"/>
                </w:tcPr>
                <w:p>
                  <w:pPr>
                    <w:jc w:val="center"/>
                    <w:rPr>
                      <w:b/>
                      <w:bCs/>
                      <w:color w:val="auto"/>
                      <w:sz w:val="21"/>
                      <w:szCs w:val="21"/>
                    </w:rPr>
                  </w:pPr>
                  <w:r>
                    <w:rPr>
                      <w:b/>
                      <w:bCs/>
                      <w:color w:val="auto"/>
                      <w:sz w:val="21"/>
                      <w:szCs w:val="21"/>
                    </w:rPr>
                    <w:t>排放</w:t>
                  </w:r>
                </w:p>
                <w:p>
                  <w:pPr>
                    <w:jc w:val="center"/>
                    <w:rPr>
                      <w:b/>
                      <w:bCs/>
                      <w:color w:val="auto"/>
                      <w:sz w:val="21"/>
                      <w:szCs w:val="21"/>
                    </w:rPr>
                  </w:pPr>
                  <w:r>
                    <w:rPr>
                      <w:b/>
                      <w:bCs/>
                      <w:color w:val="auto"/>
                      <w:sz w:val="21"/>
                      <w:szCs w:val="21"/>
                    </w:rPr>
                    <w:t>规律</w:t>
                  </w:r>
                </w:p>
              </w:tc>
              <w:tc>
                <w:tcPr>
                  <w:tcW w:w="2389" w:type="dxa"/>
                  <w:gridSpan w:val="3"/>
                  <w:tcBorders>
                    <w:right w:val="single" w:color="auto" w:sz="4" w:space="0"/>
                  </w:tcBorders>
                  <w:noWrap w:val="0"/>
                  <w:vAlign w:val="center"/>
                </w:tcPr>
                <w:p>
                  <w:pPr>
                    <w:jc w:val="center"/>
                    <w:rPr>
                      <w:b/>
                      <w:bCs/>
                      <w:color w:val="auto"/>
                      <w:sz w:val="21"/>
                      <w:szCs w:val="21"/>
                    </w:rPr>
                  </w:pPr>
                  <w:r>
                    <w:rPr>
                      <w:b/>
                      <w:bCs/>
                      <w:color w:val="auto"/>
                      <w:sz w:val="21"/>
                      <w:szCs w:val="21"/>
                    </w:rPr>
                    <w:t>受纳污水处理厂信息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426" w:type="dxa"/>
                  <w:vMerge w:val="continue"/>
                  <w:tcBorders>
                    <w:left w:val="single" w:color="auto" w:sz="4" w:space="0"/>
                  </w:tcBorders>
                  <w:noWrap w:val="0"/>
                  <w:vAlign w:val="center"/>
                </w:tcPr>
                <w:p>
                  <w:pPr>
                    <w:jc w:val="center"/>
                    <w:rPr>
                      <w:b/>
                      <w:bCs/>
                      <w:color w:val="auto"/>
                      <w:sz w:val="21"/>
                      <w:szCs w:val="21"/>
                    </w:rPr>
                  </w:pPr>
                </w:p>
              </w:tc>
              <w:tc>
                <w:tcPr>
                  <w:tcW w:w="708" w:type="dxa"/>
                  <w:vMerge w:val="continue"/>
                  <w:noWrap w:val="0"/>
                  <w:vAlign w:val="top"/>
                </w:tcPr>
                <w:p>
                  <w:pPr>
                    <w:jc w:val="center"/>
                    <w:rPr>
                      <w:b/>
                      <w:bCs/>
                      <w:color w:val="auto"/>
                      <w:sz w:val="21"/>
                      <w:szCs w:val="21"/>
                    </w:rPr>
                  </w:pPr>
                </w:p>
              </w:tc>
              <w:tc>
                <w:tcPr>
                  <w:tcW w:w="735" w:type="dxa"/>
                  <w:vMerge w:val="continue"/>
                  <w:noWrap w:val="0"/>
                  <w:vAlign w:val="top"/>
                </w:tcPr>
                <w:p>
                  <w:pPr>
                    <w:jc w:val="center"/>
                    <w:rPr>
                      <w:b/>
                      <w:bCs/>
                      <w:color w:val="auto"/>
                      <w:sz w:val="21"/>
                      <w:szCs w:val="21"/>
                    </w:rPr>
                  </w:pPr>
                </w:p>
              </w:tc>
              <w:tc>
                <w:tcPr>
                  <w:tcW w:w="1638" w:type="dxa"/>
                  <w:vMerge w:val="continue"/>
                  <w:noWrap w:val="0"/>
                  <w:vAlign w:val="top"/>
                </w:tcPr>
                <w:p>
                  <w:pPr>
                    <w:jc w:val="center"/>
                    <w:rPr>
                      <w:b/>
                      <w:bCs/>
                      <w:color w:val="auto"/>
                      <w:sz w:val="21"/>
                      <w:szCs w:val="21"/>
                    </w:rPr>
                  </w:pPr>
                </w:p>
              </w:tc>
              <w:tc>
                <w:tcPr>
                  <w:tcW w:w="912" w:type="dxa"/>
                  <w:vMerge w:val="continue"/>
                  <w:noWrap w:val="0"/>
                  <w:vAlign w:val="center"/>
                </w:tcPr>
                <w:p>
                  <w:pPr>
                    <w:jc w:val="center"/>
                    <w:rPr>
                      <w:b/>
                      <w:bCs/>
                      <w:color w:val="auto"/>
                      <w:sz w:val="21"/>
                      <w:szCs w:val="21"/>
                    </w:rPr>
                  </w:pPr>
                </w:p>
              </w:tc>
              <w:tc>
                <w:tcPr>
                  <w:tcW w:w="620" w:type="dxa"/>
                  <w:vMerge w:val="continue"/>
                  <w:noWrap w:val="0"/>
                  <w:vAlign w:val="center"/>
                </w:tcPr>
                <w:p>
                  <w:pPr>
                    <w:jc w:val="center"/>
                    <w:rPr>
                      <w:b/>
                      <w:bCs/>
                      <w:color w:val="auto"/>
                      <w:sz w:val="21"/>
                      <w:szCs w:val="21"/>
                    </w:rPr>
                  </w:pPr>
                </w:p>
              </w:tc>
              <w:tc>
                <w:tcPr>
                  <w:tcW w:w="520" w:type="dxa"/>
                  <w:vMerge w:val="continue"/>
                  <w:noWrap w:val="0"/>
                  <w:vAlign w:val="center"/>
                </w:tcPr>
                <w:p>
                  <w:pPr>
                    <w:jc w:val="center"/>
                    <w:rPr>
                      <w:b/>
                      <w:bCs/>
                      <w:color w:val="auto"/>
                      <w:sz w:val="21"/>
                      <w:szCs w:val="21"/>
                    </w:rPr>
                  </w:pPr>
                </w:p>
              </w:tc>
              <w:tc>
                <w:tcPr>
                  <w:tcW w:w="546" w:type="dxa"/>
                  <w:noWrap w:val="0"/>
                  <w:vAlign w:val="center"/>
                </w:tcPr>
                <w:p>
                  <w:pPr>
                    <w:jc w:val="center"/>
                    <w:rPr>
                      <w:b/>
                      <w:bCs/>
                      <w:color w:val="auto"/>
                      <w:sz w:val="21"/>
                      <w:szCs w:val="21"/>
                    </w:rPr>
                  </w:pPr>
                  <w:r>
                    <w:rPr>
                      <w:b/>
                      <w:bCs/>
                      <w:color w:val="auto"/>
                      <w:sz w:val="21"/>
                      <w:szCs w:val="21"/>
                    </w:rPr>
                    <w:t>名称</w:t>
                  </w:r>
                </w:p>
              </w:tc>
              <w:tc>
                <w:tcPr>
                  <w:tcW w:w="854" w:type="dxa"/>
                  <w:noWrap w:val="0"/>
                  <w:vAlign w:val="center"/>
                </w:tcPr>
                <w:p>
                  <w:pPr>
                    <w:jc w:val="center"/>
                    <w:rPr>
                      <w:b/>
                      <w:bCs/>
                      <w:color w:val="auto"/>
                      <w:sz w:val="21"/>
                      <w:szCs w:val="21"/>
                    </w:rPr>
                  </w:pPr>
                  <w:r>
                    <w:rPr>
                      <w:b/>
                      <w:bCs/>
                      <w:color w:val="auto"/>
                      <w:sz w:val="21"/>
                      <w:szCs w:val="21"/>
                    </w:rPr>
                    <w:t>污染物种类</w:t>
                  </w:r>
                </w:p>
              </w:tc>
              <w:tc>
                <w:tcPr>
                  <w:tcW w:w="989" w:type="dxa"/>
                  <w:tcBorders>
                    <w:right w:val="single" w:color="auto" w:sz="4" w:space="0"/>
                  </w:tcBorders>
                  <w:noWrap w:val="0"/>
                  <w:vAlign w:val="center"/>
                </w:tcPr>
                <w:p>
                  <w:pPr>
                    <w:jc w:val="center"/>
                    <w:rPr>
                      <w:b/>
                      <w:bCs/>
                      <w:color w:val="auto"/>
                      <w:sz w:val="21"/>
                      <w:szCs w:val="21"/>
                    </w:rPr>
                  </w:pPr>
                  <w:r>
                    <w:rPr>
                      <w:b/>
                      <w:bCs/>
                      <w:color w:val="auto"/>
                      <w:sz w:val="21"/>
                      <w:szCs w:val="21"/>
                    </w:rPr>
                    <w:t>排放标准浓度限值（mg/L）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426" w:type="dxa"/>
                  <w:vMerge w:val="restart"/>
                  <w:tcBorders>
                    <w:left w:val="single" w:color="auto" w:sz="4" w:space="0"/>
                  </w:tcBorders>
                  <w:noWrap w:val="0"/>
                  <w:vAlign w:val="center"/>
                </w:tcPr>
                <w:p>
                  <w:pPr>
                    <w:jc w:val="center"/>
                    <w:rPr>
                      <w:color w:val="auto"/>
                      <w:sz w:val="21"/>
                      <w:szCs w:val="21"/>
                    </w:rPr>
                  </w:pPr>
                  <w:r>
                    <w:rPr>
                      <w:color w:val="auto"/>
                      <w:sz w:val="21"/>
                      <w:szCs w:val="21"/>
                    </w:rPr>
                    <w:t>1</w:t>
                  </w:r>
                </w:p>
              </w:tc>
              <w:tc>
                <w:tcPr>
                  <w:tcW w:w="708" w:type="dxa"/>
                  <w:vMerge w:val="restart"/>
                  <w:noWrap w:val="0"/>
                  <w:vAlign w:val="center"/>
                </w:tcPr>
                <w:p>
                  <w:pPr>
                    <w:jc w:val="center"/>
                    <w:rPr>
                      <w:color w:val="auto"/>
                      <w:sz w:val="21"/>
                      <w:szCs w:val="21"/>
                    </w:rPr>
                  </w:pPr>
                  <w:r>
                    <w:rPr>
                      <w:rFonts w:hint="eastAsia"/>
                      <w:bCs/>
                      <w:color w:val="auto"/>
                      <w:sz w:val="21"/>
                      <w:szCs w:val="21"/>
                    </w:rPr>
                    <w:t>废水排口</w:t>
                  </w:r>
                </w:p>
              </w:tc>
              <w:tc>
                <w:tcPr>
                  <w:tcW w:w="735" w:type="dxa"/>
                  <w:vMerge w:val="restart"/>
                  <w:noWrap w:val="0"/>
                  <w:vAlign w:val="center"/>
                </w:tcPr>
                <w:p>
                  <w:pPr>
                    <w:jc w:val="center"/>
                    <w:rPr>
                      <w:color w:val="auto"/>
                      <w:sz w:val="21"/>
                      <w:szCs w:val="21"/>
                    </w:rPr>
                  </w:pPr>
                  <w:r>
                    <w:rPr>
                      <w:color w:val="auto"/>
                      <w:sz w:val="21"/>
                      <w:szCs w:val="21"/>
                    </w:rPr>
                    <w:t>一般排放口</w:t>
                  </w:r>
                </w:p>
              </w:tc>
              <w:tc>
                <w:tcPr>
                  <w:tcW w:w="1638" w:type="dxa"/>
                  <w:vMerge w:val="restart"/>
                  <w:noWrap w:val="0"/>
                  <w:vAlign w:val="center"/>
                </w:tcPr>
                <w:p>
                  <w:pPr>
                    <w:jc w:val="center"/>
                    <w:rPr>
                      <w:color w:val="auto"/>
                      <w:sz w:val="21"/>
                      <w:szCs w:val="21"/>
                    </w:rPr>
                  </w:pPr>
                  <w:r>
                    <w:rPr>
                      <w:rFonts w:hint="eastAsia"/>
                      <w:bCs/>
                      <w:color w:val="auto"/>
                      <w:kern w:val="0"/>
                      <w:sz w:val="21"/>
                      <w:szCs w:val="21"/>
                      <w:lang w:bidi="ar"/>
                    </w:rPr>
                    <w:t>105°41′31.68893″；30°27′47.78343″</w:t>
                  </w:r>
                </w:p>
              </w:tc>
              <w:tc>
                <w:tcPr>
                  <w:tcW w:w="912" w:type="dxa"/>
                  <w:vMerge w:val="restart"/>
                  <w:noWrap w:val="0"/>
                  <w:vAlign w:val="center"/>
                </w:tcPr>
                <w:p>
                  <w:pPr>
                    <w:jc w:val="center"/>
                    <w:rPr>
                      <w:color w:val="auto"/>
                      <w:sz w:val="21"/>
                      <w:szCs w:val="21"/>
                    </w:rPr>
                  </w:pPr>
                  <w:r>
                    <w:rPr>
                      <w:rFonts w:hint="eastAsia" w:ascii="Times New Roman" w:hAnsi="Times New Roman"/>
                      <w:color w:val="auto"/>
                      <w:sz w:val="21"/>
                      <w:szCs w:val="21"/>
                      <w:lang w:val="en-US" w:eastAsia="zh-CN"/>
                    </w:rPr>
                    <w:t>456.8</w:t>
                  </w:r>
                  <w:r>
                    <w:rPr>
                      <w:bCs/>
                      <w:color w:val="auto"/>
                      <w:sz w:val="21"/>
                      <w:szCs w:val="21"/>
                    </w:rPr>
                    <w:t>m</w:t>
                  </w:r>
                  <w:r>
                    <w:rPr>
                      <w:bCs/>
                      <w:color w:val="auto"/>
                      <w:sz w:val="21"/>
                      <w:szCs w:val="21"/>
                      <w:vertAlign w:val="superscript"/>
                    </w:rPr>
                    <w:t>3</w:t>
                  </w:r>
                  <w:r>
                    <w:rPr>
                      <w:bCs/>
                      <w:color w:val="auto"/>
                      <w:sz w:val="21"/>
                      <w:szCs w:val="21"/>
                    </w:rPr>
                    <w:t>/a</w:t>
                  </w:r>
                </w:p>
              </w:tc>
              <w:tc>
                <w:tcPr>
                  <w:tcW w:w="620" w:type="dxa"/>
                  <w:vMerge w:val="restart"/>
                  <w:noWrap w:val="0"/>
                  <w:vAlign w:val="center"/>
                </w:tcPr>
                <w:p>
                  <w:pPr>
                    <w:keepNext w:val="0"/>
                    <w:keepLines w:val="0"/>
                    <w:widowControl/>
                    <w:suppressLineNumbers w:val="0"/>
                    <w:jc w:val="center"/>
                    <w:rPr>
                      <w:rFonts w:hint="eastAsia"/>
                      <w:color w:val="auto"/>
                      <w:sz w:val="21"/>
                      <w:szCs w:val="21"/>
                    </w:rPr>
                  </w:pPr>
                  <w:r>
                    <w:rPr>
                      <w:color w:val="auto"/>
                      <w:kern w:val="0"/>
                      <w:sz w:val="21"/>
                      <w:szCs w:val="21"/>
                      <w:lang w:bidi="ar"/>
                    </w:rPr>
                    <w:t>进入</w:t>
                  </w:r>
                  <w:r>
                    <w:rPr>
                      <w:rFonts w:hint="eastAsia" w:ascii="Times New Roman" w:hAnsi="Times New Roman" w:eastAsia="宋体" w:cs="Times New Roman"/>
                      <w:color w:val="auto"/>
                      <w:sz w:val="21"/>
                      <w:szCs w:val="21"/>
                      <w:lang w:eastAsia="zh-CN"/>
                    </w:rPr>
                    <w:t>遂宁金桥新区城市污水处理厂</w:t>
                  </w:r>
                </w:p>
              </w:tc>
              <w:tc>
                <w:tcPr>
                  <w:tcW w:w="520" w:type="dxa"/>
                  <w:vMerge w:val="restart"/>
                  <w:noWrap w:val="0"/>
                  <w:vAlign w:val="center"/>
                </w:tcPr>
                <w:p>
                  <w:pPr>
                    <w:jc w:val="center"/>
                    <w:rPr>
                      <w:color w:val="auto"/>
                      <w:sz w:val="21"/>
                      <w:szCs w:val="21"/>
                    </w:rPr>
                  </w:pPr>
                  <w:r>
                    <w:rPr>
                      <w:color w:val="auto"/>
                      <w:sz w:val="21"/>
                      <w:szCs w:val="21"/>
                    </w:rPr>
                    <w:t>间接</w:t>
                  </w:r>
                </w:p>
                <w:p>
                  <w:pPr>
                    <w:jc w:val="center"/>
                    <w:rPr>
                      <w:color w:val="auto"/>
                      <w:sz w:val="21"/>
                      <w:szCs w:val="21"/>
                    </w:rPr>
                  </w:pPr>
                  <w:r>
                    <w:rPr>
                      <w:color w:val="auto"/>
                      <w:sz w:val="21"/>
                      <w:szCs w:val="21"/>
                    </w:rPr>
                    <w:t>排放</w:t>
                  </w:r>
                </w:p>
              </w:tc>
              <w:tc>
                <w:tcPr>
                  <w:tcW w:w="546" w:type="dxa"/>
                  <w:vMerge w:val="restart"/>
                  <w:noWrap w:val="0"/>
                  <w:vAlign w:val="center"/>
                </w:tcPr>
                <w:p>
                  <w:pPr>
                    <w:jc w:val="center"/>
                    <w:rPr>
                      <w:rFonts w:hint="eastAsia"/>
                      <w:color w:val="auto"/>
                      <w:sz w:val="21"/>
                      <w:szCs w:val="21"/>
                    </w:rPr>
                  </w:pPr>
                  <w:r>
                    <w:rPr>
                      <w:rFonts w:hint="default" w:ascii="Times New Roman" w:hAnsi="Times New Roman" w:eastAsia="宋体" w:cs="Times New Roman"/>
                      <w:color w:val="auto"/>
                      <w:sz w:val="21"/>
                      <w:szCs w:val="21"/>
                    </w:rPr>
                    <w:t>涪江</w:t>
                  </w:r>
                </w:p>
              </w:tc>
              <w:tc>
                <w:tcPr>
                  <w:tcW w:w="854" w:type="dxa"/>
                  <w:noWrap w:val="0"/>
                  <w:vAlign w:val="center"/>
                </w:tcPr>
                <w:p>
                  <w:pPr>
                    <w:jc w:val="center"/>
                    <w:rPr>
                      <w:color w:val="auto"/>
                      <w:sz w:val="21"/>
                      <w:szCs w:val="21"/>
                    </w:rPr>
                  </w:pPr>
                  <w:r>
                    <w:rPr>
                      <w:color w:val="auto"/>
                      <w:sz w:val="21"/>
                      <w:szCs w:val="21"/>
                    </w:rPr>
                    <w:t>COD</w:t>
                  </w:r>
                </w:p>
              </w:tc>
              <w:tc>
                <w:tcPr>
                  <w:tcW w:w="989" w:type="dxa"/>
                  <w:tcBorders>
                    <w:right w:val="single" w:color="auto" w:sz="4" w:space="0"/>
                  </w:tcBorders>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426" w:type="dxa"/>
                  <w:vMerge w:val="continue"/>
                  <w:tcBorders>
                    <w:left w:val="single" w:color="auto" w:sz="4" w:space="0"/>
                  </w:tcBorders>
                  <w:noWrap w:val="0"/>
                  <w:vAlign w:val="center"/>
                </w:tcPr>
                <w:p>
                  <w:pPr>
                    <w:jc w:val="center"/>
                    <w:rPr>
                      <w:color w:val="auto"/>
                      <w:sz w:val="21"/>
                      <w:szCs w:val="21"/>
                    </w:rPr>
                  </w:pPr>
                </w:p>
              </w:tc>
              <w:tc>
                <w:tcPr>
                  <w:tcW w:w="708" w:type="dxa"/>
                  <w:vMerge w:val="continue"/>
                  <w:noWrap w:val="0"/>
                  <w:vAlign w:val="top"/>
                </w:tcPr>
                <w:p>
                  <w:pPr>
                    <w:jc w:val="center"/>
                    <w:rPr>
                      <w:color w:val="auto"/>
                      <w:sz w:val="21"/>
                      <w:szCs w:val="21"/>
                    </w:rPr>
                  </w:pPr>
                </w:p>
              </w:tc>
              <w:tc>
                <w:tcPr>
                  <w:tcW w:w="735" w:type="dxa"/>
                  <w:vMerge w:val="continue"/>
                  <w:noWrap w:val="0"/>
                  <w:vAlign w:val="top"/>
                </w:tcPr>
                <w:p>
                  <w:pPr>
                    <w:jc w:val="center"/>
                    <w:rPr>
                      <w:color w:val="auto"/>
                      <w:sz w:val="21"/>
                      <w:szCs w:val="21"/>
                    </w:rPr>
                  </w:pPr>
                </w:p>
              </w:tc>
              <w:tc>
                <w:tcPr>
                  <w:tcW w:w="1638" w:type="dxa"/>
                  <w:vMerge w:val="continue"/>
                  <w:noWrap w:val="0"/>
                  <w:vAlign w:val="top"/>
                </w:tcPr>
                <w:p>
                  <w:pPr>
                    <w:jc w:val="center"/>
                    <w:rPr>
                      <w:color w:val="auto"/>
                      <w:sz w:val="21"/>
                      <w:szCs w:val="21"/>
                    </w:rPr>
                  </w:pPr>
                </w:p>
              </w:tc>
              <w:tc>
                <w:tcPr>
                  <w:tcW w:w="912" w:type="dxa"/>
                  <w:vMerge w:val="continue"/>
                  <w:noWrap w:val="0"/>
                  <w:vAlign w:val="center"/>
                </w:tcPr>
                <w:p>
                  <w:pPr>
                    <w:jc w:val="center"/>
                    <w:rPr>
                      <w:color w:val="auto"/>
                      <w:sz w:val="21"/>
                      <w:szCs w:val="21"/>
                    </w:rPr>
                  </w:pPr>
                </w:p>
              </w:tc>
              <w:tc>
                <w:tcPr>
                  <w:tcW w:w="620" w:type="dxa"/>
                  <w:vMerge w:val="continue"/>
                  <w:noWrap w:val="0"/>
                  <w:vAlign w:val="center"/>
                </w:tcPr>
                <w:p>
                  <w:pPr>
                    <w:jc w:val="center"/>
                    <w:rPr>
                      <w:color w:val="auto"/>
                      <w:sz w:val="21"/>
                      <w:szCs w:val="21"/>
                    </w:rPr>
                  </w:pPr>
                </w:p>
              </w:tc>
              <w:tc>
                <w:tcPr>
                  <w:tcW w:w="520" w:type="dxa"/>
                  <w:vMerge w:val="continue"/>
                  <w:noWrap w:val="0"/>
                  <w:vAlign w:val="center"/>
                </w:tcPr>
                <w:p>
                  <w:pPr>
                    <w:jc w:val="center"/>
                    <w:rPr>
                      <w:color w:val="auto"/>
                      <w:sz w:val="21"/>
                      <w:szCs w:val="21"/>
                    </w:rPr>
                  </w:pPr>
                </w:p>
              </w:tc>
              <w:tc>
                <w:tcPr>
                  <w:tcW w:w="546" w:type="dxa"/>
                  <w:vMerge w:val="continue"/>
                  <w:noWrap w:val="0"/>
                  <w:vAlign w:val="center"/>
                </w:tcPr>
                <w:p>
                  <w:pPr>
                    <w:jc w:val="center"/>
                    <w:rPr>
                      <w:color w:val="auto"/>
                      <w:sz w:val="21"/>
                      <w:szCs w:val="21"/>
                    </w:rPr>
                  </w:pPr>
                </w:p>
              </w:tc>
              <w:tc>
                <w:tcPr>
                  <w:tcW w:w="854" w:type="dxa"/>
                  <w:noWrap w:val="0"/>
                  <w:vAlign w:val="center"/>
                </w:tcPr>
                <w:p>
                  <w:pPr>
                    <w:jc w:val="center"/>
                    <w:rPr>
                      <w:color w:val="auto"/>
                      <w:sz w:val="21"/>
                      <w:szCs w:val="21"/>
                    </w:rPr>
                  </w:pPr>
                  <w:r>
                    <w:rPr>
                      <w:color w:val="auto"/>
                      <w:sz w:val="21"/>
                      <w:szCs w:val="21"/>
                    </w:rPr>
                    <w:t>BOD</w:t>
                  </w:r>
                  <w:r>
                    <w:rPr>
                      <w:color w:val="auto"/>
                      <w:sz w:val="21"/>
                      <w:szCs w:val="21"/>
                      <w:vertAlign w:val="subscript"/>
                    </w:rPr>
                    <w:t>5</w:t>
                  </w:r>
                </w:p>
              </w:tc>
              <w:tc>
                <w:tcPr>
                  <w:tcW w:w="989" w:type="dxa"/>
                  <w:tcBorders>
                    <w:right w:val="single" w:color="auto" w:sz="4" w:space="0"/>
                  </w:tcBorders>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426" w:type="dxa"/>
                  <w:vMerge w:val="continue"/>
                  <w:tcBorders>
                    <w:left w:val="single" w:color="auto" w:sz="4" w:space="0"/>
                  </w:tcBorders>
                  <w:noWrap w:val="0"/>
                  <w:vAlign w:val="center"/>
                </w:tcPr>
                <w:p>
                  <w:pPr>
                    <w:jc w:val="center"/>
                    <w:rPr>
                      <w:color w:val="auto"/>
                      <w:sz w:val="21"/>
                      <w:szCs w:val="21"/>
                    </w:rPr>
                  </w:pPr>
                </w:p>
              </w:tc>
              <w:tc>
                <w:tcPr>
                  <w:tcW w:w="708" w:type="dxa"/>
                  <w:vMerge w:val="continue"/>
                  <w:noWrap w:val="0"/>
                  <w:vAlign w:val="top"/>
                </w:tcPr>
                <w:p>
                  <w:pPr>
                    <w:jc w:val="center"/>
                    <w:rPr>
                      <w:color w:val="auto"/>
                      <w:sz w:val="21"/>
                      <w:szCs w:val="21"/>
                    </w:rPr>
                  </w:pPr>
                </w:p>
              </w:tc>
              <w:tc>
                <w:tcPr>
                  <w:tcW w:w="735" w:type="dxa"/>
                  <w:vMerge w:val="continue"/>
                  <w:noWrap w:val="0"/>
                  <w:vAlign w:val="top"/>
                </w:tcPr>
                <w:p>
                  <w:pPr>
                    <w:jc w:val="center"/>
                    <w:rPr>
                      <w:color w:val="auto"/>
                      <w:sz w:val="21"/>
                      <w:szCs w:val="21"/>
                    </w:rPr>
                  </w:pPr>
                </w:p>
              </w:tc>
              <w:tc>
                <w:tcPr>
                  <w:tcW w:w="1638" w:type="dxa"/>
                  <w:vMerge w:val="continue"/>
                  <w:noWrap w:val="0"/>
                  <w:vAlign w:val="top"/>
                </w:tcPr>
                <w:p>
                  <w:pPr>
                    <w:jc w:val="center"/>
                    <w:rPr>
                      <w:color w:val="auto"/>
                      <w:sz w:val="21"/>
                      <w:szCs w:val="21"/>
                    </w:rPr>
                  </w:pPr>
                </w:p>
              </w:tc>
              <w:tc>
                <w:tcPr>
                  <w:tcW w:w="912" w:type="dxa"/>
                  <w:vMerge w:val="continue"/>
                  <w:noWrap w:val="0"/>
                  <w:vAlign w:val="center"/>
                </w:tcPr>
                <w:p>
                  <w:pPr>
                    <w:jc w:val="center"/>
                    <w:rPr>
                      <w:color w:val="auto"/>
                      <w:sz w:val="21"/>
                      <w:szCs w:val="21"/>
                    </w:rPr>
                  </w:pPr>
                </w:p>
              </w:tc>
              <w:tc>
                <w:tcPr>
                  <w:tcW w:w="620" w:type="dxa"/>
                  <w:vMerge w:val="continue"/>
                  <w:noWrap w:val="0"/>
                  <w:vAlign w:val="center"/>
                </w:tcPr>
                <w:p>
                  <w:pPr>
                    <w:jc w:val="center"/>
                    <w:rPr>
                      <w:color w:val="auto"/>
                      <w:sz w:val="21"/>
                      <w:szCs w:val="21"/>
                    </w:rPr>
                  </w:pPr>
                </w:p>
              </w:tc>
              <w:tc>
                <w:tcPr>
                  <w:tcW w:w="520" w:type="dxa"/>
                  <w:vMerge w:val="continue"/>
                  <w:noWrap w:val="0"/>
                  <w:vAlign w:val="center"/>
                </w:tcPr>
                <w:p>
                  <w:pPr>
                    <w:jc w:val="center"/>
                    <w:rPr>
                      <w:color w:val="auto"/>
                      <w:sz w:val="21"/>
                      <w:szCs w:val="21"/>
                    </w:rPr>
                  </w:pPr>
                </w:p>
              </w:tc>
              <w:tc>
                <w:tcPr>
                  <w:tcW w:w="546" w:type="dxa"/>
                  <w:vMerge w:val="continue"/>
                  <w:noWrap w:val="0"/>
                  <w:vAlign w:val="center"/>
                </w:tcPr>
                <w:p>
                  <w:pPr>
                    <w:jc w:val="center"/>
                    <w:rPr>
                      <w:color w:val="auto"/>
                      <w:sz w:val="21"/>
                      <w:szCs w:val="21"/>
                    </w:rPr>
                  </w:pPr>
                </w:p>
              </w:tc>
              <w:tc>
                <w:tcPr>
                  <w:tcW w:w="854" w:type="dxa"/>
                  <w:noWrap w:val="0"/>
                  <w:vAlign w:val="center"/>
                </w:tcPr>
                <w:p>
                  <w:pPr>
                    <w:jc w:val="center"/>
                    <w:rPr>
                      <w:color w:val="auto"/>
                      <w:sz w:val="21"/>
                      <w:szCs w:val="21"/>
                    </w:rPr>
                  </w:pPr>
                  <w:r>
                    <w:rPr>
                      <w:color w:val="auto"/>
                      <w:sz w:val="21"/>
                      <w:szCs w:val="21"/>
                    </w:rPr>
                    <w:t>SS</w:t>
                  </w:r>
                </w:p>
              </w:tc>
              <w:tc>
                <w:tcPr>
                  <w:tcW w:w="989" w:type="dxa"/>
                  <w:tcBorders>
                    <w:right w:val="single" w:color="auto" w:sz="4" w:space="0"/>
                  </w:tcBorders>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426" w:type="dxa"/>
                  <w:vMerge w:val="continue"/>
                  <w:tcBorders>
                    <w:left w:val="single" w:color="auto" w:sz="4" w:space="0"/>
                  </w:tcBorders>
                  <w:noWrap w:val="0"/>
                  <w:vAlign w:val="center"/>
                </w:tcPr>
                <w:p>
                  <w:pPr>
                    <w:jc w:val="center"/>
                    <w:rPr>
                      <w:color w:val="auto"/>
                      <w:sz w:val="21"/>
                      <w:szCs w:val="21"/>
                    </w:rPr>
                  </w:pPr>
                </w:p>
              </w:tc>
              <w:tc>
                <w:tcPr>
                  <w:tcW w:w="708" w:type="dxa"/>
                  <w:vMerge w:val="continue"/>
                  <w:noWrap w:val="0"/>
                  <w:vAlign w:val="top"/>
                </w:tcPr>
                <w:p>
                  <w:pPr>
                    <w:jc w:val="center"/>
                    <w:rPr>
                      <w:color w:val="auto"/>
                      <w:sz w:val="21"/>
                      <w:szCs w:val="21"/>
                    </w:rPr>
                  </w:pPr>
                </w:p>
              </w:tc>
              <w:tc>
                <w:tcPr>
                  <w:tcW w:w="735" w:type="dxa"/>
                  <w:vMerge w:val="continue"/>
                  <w:noWrap w:val="0"/>
                  <w:vAlign w:val="top"/>
                </w:tcPr>
                <w:p>
                  <w:pPr>
                    <w:jc w:val="center"/>
                    <w:rPr>
                      <w:color w:val="auto"/>
                      <w:sz w:val="21"/>
                      <w:szCs w:val="21"/>
                    </w:rPr>
                  </w:pPr>
                </w:p>
              </w:tc>
              <w:tc>
                <w:tcPr>
                  <w:tcW w:w="1638" w:type="dxa"/>
                  <w:vMerge w:val="continue"/>
                  <w:noWrap w:val="0"/>
                  <w:vAlign w:val="top"/>
                </w:tcPr>
                <w:p>
                  <w:pPr>
                    <w:jc w:val="center"/>
                    <w:rPr>
                      <w:color w:val="auto"/>
                      <w:sz w:val="21"/>
                      <w:szCs w:val="21"/>
                    </w:rPr>
                  </w:pPr>
                </w:p>
              </w:tc>
              <w:tc>
                <w:tcPr>
                  <w:tcW w:w="912" w:type="dxa"/>
                  <w:vMerge w:val="continue"/>
                  <w:noWrap w:val="0"/>
                  <w:vAlign w:val="center"/>
                </w:tcPr>
                <w:p>
                  <w:pPr>
                    <w:jc w:val="center"/>
                    <w:rPr>
                      <w:color w:val="auto"/>
                      <w:sz w:val="21"/>
                      <w:szCs w:val="21"/>
                    </w:rPr>
                  </w:pPr>
                </w:p>
              </w:tc>
              <w:tc>
                <w:tcPr>
                  <w:tcW w:w="620" w:type="dxa"/>
                  <w:vMerge w:val="continue"/>
                  <w:noWrap w:val="0"/>
                  <w:vAlign w:val="center"/>
                </w:tcPr>
                <w:p>
                  <w:pPr>
                    <w:jc w:val="center"/>
                    <w:rPr>
                      <w:color w:val="auto"/>
                      <w:sz w:val="21"/>
                      <w:szCs w:val="21"/>
                    </w:rPr>
                  </w:pPr>
                </w:p>
              </w:tc>
              <w:tc>
                <w:tcPr>
                  <w:tcW w:w="520" w:type="dxa"/>
                  <w:vMerge w:val="continue"/>
                  <w:noWrap w:val="0"/>
                  <w:vAlign w:val="center"/>
                </w:tcPr>
                <w:p>
                  <w:pPr>
                    <w:jc w:val="center"/>
                    <w:rPr>
                      <w:color w:val="auto"/>
                      <w:sz w:val="21"/>
                      <w:szCs w:val="21"/>
                    </w:rPr>
                  </w:pPr>
                </w:p>
              </w:tc>
              <w:tc>
                <w:tcPr>
                  <w:tcW w:w="546" w:type="dxa"/>
                  <w:vMerge w:val="continue"/>
                  <w:noWrap w:val="0"/>
                  <w:vAlign w:val="center"/>
                </w:tcPr>
                <w:p>
                  <w:pPr>
                    <w:jc w:val="center"/>
                    <w:rPr>
                      <w:color w:val="auto"/>
                      <w:sz w:val="21"/>
                      <w:szCs w:val="21"/>
                    </w:rPr>
                  </w:pPr>
                </w:p>
              </w:tc>
              <w:tc>
                <w:tcPr>
                  <w:tcW w:w="854" w:type="dxa"/>
                  <w:noWrap w:val="0"/>
                  <w:vAlign w:val="center"/>
                </w:tcPr>
                <w:p>
                  <w:pPr>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989" w:type="dxa"/>
                  <w:tcBorders>
                    <w:right w:val="single" w:color="auto" w:sz="4" w:space="0"/>
                  </w:tcBorders>
                  <w:noWrap w:val="0"/>
                  <w:vAlign w:val="center"/>
                </w:tcPr>
                <w:p>
                  <w:pPr>
                    <w:jc w:val="center"/>
                    <w:rPr>
                      <w:rFonts w:hint="eastAsia" w:eastAsia="宋体"/>
                      <w:color w:val="auto"/>
                      <w:sz w:val="21"/>
                      <w:szCs w:val="21"/>
                      <w:lang w:eastAsia="zh-CN"/>
                    </w:rPr>
                  </w:pPr>
                  <w:r>
                    <w:rPr>
                      <w:rFonts w:hint="eastAsia"/>
                      <w:color w:val="auto"/>
                      <w:sz w:val="21"/>
                      <w:szCs w:val="21"/>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426" w:type="dxa"/>
                  <w:vMerge w:val="continue"/>
                  <w:tcBorders>
                    <w:left w:val="single" w:color="auto" w:sz="4" w:space="0"/>
                  </w:tcBorders>
                  <w:noWrap w:val="0"/>
                  <w:vAlign w:val="center"/>
                </w:tcPr>
                <w:p>
                  <w:pPr>
                    <w:jc w:val="center"/>
                    <w:rPr>
                      <w:color w:val="auto"/>
                      <w:sz w:val="21"/>
                      <w:szCs w:val="21"/>
                    </w:rPr>
                  </w:pPr>
                </w:p>
              </w:tc>
              <w:tc>
                <w:tcPr>
                  <w:tcW w:w="708" w:type="dxa"/>
                  <w:vMerge w:val="continue"/>
                  <w:noWrap w:val="0"/>
                  <w:vAlign w:val="top"/>
                </w:tcPr>
                <w:p>
                  <w:pPr>
                    <w:jc w:val="center"/>
                    <w:rPr>
                      <w:color w:val="auto"/>
                      <w:sz w:val="21"/>
                      <w:szCs w:val="21"/>
                    </w:rPr>
                  </w:pPr>
                </w:p>
              </w:tc>
              <w:tc>
                <w:tcPr>
                  <w:tcW w:w="735" w:type="dxa"/>
                  <w:vMerge w:val="continue"/>
                  <w:noWrap w:val="0"/>
                  <w:vAlign w:val="top"/>
                </w:tcPr>
                <w:p>
                  <w:pPr>
                    <w:jc w:val="center"/>
                    <w:rPr>
                      <w:color w:val="auto"/>
                      <w:sz w:val="21"/>
                      <w:szCs w:val="21"/>
                    </w:rPr>
                  </w:pPr>
                </w:p>
              </w:tc>
              <w:tc>
                <w:tcPr>
                  <w:tcW w:w="1638" w:type="dxa"/>
                  <w:vMerge w:val="continue"/>
                  <w:noWrap w:val="0"/>
                  <w:vAlign w:val="top"/>
                </w:tcPr>
                <w:p>
                  <w:pPr>
                    <w:jc w:val="center"/>
                    <w:rPr>
                      <w:color w:val="auto"/>
                      <w:sz w:val="21"/>
                      <w:szCs w:val="21"/>
                    </w:rPr>
                  </w:pPr>
                </w:p>
              </w:tc>
              <w:tc>
                <w:tcPr>
                  <w:tcW w:w="912" w:type="dxa"/>
                  <w:vMerge w:val="continue"/>
                  <w:noWrap w:val="0"/>
                  <w:vAlign w:val="center"/>
                </w:tcPr>
                <w:p>
                  <w:pPr>
                    <w:jc w:val="center"/>
                    <w:rPr>
                      <w:color w:val="auto"/>
                      <w:sz w:val="21"/>
                      <w:szCs w:val="21"/>
                    </w:rPr>
                  </w:pPr>
                </w:p>
              </w:tc>
              <w:tc>
                <w:tcPr>
                  <w:tcW w:w="620" w:type="dxa"/>
                  <w:vMerge w:val="continue"/>
                  <w:noWrap w:val="0"/>
                  <w:vAlign w:val="center"/>
                </w:tcPr>
                <w:p>
                  <w:pPr>
                    <w:jc w:val="center"/>
                    <w:rPr>
                      <w:color w:val="auto"/>
                      <w:sz w:val="21"/>
                      <w:szCs w:val="21"/>
                    </w:rPr>
                  </w:pPr>
                </w:p>
              </w:tc>
              <w:tc>
                <w:tcPr>
                  <w:tcW w:w="520" w:type="dxa"/>
                  <w:vMerge w:val="continue"/>
                  <w:noWrap w:val="0"/>
                  <w:vAlign w:val="center"/>
                </w:tcPr>
                <w:p>
                  <w:pPr>
                    <w:jc w:val="center"/>
                    <w:rPr>
                      <w:color w:val="auto"/>
                      <w:sz w:val="21"/>
                      <w:szCs w:val="21"/>
                    </w:rPr>
                  </w:pPr>
                </w:p>
              </w:tc>
              <w:tc>
                <w:tcPr>
                  <w:tcW w:w="546" w:type="dxa"/>
                  <w:vMerge w:val="continue"/>
                  <w:noWrap w:val="0"/>
                  <w:vAlign w:val="center"/>
                </w:tcPr>
                <w:p>
                  <w:pPr>
                    <w:jc w:val="center"/>
                    <w:rPr>
                      <w:color w:val="auto"/>
                      <w:sz w:val="21"/>
                      <w:szCs w:val="21"/>
                    </w:rPr>
                  </w:pPr>
                </w:p>
              </w:tc>
              <w:tc>
                <w:tcPr>
                  <w:tcW w:w="854" w:type="dxa"/>
                  <w:noWrap w:val="0"/>
                  <w:vAlign w:val="center"/>
                </w:tcPr>
                <w:p>
                  <w:pPr>
                    <w:jc w:val="center"/>
                    <w:rPr>
                      <w:color w:val="auto"/>
                      <w:sz w:val="21"/>
                      <w:szCs w:val="21"/>
                    </w:rPr>
                  </w:pPr>
                  <w:r>
                    <w:rPr>
                      <w:color w:val="auto"/>
                      <w:sz w:val="21"/>
                      <w:szCs w:val="21"/>
                    </w:rPr>
                    <w:t>TP</w:t>
                  </w:r>
                </w:p>
              </w:tc>
              <w:tc>
                <w:tcPr>
                  <w:tcW w:w="989" w:type="dxa"/>
                  <w:tcBorders>
                    <w:right w:val="single" w:color="auto" w:sz="4" w:space="0"/>
                  </w:tcBorders>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0.5</w:t>
                  </w:r>
                </w:p>
              </w:tc>
            </w:tr>
          </w:tbl>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color w:val="auto"/>
                <w:kern w:val="0"/>
                <w:sz w:val="24"/>
                <w:szCs w:val="24"/>
                <w:lang w:val="en-US" w:bidi="ar"/>
              </w:rPr>
            </w:pPr>
            <w:r>
              <w:rPr>
                <w:rFonts w:hint="eastAsia" w:ascii="Times New Roman" w:hAnsi="Times New Roman" w:eastAsia="宋体" w:cs="Times New Roman"/>
                <w:b/>
                <w:color w:val="auto"/>
                <w:kern w:val="2"/>
                <w:sz w:val="24"/>
                <w:szCs w:val="24"/>
                <w:lang w:val="en-US" w:eastAsia="zh-CN" w:bidi="ar-SA"/>
              </w:rPr>
              <w:t>5、</w:t>
            </w:r>
            <w:r>
              <w:rPr>
                <w:rFonts w:hint="eastAsia" w:ascii="宋体" w:hAnsi="宋体" w:eastAsia="宋体" w:cs="宋体"/>
                <w:b/>
                <w:bCs/>
                <w:color w:val="auto"/>
                <w:kern w:val="0"/>
                <w:sz w:val="24"/>
                <w:szCs w:val="24"/>
                <w:lang w:val="en-US" w:eastAsia="zh-CN" w:bidi="ar"/>
              </w:rPr>
              <w:t>跟踪监测计划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eastAsia" w:ascii="宋体" w:hAnsi="宋体" w:eastAsia="宋体" w:cs="宋体"/>
                <w:color w:val="auto"/>
                <w:kern w:val="0"/>
                <w:sz w:val="24"/>
                <w:szCs w:val="24"/>
                <w:lang w:val="en-US" w:eastAsia="zh-CN" w:bidi="ar"/>
              </w:rPr>
              <w:t>本项目</w:t>
            </w:r>
            <w:r>
              <w:rPr>
                <w:rFonts w:hint="eastAsia" w:ascii="Times New Roman" w:hAnsi="Times New Roman" w:eastAsia="宋体" w:cs="Times New Roman"/>
                <w:color w:val="auto"/>
                <w:sz w:val="24"/>
                <w:lang w:val="en-US" w:eastAsia="zh-CN"/>
              </w:rPr>
              <w:t>经酸碱中和预处理后的碱喷淋废水及生活污水依托四川翔丰华新能源材料有限公司已建4#预处理池处理</w:t>
            </w:r>
            <w:r>
              <w:rPr>
                <w:rFonts w:hint="eastAsia" w:ascii="Times New Roman" w:hAnsi="Times New Roman" w:eastAsia="宋体" w:cs="Times New Roman"/>
                <w:b w:val="0"/>
                <w:bCs w:val="0"/>
                <w:color w:val="auto"/>
                <w:kern w:val="0"/>
                <w:sz w:val="24"/>
                <w:szCs w:val="24"/>
                <w:lang w:val="en-US" w:eastAsia="zh-CN"/>
              </w:rPr>
              <w:t>。预处理池环保责任主体为</w:t>
            </w:r>
            <w:r>
              <w:rPr>
                <w:rFonts w:hint="eastAsia" w:ascii="Times New Roman" w:hAnsi="Times New Roman" w:eastAsia="宋体" w:cs="Times New Roman"/>
                <w:color w:val="auto"/>
                <w:sz w:val="24"/>
                <w:lang w:val="en-US" w:eastAsia="zh-CN"/>
              </w:rPr>
              <w:t>四川翔丰华新能源材料有限公司，</w:t>
            </w:r>
            <w:r>
              <w:rPr>
                <w:rFonts w:hint="eastAsia" w:ascii="宋体" w:hAnsi="宋体" w:eastAsia="宋体" w:cs="宋体"/>
                <w:color w:val="auto"/>
                <w:kern w:val="0"/>
                <w:sz w:val="24"/>
                <w:szCs w:val="24"/>
                <w:lang w:val="en-US" w:eastAsia="zh-CN" w:bidi="ar"/>
              </w:rPr>
              <w:t>由</w:t>
            </w:r>
            <w:r>
              <w:rPr>
                <w:rFonts w:hint="eastAsia" w:ascii="Times New Roman" w:hAnsi="Times New Roman" w:eastAsia="宋体" w:cs="Times New Roman"/>
                <w:color w:val="auto"/>
                <w:sz w:val="24"/>
                <w:lang w:val="en-US" w:eastAsia="zh-CN"/>
              </w:rPr>
              <w:t>四川翔丰华新能源材料有限公司</w:t>
            </w:r>
            <w:r>
              <w:rPr>
                <w:rFonts w:hint="eastAsia" w:ascii="宋体" w:hAnsi="宋体" w:eastAsia="宋体" w:cs="宋体"/>
                <w:color w:val="auto"/>
                <w:kern w:val="0"/>
                <w:sz w:val="24"/>
                <w:szCs w:val="24"/>
                <w:lang w:val="en-US" w:eastAsia="zh-CN" w:bidi="ar"/>
              </w:rPr>
              <w:t>负责日常运行维护，废水监测计划由</w:t>
            </w:r>
            <w:r>
              <w:rPr>
                <w:rFonts w:hint="eastAsia" w:ascii="Times New Roman" w:hAnsi="Times New Roman" w:eastAsia="宋体" w:cs="Times New Roman"/>
                <w:color w:val="auto"/>
                <w:sz w:val="24"/>
                <w:lang w:val="en-US" w:eastAsia="zh-CN"/>
              </w:rPr>
              <w:t>四川翔丰华新能源材料有限公司</w:t>
            </w:r>
            <w:r>
              <w:rPr>
                <w:rFonts w:hint="eastAsia" w:ascii="Times New Roman" w:hAnsi="Times New Roman" w:eastAsia="宋体" w:cs="Times New Roman"/>
                <w:color w:val="auto"/>
                <w:kern w:val="0"/>
                <w:sz w:val="24"/>
                <w:szCs w:val="24"/>
                <w:lang w:val="en-US" w:eastAsia="zh-CN" w:bidi="ar"/>
              </w:rPr>
              <w:t>委托的第三方公司</w:t>
            </w:r>
            <w:r>
              <w:rPr>
                <w:rFonts w:hint="default" w:ascii="Times New Roman" w:hAnsi="Times New Roman" w:eastAsia="宋体" w:cs="Times New Roman"/>
                <w:color w:val="auto"/>
                <w:kern w:val="0"/>
                <w:sz w:val="24"/>
                <w:szCs w:val="24"/>
                <w:lang w:val="en-US" w:eastAsia="zh-CN" w:bidi="ar"/>
              </w:rPr>
              <w:t>统一负责，本项目不单独要求。</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6、</w:t>
            </w:r>
            <w:r>
              <w:rPr>
                <w:rFonts w:hint="default" w:ascii="Times New Roman" w:hAnsi="Times New Roman" w:eastAsia="宋体" w:cs="Times New Roman"/>
                <w:b/>
                <w:bCs/>
                <w:color w:val="auto"/>
                <w:kern w:val="0"/>
                <w:sz w:val="24"/>
                <w:szCs w:val="24"/>
                <w:lang w:val="en-US" w:eastAsia="zh-CN" w:bidi="ar"/>
              </w:rPr>
              <w:t>废水治理措施可行性评价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color w:val="auto"/>
                <w:sz w:val="24"/>
                <w:szCs w:val="24"/>
              </w:rPr>
            </w:pPr>
            <w:r>
              <w:rPr>
                <w:rFonts w:hint="eastAsia" w:ascii="Times New Roman" w:hAnsi="Times New Roman" w:eastAsia="宋体" w:cs="Times New Roman"/>
                <w:b/>
                <w:bCs/>
                <w:color w:val="auto"/>
                <w:kern w:val="0"/>
                <w:sz w:val="24"/>
                <w:szCs w:val="24"/>
                <w:lang w:val="en-US" w:eastAsia="zh-CN" w:bidi="ar"/>
              </w:rPr>
              <w:t>四川翔丰华新能源材料有限公司已建4#预处理池</w:t>
            </w:r>
            <w:r>
              <w:rPr>
                <w:rFonts w:hint="default"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本项目依托</w:t>
            </w:r>
            <w:r>
              <w:rPr>
                <w:rFonts w:hint="eastAsia" w:ascii="Times New Roman" w:hAnsi="Times New Roman" w:eastAsia="宋体" w:cs="Times New Roman"/>
                <w:color w:val="auto"/>
                <w:sz w:val="24"/>
                <w:szCs w:val="24"/>
                <w:lang w:val="en-US" w:eastAsia="zh-CN"/>
              </w:rPr>
              <w:t>四川翔丰华新能源材料有限公司已建4#预处理池</w:t>
            </w:r>
            <w:r>
              <w:rPr>
                <w:rFonts w:hint="default" w:ascii="Times New Roman" w:hAnsi="Times New Roman" w:eastAsia="宋体" w:cs="Times New Roman"/>
                <w:color w:val="auto"/>
                <w:kern w:val="0"/>
                <w:sz w:val="24"/>
                <w:szCs w:val="24"/>
                <w:lang w:val="en-US" w:eastAsia="zh-CN" w:bidi="ar"/>
              </w:rPr>
              <w:t>处理生活污水，该预处理池为</w:t>
            </w:r>
            <w:r>
              <w:rPr>
                <w:rFonts w:hint="eastAsia" w:ascii="Times New Roman" w:hAnsi="Times New Roman" w:eastAsia="宋体"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Times New Roman" w:hAnsi="Times New Roman" w:eastAsia="宋体" w:cs="Times New Roman"/>
                <w:color w:val="auto"/>
                <w:kern w:val="0"/>
                <w:sz w:val="24"/>
                <w:szCs w:val="24"/>
                <w:vertAlign w:val="baseline"/>
                <w:lang w:val="en-US" w:eastAsia="zh-CN" w:bidi="ar"/>
              </w:rPr>
              <w:t>（</w:t>
            </w:r>
            <w:r>
              <w:rPr>
                <w:rFonts w:hint="eastAsia"/>
                <w:bCs/>
                <w:color w:val="auto"/>
                <w:sz w:val="24"/>
                <w:szCs w:val="24"/>
                <w:lang w:val="en-US" w:eastAsia="zh-CN"/>
              </w:rPr>
              <w:t>12</w:t>
            </w:r>
            <w:r>
              <w:rPr>
                <w:rFonts w:hint="eastAsia"/>
                <w:bCs/>
                <w:color w:val="auto"/>
                <w:sz w:val="24"/>
                <w:szCs w:val="24"/>
              </w:rPr>
              <w:t>m</w:t>
            </w:r>
            <w:r>
              <w:rPr>
                <w:rFonts w:hint="eastAsia"/>
                <w:bCs/>
                <w:color w:val="auto"/>
                <w:sz w:val="24"/>
                <w:szCs w:val="24"/>
                <w:vertAlign w:val="superscript"/>
              </w:rPr>
              <w:t>3</w:t>
            </w:r>
            <w:r>
              <w:rPr>
                <w:rFonts w:hint="eastAsia"/>
                <w:bCs/>
                <w:color w:val="auto"/>
                <w:sz w:val="24"/>
                <w:szCs w:val="24"/>
              </w:rPr>
              <w:t>/d</w:t>
            </w:r>
            <w:r>
              <w:rPr>
                <w:rFonts w:hint="eastAsia" w:ascii="Times New Roman" w:hAnsi="Times New Roman" w:eastAsia="宋体" w:cs="Times New Roman"/>
                <w:color w:val="auto"/>
                <w:kern w:val="0"/>
                <w:sz w:val="24"/>
                <w:szCs w:val="24"/>
                <w:vertAlign w:val="baseline"/>
                <w:lang w:val="en-US" w:eastAsia="zh-CN" w:bidi="ar"/>
              </w:rPr>
              <w:t>）</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z w:val="24"/>
                <w:szCs w:val="24"/>
                <w:lang w:val="en-US" w:eastAsia="zh-CN"/>
              </w:rPr>
              <w:t>目前</w:t>
            </w:r>
            <w:r>
              <w:rPr>
                <w:rFonts w:hint="eastAsia" w:ascii="Times New Roman" w:hAnsi="Times New Roman" w:cs="Times New Roman"/>
                <w:color w:val="auto"/>
                <w:sz w:val="24"/>
                <w:szCs w:val="24"/>
                <w:lang w:val="en-US" w:eastAsia="zh-CN"/>
              </w:rPr>
              <w:t>空置</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本项目生活污水及碱喷淋废水最大排放量为</w:t>
            </w:r>
            <w:r>
              <w:rPr>
                <w:rFonts w:hint="eastAsia"/>
                <w:bCs/>
                <w:color w:val="auto"/>
                <w:sz w:val="24"/>
                <w:szCs w:val="24"/>
                <w:lang w:val="en-US" w:eastAsia="zh-CN"/>
              </w:rPr>
              <w:t>3.36</w:t>
            </w:r>
            <w:r>
              <w:rPr>
                <w:rFonts w:hint="eastAsia"/>
                <w:bCs/>
                <w:color w:val="auto"/>
                <w:sz w:val="24"/>
                <w:szCs w:val="24"/>
              </w:rPr>
              <w:t>m</w:t>
            </w:r>
            <w:r>
              <w:rPr>
                <w:rFonts w:hint="eastAsia"/>
                <w:bCs/>
                <w:color w:val="auto"/>
                <w:sz w:val="24"/>
                <w:szCs w:val="24"/>
                <w:vertAlign w:val="superscript"/>
              </w:rPr>
              <w:t>3</w:t>
            </w:r>
            <w:r>
              <w:rPr>
                <w:rFonts w:hint="eastAsia"/>
                <w:bCs/>
                <w:color w:val="auto"/>
                <w:sz w:val="24"/>
                <w:szCs w:val="24"/>
              </w:rPr>
              <w:t>/d</w:t>
            </w:r>
            <w:r>
              <w:rPr>
                <w:rFonts w:hint="eastAsia"/>
                <w:bCs/>
                <w:color w:val="auto"/>
                <w:sz w:val="24"/>
                <w:szCs w:val="24"/>
                <w:lang w:eastAsia="zh-CN"/>
              </w:rPr>
              <w:t>，</w:t>
            </w:r>
            <w:r>
              <w:rPr>
                <w:rFonts w:hint="default" w:ascii="Times New Roman" w:hAnsi="Times New Roman" w:cs="Times New Roman"/>
                <w:color w:val="auto"/>
                <w:sz w:val="24"/>
                <w:szCs w:val="24"/>
                <w:lang w:val="en-US" w:eastAsia="zh-CN"/>
              </w:rPr>
              <w:t>能</w:t>
            </w:r>
            <w:r>
              <w:rPr>
                <w:rFonts w:hint="default" w:ascii="Times New Roman" w:hAnsi="Times New Roman" w:cs="Times New Roman"/>
                <w:color w:val="auto"/>
                <w:sz w:val="24"/>
                <w:szCs w:val="24"/>
              </w:rPr>
              <w:t>满足本项目使用</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bidi="ar"/>
              </w:rPr>
              <w:t>预处理池由</w:t>
            </w:r>
            <w:r>
              <w:rPr>
                <w:rFonts w:hint="eastAsia" w:ascii="Times New Roman" w:hAnsi="Times New Roman" w:eastAsia="宋体" w:cs="Times New Roman"/>
                <w:color w:val="auto"/>
                <w:sz w:val="24"/>
                <w:szCs w:val="24"/>
                <w:lang w:val="en-US" w:eastAsia="zh-CN"/>
              </w:rPr>
              <w:t>四川翔丰华新能源材料有限公司</w:t>
            </w:r>
            <w:r>
              <w:rPr>
                <w:rFonts w:hint="default" w:ascii="Times New Roman" w:hAnsi="Times New Roman" w:eastAsia="宋体" w:cs="Times New Roman"/>
                <w:color w:val="auto"/>
                <w:kern w:val="0"/>
                <w:sz w:val="24"/>
                <w:szCs w:val="24"/>
                <w:lang w:val="en-US" w:eastAsia="zh-CN" w:bidi="ar"/>
              </w:rPr>
              <w:t>负责清掏、维护等工作，</w:t>
            </w:r>
            <w:r>
              <w:rPr>
                <w:rFonts w:hint="eastAsia" w:ascii="Times New Roman" w:hAnsi="Times New Roman" w:eastAsia="宋体" w:cs="Times New Roman"/>
                <w:color w:val="auto"/>
                <w:sz w:val="24"/>
                <w:szCs w:val="24"/>
                <w:lang w:val="en-US" w:eastAsia="zh-CN"/>
              </w:rPr>
              <w:t>四川翔丰华新能源材料有限公司</w:t>
            </w:r>
            <w:r>
              <w:rPr>
                <w:rFonts w:hint="default" w:ascii="Times New Roman" w:hAnsi="Times New Roman" w:eastAsia="宋体" w:cs="Times New Roman"/>
                <w:color w:val="auto"/>
                <w:kern w:val="0"/>
                <w:sz w:val="24"/>
                <w:szCs w:val="24"/>
                <w:lang w:val="en-US" w:eastAsia="zh-CN" w:bidi="ar"/>
              </w:rPr>
              <w:t>为环保责任主体。</w:t>
            </w:r>
          </w:p>
          <w:p>
            <w:pPr>
              <w:pStyle w:val="16"/>
              <w:spacing w:line="360" w:lineRule="auto"/>
              <w:ind w:firstLine="482" w:firstLineChars="200"/>
              <w:jc w:val="left"/>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遂宁金桥新区城市污水处理厂：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据调查，园区现有污水集中处理设施1座—遂宁金桥新区城市污水处理厂，选址位于蓬溪县高坪镇团河坝村，设计规模2万t/d，处理工艺为“预处理+MBBR生化池+二沉池+活性砂滤池+紫外线消毒”，出水标准为一级A标准。目前，该污水处理厂已建规模1.5万t/d，并于2021年6月1日通过自主竣工环保验收。</w:t>
            </w:r>
          </w:p>
          <w:p>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color w:val="auto"/>
                <w:sz w:val="24"/>
                <w:szCs w:val="24"/>
              </w:rPr>
            </w:pPr>
            <w:r>
              <w:rPr>
                <w:color w:val="auto"/>
              </w:rPr>
              <w:drawing>
                <wp:inline distT="0" distB="0" distL="114300" distR="114300">
                  <wp:extent cx="4330065" cy="2387600"/>
                  <wp:effectExtent l="0" t="0" r="13335" b="12700"/>
                  <wp:docPr id="37"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8"/>
                          <pic:cNvPicPr>
                            <a:picLocks noChangeAspect="1"/>
                          </pic:cNvPicPr>
                        </pic:nvPicPr>
                        <pic:blipFill>
                          <a:blip r:embed="rId19"/>
                          <a:stretch>
                            <a:fillRect/>
                          </a:stretch>
                        </pic:blipFill>
                        <pic:spPr>
                          <a:xfrm>
                            <a:off x="0" y="0"/>
                            <a:ext cx="4330065" cy="2387600"/>
                          </a:xfrm>
                          <a:prstGeom prst="rect">
                            <a:avLst/>
                          </a:prstGeom>
                          <a:noFill/>
                          <a:ln>
                            <a:noFill/>
                          </a:ln>
                        </pic:spPr>
                      </pic:pic>
                    </a:graphicData>
                  </a:graphic>
                </wp:inline>
              </w:drawing>
            </w:r>
          </w:p>
          <w:p>
            <w:pPr>
              <w:keepNext w:val="0"/>
              <w:keepLines w:val="0"/>
              <w:widowControl/>
              <w:suppressLineNumbers w:val="0"/>
              <w:spacing w:line="360" w:lineRule="auto"/>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图4-1 遂宁金桥新区城市污水处理厂工艺流程图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本项目属于</w:t>
            </w:r>
            <w:r>
              <w:rPr>
                <w:rFonts w:hint="eastAsia" w:ascii="Times New Roman" w:hAnsi="Times New Roman" w:eastAsia="宋体" w:cs="Times New Roman"/>
                <w:color w:val="auto"/>
                <w:sz w:val="24"/>
                <w:szCs w:val="24"/>
                <w:lang w:val="en-US" w:eastAsia="zh-CN"/>
              </w:rPr>
              <w:t>遂宁金桥新区城市污水处理厂</w:t>
            </w:r>
            <w:r>
              <w:rPr>
                <w:rFonts w:hint="default" w:ascii="Times New Roman" w:hAnsi="Times New Roman" w:eastAsia="宋体" w:cs="Times New Roman"/>
                <w:color w:val="auto"/>
                <w:sz w:val="24"/>
                <w:szCs w:val="24"/>
              </w:rPr>
              <w:t>的排水接管范围，且经现场调查，本项目周边已建有完善的雨、污水管网，且污水管网已与</w:t>
            </w:r>
            <w:r>
              <w:rPr>
                <w:rFonts w:hint="eastAsia" w:ascii="Times New Roman" w:hAnsi="Times New Roman" w:eastAsia="宋体" w:cs="Times New Roman"/>
                <w:color w:val="auto"/>
                <w:sz w:val="24"/>
                <w:szCs w:val="24"/>
                <w:lang w:val="en-US" w:eastAsia="zh-CN"/>
              </w:rPr>
              <w:t>遂宁金桥新区城市污水处理厂</w:t>
            </w:r>
            <w:r>
              <w:rPr>
                <w:rFonts w:hint="default" w:ascii="Times New Roman" w:hAnsi="Times New Roman" w:eastAsia="宋体" w:cs="Times New Roman"/>
                <w:color w:val="auto"/>
                <w:sz w:val="24"/>
                <w:szCs w:val="24"/>
              </w:rPr>
              <w:t>接通，市政配套设施较为完善</w:t>
            </w:r>
            <w:r>
              <w:rPr>
                <w:rFonts w:hint="eastAsia" w:ascii="Times New Roman" w:hAnsi="Times New Roman" w:eastAsia="宋体" w:cs="Times New Roman"/>
                <w:color w:val="auto"/>
                <w:sz w:val="24"/>
                <w:szCs w:val="24"/>
                <w:lang w:val="en-US" w:eastAsia="zh-CN"/>
              </w:rPr>
              <w:t>，本项目外排废水主要为</w:t>
            </w:r>
            <w:r>
              <w:rPr>
                <w:rFonts w:hint="eastAsia" w:ascii="Times New Roman" w:hAnsi="Times New Roman" w:eastAsia="宋体" w:cs="Times New Roman"/>
                <w:color w:val="auto"/>
                <w:sz w:val="24"/>
                <w:lang w:val="en-US" w:eastAsia="zh-CN"/>
              </w:rPr>
              <w:t>经酸碱中和预处理后的碱喷淋废水及生活污水</w:t>
            </w:r>
            <w:r>
              <w:rPr>
                <w:rFonts w:hint="eastAsia" w:ascii="Times New Roman" w:hAnsi="Times New Roman" w:eastAsia="宋体" w:cs="Times New Roman"/>
                <w:color w:val="auto"/>
                <w:sz w:val="24"/>
                <w:szCs w:val="24"/>
                <w:lang w:val="en-US" w:eastAsia="zh-CN"/>
              </w:rPr>
              <w:t>，水质简单，水量较小；遂宁金桥新区城市污水处理厂剩余空间满足本项目外排生活污水处理需要</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因此本项目依托遂宁金桥新区城市污水处理厂可行。</w:t>
            </w:r>
          </w:p>
          <w:p>
            <w:pPr>
              <w:pStyle w:val="16"/>
              <w:spacing w:line="360" w:lineRule="auto"/>
              <w:ind w:firstLine="482" w:firstLineChars="200"/>
              <w:jc w:val="left"/>
              <w:rPr>
                <w:rFonts w:hint="default" w:ascii="Times New Roman" w:hAnsi="Times New Roman" w:cs="Times New Roman"/>
                <w:color w:val="auto"/>
                <w:sz w:val="24"/>
                <w:szCs w:val="24"/>
              </w:rPr>
            </w:pPr>
            <w:r>
              <w:rPr>
                <w:rFonts w:hint="eastAsia" w:ascii="Times New Roman" w:hAnsi="Times New Roman" w:eastAsia="宋体" w:cs="Times New Roman"/>
                <w:b/>
                <w:bCs/>
                <w:color w:val="auto"/>
                <w:kern w:val="0"/>
                <w:sz w:val="24"/>
                <w:szCs w:val="24"/>
                <w:lang w:val="en-US" w:eastAsia="zh-CN" w:bidi="ar"/>
              </w:rPr>
              <w:t>7、</w:t>
            </w:r>
            <w:r>
              <w:rPr>
                <w:rFonts w:hint="default" w:ascii="Times New Roman" w:hAnsi="Times New Roman" w:eastAsia="宋体" w:cs="Times New Roman"/>
                <w:b/>
                <w:bCs/>
                <w:color w:val="auto"/>
                <w:kern w:val="0"/>
                <w:sz w:val="24"/>
                <w:szCs w:val="24"/>
                <w:lang w:val="en-US" w:eastAsia="zh-CN" w:bidi="ar"/>
              </w:rPr>
              <w:t>废水治理措施可行性评价</w:t>
            </w:r>
          </w:p>
          <w:p>
            <w:pPr>
              <w:adjustRightInd w:val="0"/>
              <w:snapToGrid w:val="0"/>
              <w:spacing w:line="360" w:lineRule="auto"/>
              <w:ind w:firstLine="480" w:firstLineChars="200"/>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本项目废水经预处理达标后进入园区污水管网，不会对下游污水处理厂产生冲击，对地表水环境影响较小。</w:t>
            </w:r>
          </w:p>
          <w:p>
            <w:pPr>
              <w:spacing w:line="360" w:lineRule="auto"/>
              <w:ind w:firstLine="482" w:firstLineChars="200"/>
              <w:rPr>
                <w:rFonts w:hint="eastAsia"/>
                <w:b/>
                <w:color w:val="auto"/>
                <w:sz w:val="24"/>
              </w:rPr>
            </w:pPr>
            <w:r>
              <w:rPr>
                <w:rFonts w:hint="eastAsia"/>
                <w:b/>
                <w:color w:val="auto"/>
                <w:sz w:val="24"/>
              </w:rPr>
              <w:t>三、噪声</w:t>
            </w:r>
          </w:p>
          <w:p>
            <w:pPr>
              <w:spacing w:line="360" w:lineRule="auto"/>
              <w:ind w:firstLine="482" w:firstLineChars="200"/>
              <w:jc w:val="left"/>
              <w:rPr>
                <w:rFonts w:hint="eastAsia"/>
                <w:b/>
                <w:color w:val="auto"/>
                <w:sz w:val="24"/>
              </w:rPr>
            </w:pPr>
            <w:r>
              <w:rPr>
                <w:rFonts w:hint="eastAsia"/>
                <w:b/>
                <w:color w:val="auto"/>
                <w:sz w:val="24"/>
                <w:lang w:val="en-US" w:eastAsia="zh-CN"/>
              </w:rPr>
              <w:t>1、</w:t>
            </w:r>
            <w:r>
              <w:rPr>
                <w:rFonts w:hint="eastAsia"/>
                <w:b/>
                <w:color w:val="auto"/>
                <w:sz w:val="24"/>
              </w:rPr>
              <w:t>噪声源强及防治措施</w:t>
            </w:r>
          </w:p>
          <w:p>
            <w:pPr>
              <w:widowControl/>
              <w:spacing w:line="360" w:lineRule="auto"/>
              <w:ind w:firstLine="482" w:firstLineChars="200"/>
              <w:jc w:val="left"/>
              <w:rPr>
                <w:rFonts w:hint="eastAsia"/>
                <w:b/>
                <w:bCs/>
                <w:color w:val="auto"/>
                <w:sz w:val="24"/>
              </w:rPr>
            </w:pPr>
            <w:r>
              <w:rPr>
                <w:rFonts w:hint="eastAsia" w:ascii="宋体" w:hAnsi="宋体" w:cs="宋体"/>
                <w:b/>
                <w:bCs/>
                <w:color w:val="auto"/>
                <w:kern w:val="0"/>
                <w:sz w:val="24"/>
                <w:lang w:eastAsia="zh-CN" w:bidi="ar"/>
              </w:rPr>
              <w:t>（</w:t>
            </w:r>
            <w:r>
              <w:rPr>
                <w:rFonts w:hint="eastAsia" w:ascii="宋体" w:hAnsi="宋体" w:cs="宋体"/>
                <w:b/>
                <w:bCs/>
                <w:color w:val="auto"/>
                <w:kern w:val="0"/>
                <w:sz w:val="24"/>
                <w:lang w:val="en-US" w:eastAsia="zh-CN" w:bidi="ar"/>
              </w:rPr>
              <w:t>1</w:t>
            </w:r>
            <w:r>
              <w:rPr>
                <w:rFonts w:hint="eastAsia" w:ascii="宋体" w:hAnsi="宋体" w:cs="宋体"/>
                <w:b/>
                <w:bCs/>
                <w:color w:val="auto"/>
                <w:kern w:val="0"/>
                <w:sz w:val="24"/>
                <w:lang w:eastAsia="zh-CN" w:bidi="ar"/>
              </w:rPr>
              <w:t>）</w:t>
            </w:r>
            <w:r>
              <w:rPr>
                <w:rFonts w:hint="eastAsia" w:ascii="宋体" w:hAnsi="宋体" w:cs="宋体"/>
                <w:b/>
                <w:bCs/>
                <w:color w:val="auto"/>
                <w:kern w:val="0"/>
                <w:sz w:val="24"/>
                <w:lang w:bidi="ar"/>
              </w:rPr>
              <w:t>污染物产生情况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本项目噪声主要来自研发设备、环保设备等固定噪声源。主要噪声源排放源强统计见下表。</w:t>
            </w:r>
          </w:p>
          <w:p>
            <w:pPr>
              <w:keepNext w:val="0"/>
              <w:keepLines w:val="0"/>
              <w:widowControl/>
              <w:suppressLineNumbers w:val="0"/>
              <w:spacing w:line="360" w:lineRule="auto"/>
              <w:jc w:val="center"/>
              <w:rPr>
                <w:rFonts w:hint="eastAsia" w:ascii="宋体" w:hAnsi="宋体" w:eastAsia="宋体" w:cs="宋体"/>
                <w:b/>
                <w:bCs/>
                <w:color w:val="auto"/>
                <w:kern w:val="0"/>
                <w:sz w:val="21"/>
                <w:szCs w:val="21"/>
                <w:lang w:val="en-US" w:eastAsia="zh-CN" w:bidi="ar"/>
              </w:rPr>
            </w:pPr>
            <w:r>
              <w:rPr>
                <w:b/>
                <w:bCs/>
                <w:color w:val="auto"/>
                <w:sz w:val="21"/>
                <w:szCs w:val="21"/>
              </w:rPr>
              <w:t>表</w:t>
            </w:r>
            <w:r>
              <w:rPr>
                <w:rFonts w:ascii="Times New Roman" w:hAnsi="Times New Roman" w:eastAsia="宋体" w:cs="Times New Roman"/>
                <w:b/>
                <w:bCs/>
                <w:color w:val="auto"/>
                <w:sz w:val="21"/>
                <w:szCs w:val="21"/>
              </w:rPr>
              <w:t>4-</w:t>
            </w:r>
            <w:r>
              <w:rPr>
                <w:rFonts w:hint="eastAsia" w:ascii="Times New Roman" w:hAnsi="Times New Roman" w:eastAsia="宋体" w:cs="Times New Roman"/>
                <w:b/>
                <w:bCs/>
                <w:color w:val="auto"/>
                <w:sz w:val="21"/>
                <w:szCs w:val="21"/>
                <w:lang w:val="en-US" w:eastAsia="zh-CN"/>
              </w:rPr>
              <w:t>11</w:t>
            </w:r>
            <w:r>
              <w:rPr>
                <w:rFonts w:ascii="Times New Roman" w:hAnsi="Times New Roman" w:eastAsia="宋体" w:cs="Times New Roman"/>
                <w:b/>
                <w:bCs/>
                <w:color w:val="auto"/>
                <w:sz w:val="21"/>
                <w:szCs w:val="21"/>
              </w:rPr>
              <w:t xml:space="preserve"> </w:t>
            </w:r>
            <w:r>
              <w:rPr>
                <w:rFonts w:hint="eastAsia" w:ascii="宋体" w:hAnsi="宋体" w:eastAsia="宋体" w:cs="宋体"/>
                <w:b/>
                <w:bCs/>
                <w:color w:val="auto"/>
                <w:kern w:val="0"/>
                <w:sz w:val="21"/>
                <w:szCs w:val="21"/>
                <w:lang w:val="en-US" w:eastAsia="zh-CN" w:bidi="ar"/>
              </w:rPr>
              <w:t>本项目主要噪声源强一览表</w:t>
            </w:r>
          </w:p>
          <w:tbl>
            <w:tblPr>
              <w:tblStyle w:val="37"/>
              <w:tblW w:w="7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250"/>
              <w:gridCol w:w="1785"/>
              <w:gridCol w:w="1500"/>
              <w:gridCol w:w="1639"/>
            </w:tblGrid>
            <w:tr>
              <w:tblPrEx>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序号</w:t>
                  </w:r>
                </w:p>
              </w:tc>
              <w:tc>
                <w:tcPr>
                  <w:tcW w:w="225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设备噪声</w:t>
                  </w:r>
                </w:p>
              </w:tc>
              <w:tc>
                <w:tcPr>
                  <w:tcW w:w="1785"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声源强度</w:t>
                  </w:r>
                  <w:r>
                    <w:rPr>
                      <w:rFonts w:hint="default" w:ascii="Times New Roman" w:hAnsi="Times New Roman" w:cs="Times New Roman"/>
                      <w:b/>
                      <w:bCs/>
                      <w:color w:val="auto"/>
                      <w:sz w:val="21"/>
                      <w:szCs w:val="21"/>
                    </w:rPr>
                    <w:t>dB（A）</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数量（台）</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p>
              </w:tc>
              <w:tc>
                <w:tcPr>
                  <w:tcW w:w="225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olor w:val="auto"/>
                      <w:kern w:val="0"/>
                      <w:sz w:val="21"/>
                      <w:szCs w:val="21"/>
                      <w:lang w:val="en-US" w:eastAsia="zh-CN" w:bidi="ar"/>
                    </w:rPr>
                    <w:t>1号</w:t>
                  </w:r>
                  <w:r>
                    <w:rPr>
                      <w:rFonts w:hint="eastAsia"/>
                      <w:color w:val="auto"/>
                      <w:kern w:val="0"/>
                      <w:sz w:val="21"/>
                      <w:szCs w:val="21"/>
                      <w:lang w:bidi="ar"/>
                    </w:rPr>
                    <w:t>进料机</w:t>
                  </w:r>
                </w:p>
              </w:tc>
              <w:tc>
                <w:tcPr>
                  <w:tcW w:w="1785"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65</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2</w:t>
                  </w:r>
                </w:p>
              </w:tc>
              <w:tc>
                <w:tcPr>
                  <w:tcW w:w="225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eastAsia"/>
                      <w:color w:val="auto"/>
                      <w:kern w:val="0"/>
                      <w:sz w:val="21"/>
                      <w:szCs w:val="21"/>
                      <w:lang w:bidi="ar"/>
                    </w:rPr>
                  </w:pPr>
                  <w:r>
                    <w:rPr>
                      <w:rFonts w:hint="eastAsia"/>
                      <w:color w:val="auto"/>
                      <w:kern w:val="0"/>
                      <w:sz w:val="21"/>
                      <w:szCs w:val="21"/>
                      <w:lang w:val="en-US" w:eastAsia="zh-CN" w:bidi="ar"/>
                    </w:rPr>
                    <w:t>2号</w:t>
                  </w:r>
                  <w:r>
                    <w:rPr>
                      <w:rFonts w:hint="eastAsia"/>
                      <w:color w:val="auto"/>
                      <w:kern w:val="0"/>
                      <w:sz w:val="21"/>
                      <w:szCs w:val="21"/>
                      <w:lang w:bidi="ar"/>
                    </w:rPr>
                    <w:t>进料机</w:t>
                  </w:r>
                </w:p>
              </w:tc>
              <w:tc>
                <w:tcPr>
                  <w:tcW w:w="1785"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65</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3</w:t>
                  </w:r>
                </w:p>
              </w:tc>
              <w:tc>
                <w:tcPr>
                  <w:tcW w:w="225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olor w:val="auto"/>
                      <w:kern w:val="0"/>
                      <w:sz w:val="21"/>
                      <w:szCs w:val="21"/>
                      <w:lang w:val="en-US" w:eastAsia="zh-CN" w:bidi="ar"/>
                    </w:rPr>
                    <w:t>1号</w:t>
                  </w:r>
                  <w:r>
                    <w:rPr>
                      <w:rFonts w:hint="eastAsia"/>
                      <w:color w:val="auto"/>
                      <w:kern w:val="0"/>
                      <w:sz w:val="21"/>
                      <w:szCs w:val="21"/>
                      <w:lang w:bidi="ar"/>
                    </w:rPr>
                    <w:t>膨化炉</w:t>
                  </w:r>
                </w:p>
              </w:tc>
              <w:tc>
                <w:tcPr>
                  <w:tcW w:w="1785"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60</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4</w:t>
                  </w:r>
                </w:p>
              </w:tc>
              <w:tc>
                <w:tcPr>
                  <w:tcW w:w="225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center"/>
                    <w:rPr>
                      <w:rFonts w:hint="eastAsia"/>
                      <w:color w:val="auto"/>
                      <w:kern w:val="0"/>
                      <w:sz w:val="21"/>
                      <w:szCs w:val="21"/>
                      <w:lang w:val="en-US" w:eastAsia="zh-CN" w:bidi="ar"/>
                    </w:rPr>
                  </w:pPr>
                  <w:r>
                    <w:rPr>
                      <w:rFonts w:hint="eastAsia"/>
                      <w:color w:val="auto"/>
                      <w:kern w:val="0"/>
                      <w:sz w:val="21"/>
                      <w:szCs w:val="21"/>
                      <w:lang w:val="en-US" w:eastAsia="zh-CN" w:bidi="ar"/>
                    </w:rPr>
                    <w:t>2号</w:t>
                  </w:r>
                  <w:r>
                    <w:rPr>
                      <w:rFonts w:hint="eastAsia"/>
                      <w:color w:val="auto"/>
                      <w:kern w:val="0"/>
                      <w:sz w:val="21"/>
                      <w:szCs w:val="21"/>
                      <w:lang w:bidi="ar"/>
                    </w:rPr>
                    <w:t>膨化炉</w:t>
                  </w:r>
                </w:p>
              </w:tc>
              <w:tc>
                <w:tcPr>
                  <w:tcW w:w="1785"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60</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5</w:t>
                  </w:r>
                </w:p>
              </w:tc>
              <w:tc>
                <w:tcPr>
                  <w:tcW w:w="225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olor w:val="auto"/>
                      <w:kern w:val="0"/>
                      <w:sz w:val="21"/>
                      <w:szCs w:val="21"/>
                      <w:lang w:val="en-US" w:eastAsia="zh-CN" w:bidi="ar"/>
                    </w:rPr>
                    <w:t>1号</w:t>
                  </w:r>
                  <w:r>
                    <w:rPr>
                      <w:rFonts w:hint="eastAsia"/>
                      <w:color w:val="auto"/>
                      <w:kern w:val="0"/>
                      <w:sz w:val="21"/>
                      <w:szCs w:val="21"/>
                      <w:lang w:bidi="ar"/>
                    </w:rPr>
                    <w:t>物料分级系统</w:t>
                  </w:r>
                </w:p>
              </w:tc>
              <w:tc>
                <w:tcPr>
                  <w:tcW w:w="1785"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70</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w:t>
                  </w:r>
                </w:p>
              </w:tc>
              <w:tc>
                <w:tcPr>
                  <w:tcW w:w="225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eastAsia"/>
                      <w:color w:val="auto"/>
                      <w:kern w:val="0"/>
                      <w:sz w:val="21"/>
                      <w:szCs w:val="21"/>
                      <w:lang w:bidi="ar"/>
                    </w:rPr>
                  </w:pPr>
                  <w:r>
                    <w:rPr>
                      <w:rFonts w:hint="eastAsia"/>
                      <w:color w:val="auto"/>
                      <w:kern w:val="0"/>
                      <w:sz w:val="21"/>
                      <w:szCs w:val="21"/>
                      <w:lang w:val="en-US" w:eastAsia="zh-CN" w:bidi="ar"/>
                    </w:rPr>
                    <w:t>2号</w:t>
                  </w:r>
                  <w:r>
                    <w:rPr>
                      <w:rFonts w:hint="eastAsia"/>
                      <w:color w:val="auto"/>
                      <w:kern w:val="0"/>
                      <w:sz w:val="21"/>
                      <w:szCs w:val="21"/>
                      <w:lang w:bidi="ar"/>
                    </w:rPr>
                    <w:t>物料分级系统</w:t>
                  </w:r>
                </w:p>
              </w:tc>
              <w:tc>
                <w:tcPr>
                  <w:tcW w:w="1785"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70</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7</w:t>
                  </w:r>
                </w:p>
              </w:tc>
              <w:tc>
                <w:tcPr>
                  <w:tcW w:w="225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olor w:val="auto"/>
                      <w:kern w:val="0"/>
                      <w:sz w:val="21"/>
                      <w:szCs w:val="21"/>
                      <w:lang w:val="en-US" w:eastAsia="zh-CN" w:bidi="ar"/>
                    </w:rPr>
                    <w:t>1号</w:t>
                  </w:r>
                  <w:r>
                    <w:rPr>
                      <w:rFonts w:hint="eastAsia"/>
                      <w:color w:val="auto"/>
                      <w:kern w:val="0"/>
                      <w:sz w:val="21"/>
                      <w:szCs w:val="21"/>
                      <w:lang w:bidi="ar"/>
                    </w:rPr>
                    <w:t>复配（布料）落料系统</w:t>
                  </w:r>
                </w:p>
              </w:tc>
              <w:tc>
                <w:tcPr>
                  <w:tcW w:w="1785"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65</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8</w:t>
                  </w:r>
                </w:p>
              </w:tc>
              <w:tc>
                <w:tcPr>
                  <w:tcW w:w="225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eastAsia"/>
                      <w:color w:val="auto"/>
                      <w:kern w:val="0"/>
                      <w:sz w:val="21"/>
                      <w:szCs w:val="21"/>
                      <w:lang w:bidi="ar"/>
                    </w:rPr>
                  </w:pPr>
                  <w:r>
                    <w:rPr>
                      <w:rFonts w:hint="eastAsia"/>
                      <w:color w:val="auto"/>
                      <w:kern w:val="0"/>
                      <w:sz w:val="21"/>
                      <w:szCs w:val="21"/>
                      <w:lang w:val="en-US" w:eastAsia="zh-CN" w:bidi="ar"/>
                    </w:rPr>
                    <w:t>2号</w:t>
                  </w:r>
                  <w:r>
                    <w:rPr>
                      <w:rFonts w:hint="eastAsia"/>
                      <w:color w:val="auto"/>
                      <w:kern w:val="0"/>
                      <w:sz w:val="21"/>
                      <w:szCs w:val="21"/>
                      <w:lang w:bidi="ar"/>
                    </w:rPr>
                    <w:t>复配（布料）落料系统</w:t>
                  </w:r>
                </w:p>
              </w:tc>
              <w:tc>
                <w:tcPr>
                  <w:tcW w:w="1785"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65</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9</w:t>
                  </w:r>
                </w:p>
              </w:tc>
              <w:tc>
                <w:tcPr>
                  <w:tcW w:w="225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olor w:val="auto"/>
                      <w:kern w:val="0"/>
                      <w:sz w:val="21"/>
                      <w:szCs w:val="21"/>
                      <w:lang w:val="en-US" w:eastAsia="zh-CN" w:bidi="ar"/>
                    </w:rPr>
                    <w:t>1号</w:t>
                  </w:r>
                  <w:r>
                    <w:rPr>
                      <w:rFonts w:hint="eastAsia"/>
                      <w:color w:val="auto"/>
                      <w:kern w:val="0"/>
                      <w:sz w:val="21"/>
                      <w:szCs w:val="21"/>
                      <w:lang w:bidi="ar"/>
                    </w:rPr>
                    <w:t>压延系统</w:t>
                  </w:r>
                </w:p>
              </w:tc>
              <w:tc>
                <w:tcPr>
                  <w:tcW w:w="1785" w:type="dxa"/>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68</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10</w:t>
                  </w:r>
                </w:p>
              </w:tc>
              <w:tc>
                <w:tcPr>
                  <w:tcW w:w="225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color w:val="auto"/>
                      <w:kern w:val="0"/>
                      <w:sz w:val="21"/>
                      <w:szCs w:val="21"/>
                      <w:lang w:val="en-US" w:eastAsia="zh-CN" w:bidi="ar"/>
                    </w:rPr>
                  </w:pPr>
                  <w:r>
                    <w:rPr>
                      <w:rFonts w:hint="eastAsia"/>
                      <w:color w:val="auto"/>
                      <w:kern w:val="0"/>
                      <w:sz w:val="21"/>
                      <w:szCs w:val="21"/>
                      <w:lang w:val="en-US" w:eastAsia="zh-CN" w:bidi="ar"/>
                    </w:rPr>
                    <w:t>2号</w:t>
                  </w:r>
                  <w:r>
                    <w:rPr>
                      <w:rFonts w:hint="eastAsia"/>
                      <w:color w:val="auto"/>
                      <w:kern w:val="0"/>
                      <w:sz w:val="21"/>
                      <w:szCs w:val="21"/>
                      <w:lang w:bidi="ar"/>
                    </w:rPr>
                    <w:t>压延系统</w:t>
                  </w:r>
                </w:p>
              </w:tc>
              <w:tc>
                <w:tcPr>
                  <w:tcW w:w="1785" w:type="dxa"/>
                  <w:noWrap w:val="0"/>
                  <w:vAlign w:val="center"/>
                </w:tcPr>
                <w:p>
                  <w:pPr>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68</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11</w:t>
                  </w:r>
                </w:p>
              </w:tc>
              <w:tc>
                <w:tcPr>
                  <w:tcW w:w="225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lang w:val="en-US" w:eastAsia="zh-CN" w:bidi="ar"/>
                    </w:rPr>
                    <w:t>1号</w:t>
                  </w:r>
                  <w:r>
                    <w:rPr>
                      <w:rFonts w:hint="eastAsia" w:ascii="Times New Roman" w:hAnsi="Times New Roman" w:eastAsia="宋体" w:cs="Times New Roman"/>
                      <w:color w:val="auto"/>
                      <w:kern w:val="0"/>
                      <w:sz w:val="21"/>
                      <w:szCs w:val="21"/>
                      <w:lang w:bidi="ar"/>
                    </w:rPr>
                    <w:t>横切机</w:t>
                  </w:r>
                </w:p>
              </w:tc>
              <w:tc>
                <w:tcPr>
                  <w:tcW w:w="1785" w:type="dxa"/>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69</w:t>
                  </w:r>
                </w:p>
              </w:tc>
              <w:tc>
                <w:tcPr>
                  <w:tcW w:w="15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12</w:t>
                  </w:r>
                </w:p>
              </w:tc>
              <w:tc>
                <w:tcPr>
                  <w:tcW w:w="225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2号</w:t>
                  </w:r>
                  <w:r>
                    <w:rPr>
                      <w:rFonts w:hint="eastAsia" w:ascii="Times New Roman" w:hAnsi="Times New Roman" w:eastAsia="宋体" w:cs="Times New Roman"/>
                      <w:color w:val="auto"/>
                      <w:kern w:val="0"/>
                      <w:sz w:val="21"/>
                      <w:szCs w:val="21"/>
                      <w:lang w:bidi="ar"/>
                    </w:rPr>
                    <w:t>横切机</w:t>
                  </w:r>
                </w:p>
              </w:tc>
              <w:tc>
                <w:tcPr>
                  <w:tcW w:w="1785" w:type="dxa"/>
                  <w:noWrap w:val="0"/>
                  <w:vAlign w:val="center"/>
                </w:tcPr>
                <w:p>
                  <w:pPr>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69</w:t>
                  </w:r>
                </w:p>
              </w:tc>
              <w:tc>
                <w:tcPr>
                  <w:tcW w:w="15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rightChars="0"/>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13</w:t>
                  </w:r>
                </w:p>
              </w:tc>
              <w:tc>
                <w:tcPr>
                  <w:tcW w:w="225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eastAsia"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1号</w:t>
                  </w:r>
                  <w:r>
                    <w:rPr>
                      <w:rFonts w:hint="eastAsia" w:ascii="Times New Roman" w:hAnsi="Times New Roman" w:eastAsia="宋体" w:cs="Times New Roman"/>
                      <w:color w:val="auto"/>
                      <w:kern w:val="0"/>
                      <w:sz w:val="21"/>
                      <w:szCs w:val="21"/>
                      <w:lang w:bidi="ar"/>
                    </w:rPr>
                    <w:t>卷纸机</w:t>
                  </w:r>
                </w:p>
              </w:tc>
              <w:tc>
                <w:tcPr>
                  <w:tcW w:w="1785" w:type="dxa"/>
                  <w:noWrap w:val="0"/>
                  <w:vAlign w:val="center"/>
                </w:tcPr>
                <w:p>
                  <w:pPr>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69</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14</w:t>
                  </w:r>
                </w:p>
              </w:tc>
              <w:tc>
                <w:tcPr>
                  <w:tcW w:w="225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2号</w:t>
                  </w:r>
                  <w:r>
                    <w:rPr>
                      <w:rFonts w:hint="eastAsia" w:ascii="Times New Roman" w:hAnsi="Times New Roman" w:eastAsia="宋体" w:cs="Times New Roman"/>
                      <w:color w:val="auto"/>
                      <w:kern w:val="0"/>
                      <w:sz w:val="21"/>
                      <w:szCs w:val="21"/>
                      <w:lang w:bidi="ar"/>
                    </w:rPr>
                    <w:t>卷纸机</w:t>
                  </w:r>
                </w:p>
              </w:tc>
              <w:tc>
                <w:tcPr>
                  <w:tcW w:w="1785" w:type="dxa"/>
                  <w:noWrap w:val="0"/>
                  <w:vAlign w:val="center"/>
                </w:tcPr>
                <w:p>
                  <w:pPr>
                    <w:keepNext w:val="0"/>
                    <w:keepLines w:val="0"/>
                    <w:pageBreakBefore w:val="0"/>
                    <w:kinsoku/>
                    <w:wordWrap/>
                    <w:overflowPunct/>
                    <w:topLinePunct w:val="0"/>
                    <w:autoSpaceDE/>
                    <w:autoSpaceDN/>
                    <w:bidi w:val="0"/>
                    <w:adjustRightInd/>
                    <w:spacing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69</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15</w:t>
                  </w:r>
                </w:p>
              </w:tc>
              <w:tc>
                <w:tcPr>
                  <w:tcW w:w="225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olor w:val="auto"/>
                      <w:kern w:val="0"/>
                      <w:sz w:val="21"/>
                      <w:szCs w:val="21"/>
                      <w:lang w:bidi="ar"/>
                    </w:rPr>
                    <w:t>除磁机</w:t>
                  </w:r>
                </w:p>
              </w:tc>
              <w:tc>
                <w:tcPr>
                  <w:tcW w:w="1785" w:type="dxa"/>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65</w:t>
                  </w:r>
                </w:p>
              </w:tc>
              <w:tc>
                <w:tcPr>
                  <w:tcW w:w="15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1</w:t>
                  </w:r>
                </w:p>
              </w:tc>
              <w:tc>
                <w:tcPr>
                  <w:tcW w:w="1639" w:type="dxa"/>
                  <w:noWrap w:val="0"/>
                  <w:vAlign w:val="center"/>
                </w:tcPr>
                <w:p>
                  <w:pPr>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16</w:t>
                  </w:r>
                </w:p>
              </w:tc>
              <w:tc>
                <w:tcPr>
                  <w:tcW w:w="225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olor w:val="auto"/>
                      <w:kern w:val="0"/>
                      <w:sz w:val="21"/>
                      <w:szCs w:val="21"/>
                      <w:lang w:bidi="ar"/>
                    </w:rPr>
                    <w:t>气流磨</w:t>
                  </w:r>
                </w:p>
              </w:tc>
              <w:tc>
                <w:tcPr>
                  <w:tcW w:w="1785" w:type="dxa"/>
                  <w:noWrap w:val="0"/>
                  <w:vAlign w:val="center"/>
                </w:tcPr>
                <w:p>
                  <w:pPr>
                    <w:keepNext w:val="0"/>
                    <w:keepLines w:val="0"/>
                    <w:pageBreakBefore w:val="0"/>
                    <w:kinsoku/>
                    <w:wordWrap/>
                    <w:overflowPunct/>
                    <w:topLinePunct w:val="0"/>
                    <w:autoSpaceDE/>
                    <w:autoSpaceDN/>
                    <w:bidi w:val="0"/>
                    <w:adjustRightInd/>
                    <w:spacing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70</w:t>
                  </w:r>
                </w:p>
              </w:tc>
              <w:tc>
                <w:tcPr>
                  <w:tcW w:w="1500" w:type="dxa"/>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right="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1</w:t>
                  </w:r>
                </w:p>
              </w:tc>
              <w:tc>
                <w:tcPr>
                  <w:tcW w:w="1639" w:type="dxa"/>
                  <w:noWrap w:val="0"/>
                  <w:vAlign w:val="center"/>
                </w:tcPr>
                <w:p>
                  <w:pPr>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17</w:t>
                  </w:r>
                </w:p>
              </w:tc>
              <w:tc>
                <w:tcPr>
                  <w:tcW w:w="225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1号</w:t>
                  </w:r>
                  <w:r>
                    <w:rPr>
                      <w:rFonts w:hint="default" w:ascii="Times New Roman" w:hAnsi="Times New Roman" w:eastAsia="宋体" w:cs="Times New Roman"/>
                      <w:b w:val="0"/>
                      <w:bCs w:val="0"/>
                      <w:i w:val="0"/>
                      <w:iCs w:val="0"/>
                      <w:color w:val="auto"/>
                      <w:kern w:val="0"/>
                      <w:sz w:val="21"/>
                      <w:szCs w:val="21"/>
                      <w:u w:val="none"/>
                      <w:lang w:val="en-US" w:eastAsia="zh-CN" w:bidi="ar"/>
                    </w:rPr>
                    <w:t>风机</w:t>
                  </w:r>
                </w:p>
              </w:tc>
              <w:tc>
                <w:tcPr>
                  <w:tcW w:w="1785"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78</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74"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18</w:t>
                  </w:r>
                </w:p>
              </w:tc>
              <w:tc>
                <w:tcPr>
                  <w:tcW w:w="225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2号</w:t>
                  </w:r>
                  <w:r>
                    <w:rPr>
                      <w:rFonts w:hint="default" w:ascii="Times New Roman" w:hAnsi="Times New Roman" w:eastAsia="宋体" w:cs="Times New Roman"/>
                      <w:b w:val="0"/>
                      <w:bCs w:val="0"/>
                      <w:i w:val="0"/>
                      <w:iCs w:val="0"/>
                      <w:color w:val="auto"/>
                      <w:kern w:val="0"/>
                      <w:sz w:val="21"/>
                      <w:szCs w:val="21"/>
                      <w:u w:val="none"/>
                      <w:lang w:val="en-US" w:eastAsia="zh-CN" w:bidi="ar"/>
                    </w:rPr>
                    <w:t>风机</w:t>
                  </w:r>
                </w:p>
              </w:tc>
              <w:tc>
                <w:tcPr>
                  <w:tcW w:w="1785"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78</w:t>
                  </w:r>
                </w:p>
              </w:tc>
              <w:tc>
                <w:tcPr>
                  <w:tcW w:w="150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1</w:t>
                  </w:r>
                </w:p>
              </w:tc>
              <w:tc>
                <w:tcPr>
                  <w:tcW w:w="1639"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eastAsia"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研发车间</w:t>
                  </w:r>
                  <w:r>
                    <w:rPr>
                      <w:rFonts w:hint="default" w:ascii="Times New Roman" w:hAnsi="Times New Roman" w:eastAsia="宋体" w:cs="Times New Roman"/>
                      <w:b w:val="0"/>
                      <w:bCs w:val="0"/>
                      <w:color w:val="auto"/>
                      <w:kern w:val="0"/>
                      <w:sz w:val="21"/>
                      <w:szCs w:val="21"/>
                      <w:vertAlign w:val="baseline"/>
                      <w:lang w:val="en-US" w:eastAsia="zh-CN" w:bidi="ar"/>
                    </w:rPr>
                    <w:t>外</w:t>
                  </w:r>
                </w:p>
              </w:tc>
            </w:tr>
          </w:tbl>
          <w:p>
            <w:pPr>
              <w:pStyle w:val="11"/>
              <w:rPr>
                <w:rFonts w:hint="eastAsia" w:ascii="宋体" w:hAnsi="宋体" w:eastAsia="宋体" w:cs="宋体"/>
                <w:b/>
                <w:bCs/>
                <w:color w:val="auto"/>
                <w:kern w:val="0"/>
                <w:sz w:val="20"/>
                <w:szCs w:val="20"/>
                <w:lang w:val="en-US" w:eastAsia="zh-CN" w:bidi="ar"/>
              </w:rPr>
            </w:pPr>
          </w:p>
          <w:p>
            <w:pPr>
              <w:pStyle w:val="11"/>
              <w:rPr>
                <w:rFonts w:hint="eastAsia" w:ascii="宋体" w:hAnsi="宋体" w:eastAsia="宋体" w:cs="宋体"/>
                <w:b/>
                <w:bCs/>
                <w:color w:val="auto"/>
                <w:kern w:val="0"/>
                <w:sz w:val="20"/>
                <w:szCs w:val="20"/>
                <w:lang w:val="en-US" w:eastAsia="zh-CN" w:bidi="ar"/>
              </w:rPr>
            </w:pPr>
          </w:p>
          <w:p>
            <w:pPr>
              <w:spacing w:line="360" w:lineRule="auto"/>
              <w:rPr>
                <w:rFonts w:ascii="宋体" w:hAnsi="宋体" w:cs="宋体"/>
                <w:bCs/>
                <w:color w:val="auto"/>
                <w:spacing w:val="-10"/>
                <w:szCs w:val="21"/>
              </w:rPr>
            </w:pPr>
          </w:p>
        </w:tc>
      </w:tr>
    </w:tbl>
    <w:p>
      <w:pPr>
        <w:adjustRightInd w:val="0"/>
        <w:snapToGrid w:val="0"/>
        <w:jc w:val="center"/>
        <w:rPr>
          <w:rFonts w:hint="eastAsia" w:ascii="宋体" w:hAnsi="宋体" w:cs="宋体"/>
          <w:bCs/>
          <w:color w:val="auto"/>
          <w:sz w:val="24"/>
        </w:rPr>
        <w:sectPr>
          <w:pgSz w:w="11907" w:h="16840"/>
          <w:pgMar w:top="1701" w:right="1531" w:bottom="2127" w:left="1531" w:header="851" w:footer="851" w:gutter="0"/>
          <w:cols w:space="720" w:num="1"/>
          <w:docGrid w:linePitch="312" w:charSpace="0"/>
        </w:sectPr>
      </w:pPr>
    </w:p>
    <w:tbl>
      <w:tblPr>
        <w:tblStyle w:val="36"/>
        <w:tblW w:w="1465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39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00" w:hRule="atLeast"/>
          <w:jc w:val="center"/>
        </w:trPr>
        <w:tc>
          <w:tcPr>
            <w:tcW w:w="666" w:type="dxa"/>
            <w:noWrap w:val="0"/>
            <w:tcMar>
              <w:left w:w="28" w:type="dxa"/>
              <w:right w:w="28" w:type="dxa"/>
            </w:tcMar>
            <w:vAlign w:val="center"/>
          </w:tcPr>
          <w:p>
            <w:pPr>
              <w:adjustRightInd w:val="0"/>
              <w:snapToGrid w:val="0"/>
              <w:jc w:val="center"/>
              <w:rPr>
                <w:rFonts w:hint="eastAsia" w:ascii="宋体" w:hAnsi="宋体" w:cs="宋体"/>
                <w:bCs/>
                <w:color w:val="auto"/>
                <w:sz w:val="24"/>
              </w:rPr>
            </w:pPr>
            <w:r>
              <w:rPr>
                <w:rFonts w:hint="eastAsia" w:ascii="宋体" w:hAnsi="宋体" w:cs="宋体"/>
                <w:bCs/>
                <w:color w:val="auto"/>
                <w:sz w:val="24"/>
              </w:rPr>
              <w:t>运营</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期环</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境影</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响和</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保护</w:t>
            </w:r>
          </w:p>
          <w:p>
            <w:pPr>
              <w:adjustRightInd w:val="0"/>
              <w:snapToGrid w:val="0"/>
              <w:jc w:val="center"/>
              <w:rPr>
                <w:rFonts w:ascii="宋体" w:hAnsi="宋体" w:cs="宋体"/>
                <w:bCs/>
                <w:color w:val="auto"/>
                <w:szCs w:val="21"/>
              </w:rPr>
            </w:pPr>
            <w:r>
              <w:rPr>
                <w:rFonts w:hint="eastAsia" w:ascii="宋体" w:hAnsi="宋体" w:cs="宋体"/>
                <w:bCs/>
                <w:color w:val="auto"/>
                <w:sz w:val="24"/>
              </w:rPr>
              <w:t>措施</w:t>
            </w:r>
          </w:p>
        </w:tc>
        <w:tc>
          <w:tcPr>
            <w:tcW w:w="13991" w:type="dxa"/>
            <w:noWrap w:val="0"/>
            <w:vAlign w:val="center"/>
          </w:tcPr>
          <w:p>
            <w:pPr>
              <w:spacing w:line="360" w:lineRule="auto"/>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表4</w:t>
            </w:r>
            <w:r>
              <w:rPr>
                <w:rFonts w:hint="eastAsia" w:ascii="Times New Roman" w:hAnsi="Times New Roman" w:cs="Times New Roman"/>
                <w:b/>
                <w:bCs/>
                <w:color w:val="auto"/>
                <w:szCs w:val="21"/>
                <w:lang w:val="en-US" w:eastAsia="zh-CN"/>
              </w:rPr>
              <w:t>-12</w:t>
            </w:r>
            <w:r>
              <w:rPr>
                <w:rFonts w:hint="default" w:ascii="Times New Roman" w:hAnsi="Times New Roman" w:cs="Times New Roman"/>
                <w:b/>
                <w:bCs/>
                <w:color w:val="auto"/>
                <w:szCs w:val="21"/>
              </w:rPr>
              <w:t xml:space="preserve"> 本项目主要噪声源源强（室内声源）  单位：dB（A）</w:t>
            </w:r>
          </w:p>
          <w:tbl>
            <w:tblPr>
              <w:tblStyle w:val="36"/>
              <w:tblW w:w="137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71"/>
              <w:gridCol w:w="615"/>
              <w:gridCol w:w="945"/>
              <w:gridCol w:w="885"/>
              <w:gridCol w:w="900"/>
              <w:gridCol w:w="1365"/>
              <w:gridCol w:w="675"/>
              <w:gridCol w:w="675"/>
              <w:gridCol w:w="675"/>
              <w:gridCol w:w="1290"/>
              <w:gridCol w:w="1155"/>
              <w:gridCol w:w="774"/>
              <w:gridCol w:w="1281"/>
              <w:gridCol w:w="1305"/>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1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建筑物名称</w:t>
                  </w:r>
                </w:p>
              </w:tc>
              <w:tc>
                <w:tcPr>
                  <w:tcW w:w="94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声源名称</w:t>
                  </w:r>
                </w:p>
              </w:tc>
              <w:tc>
                <w:tcPr>
                  <w:tcW w:w="88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型号</w:t>
                  </w:r>
                </w:p>
              </w:tc>
              <w:tc>
                <w:tcPr>
                  <w:tcW w:w="2265"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声源源强（任选一种）</w:t>
                  </w:r>
                </w:p>
              </w:tc>
              <w:tc>
                <w:tcPr>
                  <w:tcW w:w="2025" w:type="dxa"/>
                  <w:gridSpan w:val="3"/>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空间相对位置/m</w:t>
                  </w:r>
                </w:p>
              </w:tc>
              <w:tc>
                <w:tcPr>
                  <w:tcW w:w="1290"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距室内边界距离/m</w:t>
                  </w:r>
                </w:p>
              </w:tc>
              <w:tc>
                <w:tcPr>
                  <w:tcW w:w="115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室内边界声级/dB（A）</w:t>
                  </w:r>
                </w:p>
              </w:tc>
              <w:tc>
                <w:tcPr>
                  <w:tcW w:w="77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运行时段</w:t>
                  </w:r>
                </w:p>
              </w:tc>
              <w:tc>
                <w:tcPr>
                  <w:tcW w:w="1281"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建筑物插入损失/dB（A）</w:t>
                  </w:r>
                </w:p>
              </w:tc>
              <w:tc>
                <w:tcPr>
                  <w:tcW w:w="2151"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61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94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88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声功率级/dB（A）</w:t>
                  </w:r>
                </w:p>
              </w:tc>
              <w:tc>
                <w:tcPr>
                  <w:tcW w:w="136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声源控制措施</w:t>
                  </w:r>
                </w:p>
              </w:tc>
              <w:tc>
                <w:tcPr>
                  <w:tcW w:w="67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X</w:t>
                  </w:r>
                </w:p>
              </w:tc>
              <w:tc>
                <w:tcPr>
                  <w:tcW w:w="67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Y</w:t>
                  </w:r>
                </w:p>
              </w:tc>
              <w:tc>
                <w:tcPr>
                  <w:tcW w:w="67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Z</w:t>
                  </w:r>
                </w:p>
              </w:tc>
              <w:tc>
                <w:tcPr>
                  <w:tcW w:w="129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115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774"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1281"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p>
              </w:tc>
              <w:tc>
                <w:tcPr>
                  <w:tcW w:w="130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声压级</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/dB（A）</w:t>
                  </w:r>
                </w:p>
              </w:tc>
              <w:tc>
                <w:tcPr>
                  <w:tcW w:w="84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1号压延系统</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对辊直径400，高铬合金</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68</w:t>
                  </w:r>
                </w:p>
              </w:tc>
              <w:tc>
                <w:tcPr>
                  <w:tcW w:w="136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低噪声设备、合理布局、隔声减振、加强维护检修</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-17.04</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5.95</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c>
                <w:tcPr>
                  <w:tcW w:w="129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15.10</w:t>
                  </w:r>
                </w:p>
              </w:tc>
              <w:tc>
                <w:tcPr>
                  <w:tcW w:w="115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59.31</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28.31</w:t>
                  </w:r>
                </w:p>
              </w:tc>
              <w:tc>
                <w:tcPr>
                  <w:tcW w:w="84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1号复配（布料）落料系统</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65</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-14.38</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5.57</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15.10</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56.31</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25.31</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3</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1号横切机</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69</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-25.54</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18.51</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3.88</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60.47</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29.47</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4</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1号膨化炉</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60</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-6.64</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3.54</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16.00</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51.31</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20.31</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5</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1号进料机</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65</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-2.96</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3.29</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15.73</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56.31</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25.31</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1号卷纸机</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65</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-19.47</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11.23</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10.22</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56.33</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25.33</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7</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1号物料分级系统</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70</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-4.67</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8.65</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10.66</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61.32</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30.32</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8</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2号卷纸机</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65</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-26.94</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16.73</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5.84</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56.38</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25.38</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9</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2号压延系统</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对辊直径500，高铬合金</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68</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-19.32</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18.64</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2.86</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59.60</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28.60</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10</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2号复配（布料）落料系统</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65</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-17.42</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18.51</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2.72</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56.64</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25.64</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11</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2号横切机</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69</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-22.75</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7.35</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14.53</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60.31</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29.31</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12</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2号物料分级系统</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70</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-13.11</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17.62</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2.99</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61.58</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30.58</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r>
                    <w:rPr>
                      <w:rFonts w:hint="eastAsia" w:ascii="Times New Roman" w:hAnsi="Times New Roman" w:eastAsia="宋体" w:cs="Times New Roman"/>
                      <w:b w:val="0"/>
                      <w:bCs w:val="0"/>
                      <w:color w:val="auto"/>
                      <w:kern w:val="0"/>
                      <w:sz w:val="21"/>
                      <w:szCs w:val="21"/>
                      <w:vertAlign w:val="baseline"/>
                      <w:lang w:val="en-US" w:eastAsia="zh-CN" w:bidi="ar"/>
                    </w:rPr>
                    <w:t>3</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2号膨化炉</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60</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-7.53</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17.12</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2.69</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51.64</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20.64</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r>
                    <w:rPr>
                      <w:rFonts w:hint="eastAsia" w:ascii="Times New Roman" w:hAnsi="Times New Roman" w:eastAsia="宋体" w:cs="Times New Roman"/>
                      <w:b w:val="0"/>
                      <w:bCs w:val="0"/>
                      <w:color w:val="auto"/>
                      <w:kern w:val="0"/>
                      <w:sz w:val="21"/>
                      <w:szCs w:val="21"/>
                      <w:vertAlign w:val="baseline"/>
                      <w:lang w:val="en-US" w:eastAsia="zh-CN" w:bidi="ar"/>
                    </w:rPr>
                    <w:t>4</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2号进料机</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65</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-2.7</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16.23</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2.88</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56.60</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25.60</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r>
                    <w:rPr>
                      <w:rFonts w:hint="eastAsia" w:ascii="Times New Roman" w:hAnsi="Times New Roman" w:eastAsia="宋体" w:cs="Times New Roman"/>
                      <w:b w:val="0"/>
                      <w:bCs w:val="0"/>
                      <w:color w:val="auto"/>
                      <w:kern w:val="0"/>
                      <w:sz w:val="21"/>
                      <w:szCs w:val="21"/>
                      <w:vertAlign w:val="baseline"/>
                      <w:lang w:val="en-US" w:eastAsia="zh-CN" w:bidi="ar"/>
                    </w:rPr>
                    <w:t>5</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除磁机</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65</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-29.62</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11.84</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11.06</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56.32</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25.32</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371"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r>
                    <w:rPr>
                      <w:rFonts w:hint="eastAsia" w:ascii="Times New Roman" w:hAnsi="Times New Roman" w:eastAsia="宋体" w:cs="Times New Roman"/>
                      <w:b w:val="0"/>
                      <w:bCs w:val="0"/>
                      <w:color w:val="auto"/>
                      <w:kern w:val="0"/>
                      <w:sz w:val="21"/>
                      <w:szCs w:val="21"/>
                      <w:vertAlign w:val="baseline"/>
                      <w:lang w:val="en-US" w:eastAsia="zh-CN" w:bidi="ar"/>
                    </w:rPr>
                    <w:t>6</w:t>
                  </w:r>
                </w:p>
              </w:tc>
              <w:tc>
                <w:tcPr>
                  <w:tcW w:w="6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中试车间</w:t>
                  </w:r>
                  <w:r>
                    <w:rPr>
                      <w:rFonts w:hint="default" w:ascii="Times New Roman" w:hAnsi="Times New Roman" w:eastAsia="宋体" w:cs="Times New Roman"/>
                      <w:b w:val="0"/>
                      <w:bCs w:val="0"/>
                      <w:i w:val="0"/>
                      <w:iCs w:val="0"/>
                      <w:color w:val="auto"/>
                      <w:kern w:val="0"/>
                      <w:sz w:val="21"/>
                      <w:szCs w:val="21"/>
                      <w:u w:val="none"/>
                      <w:lang w:val="en-US" w:eastAsia="zh-CN" w:bidi="ar"/>
                    </w:rPr>
                    <w:t>内</w:t>
                  </w:r>
                </w:p>
              </w:tc>
              <w:tc>
                <w:tcPr>
                  <w:tcW w:w="9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气流磨</w:t>
                  </w:r>
                </w:p>
              </w:tc>
              <w:tc>
                <w:tcPr>
                  <w:tcW w:w="88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bidi="ar"/>
                    </w:rPr>
                    <w:t>/</w:t>
                  </w:r>
                </w:p>
              </w:tc>
              <w:tc>
                <w:tcPr>
                  <w:tcW w:w="90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72</w:t>
                  </w:r>
                </w:p>
              </w:tc>
              <w:tc>
                <w:tcPr>
                  <w:tcW w:w="136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-31.16</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17.21</w:t>
                  </w:r>
                </w:p>
              </w:tc>
              <w:tc>
                <w:tcPr>
                  <w:tcW w:w="67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c>
                <w:tcPr>
                  <w:tcW w:w="1290"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5.97</w:t>
                  </w:r>
                </w:p>
              </w:tc>
              <w:tc>
                <w:tcPr>
                  <w:tcW w:w="115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63.37</w:t>
                  </w:r>
                </w:p>
              </w:tc>
              <w:tc>
                <w:tcPr>
                  <w:tcW w:w="7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128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31</w:t>
                  </w:r>
                </w:p>
              </w:tc>
              <w:tc>
                <w:tcPr>
                  <w:tcW w:w="1305"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32.37</w:t>
                  </w:r>
                </w:p>
              </w:tc>
              <w:tc>
                <w:tcPr>
                  <w:tcW w:w="84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1</w:t>
                  </w:r>
                </w:p>
              </w:tc>
            </w:tr>
          </w:tbl>
          <w:p>
            <w:pPr>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eastAsia" w:ascii="Times New Roman" w:hAnsi="Times New Roman" w:cs="Times New Roman"/>
                <w:b/>
                <w:bCs/>
                <w:color w:val="auto"/>
                <w:sz w:val="21"/>
                <w:szCs w:val="21"/>
                <w:lang w:val="en-US" w:eastAsia="zh-CN"/>
              </w:rPr>
              <w:t>13</w:t>
            </w:r>
            <w:r>
              <w:rPr>
                <w:rFonts w:hint="default" w:ascii="Times New Roman" w:hAnsi="Times New Roman" w:cs="Times New Roman"/>
                <w:b/>
                <w:bCs/>
                <w:color w:val="auto"/>
                <w:sz w:val="21"/>
                <w:szCs w:val="21"/>
              </w:rPr>
              <w:t xml:space="preserve"> 本项目主要噪声源源强（室外声源）  单位：dB（A）</w:t>
            </w:r>
          </w:p>
          <w:tbl>
            <w:tblPr>
              <w:tblStyle w:val="36"/>
              <w:tblW w:w="13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560"/>
              <w:gridCol w:w="705"/>
              <w:gridCol w:w="1096"/>
              <w:gridCol w:w="1096"/>
              <w:gridCol w:w="1097"/>
              <w:gridCol w:w="2876"/>
              <w:gridCol w:w="3281"/>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42"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序号</w:t>
                  </w:r>
                </w:p>
              </w:tc>
              <w:tc>
                <w:tcPr>
                  <w:tcW w:w="1560"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声源名称</w:t>
                  </w:r>
                </w:p>
              </w:tc>
              <w:tc>
                <w:tcPr>
                  <w:tcW w:w="705"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型号</w:t>
                  </w:r>
                </w:p>
              </w:tc>
              <w:tc>
                <w:tcPr>
                  <w:tcW w:w="3289" w:type="dxa"/>
                  <w:gridSpan w:val="3"/>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空间相对位置/m</w:t>
                  </w:r>
                </w:p>
              </w:tc>
              <w:tc>
                <w:tcPr>
                  <w:tcW w:w="287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声源源强（任选一种）</w:t>
                  </w:r>
                </w:p>
              </w:tc>
              <w:tc>
                <w:tcPr>
                  <w:tcW w:w="3281"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声源控制措施</w:t>
                  </w:r>
                </w:p>
              </w:tc>
              <w:tc>
                <w:tcPr>
                  <w:tcW w:w="1322"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42" w:type="dxa"/>
                  <w:vMerge w:val="continue"/>
                  <w:noWrap w:val="0"/>
                  <w:vAlign w:val="top"/>
                </w:tcPr>
                <w:p>
                  <w:pPr>
                    <w:pStyle w:val="11"/>
                    <w:jc w:val="center"/>
                    <w:rPr>
                      <w:rFonts w:hint="default" w:ascii="Times New Roman" w:hAnsi="Times New Roman" w:cs="Times New Roman"/>
                      <w:color w:val="auto"/>
                      <w:sz w:val="21"/>
                      <w:szCs w:val="21"/>
                    </w:rPr>
                  </w:pPr>
                </w:p>
              </w:tc>
              <w:tc>
                <w:tcPr>
                  <w:tcW w:w="1560" w:type="dxa"/>
                  <w:vMerge w:val="continue"/>
                  <w:noWrap w:val="0"/>
                  <w:vAlign w:val="top"/>
                </w:tcPr>
                <w:p>
                  <w:pPr>
                    <w:pStyle w:val="11"/>
                    <w:jc w:val="center"/>
                    <w:rPr>
                      <w:rFonts w:hint="default" w:ascii="Times New Roman" w:hAnsi="Times New Roman" w:cs="Times New Roman"/>
                      <w:color w:val="auto"/>
                      <w:sz w:val="21"/>
                      <w:szCs w:val="21"/>
                    </w:rPr>
                  </w:pPr>
                </w:p>
              </w:tc>
              <w:tc>
                <w:tcPr>
                  <w:tcW w:w="705" w:type="dxa"/>
                  <w:vMerge w:val="continue"/>
                  <w:noWrap w:val="0"/>
                  <w:vAlign w:val="top"/>
                </w:tcPr>
                <w:p>
                  <w:pPr>
                    <w:pStyle w:val="11"/>
                    <w:jc w:val="center"/>
                    <w:rPr>
                      <w:rFonts w:hint="default" w:ascii="Times New Roman" w:hAnsi="Times New Roman" w:cs="Times New Roman"/>
                      <w:color w:val="auto"/>
                      <w:sz w:val="21"/>
                      <w:szCs w:val="21"/>
                    </w:rPr>
                  </w:pPr>
                </w:p>
              </w:tc>
              <w:tc>
                <w:tcPr>
                  <w:tcW w:w="109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1096"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109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w:t>
                  </w:r>
                </w:p>
              </w:tc>
              <w:tc>
                <w:tcPr>
                  <w:tcW w:w="2876"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声功率级/dB</w:t>
                  </w:r>
                  <w:r>
                    <w:rPr>
                      <w:rFonts w:hint="default" w:ascii="Times New Roman" w:hAnsi="Times New Roman" w:cs="Times New Roman"/>
                      <w:b/>
                      <w:color w:val="auto"/>
                      <w:sz w:val="21"/>
                      <w:szCs w:val="21"/>
                    </w:rPr>
                    <w:t>（A）</w:t>
                  </w:r>
                </w:p>
              </w:tc>
              <w:tc>
                <w:tcPr>
                  <w:tcW w:w="3281" w:type="dxa"/>
                  <w:vMerge w:val="continue"/>
                  <w:noWrap w:val="0"/>
                  <w:vAlign w:val="top"/>
                </w:tcPr>
                <w:p>
                  <w:pPr>
                    <w:pStyle w:val="11"/>
                    <w:jc w:val="center"/>
                    <w:rPr>
                      <w:rFonts w:hint="default" w:ascii="Times New Roman" w:hAnsi="Times New Roman" w:cs="Times New Roman"/>
                      <w:color w:val="auto"/>
                      <w:sz w:val="21"/>
                      <w:szCs w:val="21"/>
                    </w:rPr>
                  </w:pPr>
                </w:p>
              </w:tc>
              <w:tc>
                <w:tcPr>
                  <w:tcW w:w="1322" w:type="dxa"/>
                  <w:vMerge w:val="continue"/>
                  <w:noWrap w:val="0"/>
                  <w:vAlign w:val="top"/>
                </w:tcPr>
                <w:p>
                  <w:pPr>
                    <w:pStyle w:val="11"/>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4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6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1号风</w:t>
                  </w:r>
                  <w:r>
                    <w:rPr>
                      <w:rFonts w:hint="default" w:ascii="Times New Roman" w:hAnsi="Times New Roman" w:eastAsia="宋体" w:cs="Times New Roman"/>
                      <w:b w:val="0"/>
                      <w:bCs w:val="0"/>
                      <w:i w:val="0"/>
                      <w:iCs w:val="0"/>
                      <w:color w:val="auto"/>
                      <w:kern w:val="0"/>
                      <w:sz w:val="21"/>
                      <w:szCs w:val="21"/>
                      <w:u w:val="none"/>
                      <w:lang w:val="en-US" w:eastAsia="zh-CN" w:bidi="ar"/>
                    </w:rPr>
                    <w:t>机</w:t>
                  </w:r>
                </w:p>
              </w:tc>
              <w:tc>
                <w:tcPr>
                  <w:tcW w:w="705"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9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-33.15</w:t>
                  </w:r>
                </w:p>
              </w:tc>
              <w:tc>
                <w:tcPr>
                  <w:tcW w:w="109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13.04</w:t>
                  </w:r>
                </w:p>
              </w:tc>
              <w:tc>
                <w:tcPr>
                  <w:tcW w:w="1097"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2876"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vertAlign w:val="baseline"/>
                      <w:lang w:val="en-US" w:eastAsia="zh-CN" w:bidi="ar"/>
                    </w:rPr>
                    <w:t>78</w:t>
                  </w:r>
                </w:p>
              </w:tc>
              <w:tc>
                <w:tcPr>
                  <w:tcW w:w="328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采取隔声、减震等噪声控制措施</w:t>
                  </w:r>
                </w:p>
              </w:tc>
              <w:tc>
                <w:tcPr>
                  <w:tcW w:w="132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4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560"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2号风</w:t>
                  </w:r>
                  <w:r>
                    <w:rPr>
                      <w:rFonts w:hint="default" w:ascii="Times New Roman" w:hAnsi="Times New Roman" w:eastAsia="宋体" w:cs="Times New Roman"/>
                      <w:b w:val="0"/>
                      <w:bCs w:val="0"/>
                      <w:i w:val="0"/>
                      <w:iCs w:val="0"/>
                      <w:color w:val="auto"/>
                      <w:kern w:val="0"/>
                      <w:sz w:val="21"/>
                      <w:szCs w:val="21"/>
                      <w:u w:val="none"/>
                      <w:lang w:val="en-US" w:eastAsia="zh-CN" w:bidi="ar"/>
                    </w:rPr>
                    <w:t>机</w:t>
                  </w:r>
                </w:p>
              </w:tc>
              <w:tc>
                <w:tcPr>
                  <w:tcW w:w="705"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9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-6.76</w:t>
                  </w:r>
                </w:p>
              </w:tc>
              <w:tc>
                <w:tcPr>
                  <w:tcW w:w="1096"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10.92</w:t>
                  </w:r>
                </w:p>
              </w:tc>
              <w:tc>
                <w:tcPr>
                  <w:tcW w:w="1097" w:type="dxa"/>
                  <w:noWrap w:val="0"/>
                  <w:vAlign w:val="center"/>
                </w:tcPr>
                <w:p>
                  <w:pPr>
                    <w:keepNext w:val="0"/>
                    <w:keepLines w:val="0"/>
                    <w:widowControl/>
                    <w:suppressLineNumbers w:val="0"/>
                    <w:wordWrap/>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2876" w:type="dxa"/>
                  <w:noWrap w:val="0"/>
                  <w:vAlign w:val="center"/>
                </w:tcPr>
                <w:p>
                  <w:pPr>
                    <w:pStyle w:val="11"/>
                    <w:keepNext w:val="0"/>
                    <w:keepLines w:val="0"/>
                    <w:pageBreakBefore w:val="0"/>
                    <w:kinsoku/>
                    <w:wordWrap/>
                    <w:overflowPunct/>
                    <w:topLinePunct w:val="0"/>
                    <w:autoSpaceDE/>
                    <w:autoSpaceDN/>
                    <w:bidi w:val="0"/>
                    <w:adjustRightInd/>
                    <w:spacing w:before="0" w:after="0" w:line="240" w:lineRule="auto"/>
                    <w:ind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vertAlign w:val="baseline"/>
                      <w:lang w:val="en-US" w:eastAsia="zh-CN" w:bidi="ar"/>
                    </w:rPr>
                    <w:t>78</w:t>
                  </w:r>
                </w:p>
              </w:tc>
              <w:tc>
                <w:tcPr>
                  <w:tcW w:w="328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采取隔声、减震等噪声控制措施</w:t>
                  </w:r>
                </w:p>
              </w:tc>
              <w:tc>
                <w:tcPr>
                  <w:tcW w:w="132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r>
          </w:tbl>
          <w:p>
            <w:pPr>
              <w:spacing w:line="360" w:lineRule="auto"/>
              <w:jc w:val="left"/>
              <w:rPr>
                <w:rFonts w:ascii="宋体" w:hAnsi="宋体" w:cs="宋体"/>
                <w:bCs/>
                <w:color w:val="auto"/>
                <w:spacing w:val="-10"/>
                <w:szCs w:val="21"/>
              </w:rPr>
            </w:pPr>
          </w:p>
        </w:tc>
      </w:tr>
    </w:tbl>
    <w:p>
      <w:pPr>
        <w:adjustRightInd w:val="0"/>
        <w:snapToGrid w:val="0"/>
        <w:jc w:val="center"/>
        <w:rPr>
          <w:rFonts w:hint="eastAsia" w:ascii="宋体" w:hAnsi="宋体" w:cs="宋体"/>
          <w:bCs/>
          <w:color w:val="auto"/>
          <w:sz w:val="24"/>
        </w:rPr>
        <w:sectPr>
          <w:pgSz w:w="16840" w:h="11907" w:orient="landscape"/>
          <w:pgMar w:top="1531" w:right="1701" w:bottom="1531" w:left="2127" w:header="851" w:footer="851" w:gutter="0"/>
          <w:cols w:space="720" w:num="1"/>
          <w:docGrid w:linePitch="312" w:charSpace="0"/>
        </w:sectPr>
      </w:pPr>
    </w:p>
    <w:tbl>
      <w:tblPr>
        <w:tblStyle w:val="36"/>
        <w:tblW w:w="890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color w:val="auto"/>
                <w:sz w:val="24"/>
              </w:rPr>
            </w:pPr>
            <w:r>
              <w:rPr>
                <w:rFonts w:hint="eastAsia" w:ascii="宋体" w:hAnsi="宋体" w:cs="宋体"/>
                <w:bCs/>
                <w:color w:val="auto"/>
                <w:sz w:val="24"/>
              </w:rPr>
              <w:t>运营</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期环</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境影</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响和</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保护</w:t>
            </w:r>
          </w:p>
          <w:p>
            <w:pPr>
              <w:pStyle w:val="32"/>
              <w:adjustRightInd w:val="0"/>
              <w:snapToGrid w:val="0"/>
              <w:spacing w:before="0" w:beforeAutospacing="0" w:after="0" w:afterAutospacing="0"/>
              <w:jc w:val="center"/>
              <w:rPr>
                <w:rFonts w:hint="eastAsia" w:cs="宋体"/>
                <w:bCs/>
                <w:color w:val="auto"/>
                <w:kern w:val="2"/>
                <w:sz w:val="21"/>
                <w:szCs w:val="21"/>
              </w:rPr>
            </w:pPr>
            <w:r>
              <w:rPr>
                <w:rFonts w:hint="eastAsia" w:cs="宋体"/>
                <w:bCs/>
                <w:color w:val="auto"/>
              </w:rPr>
              <w:t>措施</w:t>
            </w:r>
          </w:p>
        </w:tc>
        <w:tc>
          <w:tcPr>
            <w:tcW w:w="8162" w:type="dxa"/>
            <w:noWrap w:val="0"/>
            <w:vAlign w:val="center"/>
          </w:tcPr>
          <w:p>
            <w:pPr>
              <w:widowControl/>
              <w:spacing w:line="360" w:lineRule="auto"/>
              <w:ind w:firstLine="482" w:firstLineChars="200"/>
              <w:rPr>
                <w:b/>
                <w:bCs/>
                <w:color w:val="auto"/>
                <w:sz w:val="24"/>
              </w:rPr>
            </w:pPr>
            <w:r>
              <w:rPr>
                <w:rFonts w:hint="eastAsia"/>
                <w:b/>
                <w:bCs/>
                <w:color w:val="auto"/>
                <w:kern w:val="0"/>
                <w:sz w:val="24"/>
                <w:lang w:val="en-US" w:eastAsia="zh-CN" w:bidi="ar"/>
              </w:rPr>
              <w:t>2、</w:t>
            </w:r>
            <w:r>
              <w:rPr>
                <w:b/>
                <w:bCs/>
                <w:color w:val="auto"/>
                <w:kern w:val="0"/>
                <w:sz w:val="24"/>
                <w:lang w:bidi="ar"/>
              </w:rPr>
              <w:t>治理措施</w:t>
            </w:r>
          </w:p>
          <w:p>
            <w:pPr>
              <w:widowControl/>
              <w:spacing w:line="360" w:lineRule="auto"/>
              <w:ind w:firstLine="480" w:firstLineChars="200"/>
              <w:rPr>
                <w:color w:val="auto"/>
                <w:sz w:val="24"/>
              </w:rPr>
            </w:pPr>
            <w:r>
              <w:rPr>
                <w:color w:val="auto"/>
                <w:kern w:val="0"/>
                <w:sz w:val="24"/>
                <w:lang w:bidi="ar"/>
              </w:rPr>
              <w:t>为有效降低设备噪声，确保厂界噪声达到《工业企业厂界环境噪声排放标准》（GB12348-2008）中</w:t>
            </w:r>
            <w:r>
              <w:rPr>
                <w:rFonts w:hint="eastAsia"/>
                <w:color w:val="auto"/>
                <w:kern w:val="0"/>
                <w:sz w:val="24"/>
                <w:lang w:bidi="ar"/>
              </w:rPr>
              <w:t>3</w:t>
            </w:r>
            <w:r>
              <w:rPr>
                <w:color w:val="auto"/>
                <w:kern w:val="0"/>
                <w:sz w:val="24"/>
                <w:lang w:bidi="ar"/>
              </w:rPr>
              <w:t>类标准，项目采取如下减缓措施：</w:t>
            </w:r>
          </w:p>
          <w:p>
            <w:pPr>
              <w:widowControl/>
              <w:spacing w:line="360" w:lineRule="auto"/>
              <w:ind w:firstLine="480" w:firstLineChars="200"/>
              <w:rPr>
                <w:rFonts w:hint="default" w:eastAsia="宋体"/>
                <w:color w:val="auto"/>
                <w:sz w:val="24"/>
                <w:lang w:val="en-US" w:eastAsia="zh-CN"/>
              </w:rPr>
            </w:pPr>
            <w:r>
              <w:rPr>
                <w:color w:val="auto"/>
                <w:kern w:val="0"/>
                <w:sz w:val="24"/>
                <w:lang w:bidi="ar"/>
              </w:rPr>
              <w:t>①选用先进的低噪声设备，并提高设备的安装质量和精度，从源头减轻设备的噪声量；</w:t>
            </w:r>
            <w:r>
              <w:rPr>
                <w:rFonts w:hint="eastAsia"/>
                <w:color w:val="auto"/>
                <w:kern w:val="0"/>
                <w:sz w:val="24"/>
                <w:lang w:val="en-US" w:eastAsia="zh-CN" w:bidi="ar"/>
              </w:rPr>
              <w:t xml:space="preserve">       </w:t>
            </w:r>
          </w:p>
          <w:p>
            <w:pPr>
              <w:widowControl/>
              <w:spacing w:line="360" w:lineRule="auto"/>
              <w:ind w:firstLine="480" w:firstLineChars="200"/>
              <w:rPr>
                <w:color w:val="auto"/>
                <w:kern w:val="0"/>
                <w:sz w:val="24"/>
                <w:lang w:bidi="ar"/>
              </w:rPr>
            </w:pPr>
            <w:r>
              <w:rPr>
                <w:color w:val="auto"/>
                <w:kern w:val="0"/>
                <w:sz w:val="24"/>
                <w:lang w:bidi="ar"/>
              </w:rPr>
              <w:t>②对于高噪声设备设置减震基础，可采取台基减震、橡胶减震接头以及减震垫等措施，进行柔性联接，以减小其振动影响；</w:t>
            </w:r>
          </w:p>
          <w:p>
            <w:pPr>
              <w:pStyle w:val="2"/>
              <w:spacing w:before="0" w:after="0" w:line="360" w:lineRule="auto"/>
              <w:ind w:left="0" w:firstLine="480" w:firstLineChars="200"/>
              <w:rPr>
                <w:rFonts w:ascii="Times New Roman" w:hAnsi="Times New Roman" w:eastAsia="宋体" w:cs="Times New Roman"/>
                <w:b w:val="0"/>
                <w:bCs w:val="0"/>
                <w:color w:val="auto"/>
                <w:kern w:val="0"/>
                <w:sz w:val="24"/>
                <w:szCs w:val="24"/>
                <w:lang w:val="en-US" w:eastAsia="zh-CN" w:bidi="ar"/>
              </w:rPr>
            </w:pPr>
            <w:r>
              <w:rPr>
                <w:rFonts w:eastAsia="宋体"/>
                <w:b w:val="0"/>
                <w:bCs w:val="0"/>
                <w:color w:val="auto"/>
                <w:kern w:val="0"/>
                <w:sz w:val="24"/>
                <w:szCs w:val="24"/>
                <w:lang w:bidi="ar"/>
              </w:rPr>
              <w:t>③加强设备日常维护与保养，对设备的运作需定期检查，使设备处于最佳工作状态，</w:t>
            </w:r>
            <w:r>
              <w:rPr>
                <w:rFonts w:ascii="Times New Roman" w:hAnsi="Times New Roman" w:eastAsia="宋体" w:cs="Times New Roman"/>
                <w:b w:val="0"/>
                <w:bCs w:val="0"/>
                <w:color w:val="auto"/>
                <w:kern w:val="0"/>
                <w:sz w:val="24"/>
                <w:szCs w:val="24"/>
                <w:lang w:val="en-US" w:eastAsia="zh-CN" w:bidi="ar"/>
              </w:rPr>
              <w:t>杜绝因设备不正常运转时产生的高噪声现象；</w:t>
            </w:r>
          </w:p>
          <w:p>
            <w:pPr>
              <w:widowControl/>
              <w:spacing w:line="360" w:lineRule="auto"/>
              <w:ind w:firstLine="480" w:firstLineChars="200"/>
              <w:rPr>
                <w:rFonts w:hint="eastAsia" w:ascii="Times New Roman" w:hAnsi="Times New Roman" w:eastAsia="宋体" w:cs="Times New Roman"/>
                <w:b w:val="0"/>
                <w:bCs w:val="0"/>
                <w:color w:val="auto"/>
                <w:kern w:val="0"/>
                <w:sz w:val="24"/>
                <w:szCs w:val="24"/>
                <w:lang w:val="en-US" w:eastAsia="zh-CN" w:bidi="ar"/>
              </w:rPr>
            </w:pPr>
            <w:r>
              <w:rPr>
                <w:rFonts w:ascii="Times New Roman" w:hAnsi="Times New Roman" w:eastAsia="宋体" w:cs="Times New Roman"/>
                <w:b w:val="0"/>
                <w:bCs w:val="0"/>
                <w:color w:val="auto"/>
                <w:kern w:val="0"/>
                <w:sz w:val="24"/>
                <w:szCs w:val="24"/>
                <w:lang w:val="en-US" w:eastAsia="zh-CN" w:bidi="ar"/>
              </w:rPr>
              <w:t>④合理布局噪声源。总图布置尽量将噪声大的噪声源远离厂界，通过距离衰减降噪，降低噪声对周围环境的影响</w:t>
            </w:r>
            <w:r>
              <w:rPr>
                <w:rFonts w:hint="eastAsia" w:ascii="Times New Roman" w:hAnsi="Times New Roman" w:eastAsia="宋体" w:cs="Times New Roman"/>
                <w:b w:val="0"/>
                <w:bCs w:val="0"/>
                <w:color w:val="auto"/>
                <w:kern w:val="0"/>
                <w:sz w:val="24"/>
                <w:szCs w:val="24"/>
                <w:lang w:val="en-US" w:eastAsia="zh-CN" w:bidi="ar"/>
              </w:rPr>
              <w:t>。</w:t>
            </w:r>
          </w:p>
          <w:p>
            <w:pPr>
              <w:widowControl/>
              <w:spacing w:line="360" w:lineRule="auto"/>
              <w:ind w:firstLine="480" w:firstLineChars="200"/>
              <w:rPr>
                <w:color w:val="auto"/>
                <w:sz w:val="24"/>
              </w:rPr>
            </w:pPr>
            <w:r>
              <w:rPr>
                <w:color w:val="auto"/>
                <w:kern w:val="0"/>
                <w:sz w:val="24"/>
                <w:lang w:bidi="ar"/>
              </w:rPr>
              <w:t>采取上述措施后可确保厂界噪声达到《工业企业厂界环境噪声排放标准》（GB12348-2008）的</w:t>
            </w:r>
            <w:r>
              <w:rPr>
                <w:rFonts w:hint="eastAsia"/>
                <w:color w:val="auto"/>
                <w:kern w:val="0"/>
                <w:sz w:val="24"/>
                <w:lang w:bidi="ar"/>
              </w:rPr>
              <w:t>3</w:t>
            </w:r>
            <w:r>
              <w:rPr>
                <w:color w:val="auto"/>
                <w:kern w:val="0"/>
                <w:sz w:val="24"/>
                <w:lang w:bidi="ar"/>
              </w:rPr>
              <w:t>类标准限值要求。</w:t>
            </w:r>
          </w:p>
          <w:p>
            <w:pPr>
              <w:widowControl/>
              <w:spacing w:line="360" w:lineRule="auto"/>
              <w:ind w:firstLine="482" w:firstLineChars="200"/>
              <w:jc w:val="left"/>
              <w:rPr>
                <w:color w:val="auto"/>
                <w:sz w:val="24"/>
              </w:rPr>
            </w:pPr>
            <w:r>
              <w:rPr>
                <w:rFonts w:hint="eastAsia"/>
                <w:b/>
                <w:bCs/>
                <w:color w:val="auto"/>
                <w:kern w:val="0"/>
                <w:sz w:val="24"/>
                <w:lang w:val="en-US" w:eastAsia="zh-CN" w:bidi="ar"/>
              </w:rPr>
              <w:t>3、</w:t>
            </w:r>
            <w:r>
              <w:rPr>
                <w:b/>
                <w:bCs/>
                <w:color w:val="auto"/>
                <w:kern w:val="0"/>
                <w:sz w:val="24"/>
                <w:lang w:bidi="ar"/>
              </w:rPr>
              <w:t>噪声达标情况</w:t>
            </w:r>
          </w:p>
          <w:p>
            <w:pPr>
              <w:spacing w:line="360" w:lineRule="auto"/>
              <w:ind w:firstLine="480" w:firstLineChars="200"/>
              <w:rPr>
                <w:color w:val="auto"/>
                <w:sz w:val="24"/>
              </w:rPr>
            </w:pPr>
            <w:r>
              <w:rPr>
                <w:rFonts w:hint="eastAsia"/>
                <w:color w:val="auto"/>
                <w:sz w:val="24"/>
              </w:rPr>
              <w:t>本环评按照</w:t>
            </w:r>
            <w:r>
              <w:rPr>
                <w:color w:val="auto"/>
                <w:sz w:val="24"/>
              </w:rPr>
              <w:t>《环境影响评价技术导则—声环境》（HJ 2.4-20</w:t>
            </w:r>
            <w:r>
              <w:rPr>
                <w:rFonts w:hint="eastAsia"/>
                <w:color w:val="auto"/>
                <w:sz w:val="24"/>
              </w:rPr>
              <w:t>21</w:t>
            </w:r>
            <w:r>
              <w:rPr>
                <w:color w:val="auto"/>
                <w:sz w:val="24"/>
              </w:rPr>
              <w:t>）中推荐的模型。</w:t>
            </w:r>
            <w:r>
              <w:rPr>
                <w:rFonts w:hint="eastAsia"/>
                <w:color w:val="auto"/>
                <w:sz w:val="24"/>
              </w:rPr>
              <w:t>本次环评把声源简化成点声源，采用工业噪声预测计算模式，具体</w:t>
            </w:r>
            <w:r>
              <w:rPr>
                <w:color w:val="auto"/>
                <w:sz w:val="24"/>
              </w:rPr>
              <w:t>预测模式如下：</w:t>
            </w:r>
          </w:p>
          <w:p>
            <w:pPr>
              <w:ind w:firstLine="480"/>
              <w:jc w:val="center"/>
              <w:rPr>
                <w:color w:val="auto"/>
              </w:rPr>
            </w:pPr>
            <w:r>
              <w:rPr>
                <w:color w:val="auto"/>
              </w:rPr>
              <w:drawing>
                <wp:inline distT="0" distB="0" distL="114300" distR="114300">
                  <wp:extent cx="1600200" cy="504825"/>
                  <wp:effectExtent l="0" t="0" r="0" b="825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0"/>
                          <a:stretch>
                            <a:fillRect/>
                          </a:stretch>
                        </pic:blipFill>
                        <pic:spPr>
                          <a:xfrm>
                            <a:off x="0" y="0"/>
                            <a:ext cx="1600200" cy="504825"/>
                          </a:xfrm>
                          <a:prstGeom prst="rect">
                            <a:avLst/>
                          </a:prstGeom>
                          <a:noFill/>
                          <a:ln>
                            <a:noFill/>
                          </a:ln>
                        </pic:spPr>
                      </pic:pic>
                    </a:graphicData>
                  </a:graphic>
                </wp:inline>
              </w:drawing>
            </w:r>
          </w:p>
          <w:p>
            <w:pPr>
              <w:spacing w:line="360" w:lineRule="auto"/>
              <w:ind w:firstLine="480"/>
              <w:rPr>
                <w:color w:val="auto"/>
                <w:sz w:val="24"/>
              </w:rPr>
            </w:pPr>
            <w:r>
              <w:rPr>
                <w:color w:val="auto"/>
                <w:sz w:val="24"/>
              </w:rPr>
              <w:t>式中：</w:t>
            </w:r>
            <w:r>
              <w:rPr>
                <w:color w:val="auto"/>
                <w:sz w:val="24"/>
              </w:rPr>
              <w:drawing>
                <wp:inline distT="0" distB="0" distL="114300" distR="114300">
                  <wp:extent cx="466725" cy="256540"/>
                  <wp:effectExtent l="0" t="0" r="8890" b="1143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1"/>
                          <a:stretch>
                            <a:fillRect/>
                          </a:stretch>
                        </pic:blipFill>
                        <pic:spPr>
                          <a:xfrm>
                            <a:off x="0" y="0"/>
                            <a:ext cx="466725" cy="256540"/>
                          </a:xfrm>
                          <a:prstGeom prst="rect">
                            <a:avLst/>
                          </a:prstGeom>
                          <a:noFill/>
                          <a:ln>
                            <a:noFill/>
                          </a:ln>
                        </pic:spPr>
                      </pic:pic>
                    </a:graphicData>
                  </a:graphic>
                </wp:inline>
              </w:drawing>
            </w:r>
            <w:r>
              <w:rPr>
                <w:color w:val="auto"/>
                <w:sz w:val="24"/>
              </w:rPr>
              <w:t>——点声源在预测点产生的声压级，dB（A）；</w:t>
            </w:r>
          </w:p>
          <w:p>
            <w:pPr>
              <w:spacing w:line="360" w:lineRule="auto"/>
              <w:ind w:firstLine="1200" w:firstLineChars="500"/>
              <w:rPr>
                <w:color w:val="auto"/>
                <w:sz w:val="24"/>
              </w:rPr>
            </w:pPr>
            <w:r>
              <w:rPr>
                <w:color w:val="auto"/>
                <w:sz w:val="24"/>
              </w:rPr>
              <w:drawing>
                <wp:inline distT="0" distB="0" distL="114300" distR="114300">
                  <wp:extent cx="495300" cy="247650"/>
                  <wp:effectExtent l="0" t="0" r="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2"/>
                          <a:stretch>
                            <a:fillRect/>
                          </a:stretch>
                        </pic:blipFill>
                        <pic:spPr>
                          <a:xfrm>
                            <a:off x="0" y="0"/>
                            <a:ext cx="495300" cy="247650"/>
                          </a:xfrm>
                          <a:prstGeom prst="rect">
                            <a:avLst/>
                          </a:prstGeom>
                          <a:noFill/>
                          <a:ln>
                            <a:noFill/>
                          </a:ln>
                        </pic:spPr>
                      </pic:pic>
                    </a:graphicData>
                  </a:graphic>
                </wp:inline>
              </w:drawing>
            </w:r>
            <w:r>
              <w:rPr>
                <w:color w:val="auto"/>
                <w:sz w:val="24"/>
              </w:rPr>
              <w:t>——参考位置</w:t>
            </w:r>
            <w:r>
              <w:rPr>
                <w:color w:val="auto"/>
                <w:sz w:val="24"/>
              </w:rPr>
              <w:drawing>
                <wp:inline distT="0" distB="0" distL="114300" distR="114300">
                  <wp:extent cx="142875" cy="228600"/>
                  <wp:effectExtent l="0" t="0" r="8255" b="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3"/>
                          <a:stretch>
                            <a:fillRect/>
                          </a:stretch>
                        </pic:blipFill>
                        <pic:spPr>
                          <a:xfrm>
                            <a:off x="0" y="0"/>
                            <a:ext cx="142875" cy="228600"/>
                          </a:xfrm>
                          <a:prstGeom prst="rect">
                            <a:avLst/>
                          </a:prstGeom>
                          <a:noFill/>
                          <a:ln>
                            <a:noFill/>
                          </a:ln>
                        </pic:spPr>
                      </pic:pic>
                    </a:graphicData>
                  </a:graphic>
                </wp:inline>
              </w:drawing>
            </w:r>
            <w:r>
              <w:rPr>
                <w:color w:val="auto"/>
                <w:sz w:val="24"/>
              </w:rPr>
              <w:t>处</w:t>
            </w:r>
            <w:r>
              <w:rPr>
                <w:rFonts w:hint="eastAsia"/>
                <w:color w:val="auto"/>
                <w:sz w:val="24"/>
                <w:lang w:eastAsia="zh-CN"/>
              </w:rPr>
              <w:t>的</w:t>
            </w:r>
            <w:r>
              <w:rPr>
                <w:color w:val="auto"/>
                <w:sz w:val="24"/>
              </w:rPr>
              <w:t>声压级，dB（A）；</w:t>
            </w:r>
          </w:p>
          <w:p>
            <w:pPr>
              <w:spacing w:line="360" w:lineRule="auto"/>
              <w:ind w:firstLine="1680" w:firstLineChars="700"/>
              <w:rPr>
                <w:color w:val="auto"/>
                <w:sz w:val="24"/>
              </w:rPr>
            </w:pPr>
            <w:r>
              <w:rPr>
                <w:color w:val="auto"/>
                <w:sz w:val="24"/>
              </w:rPr>
              <w:drawing>
                <wp:inline distT="0" distB="0" distL="114300" distR="114300">
                  <wp:extent cx="114300" cy="123825"/>
                  <wp:effectExtent l="0" t="0" r="0" b="825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24"/>
                          <a:stretch>
                            <a:fillRect/>
                          </a:stretch>
                        </pic:blipFill>
                        <pic:spPr>
                          <a:xfrm>
                            <a:off x="0" y="0"/>
                            <a:ext cx="114300" cy="123825"/>
                          </a:xfrm>
                          <a:prstGeom prst="rect">
                            <a:avLst/>
                          </a:prstGeom>
                          <a:noFill/>
                          <a:ln>
                            <a:noFill/>
                          </a:ln>
                        </pic:spPr>
                      </pic:pic>
                    </a:graphicData>
                  </a:graphic>
                </wp:inline>
              </w:drawing>
            </w:r>
            <w:r>
              <w:rPr>
                <w:color w:val="auto"/>
                <w:sz w:val="24"/>
              </w:rPr>
              <w:t>——预测点距声源距离，m；</w:t>
            </w:r>
          </w:p>
          <w:p>
            <w:pPr>
              <w:spacing w:line="360" w:lineRule="auto"/>
              <w:ind w:firstLine="1680" w:firstLineChars="700"/>
              <w:rPr>
                <w:color w:val="auto"/>
                <w:sz w:val="24"/>
              </w:rPr>
            </w:pPr>
            <w:r>
              <w:rPr>
                <w:color w:val="auto"/>
                <w:sz w:val="24"/>
              </w:rPr>
              <w:drawing>
                <wp:inline distT="0" distB="0" distL="114300" distR="114300">
                  <wp:extent cx="142875" cy="228600"/>
                  <wp:effectExtent l="0" t="0" r="8255" b="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5"/>
                          <a:stretch>
                            <a:fillRect/>
                          </a:stretch>
                        </pic:blipFill>
                        <pic:spPr>
                          <a:xfrm>
                            <a:off x="0" y="0"/>
                            <a:ext cx="142875" cy="228600"/>
                          </a:xfrm>
                          <a:prstGeom prst="rect">
                            <a:avLst/>
                          </a:prstGeom>
                          <a:noFill/>
                          <a:ln>
                            <a:noFill/>
                          </a:ln>
                        </pic:spPr>
                      </pic:pic>
                    </a:graphicData>
                  </a:graphic>
                </wp:inline>
              </w:drawing>
            </w:r>
            <w:r>
              <w:rPr>
                <w:color w:val="auto"/>
                <w:sz w:val="24"/>
              </w:rPr>
              <w:t>——参考位置距声源的距离，m；</w:t>
            </w:r>
          </w:p>
          <w:p>
            <w:pPr>
              <w:spacing w:line="360" w:lineRule="auto"/>
              <w:ind w:firstLine="480" w:firstLineChars="200"/>
              <w:rPr>
                <w:color w:val="auto"/>
                <w:sz w:val="24"/>
              </w:rPr>
            </w:pPr>
            <w:r>
              <w:rPr>
                <w:rFonts w:hint="eastAsia"/>
                <w:color w:val="auto"/>
                <w:sz w:val="24"/>
              </w:rPr>
              <w:t>多源叠加</w:t>
            </w:r>
            <w:r>
              <w:rPr>
                <w:color w:val="auto"/>
                <w:sz w:val="24"/>
              </w:rPr>
              <w:t>模式：</w:t>
            </w:r>
          </w:p>
          <w:p>
            <w:pPr>
              <w:ind w:firstLine="480"/>
              <w:jc w:val="center"/>
              <w:rPr>
                <w:color w:val="auto"/>
              </w:rPr>
            </w:pPr>
            <w:r>
              <w:rPr>
                <w:color w:val="auto"/>
              </w:rPr>
              <w:drawing>
                <wp:inline distT="0" distB="0" distL="114300" distR="114300">
                  <wp:extent cx="1619250" cy="552450"/>
                  <wp:effectExtent l="0" t="0" r="0" b="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26"/>
                          <a:stretch>
                            <a:fillRect/>
                          </a:stretch>
                        </pic:blipFill>
                        <pic:spPr>
                          <a:xfrm>
                            <a:off x="0" y="0"/>
                            <a:ext cx="1619250" cy="552450"/>
                          </a:xfrm>
                          <a:prstGeom prst="rect">
                            <a:avLst/>
                          </a:prstGeom>
                          <a:noFill/>
                          <a:ln>
                            <a:noFill/>
                          </a:ln>
                        </pic:spPr>
                      </pic:pic>
                    </a:graphicData>
                  </a:graphic>
                </wp:inline>
              </w:drawing>
            </w:r>
          </w:p>
          <w:p>
            <w:pPr>
              <w:spacing w:line="360" w:lineRule="auto"/>
              <w:ind w:firstLine="480"/>
              <w:rPr>
                <w:color w:val="auto"/>
                <w:sz w:val="24"/>
              </w:rPr>
            </w:pPr>
            <w:r>
              <w:rPr>
                <w:color w:val="auto"/>
                <w:sz w:val="24"/>
              </w:rPr>
              <w:t>式中：</w:t>
            </w:r>
            <w:r>
              <w:rPr>
                <w:color w:val="auto"/>
                <w:sz w:val="24"/>
              </w:rPr>
              <w:drawing>
                <wp:inline distT="0" distB="0" distL="114300" distR="114300">
                  <wp:extent cx="285750" cy="305435"/>
                  <wp:effectExtent l="0" t="0" r="0" b="1841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27"/>
                          <a:stretch>
                            <a:fillRect/>
                          </a:stretch>
                        </pic:blipFill>
                        <pic:spPr>
                          <a:xfrm>
                            <a:off x="0" y="0"/>
                            <a:ext cx="285750" cy="305435"/>
                          </a:xfrm>
                          <a:prstGeom prst="rect">
                            <a:avLst/>
                          </a:prstGeom>
                          <a:noFill/>
                          <a:ln>
                            <a:noFill/>
                          </a:ln>
                        </pic:spPr>
                      </pic:pic>
                    </a:graphicData>
                  </a:graphic>
                </wp:inline>
              </w:drawing>
            </w:r>
            <w:r>
              <w:rPr>
                <w:color w:val="auto"/>
                <w:sz w:val="24"/>
              </w:rPr>
              <w:t>——预测点总声压级，dB（A）；</w:t>
            </w:r>
          </w:p>
          <w:p>
            <w:pPr>
              <w:spacing w:line="360" w:lineRule="auto"/>
              <w:ind w:firstLine="1320" w:firstLineChars="550"/>
              <w:rPr>
                <w:color w:val="auto"/>
                <w:sz w:val="24"/>
              </w:rPr>
            </w:pPr>
            <w:r>
              <w:rPr>
                <w:color w:val="auto"/>
                <w:sz w:val="24"/>
              </w:rPr>
              <w:drawing>
                <wp:inline distT="0" distB="0" distL="114300" distR="114300">
                  <wp:extent cx="171450" cy="276225"/>
                  <wp:effectExtent l="0" t="0" r="0" b="825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28"/>
                          <a:stretch>
                            <a:fillRect/>
                          </a:stretch>
                        </pic:blipFill>
                        <pic:spPr>
                          <a:xfrm>
                            <a:off x="0" y="0"/>
                            <a:ext cx="171450" cy="276225"/>
                          </a:xfrm>
                          <a:prstGeom prst="rect">
                            <a:avLst/>
                          </a:prstGeom>
                          <a:noFill/>
                          <a:ln>
                            <a:noFill/>
                          </a:ln>
                        </pic:spPr>
                      </pic:pic>
                    </a:graphicData>
                  </a:graphic>
                </wp:inline>
              </w:drawing>
            </w:r>
            <w:r>
              <w:rPr>
                <w:color w:val="auto"/>
                <w:sz w:val="24"/>
              </w:rPr>
              <w:t>——第i个点声源在预测点产生的A声压级，dB（A）；</w:t>
            </w:r>
          </w:p>
          <w:p>
            <w:pPr>
              <w:spacing w:line="360" w:lineRule="auto"/>
              <w:ind w:firstLine="1440" w:firstLineChars="600"/>
              <w:rPr>
                <w:color w:val="auto"/>
                <w:sz w:val="24"/>
              </w:rPr>
            </w:pPr>
            <w:r>
              <w:rPr>
                <w:color w:val="auto"/>
                <w:sz w:val="24"/>
              </w:rPr>
              <w:t>N——声源个数。</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textAlignment w:val="auto"/>
              <w:rPr>
                <w:color w:val="auto"/>
                <w:sz w:val="24"/>
                <w:szCs w:val="24"/>
              </w:rPr>
            </w:pPr>
            <w:r>
              <w:rPr>
                <w:color w:val="auto"/>
                <w:sz w:val="24"/>
                <w:szCs w:val="24"/>
              </w:rPr>
              <w:t>声源位于室内，室内声源可采用等效室外声源声功率级法进行计算。设靠近开口处（</w:t>
            </w:r>
            <w:r>
              <w:rPr>
                <w:color w:val="auto"/>
                <w:spacing w:val="-2"/>
                <w:sz w:val="24"/>
                <w:szCs w:val="24"/>
              </w:rPr>
              <w:t>或窗户</w:t>
            </w:r>
            <w:r>
              <w:rPr>
                <w:color w:val="auto"/>
                <w:spacing w:val="-22"/>
                <w:sz w:val="24"/>
                <w:szCs w:val="24"/>
              </w:rPr>
              <w:t>）</w:t>
            </w:r>
            <w:r>
              <w:rPr>
                <w:color w:val="auto"/>
                <w:spacing w:val="-10"/>
                <w:sz w:val="24"/>
                <w:szCs w:val="24"/>
              </w:rPr>
              <w:t>室内、室外某倍频带的声压级或</w:t>
            </w:r>
            <w:r>
              <w:rPr>
                <w:rFonts w:hint="eastAsia"/>
                <w:color w:val="auto"/>
                <w:spacing w:val="-10"/>
                <w:sz w:val="24"/>
                <w:szCs w:val="24"/>
                <w:lang w:val="en-US" w:eastAsia="zh-CN"/>
              </w:rPr>
              <w:t>A</w:t>
            </w:r>
            <w:r>
              <w:rPr>
                <w:color w:val="auto"/>
                <w:spacing w:val="-10"/>
                <w:sz w:val="24"/>
                <w:szCs w:val="24"/>
              </w:rPr>
              <w:t>声级分别为</w:t>
            </w:r>
            <w:r>
              <w:rPr>
                <w:rFonts w:ascii="Times New Roman" w:eastAsia="Times New Roman"/>
                <w:i/>
                <w:color w:val="auto"/>
                <w:sz w:val="24"/>
                <w:szCs w:val="24"/>
              </w:rPr>
              <w:t>L</w:t>
            </w:r>
            <w:r>
              <w:rPr>
                <w:rFonts w:ascii="Times New Roman" w:eastAsia="Times New Roman"/>
                <w:i/>
                <w:color w:val="auto"/>
                <w:sz w:val="24"/>
                <w:szCs w:val="24"/>
                <w:vertAlign w:val="subscript"/>
              </w:rPr>
              <w:t>p1</w:t>
            </w:r>
            <w:r>
              <w:rPr>
                <w:color w:val="auto"/>
                <w:spacing w:val="-21"/>
                <w:sz w:val="24"/>
                <w:szCs w:val="24"/>
              </w:rPr>
              <w:t>和</w:t>
            </w:r>
            <w:r>
              <w:rPr>
                <w:rFonts w:ascii="Times New Roman" w:eastAsia="Times New Roman"/>
                <w:i/>
                <w:color w:val="auto"/>
                <w:sz w:val="24"/>
                <w:szCs w:val="24"/>
              </w:rPr>
              <w:t>L</w:t>
            </w:r>
            <w:r>
              <w:rPr>
                <w:rFonts w:ascii="Times New Roman" w:eastAsia="Times New Roman"/>
                <w:i/>
                <w:color w:val="auto"/>
                <w:sz w:val="24"/>
                <w:szCs w:val="24"/>
                <w:vertAlign w:val="subscript"/>
              </w:rPr>
              <w:t>p2</w:t>
            </w:r>
            <w:r>
              <w:rPr>
                <w:color w:val="auto"/>
                <w:spacing w:val="-6"/>
                <w:sz w:val="24"/>
                <w:szCs w:val="24"/>
              </w:rPr>
              <w:t>。若声源所在室内声场为近似扩散声</w:t>
            </w:r>
            <w:r>
              <w:rPr>
                <w:color w:val="auto"/>
                <w:spacing w:val="-4"/>
                <w:sz w:val="24"/>
                <w:szCs w:val="24"/>
              </w:rPr>
              <w:t>场，则室外的倍频带声压级可按式</w:t>
            </w:r>
            <w:r>
              <w:rPr>
                <w:color w:val="auto"/>
                <w:sz w:val="24"/>
                <w:szCs w:val="24"/>
              </w:rPr>
              <w:t>（</w:t>
            </w:r>
            <w:r>
              <w:rPr>
                <w:rFonts w:ascii="Times New Roman" w:eastAsia="Times New Roman"/>
                <w:color w:val="auto"/>
                <w:sz w:val="24"/>
                <w:szCs w:val="24"/>
              </w:rPr>
              <w:t>B.1</w:t>
            </w:r>
            <w:r>
              <w:rPr>
                <w:color w:val="auto"/>
                <w:sz w:val="24"/>
                <w:szCs w:val="24"/>
              </w:rPr>
              <w:t>）</w:t>
            </w:r>
            <w:r>
              <w:rPr>
                <w:color w:val="auto"/>
                <w:spacing w:val="-3"/>
                <w:sz w:val="24"/>
                <w:szCs w:val="24"/>
              </w:rPr>
              <w:t>近似求出：</w:t>
            </w:r>
          </w:p>
          <w:p>
            <w:pPr>
              <w:spacing w:line="297" w:lineRule="exact"/>
              <w:ind w:left="1351"/>
              <w:jc w:val="center"/>
              <w:rPr>
                <w:rFonts w:hint="eastAsia" w:ascii="Symbol" w:hAnsi="Symbol"/>
                <w:color w:val="auto"/>
                <w:sz w:val="24"/>
                <w:szCs w:val="24"/>
              </w:rPr>
            </w:pPr>
            <w:r>
              <w:rPr>
                <w:rFonts w:ascii="Times New Roman" w:hAnsi="Times New Roman"/>
                <w:i/>
                <w:color w:val="auto"/>
                <w:w w:val="115"/>
                <w:position w:val="1"/>
                <w:sz w:val="24"/>
                <w:szCs w:val="24"/>
              </w:rPr>
              <w:t>L</w:t>
            </w:r>
            <w:r>
              <w:rPr>
                <w:rFonts w:ascii="Times New Roman" w:hAnsi="Times New Roman"/>
                <w:i/>
                <w:color w:val="auto"/>
                <w:w w:val="115"/>
                <w:position w:val="-3"/>
                <w:sz w:val="24"/>
                <w:szCs w:val="24"/>
              </w:rPr>
              <w:t>p</w:t>
            </w:r>
            <w:r>
              <w:rPr>
                <w:rFonts w:ascii="Times New Roman" w:hAnsi="Times New Roman"/>
                <w:color w:val="auto"/>
                <w:w w:val="115"/>
                <w:position w:val="-3"/>
                <w:sz w:val="24"/>
                <w:szCs w:val="24"/>
              </w:rPr>
              <w:t xml:space="preserve">2 </w:t>
            </w:r>
            <w:r>
              <w:rPr>
                <w:rFonts w:ascii="Symbol" w:hAnsi="Symbol"/>
                <w:color w:val="auto"/>
                <w:w w:val="115"/>
                <w:position w:val="1"/>
                <w:sz w:val="24"/>
                <w:szCs w:val="24"/>
              </w:rPr>
              <w:t></w:t>
            </w:r>
            <w:r>
              <w:rPr>
                <w:rFonts w:ascii="Times New Roman" w:hAnsi="Times New Roman"/>
                <w:color w:val="auto"/>
                <w:w w:val="115"/>
                <w:position w:val="1"/>
                <w:sz w:val="24"/>
                <w:szCs w:val="24"/>
              </w:rPr>
              <w:t xml:space="preserve"> </w:t>
            </w:r>
            <w:r>
              <w:rPr>
                <w:rFonts w:ascii="Times New Roman" w:hAnsi="Times New Roman"/>
                <w:i/>
                <w:color w:val="auto"/>
                <w:w w:val="115"/>
                <w:position w:val="1"/>
                <w:sz w:val="24"/>
                <w:szCs w:val="24"/>
              </w:rPr>
              <w:t>L</w:t>
            </w:r>
            <w:r>
              <w:rPr>
                <w:rFonts w:ascii="Times New Roman" w:hAnsi="Times New Roman"/>
                <w:i/>
                <w:color w:val="auto"/>
                <w:w w:val="115"/>
                <w:position w:val="-3"/>
                <w:sz w:val="24"/>
                <w:szCs w:val="24"/>
              </w:rPr>
              <w:t>p</w:t>
            </w:r>
            <w:r>
              <w:rPr>
                <w:rFonts w:ascii="Times New Roman" w:hAnsi="Times New Roman"/>
                <w:color w:val="auto"/>
                <w:w w:val="115"/>
                <w:position w:val="-3"/>
                <w:sz w:val="24"/>
                <w:szCs w:val="24"/>
              </w:rPr>
              <w:t xml:space="preserve">1 </w:t>
            </w:r>
            <w:r>
              <w:rPr>
                <w:rFonts w:ascii="Symbol" w:hAnsi="Symbol"/>
                <w:color w:val="auto"/>
                <w:w w:val="115"/>
                <w:position w:val="1"/>
                <w:sz w:val="24"/>
                <w:szCs w:val="24"/>
              </w:rPr>
              <w:t></w:t>
            </w:r>
            <w:r>
              <w:rPr>
                <w:color w:val="auto"/>
                <w:sz w:val="24"/>
                <w:szCs w:val="24"/>
              </w:rPr>
              <w:t>（</w:t>
            </w:r>
            <w:r>
              <w:rPr>
                <w:rFonts w:ascii="Times New Roman" w:hAnsi="Times New Roman"/>
                <w:i/>
                <w:color w:val="auto"/>
                <w:w w:val="115"/>
                <w:position w:val="1"/>
                <w:sz w:val="24"/>
                <w:szCs w:val="24"/>
              </w:rPr>
              <w:t xml:space="preserve">TL </w:t>
            </w:r>
            <w:r>
              <w:rPr>
                <w:rFonts w:ascii="Symbol" w:hAnsi="Symbol"/>
                <w:color w:val="auto"/>
                <w:w w:val="115"/>
                <w:position w:val="1"/>
                <w:sz w:val="24"/>
                <w:szCs w:val="24"/>
              </w:rPr>
              <w:t></w:t>
            </w:r>
            <w:r>
              <w:rPr>
                <w:rFonts w:ascii="Times New Roman" w:hAnsi="Times New Roman"/>
                <w:color w:val="auto"/>
                <w:w w:val="115"/>
                <w:position w:val="1"/>
                <w:sz w:val="24"/>
                <w:szCs w:val="24"/>
              </w:rPr>
              <w:t xml:space="preserve"> 6</w:t>
            </w:r>
            <w:r>
              <w:rPr>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color w:val="auto"/>
                <w:sz w:val="24"/>
                <w:szCs w:val="24"/>
              </w:rPr>
              <w:t>式中：</w:t>
            </w:r>
            <w:r>
              <w:rPr>
                <w:rFonts w:ascii="Times New Roman" w:hAnsi="Times New Roman" w:eastAsia="Times New Roman"/>
                <w:i/>
                <w:color w:val="auto"/>
                <w:position w:val="1"/>
                <w:sz w:val="24"/>
                <w:szCs w:val="24"/>
              </w:rPr>
              <w:t>L</w:t>
            </w:r>
            <w:r>
              <w:rPr>
                <w:rFonts w:ascii="Times New Roman" w:hAnsi="Times New Roman" w:eastAsia="Times New Roman"/>
                <w:i/>
                <w:color w:val="auto"/>
                <w:position w:val="1"/>
                <w:sz w:val="24"/>
                <w:szCs w:val="24"/>
                <w:vertAlign w:val="subscript"/>
              </w:rPr>
              <w:t>p</w:t>
            </w:r>
            <w:r>
              <w:rPr>
                <w:rFonts w:ascii="Times New Roman" w:hAnsi="Times New Roman" w:eastAsia="Times New Roman"/>
                <w:color w:val="auto"/>
                <w:position w:val="1"/>
                <w:sz w:val="24"/>
                <w:szCs w:val="24"/>
                <w:vertAlign w:val="subscript"/>
              </w:rPr>
              <w:t>1</w:t>
            </w:r>
            <w:r>
              <w:rPr>
                <w:rFonts w:ascii="Times New Roman" w:hAnsi="Times New Roman" w:eastAsia="Times New Roman"/>
                <w:color w:val="auto"/>
                <w:position w:val="1"/>
                <w:sz w:val="24"/>
                <w:szCs w:val="24"/>
              </w:rPr>
              <w:t>——</w:t>
            </w:r>
            <w:r>
              <w:rPr>
                <w:color w:val="auto"/>
                <w:spacing w:val="-3"/>
                <w:sz w:val="24"/>
                <w:szCs w:val="24"/>
              </w:rPr>
              <w:t>靠近开口处</w:t>
            </w:r>
            <w:r>
              <w:rPr>
                <w:color w:val="auto"/>
                <w:sz w:val="24"/>
                <w:szCs w:val="24"/>
              </w:rPr>
              <w:t>（</w:t>
            </w:r>
            <w:r>
              <w:rPr>
                <w:color w:val="auto"/>
                <w:spacing w:val="-2"/>
                <w:sz w:val="24"/>
                <w:szCs w:val="24"/>
              </w:rPr>
              <w:t>或窗户</w:t>
            </w:r>
            <w:r>
              <w:rPr>
                <w:color w:val="auto"/>
                <w:spacing w:val="-3"/>
                <w:sz w:val="24"/>
                <w:szCs w:val="24"/>
              </w:rPr>
              <w:t>）</w:t>
            </w:r>
            <w:r>
              <w:rPr>
                <w:color w:val="auto"/>
                <w:spacing w:val="1"/>
                <w:sz w:val="24"/>
                <w:szCs w:val="24"/>
              </w:rPr>
              <w:t>室内某倍频带的声压级或</w:t>
            </w:r>
            <w:r>
              <w:rPr>
                <w:rFonts w:ascii="Times New Roman" w:hAnsi="Times New Roman" w:eastAsia="Times New Roman"/>
                <w:color w:val="auto"/>
                <w:position w:val="1"/>
                <w:sz w:val="24"/>
                <w:szCs w:val="24"/>
              </w:rPr>
              <w:t>A</w:t>
            </w:r>
            <w:r>
              <w:rPr>
                <w:color w:val="auto"/>
                <w:spacing w:val="-2"/>
                <w:sz w:val="24"/>
                <w:szCs w:val="24"/>
              </w:rPr>
              <w:t>声级，</w:t>
            </w:r>
            <w:r>
              <w:rPr>
                <w:rFonts w:ascii="Times New Roman" w:hAnsi="Times New Roman" w:eastAsia="Times New Roman"/>
                <w:color w:val="auto"/>
                <w:position w:val="1"/>
                <w:sz w:val="24"/>
                <w:szCs w:val="24"/>
              </w:rPr>
              <w:t>dB</w:t>
            </w:r>
            <w:r>
              <w:rPr>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ascii="Times New Roman" w:hAnsi="Times New Roman" w:eastAsia="Times New Roman"/>
                <w:i/>
                <w:color w:val="auto"/>
                <w:position w:val="1"/>
                <w:sz w:val="24"/>
                <w:szCs w:val="24"/>
              </w:rPr>
              <w:t>L</w:t>
            </w:r>
            <w:r>
              <w:rPr>
                <w:rFonts w:ascii="Times New Roman" w:hAnsi="Times New Roman" w:eastAsia="Times New Roman"/>
                <w:i/>
                <w:color w:val="auto"/>
                <w:position w:val="1"/>
                <w:sz w:val="24"/>
                <w:szCs w:val="24"/>
                <w:vertAlign w:val="subscript"/>
              </w:rPr>
              <w:t>p</w:t>
            </w:r>
            <w:r>
              <w:rPr>
                <w:rFonts w:ascii="Times New Roman" w:hAnsi="Times New Roman" w:eastAsia="Times New Roman"/>
                <w:color w:val="auto"/>
                <w:position w:val="1"/>
                <w:sz w:val="24"/>
                <w:szCs w:val="24"/>
                <w:vertAlign w:val="subscript"/>
              </w:rPr>
              <w:t>2</w:t>
            </w:r>
            <w:r>
              <w:rPr>
                <w:rFonts w:ascii="Times New Roman" w:hAnsi="Times New Roman" w:eastAsia="Times New Roman"/>
                <w:color w:val="auto"/>
                <w:position w:val="1"/>
                <w:sz w:val="24"/>
                <w:szCs w:val="24"/>
              </w:rPr>
              <w:t>——</w:t>
            </w:r>
            <w:r>
              <w:rPr>
                <w:color w:val="auto"/>
                <w:spacing w:val="-3"/>
                <w:sz w:val="24"/>
                <w:szCs w:val="24"/>
              </w:rPr>
              <w:t>靠近开口处</w:t>
            </w:r>
            <w:r>
              <w:rPr>
                <w:color w:val="auto"/>
                <w:sz w:val="24"/>
                <w:szCs w:val="24"/>
              </w:rPr>
              <w:t>（</w:t>
            </w:r>
            <w:r>
              <w:rPr>
                <w:color w:val="auto"/>
                <w:spacing w:val="-2"/>
                <w:sz w:val="24"/>
                <w:szCs w:val="24"/>
              </w:rPr>
              <w:t>或窗户</w:t>
            </w:r>
            <w:r>
              <w:rPr>
                <w:color w:val="auto"/>
                <w:sz w:val="24"/>
                <w:szCs w:val="24"/>
              </w:rPr>
              <w:t>）</w:t>
            </w:r>
            <w:r>
              <w:rPr>
                <w:color w:val="auto"/>
                <w:spacing w:val="-7"/>
                <w:sz w:val="24"/>
                <w:szCs w:val="24"/>
              </w:rPr>
              <w:t>室外某倍频带的声压级或</w:t>
            </w:r>
            <w:r>
              <w:rPr>
                <w:rFonts w:ascii="Times New Roman" w:hAnsi="Times New Roman" w:eastAsia="Times New Roman"/>
                <w:color w:val="auto"/>
                <w:position w:val="1"/>
                <w:sz w:val="24"/>
                <w:szCs w:val="24"/>
              </w:rPr>
              <w:t>A</w:t>
            </w:r>
            <w:r>
              <w:rPr>
                <w:color w:val="auto"/>
                <w:spacing w:val="-2"/>
                <w:sz w:val="24"/>
                <w:szCs w:val="24"/>
              </w:rPr>
              <w:t>声级，</w:t>
            </w:r>
            <w:r>
              <w:rPr>
                <w:rFonts w:ascii="Times New Roman" w:hAnsi="Times New Roman" w:eastAsia="Times New Roman"/>
                <w:color w:val="auto"/>
                <w:position w:val="1"/>
                <w:sz w:val="24"/>
                <w:szCs w:val="24"/>
              </w:rPr>
              <w:t>dB</w:t>
            </w:r>
            <w:r>
              <w:rPr>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ascii="Times New Roman" w:hAnsi="Times New Roman" w:eastAsia="Times New Roman"/>
                <w:i/>
                <w:color w:val="auto"/>
                <w:position w:val="1"/>
                <w:sz w:val="24"/>
                <w:szCs w:val="24"/>
              </w:rPr>
              <w:t>TL</w:t>
            </w:r>
            <w:r>
              <w:rPr>
                <w:rFonts w:ascii="Times New Roman" w:hAnsi="Times New Roman" w:eastAsia="Times New Roman"/>
                <w:color w:val="auto"/>
                <w:position w:val="1"/>
                <w:sz w:val="24"/>
                <w:szCs w:val="24"/>
              </w:rPr>
              <w:t>——</w:t>
            </w:r>
            <w:r>
              <w:rPr>
                <w:color w:val="auto"/>
                <w:spacing w:val="-2"/>
                <w:sz w:val="24"/>
                <w:szCs w:val="24"/>
              </w:rPr>
              <w:t>隔墙</w:t>
            </w:r>
            <w:r>
              <w:rPr>
                <w:color w:val="auto"/>
                <w:spacing w:val="-3"/>
                <w:sz w:val="24"/>
                <w:szCs w:val="24"/>
              </w:rPr>
              <w:t>（</w:t>
            </w:r>
            <w:r>
              <w:rPr>
                <w:color w:val="auto"/>
                <w:spacing w:val="-2"/>
                <w:sz w:val="24"/>
                <w:szCs w:val="24"/>
              </w:rPr>
              <w:t>或窗户</w:t>
            </w:r>
            <w:r>
              <w:rPr>
                <w:color w:val="auto"/>
                <w:spacing w:val="-3"/>
                <w:sz w:val="24"/>
                <w:szCs w:val="24"/>
              </w:rPr>
              <w:t>）</w:t>
            </w:r>
            <w:r>
              <w:rPr>
                <w:color w:val="auto"/>
                <w:spacing w:val="-14"/>
                <w:sz w:val="24"/>
                <w:szCs w:val="24"/>
              </w:rPr>
              <w:t>倍频带或</w:t>
            </w:r>
            <w:r>
              <w:rPr>
                <w:rFonts w:ascii="Times New Roman" w:hAnsi="Times New Roman" w:eastAsia="Times New Roman"/>
                <w:color w:val="auto"/>
                <w:position w:val="1"/>
                <w:sz w:val="24"/>
                <w:szCs w:val="24"/>
              </w:rPr>
              <w:t>A</w:t>
            </w:r>
            <w:r>
              <w:rPr>
                <w:color w:val="auto"/>
                <w:spacing w:val="-3"/>
                <w:sz w:val="24"/>
                <w:szCs w:val="24"/>
              </w:rPr>
              <w:t>声级的隔声量，</w:t>
            </w:r>
            <w:r>
              <w:rPr>
                <w:rFonts w:ascii="Times New Roman" w:hAnsi="Times New Roman" w:eastAsia="Times New Roman"/>
                <w:color w:val="auto"/>
                <w:position w:val="1"/>
                <w:sz w:val="24"/>
                <w:szCs w:val="24"/>
              </w:rPr>
              <w:t>dB</w:t>
            </w:r>
            <w:r>
              <w:rPr>
                <w:rFonts w:hint="eastAsia" w:ascii="Times New Roman" w:hAnsi="Times New Roman" w:eastAsia="宋体"/>
                <w:color w:val="auto"/>
                <w:position w:val="1"/>
                <w:sz w:val="24"/>
                <w:szCs w:val="24"/>
                <w:lang w:eastAsia="zh-CN"/>
              </w:rPr>
              <w:t>。</w:t>
            </w:r>
          </w:p>
          <w:p>
            <w:pPr>
              <w:pStyle w:val="180"/>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both"/>
              <w:textAlignment w:val="auto"/>
              <w:rPr>
                <w:rFonts w:hint="default" w:ascii="Times New Roman" w:hAnsi="Times New Roman" w:cs="Times New Roman"/>
                <w:color w:val="auto"/>
                <w:spacing w:val="0"/>
                <w:kern w:val="21"/>
                <w:position w:val="0"/>
                <w:sz w:val="24"/>
                <w:szCs w:val="24"/>
                <w:lang w:val="en-US" w:eastAsia="zh-CN"/>
              </w:rPr>
            </w:pPr>
            <w:r>
              <w:rPr>
                <w:rFonts w:hint="default" w:ascii="Times New Roman" w:hAnsi="Times New Roman" w:cs="Times New Roman"/>
                <w:color w:val="auto"/>
                <w:spacing w:val="0"/>
                <w:kern w:val="21"/>
                <w:position w:val="0"/>
                <w:sz w:val="24"/>
                <w:szCs w:val="24"/>
                <w:lang w:val="en-US" w:eastAsia="zh-CN"/>
              </w:rPr>
              <w:t>本次评价采用环安科技NoiseSystem噪声软件进行噪声影响预测，选择</w:t>
            </w:r>
            <w:r>
              <w:rPr>
                <w:rFonts w:hint="eastAsia" w:ascii="Times New Roman" w:hAnsi="Times New Roman" w:cs="Times New Roman"/>
                <w:color w:val="auto"/>
                <w:spacing w:val="0"/>
                <w:kern w:val="21"/>
                <w:position w:val="0"/>
                <w:sz w:val="24"/>
                <w:szCs w:val="24"/>
                <w:lang w:val="en-US" w:eastAsia="zh-CN"/>
              </w:rPr>
              <w:t>运行</w:t>
            </w:r>
            <w:r>
              <w:rPr>
                <w:rFonts w:hint="default" w:ascii="Times New Roman" w:hAnsi="Times New Roman" w:cs="Times New Roman"/>
                <w:color w:val="auto"/>
                <w:spacing w:val="0"/>
                <w:kern w:val="21"/>
                <w:position w:val="0"/>
                <w:sz w:val="24"/>
                <w:szCs w:val="24"/>
                <w:lang w:val="en-US" w:eastAsia="zh-CN"/>
              </w:rPr>
              <w:t>设备一同工作时所产生的噪声进行预测，本项目噪声预测结果见下图</w:t>
            </w:r>
            <w:r>
              <w:rPr>
                <w:rFonts w:hint="eastAsia" w:ascii="Times New Roman" w:hAnsi="Times New Roman" w:cs="Times New Roman"/>
                <w:color w:val="auto"/>
                <w:spacing w:val="0"/>
                <w:kern w:val="21"/>
                <w:positio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宋体"/>
                <w:color w:val="auto"/>
                <w:sz w:val="24"/>
                <w:lang w:eastAsia="zh-CN"/>
              </w:rPr>
            </w:pPr>
            <w:r>
              <w:rPr>
                <w:rFonts w:ascii="宋体" w:hAnsi="宋体" w:eastAsia="宋体" w:cs="宋体"/>
                <w:color w:val="auto"/>
                <w:sz w:val="24"/>
                <w:szCs w:val="24"/>
              </w:rPr>
              <w:drawing>
                <wp:inline distT="0" distB="0" distL="114300" distR="114300">
                  <wp:extent cx="5110480" cy="3470275"/>
                  <wp:effectExtent l="0" t="0" r="13970" b="15875"/>
                  <wp:docPr id="47" name="图片 2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0" descr="IMG_256"/>
                          <pic:cNvPicPr>
                            <a:picLocks noChangeAspect="1"/>
                          </pic:cNvPicPr>
                        </pic:nvPicPr>
                        <pic:blipFill>
                          <a:blip r:embed="rId29"/>
                          <a:stretch>
                            <a:fillRect/>
                          </a:stretch>
                        </pic:blipFill>
                        <pic:spPr>
                          <a:xfrm>
                            <a:off x="0" y="0"/>
                            <a:ext cx="5110480" cy="3470275"/>
                          </a:xfrm>
                          <a:prstGeom prst="rect">
                            <a:avLst/>
                          </a:prstGeom>
                          <a:noFill/>
                          <a:ln>
                            <a:noFill/>
                          </a:ln>
                        </pic:spPr>
                      </pic:pic>
                    </a:graphicData>
                  </a:graphic>
                </wp:inline>
              </w:drawing>
            </w:r>
          </w:p>
          <w:p>
            <w:pPr>
              <w:spacing w:line="360" w:lineRule="auto"/>
              <w:jc w:val="center"/>
              <w:rPr>
                <w:color w:val="auto"/>
                <w:sz w:val="24"/>
              </w:rPr>
            </w:pPr>
            <w:r>
              <w:rPr>
                <w:rFonts w:hint="default" w:ascii="Times New Roman" w:hAnsi="Times New Roman" w:eastAsia="宋体" w:cs="Times New Roman"/>
                <w:b/>
                <w:bCs/>
                <w:color w:val="auto"/>
                <w:kern w:val="0"/>
                <w:sz w:val="21"/>
                <w:szCs w:val="21"/>
                <w:lang w:val="en-US" w:eastAsia="zh-CN" w:bidi="ar"/>
              </w:rPr>
              <w:t>图4-2 噪声预测等值线图</w:t>
            </w:r>
          </w:p>
          <w:p>
            <w:pPr>
              <w:spacing w:line="360" w:lineRule="auto"/>
              <w:ind w:firstLine="480" w:firstLineChars="200"/>
              <w:rPr>
                <w:color w:val="auto"/>
                <w:sz w:val="24"/>
              </w:rPr>
            </w:pPr>
            <w:r>
              <w:rPr>
                <w:color w:val="auto"/>
                <w:sz w:val="24"/>
              </w:rPr>
              <w:t>根据《环境影响评价技术导则—声环境》（HJ 2.4-20</w:t>
            </w:r>
            <w:r>
              <w:rPr>
                <w:rFonts w:hint="eastAsia"/>
                <w:color w:val="auto"/>
                <w:sz w:val="24"/>
              </w:rPr>
              <w:t>21</w:t>
            </w:r>
            <w:r>
              <w:rPr>
                <w:color w:val="auto"/>
                <w:sz w:val="24"/>
              </w:rPr>
              <w:t>）进行边界（厂界、场界）噪声评价时，</w:t>
            </w:r>
            <w:r>
              <w:rPr>
                <w:rFonts w:hint="eastAsia"/>
                <w:color w:val="auto"/>
                <w:sz w:val="24"/>
                <w:lang w:val="en-US" w:eastAsia="zh-CN"/>
              </w:rPr>
              <w:t>评价</w:t>
            </w:r>
            <w:r>
              <w:rPr>
                <w:color w:val="auto"/>
                <w:sz w:val="24"/>
              </w:rPr>
              <w:t>噪声贡献值</w:t>
            </w:r>
            <w:r>
              <w:rPr>
                <w:rFonts w:hint="eastAsia"/>
                <w:color w:val="auto"/>
                <w:sz w:val="24"/>
              </w:rPr>
              <w:t>超标和达标情况</w:t>
            </w:r>
            <w:r>
              <w:rPr>
                <w:color w:val="auto"/>
                <w:sz w:val="24"/>
              </w:rPr>
              <w:t>。</w:t>
            </w:r>
            <w:r>
              <w:rPr>
                <w:rFonts w:hint="eastAsia"/>
                <w:color w:val="auto"/>
                <w:sz w:val="24"/>
                <w:lang w:val="en-US" w:eastAsia="zh-CN"/>
              </w:rPr>
              <w:t>本次</w:t>
            </w:r>
            <w:r>
              <w:rPr>
                <w:rFonts w:hint="eastAsia"/>
                <w:color w:val="auto"/>
                <w:sz w:val="24"/>
              </w:rPr>
              <w:t>通过预测模型计算，项目厂界噪声预测结果与达标分析见下表</w:t>
            </w:r>
            <w:r>
              <w:rPr>
                <w:color w:val="auto"/>
                <w:sz w:val="24"/>
              </w:rPr>
              <w:t>。</w:t>
            </w:r>
          </w:p>
          <w:p>
            <w:pPr>
              <w:adjustRightInd w:val="0"/>
              <w:snapToGrid w:val="0"/>
              <w:spacing w:line="360" w:lineRule="auto"/>
              <w:jc w:val="center"/>
              <w:rPr>
                <w:b/>
                <w:color w:val="auto"/>
                <w:szCs w:val="21"/>
              </w:rPr>
            </w:pPr>
            <w:r>
              <w:rPr>
                <w:b/>
                <w:color w:val="auto"/>
                <w:szCs w:val="21"/>
              </w:rPr>
              <w:t>表4-</w:t>
            </w:r>
            <w:r>
              <w:rPr>
                <w:rFonts w:hint="eastAsia"/>
                <w:b/>
                <w:color w:val="auto"/>
                <w:szCs w:val="21"/>
                <w:lang w:val="en-US" w:eastAsia="zh-CN"/>
              </w:rPr>
              <w:t>14</w:t>
            </w:r>
            <w:r>
              <w:rPr>
                <w:b/>
                <w:color w:val="auto"/>
                <w:szCs w:val="21"/>
              </w:rPr>
              <w:t xml:space="preserve"> 厂界噪声预测结果与达标分析表</w:t>
            </w:r>
            <w:bookmarkStart w:id="4" w:name="PT_7"/>
          </w:p>
          <w:bookmarkEnd w:id="4"/>
          <w:tbl>
            <w:tblPr>
              <w:tblStyle w:val="36"/>
              <w:tblW w:w="792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1"/>
              <w:gridCol w:w="690"/>
              <w:gridCol w:w="795"/>
              <w:gridCol w:w="660"/>
              <w:gridCol w:w="931"/>
              <w:gridCol w:w="933"/>
              <w:gridCol w:w="883"/>
              <w:gridCol w:w="1408"/>
              <w:gridCol w:w="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21" w:type="dxa"/>
                  <w:vMerge w:val="restart"/>
                  <w:tcBorders>
                    <w:top w:val="single" w:color="auto" w:sz="4" w:space="0"/>
                    <w:left w:val="single" w:color="auto" w:sz="0"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预测方位</w:t>
                  </w:r>
                </w:p>
              </w:tc>
              <w:tc>
                <w:tcPr>
                  <w:tcW w:w="2145" w:type="dxa"/>
                  <w:gridSpan w:val="3"/>
                  <w:tcBorders>
                    <w:top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空间相对位置/m</w:t>
                  </w:r>
                </w:p>
              </w:tc>
              <w:tc>
                <w:tcPr>
                  <w:tcW w:w="931" w:type="dxa"/>
                  <w:vMerge w:val="restart"/>
                  <w:tcBorders>
                    <w:top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时段</w:t>
                  </w:r>
                </w:p>
              </w:tc>
              <w:tc>
                <w:tcPr>
                  <w:tcW w:w="1816" w:type="dxa"/>
                  <w:gridSpan w:val="2"/>
                  <w:vMerge w:val="restart"/>
                  <w:tcBorders>
                    <w:top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贡献值（dB（A））</w:t>
                  </w:r>
                </w:p>
              </w:tc>
              <w:tc>
                <w:tcPr>
                  <w:tcW w:w="1408" w:type="dxa"/>
                  <w:vMerge w:val="restart"/>
                  <w:tcBorders>
                    <w:top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标准限值（dB（A））</w:t>
                  </w:r>
                </w:p>
              </w:tc>
              <w:tc>
                <w:tcPr>
                  <w:tcW w:w="800" w:type="dxa"/>
                  <w:vMerge w:val="restart"/>
                  <w:tcBorders>
                    <w:top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1" w:type="dxa"/>
                  <w:vMerge w:val="continue"/>
                  <w:tcBorders>
                    <w:left w:val="single" w:color="auto" w:sz="4" w:space="0"/>
                  </w:tcBorders>
                  <w:shd w:val="clear" w:color="auto" w:fill="FFFFFF"/>
                  <w:noWrap w:val="0"/>
                  <w:vAlign w:val="center"/>
                </w:tcPr>
                <w:p>
                  <w:pPr>
                    <w:jc w:val="center"/>
                    <w:rPr>
                      <w:rFonts w:hint="default" w:ascii="Times New Roman" w:hAnsi="Times New Roman" w:cs="Times New Roman"/>
                      <w:color w:val="auto"/>
                      <w:sz w:val="21"/>
                      <w:szCs w:val="21"/>
                    </w:rPr>
                  </w:pPr>
                </w:p>
              </w:tc>
              <w:tc>
                <w:tcPr>
                  <w:tcW w:w="690" w:type="dxa"/>
                  <w:shd w:val="clear" w:color="auto" w:fill="FFFFFF"/>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X</w:t>
                  </w:r>
                </w:p>
              </w:tc>
              <w:tc>
                <w:tcPr>
                  <w:tcW w:w="795" w:type="dxa"/>
                  <w:shd w:val="clear" w:color="auto" w:fill="FFFFFF"/>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w:t>
                  </w:r>
                </w:p>
              </w:tc>
              <w:tc>
                <w:tcPr>
                  <w:tcW w:w="660" w:type="dxa"/>
                  <w:shd w:val="clear" w:color="auto" w:fill="FFFFFF"/>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w:t>
                  </w:r>
                </w:p>
              </w:tc>
              <w:tc>
                <w:tcPr>
                  <w:tcW w:w="931" w:type="dxa"/>
                  <w:vMerge w:val="continue"/>
                  <w:shd w:val="clear" w:color="auto" w:fill="FFFFFF"/>
                  <w:noWrap w:val="0"/>
                  <w:vAlign w:val="center"/>
                </w:tcPr>
                <w:p>
                  <w:pPr>
                    <w:jc w:val="center"/>
                    <w:rPr>
                      <w:rFonts w:hint="default" w:ascii="Times New Roman" w:hAnsi="Times New Roman" w:cs="Times New Roman"/>
                      <w:color w:val="auto"/>
                      <w:sz w:val="21"/>
                      <w:szCs w:val="21"/>
                    </w:rPr>
                  </w:pPr>
                </w:p>
              </w:tc>
              <w:tc>
                <w:tcPr>
                  <w:tcW w:w="1816" w:type="dxa"/>
                  <w:gridSpan w:val="2"/>
                  <w:vMerge w:val="continue"/>
                  <w:shd w:val="clear" w:color="auto" w:fill="FFFFFF"/>
                  <w:noWrap w:val="0"/>
                  <w:vAlign w:val="center"/>
                </w:tcPr>
                <w:p>
                  <w:pPr>
                    <w:jc w:val="center"/>
                    <w:rPr>
                      <w:rFonts w:hint="default" w:ascii="Times New Roman" w:hAnsi="Times New Roman" w:cs="Times New Roman"/>
                      <w:color w:val="auto"/>
                      <w:sz w:val="21"/>
                      <w:szCs w:val="21"/>
                    </w:rPr>
                  </w:pPr>
                </w:p>
              </w:tc>
              <w:tc>
                <w:tcPr>
                  <w:tcW w:w="1408" w:type="dxa"/>
                  <w:vMerge w:val="continue"/>
                  <w:shd w:val="clear" w:color="auto" w:fill="FFFFFF"/>
                  <w:noWrap w:val="0"/>
                  <w:vAlign w:val="center"/>
                </w:tcPr>
                <w:p>
                  <w:pPr>
                    <w:jc w:val="center"/>
                    <w:rPr>
                      <w:rFonts w:hint="default" w:ascii="Times New Roman" w:hAnsi="Times New Roman" w:cs="Times New Roman"/>
                      <w:color w:val="auto"/>
                      <w:sz w:val="21"/>
                      <w:szCs w:val="21"/>
                    </w:rPr>
                  </w:pPr>
                </w:p>
              </w:tc>
              <w:tc>
                <w:tcPr>
                  <w:tcW w:w="800" w:type="dxa"/>
                  <w:vMerge w:val="continue"/>
                  <w:tcBorders>
                    <w:right w:val="single" w:color="auto" w:sz="4" w:space="0"/>
                  </w:tcBorders>
                  <w:shd w:val="clear" w:color="auto" w:fill="FFFFFF"/>
                  <w:noWrap w:val="0"/>
                  <w:vAlign w:val="center"/>
                </w:tcPr>
                <w:p>
                  <w:pPr>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40" w:hRule="exact"/>
                <w:jc w:val="center"/>
              </w:trPr>
              <w:tc>
                <w:tcPr>
                  <w:tcW w:w="821" w:type="dxa"/>
                  <w:vMerge w:val="restart"/>
                  <w:tcBorders>
                    <w:lef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东侧</w:t>
                  </w:r>
                </w:p>
              </w:tc>
              <w:tc>
                <w:tcPr>
                  <w:tcW w:w="690" w:type="dxa"/>
                  <w:vMerge w:val="restart"/>
                  <w:shd w:val="clear" w:color="auto" w:fill="FFFFFF"/>
                  <w:noWrap w:val="0"/>
                  <w:vAlign w:val="center"/>
                </w:tcPr>
                <w:p>
                  <w:pPr>
                    <w:jc w:val="center"/>
                    <w:rPr>
                      <w:rFonts w:hint="default" w:ascii="Times New Roman" w:hAnsi="Times New Roman" w:eastAsia="Arial" w:cs="Times New Roman"/>
                      <w:color w:val="auto"/>
                      <w:sz w:val="21"/>
                      <w:szCs w:val="21"/>
                      <w:lang w:val="en-US"/>
                    </w:rPr>
                  </w:pPr>
                  <w:r>
                    <w:rPr>
                      <w:rFonts w:hint="default" w:ascii="Times New Roman" w:hAnsi="Times New Roman" w:eastAsia="Arial" w:cs="Times New Roman"/>
                      <w:color w:val="auto"/>
                      <w:sz w:val="21"/>
                      <w:szCs w:val="21"/>
                      <w:lang w:val="en-US" w:eastAsia="zh-CN"/>
                    </w:rPr>
                    <w:t>5.76</w:t>
                  </w:r>
                </w:p>
              </w:tc>
              <w:tc>
                <w:tcPr>
                  <w:tcW w:w="795" w:type="dxa"/>
                  <w:vMerge w:val="restart"/>
                  <w:shd w:val="clear" w:color="auto" w:fill="FFFFFF"/>
                  <w:noWrap w:val="0"/>
                  <w:vAlign w:val="center"/>
                </w:tcPr>
                <w:p>
                  <w:pPr>
                    <w:jc w:val="center"/>
                    <w:rPr>
                      <w:rFonts w:hint="default" w:ascii="Times New Roman" w:hAnsi="Times New Roman" w:eastAsia="Arial" w:cs="Times New Roman"/>
                      <w:color w:val="auto"/>
                      <w:sz w:val="21"/>
                      <w:szCs w:val="21"/>
                      <w:lang w:val="en-US"/>
                    </w:rPr>
                  </w:pPr>
                  <w:r>
                    <w:rPr>
                      <w:rFonts w:hint="default" w:ascii="Times New Roman" w:hAnsi="Times New Roman" w:eastAsia="Arial" w:cs="Times New Roman"/>
                      <w:color w:val="auto"/>
                      <w:sz w:val="21"/>
                      <w:szCs w:val="21"/>
                      <w:lang w:val="en-US" w:eastAsia="zh-CN"/>
                    </w:rPr>
                    <w:t>2.77</w:t>
                  </w:r>
                </w:p>
              </w:tc>
              <w:tc>
                <w:tcPr>
                  <w:tcW w:w="660" w:type="dxa"/>
                  <w:vMerge w:val="restart"/>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1.2</w:t>
                  </w:r>
                </w:p>
              </w:tc>
              <w:tc>
                <w:tcPr>
                  <w:tcW w:w="931" w:type="dxa"/>
                  <w:vMerge w:val="restart"/>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93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昼间</w:t>
                  </w:r>
                </w:p>
              </w:tc>
              <w:tc>
                <w:tcPr>
                  <w:tcW w:w="88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52.49</w:t>
                  </w:r>
                </w:p>
              </w:tc>
              <w:tc>
                <w:tcPr>
                  <w:tcW w:w="1408" w:type="dxa"/>
                  <w:shd w:val="clear" w:color="auto" w:fill="FFFFFF"/>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800" w:type="dxa"/>
                  <w:tcBorders>
                    <w:righ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40" w:hRule="exact"/>
                <w:jc w:val="center"/>
              </w:trPr>
              <w:tc>
                <w:tcPr>
                  <w:tcW w:w="821" w:type="dxa"/>
                  <w:vMerge w:val="continue"/>
                  <w:tcBorders>
                    <w:lef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p>
              </w:tc>
              <w:tc>
                <w:tcPr>
                  <w:tcW w:w="690" w:type="dxa"/>
                  <w:vMerge w:val="continue"/>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p>
              </w:tc>
              <w:tc>
                <w:tcPr>
                  <w:tcW w:w="795" w:type="dxa"/>
                  <w:vMerge w:val="continue"/>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p>
              </w:tc>
              <w:tc>
                <w:tcPr>
                  <w:tcW w:w="660" w:type="dxa"/>
                  <w:vMerge w:val="continue"/>
                  <w:shd w:val="clear" w:color="auto" w:fill="FFFFFF"/>
                  <w:noWrap w:val="0"/>
                  <w:vAlign w:val="center"/>
                </w:tcPr>
                <w:p>
                  <w:pPr>
                    <w:jc w:val="center"/>
                    <w:rPr>
                      <w:rFonts w:hint="default" w:ascii="Times New Roman" w:hAnsi="Times New Roman" w:eastAsia="Arial" w:cs="Times New Roman"/>
                      <w:color w:val="auto"/>
                      <w:sz w:val="21"/>
                      <w:szCs w:val="21"/>
                    </w:rPr>
                  </w:pPr>
                </w:p>
              </w:tc>
              <w:tc>
                <w:tcPr>
                  <w:tcW w:w="931" w:type="dxa"/>
                  <w:vMerge w:val="continue"/>
                  <w:shd w:val="clear" w:color="auto" w:fill="FFFFFF"/>
                  <w:noWrap w:val="0"/>
                  <w:vAlign w:val="center"/>
                </w:tcPr>
                <w:p>
                  <w:pPr>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93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夜间</w:t>
                  </w:r>
                </w:p>
              </w:tc>
              <w:tc>
                <w:tcPr>
                  <w:tcW w:w="88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52.49</w:t>
                  </w:r>
                </w:p>
              </w:tc>
              <w:tc>
                <w:tcPr>
                  <w:tcW w:w="1408" w:type="dxa"/>
                  <w:shd w:val="clear" w:color="auto" w:fill="FFFFFF"/>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800" w:type="dxa"/>
                  <w:tcBorders>
                    <w:righ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40" w:hRule="exact"/>
                <w:jc w:val="center"/>
              </w:trPr>
              <w:tc>
                <w:tcPr>
                  <w:tcW w:w="821" w:type="dxa"/>
                  <w:vMerge w:val="restart"/>
                  <w:tcBorders>
                    <w:lef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南侧</w:t>
                  </w:r>
                </w:p>
              </w:tc>
              <w:tc>
                <w:tcPr>
                  <w:tcW w:w="690" w:type="dxa"/>
                  <w:vMerge w:val="restart"/>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lang w:val="en-US" w:eastAsia="zh-CN"/>
                    </w:rPr>
                    <w:t>-33.59</w:t>
                  </w:r>
                </w:p>
              </w:tc>
              <w:tc>
                <w:tcPr>
                  <w:tcW w:w="795" w:type="dxa"/>
                  <w:vMerge w:val="restart"/>
                  <w:shd w:val="clear" w:color="auto" w:fill="FFFFFF"/>
                  <w:noWrap w:val="0"/>
                  <w:vAlign w:val="center"/>
                </w:tcPr>
                <w:p>
                  <w:pPr>
                    <w:jc w:val="center"/>
                    <w:rPr>
                      <w:rFonts w:hint="default" w:ascii="Times New Roman" w:hAnsi="Times New Roman" w:eastAsia="Arial" w:cs="Times New Roman"/>
                      <w:color w:val="auto"/>
                      <w:sz w:val="21"/>
                      <w:szCs w:val="21"/>
                      <w:lang w:val="en-US"/>
                    </w:rPr>
                  </w:pPr>
                  <w:r>
                    <w:rPr>
                      <w:rFonts w:hint="default" w:ascii="Times New Roman" w:hAnsi="Times New Roman" w:eastAsia="Arial" w:cs="Times New Roman"/>
                      <w:color w:val="auto"/>
                      <w:sz w:val="21"/>
                      <w:szCs w:val="21"/>
                      <w:lang w:val="en-US" w:eastAsia="zh-CN"/>
                    </w:rPr>
                    <w:t>-0.92</w:t>
                  </w:r>
                </w:p>
              </w:tc>
              <w:tc>
                <w:tcPr>
                  <w:tcW w:w="660" w:type="dxa"/>
                  <w:vMerge w:val="restart"/>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1.2</w:t>
                  </w:r>
                </w:p>
              </w:tc>
              <w:tc>
                <w:tcPr>
                  <w:tcW w:w="931" w:type="dxa"/>
                  <w:vMerge w:val="restart"/>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93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昼间</w:t>
                  </w:r>
                </w:p>
              </w:tc>
              <w:tc>
                <w:tcPr>
                  <w:tcW w:w="88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54.80</w:t>
                  </w:r>
                </w:p>
              </w:tc>
              <w:tc>
                <w:tcPr>
                  <w:tcW w:w="1408" w:type="dxa"/>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宋体" w:cs="Times New Roman"/>
                      <w:color w:val="auto"/>
                      <w:sz w:val="21"/>
                      <w:szCs w:val="21"/>
                      <w:lang w:val="en-US" w:eastAsia="zh-CN"/>
                    </w:rPr>
                    <w:t>65</w:t>
                  </w:r>
                </w:p>
              </w:tc>
              <w:tc>
                <w:tcPr>
                  <w:tcW w:w="800" w:type="dxa"/>
                  <w:tcBorders>
                    <w:righ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40" w:hRule="exact"/>
                <w:jc w:val="center"/>
              </w:trPr>
              <w:tc>
                <w:tcPr>
                  <w:tcW w:w="821" w:type="dxa"/>
                  <w:vMerge w:val="continue"/>
                  <w:tcBorders>
                    <w:lef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p>
              </w:tc>
              <w:tc>
                <w:tcPr>
                  <w:tcW w:w="690" w:type="dxa"/>
                  <w:vMerge w:val="continue"/>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p>
              </w:tc>
              <w:tc>
                <w:tcPr>
                  <w:tcW w:w="795" w:type="dxa"/>
                  <w:vMerge w:val="continue"/>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p>
              </w:tc>
              <w:tc>
                <w:tcPr>
                  <w:tcW w:w="660" w:type="dxa"/>
                  <w:vMerge w:val="continue"/>
                  <w:shd w:val="clear" w:color="auto" w:fill="FFFFFF"/>
                  <w:noWrap w:val="0"/>
                  <w:vAlign w:val="center"/>
                </w:tcPr>
                <w:p>
                  <w:pPr>
                    <w:jc w:val="center"/>
                    <w:rPr>
                      <w:rFonts w:hint="default" w:ascii="Times New Roman" w:hAnsi="Times New Roman" w:eastAsia="Arial" w:cs="Times New Roman"/>
                      <w:color w:val="auto"/>
                      <w:sz w:val="21"/>
                      <w:szCs w:val="21"/>
                    </w:rPr>
                  </w:pPr>
                </w:p>
              </w:tc>
              <w:tc>
                <w:tcPr>
                  <w:tcW w:w="931" w:type="dxa"/>
                  <w:vMerge w:val="continue"/>
                  <w:shd w:val="clear" w:color="auto" w:fill="FFFFFF"/>
                  <w:noWrap w:val="0"/>
                  <w:vAlign w:val="center"/>
                </w:tcPr>
                <w:p>
                  <w:pPr>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93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夜间</w:t>
                  </w:r>
                </w:p>
              </w:tc>
              <w:tc>
                <w:tcPr>
                  <w:tcW w:w="88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54.80</w:t>
                  </w:r>
                </w:p>
              </w:tc>
              <w:tc>
                <w:tcPr>
                  <w:tcW w:w="1408" w:type="dxa"/>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宋体" w:cs="Times New Roman"/>
                      <w:color w:val="auto"/>
                      <w:sz w:val="21"/>
                      <w:szCs w:val="21"/>
                      <w:lang w:val="en-US" w:eastAsia="zh-CN"/>
                    </w:rPr>
                    <w:t>55</w:t>
                  </w:r>
                </w:p>
              </w:tc>
              <w:tc>
                <w:tcPr>
                  <w:tcW w:w="800" w:type="dxa"/>
                  <w:tcBorders>
                    <w:righ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40" w:hRule="exact"/>
                <w:jc w:val="center"/>
              </w:trPr>
              <w:tc>
                <w:tcPr>
                  <w:tcW w:w="821" w:type="dxa"/>
                  <w:vMerge w:val="restart"/>
                  <w:tcBorders>
                    <w:lef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西侧</w:t>
                  </w:r>
                </w:p>
              </w:tc>
              <w:tc>
                <w:tcPr>
                  <w:tcW w:w="690" w:type="dxa"/>
                  <w:vMerge w:val="restart"/>
                  <w:shd w:val="clear" w:color="auto" w:fill="FFFFFF"/>
                  <w:noWrap w:val="0"/>
                  <w:vAlign w:val="center"/>
                </w:tcPr>
                <w:p>
                  <w:pPr>
                    <w:jc w:val="center"/>
                    <w:rPr>
                      <w:rFonts w:hint="default" w:ascii="Times New Roman" w:hAnsi="Times New Roman" w:eastAsia="Arial" w:cs="Times New Roman"/>
                      <w:color w:val="auto"/>
                      <w:sz w:val="21"/>
                      <w:szCs w:val="21"/>
                      <w:lang w:val="en-US"/>
                    </w:rPr>
                  </w:pPr>
                  <w:r>
                    <w:rPr>
                      <w:rFonts w:hint="default" w:ascii="Times New Roman" w:hAnsi="Times New Roman" w:eastAsia="Arial" w:cs="Times New Roman"/>
                      <w:color w:val="auto"/>
                      <w:sz w:val="21"/>
                      <w:szCs w:val="21"/>
                      <w:lang w:val="en-US" w:eastAsia="zh-CN"/>
                    </w:rPr>
                    <w:t>-46.34</w:t>
                  </w:r>
                </w:p>
              </w:tc>
              <w:tc>
                <w:tcPr>
                  <w:tcW w:w="795" w:type="dxa"/>
                  <w:vMerge w:val="restart"/>
                  <w:shd w:val="clear" w:color="auto" w:fill="FFFFFF"/>
                  <w:noWrap w:val="0"/>
                  <w:vAlign w:val="center"/>
                </w:tcPr>
                <w:p>
                  <w:pPr>
                    <w:jc w:val="center"/>
                    <w:rPr>
                      <w:rFonts w:hint="default" w:ascii="Times New Roman" w:hAnsi="Times New Roman" w:eastAsia="Arial" w:cs="Times New Roman"/>
                      <w:color w:val="auto"/>
                      <w:sz w:val="21"/>
                      <w:szCs w:val="21"/>
                      <w:lang w:val="en-US"/>
                    </w:rPr>
                  </w:pPr>
                  <w:r>
                    <w:rPr>
                      <w:rFonts w:hint="default" w:ascii="Times New Roman" w:hAnsi="Times New Roman" w:eastAsia="Arial" w:cs="Times New Roman"/>
                      <w:color w:val="auto"/>
                      <w:sz w:val="21"/>
                      <w:szCs w:val="21"/>
                      <w:lang w:val="en-US" w:eastAsia="zh-CN"/>
                    </w:rPr>
                    <w:t>6.74</w:t>
                  </w:r>
                </w:p>
              </w:tc>
              <w:tc>
                <w:tcPr>
                  <w:tcW w:w="660" w:type="dxa"/>
                  <w:vMerge w:val="restart"/>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1.2</w:t>
                  </w:r>
                </w:p>
              </w:tc>
              <w:tc>
                <w:tcPr>
                  <w:tcW w:w="931" w:type="dxa"/>
                  <w:vMerge w:val="restart"/>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933" w:type="dxa"/>
                  <w:shd w:val="clear" w:color="auto" w:fill="FFFFFF"/>
                  <w:noWrap w:val="0"/>
                  <w:vAlign w:val="center"/>
                </w:tcPr>
                <w:p>
                  <w:pPr>
                    <w:jc w:val="center"/>
                    <w:rPr>
                      <w:rFonts w:hint="default" w:ascii="Times New Roman" w:hAnsi="Times New Roman" w:eastAsia="Arial" w:cs="Times New Roman"/>
                      <w:color w:val="auto"/>
                      <w:sz w:val="21"/>
                      <w:szCs w:val="21"/>
                      <w:lang w:val="en-US"/>
                    </w:rPr>
                  </w:pPr>
                  <w:r>
                    <w:rPr>
                      <w:rFonts w:hint="default" w:ascii="Times New Roman" w:hAnsi="Times New Roman" w:eastAsia="Arial" w:cs="Times New Roman"/>
                      <w:color w:val="auto"/>
                      <w:sz w:val="21"/>
                      <w:szCs w:val="21"/>
                      <w:lang w:val="en-US" w:eastAsia="zh-CN"/>
                    </w:rPr>
                    <w:t>昼间</w:t>
                  </w:r>
                </w:p>
              </w:tc>
              <w:tc>
                <w:tcPr>
                  <w:tcW w:w="88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54.16</w:t>
                  </w:r>
                </w:p>
              </w:tc>
              <w:tc>
                <w:tcPr>
                  <w:tcW w:w="1408" w:type="dxa"/>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宋体" w:cs="Times New Roman"/>
                      <w:color w:val="auto"/>
                      <w:sz w:val="21"/>
                      <w:szCs w:val="21"/>
                      <w:lang w:val="en-US" w:eastAsia="zh-CN"/>
                    </w:rPr>
                    <w:t>65</w:t>
                  </w:r>
                </w:p>
              </w:tc>
              <w:tc>
                <w:tcPr>
                  <w:tcW w:w="800" w:type="dxa"/>
                  <w:tcBorders>
                    <w:righ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40" w:hRule="exact"/>
                <w:jc w:val="center"/>
              </w:trPr>
              <w:tc>
                <w:tcPr>
                  <w:tcW w:w="821" w:type="dxa"/>
                  <w:vMerge w:val="continue"/>
                  <w:tcBorders>
                    <w:lef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p>
              </w:tc>
              <w:tc>
                <w:tcPr>
                  <w:tcW w:w="690" w:type="dxa"/>
                  <w:vMerge w:val="continue"/>
                  <w:shd w:val="clear" w:color="auto" w:fill="FFFFFF"/>
                  <w:noWrap w:val="0"/>
                  <w:vAlign w:val="center"/>
                </w:tcPr>
                <w:p>
                  <w:pPr>
                    <w:jc w:val="center"/>
                    <w:rPr>
                      <w:rFonts w:hint="default" w:ascii="Times New Roman" w:hAnsi="Times New Roman" w:eastAsia="Arial" w:cs="Times New Roman"/>
                      <w:color w:val="auto"/>
                      <w:sz w:val="21"/>
                      <w:szCs w:val="21"/>
                    </w:rPr>
                  </w:pPr>
                </w:p>
              </w:tc>
              <w:tc>
                <w:tcPr>
                  <w:tcW w:w="795" w:type="dxa"/>
                  <w:vMerge w:val="continue"/>
                  <w:shd w:val="clear" w:color="auto" w:fill="FFFFFF"/>
                  <w:noWrap w:val="0"/>
                  <w:vAlign w:val="center"/>
                </w:tcPr>
                <w:p>
                  <w:pPr>
                    <w:jc w:val="center"/>
                    <w:rPr>
                      <w:rFonts w:hint="default" w:ascii="Times New Roman" w:hAnsi="Times New Roman" w:eastAsia="Arial" w:cs="Times New Roman"/>
                      <w:color w:val="auto"/>
                      <w:sz w:val="21"/>
                      <w:szCs w:val="21"/>
                    </w:rPr>
                  </w:pPr>
                </w:p>
              </w:tc>
              <w:tc>
                <w:tcPr>
                  <w:tcW w:w="660" w:type="dxa"/>
                  <w:vMerge w:val="continue"/>
                  <w:shd w:val="clear" w:color="auto" w:fill="FFFFFF"/>
                  <w:noWrap w:val="0"/>
                  <w:vAlign w:val="center"/>
                </w:tcPr>
                <w:p>
                  <w:pPr>
                    <w:jc w:val="center"/>
                    <w:rPr>
                      <w:rFonts w:hint="default" w:ascii="Times New Roman" w:hAnsi="Times New Roman" w:eastAsia="Arial" w:cs="Times New Roman"/>
                      <w:color w:val="auto"/>
                      <w:sz w:val="21"/>
                      <w:szCs w:val="21"/>
                    </w:rPr>
                  </w:pPr>
                </w:p>
              </w:tc>
              <w:tc>
                <w:tcPr>
                  <w:tcW w:w="931" w:type="dxa"/>
                  <w:vMerge w:val="continue"/>
                  <w:shd w:val="clear" w:color="auto" w:fill="FFFFFF"/>
                  <w:noWrap w:val="0"/>
                  <w:vAlign w:val="center"/>
                </w:tcPr>
                <w:p>
                  <w:pPr>
                    <w:jc w:val="center"/>
                    <w:rPr>
                      <w:rFonts w:hint="default" w:ascii="Times New Roman" w:hAnsi="Times New Roman" w:eastAsia="Arial" w:cs="Times New Roman"/>
                      <w:color w:val="auto"/>
                      <w:sz w:val="21"/>
                      <w:szCs w:val="21"/>
                    </w:rPr>
                  </w:pPr>
                </w:p>
              </w:tc>
              <w:tc>
                <w:tcPr>
                  <w:tcW w:w="93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夜间</w:t>
                  </w:r>
                </w:p>
              </w:tc>
              <w:tc>
                <w:tcPr>
                  <w:tcW w:w="88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54.16</w:t>
                  </w:r>
                </w:p>
              </w:tc>
              <w:tc>
                <w:tcPr>
                  <w:tcW w:w="1408" w:type="dxa"/>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宋体" w:cs="Times New Roman"/>
                      <w:color w:val="auto"/>
                      <w:sz w:val="21"/>
                      <w:szCs w:val="21"/>
                      <w:lang w:val="en-US" w:eastAsia="zh-CN"/>
                    </w:rPr>
                    <w:t>55</w:t>
                  </w:r>
                </w:p>
              </w:tc>
              <w:tc>
                <w:tcPr>
                  <w:tcW w:w="800" w:type="dxa"/>
                  <w:tcBorders>
                    <w:righ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40" w:hRule="exact"/>
                <w:jc w:val="center"/>
              </w:trPr>
              <w:tc>
                <w:tcPr>
                  <w:tcW w:w="821" w:type="dxa"/>
                  <w:vMerge w:val="restart"/>
                  <w:tcBorders>
                    <w:lef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北侧</w:t>
                  </w:r>
                </w:p>
              </w:tc>
              <w:tc>
                <w:tcPr>
                  <w:tcW w:w="690" w:type="dxa"/>
                  <w:vMerge w:val="restart"/>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-37.09</w:t>
                  </w:r>
                </w:p>
              </w:tc>
              <w:tc>
                <w:tcPr>
                  <w:tcW w:w="795" w:type="dxa"/>
                  <w:vMerge w:val="restart"/>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28.16</w:t>
                  </w:r>
                </w:p>
              </w:tc>
              <w:tc>
                <w:tcPr>
                  <w:tcW w:w="660" w:type="dxa"/>
                  <w:vMerge w:val="restart"/>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1.2</w:t>
                  </w:r>
                </w:p>
              </w:tc>
              <w:tc>
                <w:tcPr>
                  <w:tcW w:w="931" w:type="dxa"/>
                  <w:vMerge w:val="restart"/>
                  <w:shd w:val="clear" w:color="auto" w:fill="FFFFFF"/>
                  <w:noWrap w:val="0"/>
                  <w:vAlign w:val="center"/>
                </w:tcPr>
                <w:p>
                  <w:pPr>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全天24小时</w:t>
                  </w:r>
                </w:p>
              </w:tc>
              <w:tc>
                <w:tcPr>
                  <w:tcW w:w="93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昼间</w:t>
                  </w:r>
                </w:p>
              </w:tc>
              <w:tc>
                <w:tcPr>
                  <w:tcW w:w="883" w:type="dxa"/>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51.67</w:t>
                  </w:r>
                </w:p>
              </w:tc>
              <w:tc>
                <w:tcPr>
                  <w:tcW w:w="1408" w:type="dxa"/>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宋体" w:cs="Times New Roman"/>
                      <w:color w:val="auto"/>
                      <w:sz w:val="21"/>
                      <w:szCs w:val="21"/>
                      <w:lang w:val="en-US" w:eastAsia="zh-CN"/>
                    </w:rPr>
                    <w:t>65</w:t>
                  </w:r>
                </w:p>
              </w:tc>
              <w:tc>
                <w:tcPr>
                  <w:tcW w:w="800" w:type="dxa"/>
                  <w:tcBorders>
                    <w:righ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340" w:hRule="exact"/>
                <w:jc w:val="center"/>
              </w:trPr>
              <w:tc>
                <w:tcPr>
                  <w:tcW w:w="821" w:type="dxa"/>
                  <w:vMerge w:val="continue"/>
                  <w:tcBorders>
                    <w:left w:val="single" w:color="auto" w:sz="4" w:space="0"/>
                    <w:bottom w:val="single" w:color="auto" w:sz="2" w:space="0"/>
                  </w:tcBorders>
                  <w:shd w:val="clear" w:color="auto" w:fill="FFFFFF"/>
                  <w:noWrap w:val="0"/>
                  <w:vAlign w:val="center"/>
                </w:tcPr>
                <w:p>
                  <w:pPr>
                    <w:jc w:val="center"/>
                    <w:rPr>
                      <w:rFonts w:hint="default" w:ascii="Times New Roman" w:hAnsi="Times New Roman" w:eastAsia="Arial" w:cs="Times New Roman"/>
                      <w:color w:val="auto"/>
                      <w:sz w:val="21"/>
                      <w:szCs w:val="21"/>
                    </w:rPr>
                  </w:pPr>
                </w:p>
              </w:tc>
              <w:tc>
                <w:tcPr>
                  <w:tcW w:w="690" w:type="dxa"/>
                  <w:vMerge w:val="continue"/>
                  <w:tcBorders>
                    <w:bottom w:val="single" w:color="auto" w:sz="2" w:space="0"/>
                  </w:tcBorders>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p>
              </w:tc>
              <w:tc>
                <w:tcPr>
                  <w:tcW w:w="795" w:type="dxa"/>
                  <w:vMerge w:val="continue"/>
                  <w:tcBorders>
                    <w:bottom w:val="single" w:color="auto" w:sz="2" w:space="0"/>
                  </w:tcBorders>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p>
              </w:tc>
              <w:tc>
                <w:tcPr>
                  <w:tcW w:w="660" w:type="dxa"/>
                  <w:vMerge w:val="continue"/>
                  <w:tcBorders>
                    <w:bottom w:val="single" w:color="auto" w:sz="2" w:space="0"/>
                  </w:tcBorders>
                  <w:shd w:val="clear" w:color="auto" w:fill="FFFFFF"/>
                  <w:noWrap w:val="0"/>
                  <w:vAlign w:val="center"/>
                </w:tcPr>
                <w:p>
                  <w:pPr>
                    <w:jc w:val="center"/>
                    <w:rPr>
                      <w:rFonts w:hint="default" w:ascii="Times New Roman" w:hAnsi="Times New Roman" w:eastAsia="Arial" w:cs="Times New Roman"/>
                      <w:color w:val="auto"/>
                      <w:sz w:val="21"/>
                      <w:szCs w:val="21"/>
                    </w:rPr>
                  </w:pPr>
                </w:p>
              </w:tc>
              <w:tc>
                <w:tcPr>
                  <w:tcW w:w="931" w:type="dxa"/>
                  <w:vMerge w:val="continue"/>
                  <w:tcBorders>
                    <w:bottom w:val="single" w:color="auto" w:sz="2" w:space="0"/>
                  </w:tcBorders>
                  <w:shd w:val="clear" w:color="auto" w:fill="FFFFFF"/>
                  <w:noWrap w:val="0"/>
                  <w:vAlign w:val="center"/>
                </w:tcPr>
                <w:p>
                  <w:pPr>
                    <w:jc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933" w:type="dxa"/>
                  <w:tcBorders>
                    <w:bottom w:val="single" w:color="auto" w:sz="2" w:space="0"/>
                  </w:tcBorders>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夜间</w:t>
                  </w:r>
                </w:p>
              </w:tc>
              <w:tc>
                <w:tcPr>
                  <w:tcW w:w="883" w:type="dxa"/>
                  <w:tcBorders>
                    <w:bottom w:val="single" w:color="auto" w:sz="2" w:space="0"/>
                  </w:tcBorders>
                  <w:shd w:val="clear" w:color="auto" w:fill="FFFFFF"/>
                  <w:noWrap w:val="0"/>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lang w:val="en-US" w:eastAsia="zh-CN"/>
                    </w:rPr>
                    <w:t>51.67</w:t>
                  </w:r>
                </w:p>
              </w:tc>
              <w:tc>
                <w:tcPr>
                  <w:tcW w:w="1408" w:type="dxa"/>
                  <w:tcBorders>
                    <w:bottom w:val="single" w:color="auto" w:sz="2"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宋体" w:cs="Times New Roman"/>
                      <w:color w:val="auto"/>
                      <w:sz w:val="21"/>
                      <w:szCs w:val="21"/>
                      <w:lang w:val="en-US" w:eastAsia="zh-CN"/>
                    </w:rPr>
                    <w:t>55</w:t>
                  </w:r>
                </w:p>
              </w:tc>
              <w:tc>
                <w:tcPr>
                  <w:tcW w:w="800" w:type="dxa"/>
                  <w:tcBorders>
                    <w:bottom w:val="single" w:color="auto" w:sz="2" w:space="0"/>
                    <w:right w:val="single" w:color="auto" w:sz="4" w:space="0"/>
                  </w:tcBorders>
                  <w:shd w:val="clear" w:color="auto" w:fill="FFFFFF"/>
                  <w:noWrap w:val="0"/>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bl>
          <w:p>
            <w:pPr>
              <w:snapToGrid w:val="0"/>
              <w:spacing w:line="360" w:lineRule="auto"/>
              <w:ind w:firstLine="480" w:firstLineChars="200"/>
              <w:rPr>
                <w:color w:val="auto"/>
                <w:sz w:val="24"/>
              </w:rPr>
            </w:pPr>
            <w:r>
              <w:rPr>
                <w:color w:val="auto"/>
                <w:sz w:val="24"/>
              </w:rPr>
              <w:t>由上表可知，正常工况下，项目厂界噪声满足</w:t>
            </w:r>
            <w:bookmarkStart w:id="5" w:name="PO_3"/>
            <w:r>
              <w:rPr>
                <w:color w:val="auto"/>
                <w:sz w:val="24"/>
              </w:rPr>
              <w:t>《工业企业厂界环境噪声排放标准》（GB12348-2008）</w:t>
            </w:r>
            <w:bookmarkEnd w:id="5"/>
            <w:r>
              <w:rPr>
                <w:color w:val="auto"/>
                <w:sz w:val="24"/>
              </w:rPr>
              <w:t>中</w:t>
            </w:r>
            <w:r>
              <w:rPr>
                <w:rFonts w:hint="eastAsia"/>
                <w:color w:val="auto"/>
                <w:sz w:val="24"/>
              </w:rPr>
              <w:t>3</w:t>
            </w:r>
            <w:r>
              <w:rPr>
                <w:color w:val="auto"/>
                <w:sz w:val="24"/>
              </w:rPr>
              <w:t>类标准限值要求</w:t>
            </w:r>
            <w:r>
              <w:rPr>
                <w:rFonts w:hint="eastAsia"/>
                <w:color w:val="auto"/>
                <w:sz w:val="24"/>
              </w:rPr>
              <w:t>，</w:t>
            </w:r>
            <w:r>
              <w:rPr>
                <w:color w:val="auto"/>
                <w:sz w:val="24"/>
              </w:rPr>
              <w:t>不会对区域声环境造成明显影响。</w:t>
            </w:r>
          </w:p>
          <w:p>
            <w:pPr>
              <w:widowControl/>
              <w:spacing w:line="360" w:lineRule="auto"/>
              <w:ind w:firstLine="480" w:firstLineChars="200"/>
              <w:jc w:val="left"/>
              <w:rPr>
                <w:color w:val="auto"/>
                <w:sz w:val="24"/>
              </w:rPr>
            </w:pPr>
            <w:r>
              <w:rPr>
                <w:color w:val="auto"/>
                <w:sz w:val="24"/>
              </w:rPr>
              <w:t>综上所述，在严格执行环评所提出的各项环保治理措施的基础上，本项目工程建设对声环境造成的不利影响能够得到缓解和控制，对环境的影响可接受。</w:t>
            </w:r>
          </w:p>
          <w:p>
            <w:pPr>
              <w:pStyle w:val="20"/>
              <w:spacing w:after="0" w:line="360" w:lineRule="auto"/>
              <w:ind w:left="0" w:leftChars="0" w:firstLine="482" w:firstLineChars="200"/>
              <w:rPr>
                <w:b/>
                <w:bCs/>
                <w:color w:val="auto"/>
                <w:sz w:val="24"/>
              </w:rPr>
            </w:pPr>
            <w:r>
              <w:rPr>
                <w:rFonts w:hint="eastAsia"/>
                <w:b/>
                <w:bCs/>
                <w:color w:val="auto"/>
                <w:sz w:val="24"/>
                <w:lang w:val="en-US" w:eastAsia="zh-CN"/>
              </w:rPr>
              <w:t>4、</w:t>
            </w:r>
            <w:r>
              <w:rPr>
                <w:b/>
                <w:bCs/>
                <w:color w:val="auto"/>
                <w:sz w:val="24"/>
              </w:rPr>
              <w:t>监测要求</w:t>
            </w:r>
          </w:p>
          <w:p>
            <w:pPr>
              <w:pStyle w:val="20"/>
              <w:spacing w:after="0" w:line="360" w:lineRule="auto"/>
              <w:ind w:left="0" w:leftChars="0"/>
              <w:jc w:val="center"/>
              <w:rPr>
                <w:b/>
                <w:bCs/>
                <w:color w:val="auto"/>
                <w:szCs w:val="21"/>
              </w:rPr>
            </w:pPr>
            <w:r>
              <w:rPr>
                <w:b/>
                <w:bCs/>
                <w:color w:val="auto"/>
                <w:szCs w:val="21"/>
              </w:rPr>
              <w:t>表4-</w:t>
            </w:r>
            <w:r>
              <w:rPr>
                <w:rFonts w:hint="eastAsia"/>
                <w:b/>
                <w:bCs/>
                <w:color w:val="auto"/>
                <w:szCs w:val="21"/>
                <w:lang w:val="en-US" w:eastAsia="zh-CN"/>
              </w:rPr>
              <w:t>15</w:t>
            </w:r>
            <w:r>
              <w:rPr>
                <w:b/>
                <w:bCs/>
                <w:color w:val="auto"/>
                <w:szCs w:val="21"/>
              </w:rPr>
              <w:t xml:space="preserve"> </w:t>
            </w:r>
            <w:r>
              <w:rPr>
                <w:b/>
                <w:bCs/>
                <w:color w:val="auto"/>
                <w:kern w:val="0"/>
                <w:szCs w:val="21"/>
                <w:lang w:bidi="ar"/>
              </w:rPr>
              <w:t>噪声监测计划</w:t>
            </w:r>
          </w:p>
          <w:tbl>
            <w:tblPr>
              <w:tblStyle w:val="36"/>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8"/>
              <w:gridCol w:w="2649"/>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48" w:type="dxa"/>
                  <w:noWrap w:val="0"/>
                  <w:vAlign w:val="center"/>
                </w:tcPr>
                <w:p>
                  <w:pPr>
                    <w:pStyle w:val="20"/>
                    <w:spacing w:after="0" w:line="240" w:lineRule="auto"/>
                    <w:ind w:left="0" w:leftChars="0"/>
                    <w:jc w:val="center"/>
                    <w:rPr>
                      <w:b/>
                      <w:bCs/>
                      <w:color w:val="auto"/>
                      <w:szCs w:val="21"/>
                    </w:rPr>
                  </w:pPr>
                  <w:r>
                    <w:rPr>
                      <w:b/>
                      <w:bCs/>
                      <w:color w:val="auto"/>
                      <w:szCs w:val="21"/>
                    </w:rPr>
                    <w:t>监测点位</w:t>
                  </w:r>
                </w:p>
              </w:tc>
              <w:tc>
                <w:tcPr>
                  <w:tcW w:w="2649" w:type="dxa"/>
                  <w:noWrap w:val="0"/>
                  <w:vAlign w:val="center"/>
                </w:tcPr>
                <w:p>
                  <w:pPr>
                    <w:pStyle w:val="20"/>
                    <w:spacing w:after="0" w:line="240" w:lineRule="auto"/>
                    <w:ind w:left="0" w:leftChars="0"/>
                    <w:jc w:val="center"/>
                    <w:rPr>
                      <w:rFonts w:hint="eastAsia"/>
                      <w:b/>
                      <w:bCs/>
                      <w:color w:val="auto"/>
                      <w:szCs w:val="21"/>
                    </w:rPr>
                  </w:pPr>
                  <w:r>
                    <w:rPr>
                      <w:b/>
                      <w:bCs/>
                      <w:color w:val="auto"/>
                      <w:szCs w:val="21"/>
                    </w:rPr>
                    <w:t>监测项目</w:t>
                  </w:r>
                </w:p>
              </w:tc>
              <w:tc>
                <w:tcPr>
                  <w:tcW w:w="2649" w:type="dxa"/>
                  <w:noWrap w:val="0"/>
                  <w:vAlign w:val="center"/>
                </w:tcPr>
                <w:p>
                  <w:pPr>
                    <w:pStyle w:val="20"/>
                    <w:spacing w:after="0" w:line="240" w:lineRule="auto"/>
                    <w:ind w:left="0" w:leftChars="0"/>
                    <w:jc w:val="center"/>
                    <w:rPr>
                      <w:b/>
                      <w:bCs/>
                      <w:color w:val="auto"/>
                      <w:szCs w:val="21"/>
                    </w:rPr>
                  </w:pPr>
                  <w:r>
                    <w:rPr>
                      <w:b/>
                      <w:bCs/>
                      <w:color w:val="auto"/>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48" w:type="dxa"/>
                  <w:noWrap w:val="0"/>
                  <w:vAlign w:val="center"/>
                </w:tcPr>
                <w:p>
                  <w:pPr>
                    <w:pStyle w:val="20"/>
                    <w:spacing w:after="0" w:line="240" w:lineRule="auto"/>
                    <w:ind w:left="0" w:leftChars="0"/>
                    <w:jc w:val="center"/>
                    <w:rPr>
                      <w:color w:val="auto"/>
                      <w:szCs w:val="21"/>
                    </w:rPr>
                  </w:pPr>
                  <w:r>
                    <w:rPr>
                      <w:color w:val="auto"/>
                      <w:szCs w:val="21"/>
                    </w:rPr>
                    <w:t>厂界</w:t>
                  </w:r>
                  <w:r>
                    <w:rPr>
                      <w:rFonts w:hint="eastAsia"/>
                      <w:color w:val="auto"/>
                      <w:szCs w:val="21"/>
                      <w:lang w:val="en-US" w:eastAsia="zh-CN"/>
                    </w:rPr>
                    <w:t>四周</w:t>
                  </w:r>
                  <w:r>
                    <w:rPr>
                      <w:color w:val="auto"/>
                      <w:szCs w:val="21"/>
                    </w:rPr>
                    <w:t>外</w:t>
                  </w:r>
                  <w:r>
                    <w:rPr>
                      <w:rFonts w:hint="eastAsia"/>
                      <w:color w:val="auto"/>
                      <w:szCs w:val="21"/>
                    </w:rPr>
                    <w:t>1</w:t>
                  </w:r>
                  <w:r>
                    <w:rPr>
                      <w:color w:val="auto"/>
                      <w:szCs w:val="21"/>
                    </w:rPr>
                    <w:t>m处</w:t>
                  </w:r>
                </w:p>
              </w:tc>
              <w:tc>
                <w:tcPr>
                  <w:tcW w:w="2649" w:type="dxa"/>
                  <w:noWrap w:val="0"/>
                  <w:vAlign w:val="center"/>
                </w:tcPr>
                <w:p>
                  <w:pPr>
                    <w:pStyle w:val="20"/>
                    <w:spacing w:after="0" w:line="240" w:lineRule="auto"/>
                    <w:ind w:left="0" w:leftChars="0"/>
                    <w:jc w:val="center"/>
                    <w:rPr>
                      <w:rFonts w:hint="default" w:eastAsia="宋体"/>
                      <w:color w:val="auto"/>
                      <w:szCs w:val="21"/>
                      <w:lang w:val="en-US" w:eastAsia="zh-CN"/>
                    </w:rPr>
                  </w:pPr>
                  <w:r>
                    <w:rPr>
                      <w:rFonts w:hint="eastAsia"/>
                      <w:color w:val="auto"/>
                      <w:kern w:val="0"/>
                      <w:szCs w:val="21"/>
                      <w:lang w:bidi="ar"/>
                    </w:rPr>
                    <w:t>等效连续A声级</w:t>
                  </w:r>
                </w:p>
              </w:tc>
              <w:tc>
                <w:tcPr>
                  <w:tcW w:w="2649" w:type="dxa"/>
                  <w:noWrap w:val="0"/>
                  <w:vAlign w:val="center"/>
                </w:tcPr>
                <w:p>
                  <w:pPr>
                    <w:widowControl/>
                    <w:jc w:val="center"/>
                    <w:rPr>
                      <w:rFonts w:hint="eastAsia" w:eastAsia="宋体"/>
                      <w:color w:val="auto"/>
                      <w:szCs w:val="21"/>
                      <w:lang w:eastAsia="zh-CN"/>
                    </w:rPr>
                  </w:pPr>
                  <w:r>
                    <w:rPr>
                      <w:color w:val="auto"/>
                      <w:kern w:val="0"/>
                      <w:szCs w:val="21"/>
                      <w:lang w:bidi="ar"/>
                    </w:rPr>
                    <w:t>1次/</w:t>
                  </w:r>
                  <w:r>
                    <w:rPr>
                      <w:rFonts w:hint="eastAsia"/>
                      <w:color w:val="auto"/>
                      <w:kern w:val="0"/>
                      <w:szCs w:val="21"/>
                      <w:lang w:val="en-US" w:eastAsia="zh-CN" w:bidi="ar"/>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946"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5、噪声环境影响结论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综上，该项目投产运营后厂界噪声满足《工业企业厂界环境噪声排放标准》（</w:t>
                  </w:r>
                  <w:r>
                    <w:rPr>
                      <w:rFonts w:hint="default" w:ascii="Times New Roman" w:hAnsi="Times New Roman" w:eastAsia="宋体" w:cs="Times New Roman"/>
                      <w:color w:val="auto"/>
                      <w:kern w:val="0"/>
                      <w:sz w:val="24"/>
                      <w:szCs w:val="24"/>
                      <w:lang w:val="en-US" w:eastAsia="zh-CN" w:bidi="ar"/>
                    </w:rPr>
                    <w:t>GB12348-2008</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 xml:space="preserve">类排放标准限值要求，评价范围 </w:t>
                  </w:r>
                  <w:r>
                    <w:rPr>
                      <w:rFonts w:hint="default" w:ascii="Times New Roman" w:hAnsi="Times New Roman" w:eastAsia="宋体" w:cs="Times New Roman"/>
                      <w:color w:val="auto"/>
                      <w:kern w:val="0"/>
                      <w:sz w:val="24"/>
                      <w:szCs w:val="24"/>
                      <w:lang w:val="en-US" w:eastAsia="zh-CN" w:bidi="ar"/>
                    </w:rPr>
                    <w:t xml:space="preserve">50m </w:t>
                  </w:r>
                  <w:r>
                    <w:rPr>
                      <w:rFonts w:hint="eastAsia" w:ascii="宋体" w:hAnsi="宋体" w:eastAsia="宋体" w:cs="宋体"/>
                      <w:color w:val="auto"/>
                      <w:kern w:val="0"/>
                      <w:sz w:val="24"/>
                      <w:szCs w:val="24"/>
                      <w:lang w:val="en-US" w:eastAsia="zh-CN" w:bidi="ar"/>
                    </w:rPr>
                    <w:t>范围内无敏感点，本项目运营期噪声对声环境影响较小，不会改变项目区域声环境功能区划。</w:t>
                  </w:r>
                </w:p>
                <w:p>
                  <w:pPr>
                    <w:widowControl/>
                    <w:jc w:val="left"/>
                    <w:rPr>
                      <w:rFonts w:hint="eastAsia" w:eastAsia="宋体"/>
                      <w:color w:val="auto"/>
                      <w:kern w:val="0"/>
                      <w:szCs w:val="21"/>
                      <w:lang w:eastAsia="zh-CN" w:bidi="ar"/>
                    </w:rPr>
                  </w:pPr>
                </w:p>
              </w:tc>
            </w:tr>
          </w:tbl>
          <w:p>
            <w:pPr>
              <w:spacing w:line="360" w:lineRule="auto"/>
              <w:rPr>
                <w:rFonts w:ascii="宋体" w:hAnsi="宋体" w:cs="宋体"/>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00"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color w:val="auto"/>
                <w:sz w:val="24"/>
              </w:rPr>
            </w:pPr>
            <w:r>
              <w:rPr>
                <w:rFonts w:hint="eastAsia" w:ascii="宋体" w:hAnsi="宋体" w:cs="宋体"/>
                <w:bCs/>
                <w:color w:val="auto"/>
                <w:sz w:val="24"/>
              </w:rPr>
              <w:t>运营</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期环</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境影</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响和</w:t>
            </w:r>
          </w:p>
          <w:p>
            <w:pPr>
              <w:adjustRightInd w:val="0"/>
              <w:snapToGrid w:val="0"/>
              <w:jc w:val="center"/>
              <w:rPr>
                <w:rFonts w:hint="eastAsia" w:ascii="宋体" w:hAnsi="宋体" w:cs="宋体"/>
                <w:bCs/>
                <w:color w:val="auto"/>
                <w:sz w:val="24"/>
              </w:rPr>
            </w:pPr>
            <w:r>
              <w:rPr>
                <w:rFonts w:hint="eastAsia" w:ascii="宋体" w:hAnsi="宋体" w:cs="宋体"/>
                <w:bCs/>
                <w:color w:val="auto"/>
                <w:sz w:val="24"/>
              </w:rPr>
              <w:t>保护</w:t>
            </w:r>
          </w:p>
          <w:p>
            <w:pPr>
              <w:adjustRightInd w:val="0"/>
              <w:snapToGrid w:val="0"/>
              <w:jc w:val="center"/>
              <w:rPr>
                <w:rFonts w:ascii="宋体" w:hAnsi="宋体" w:cs="宋体"/>
                <w:bCs/>
                <w:color w:val="auto"/>
                <w:szCs w:val="21"/>
              </w:rPr>
            </w:pPr>
            <w:r>
              <w:rPr>
                <w:rFonts w:hint="eastAsia" w:ascii="宋体" w:hAnsi="宋体" w:cs="宋体"/>
                <w:bCs/>
                <w:color w:val="auto"/>
                <w:sz w:val="24"/>
              </w:rPr>
              <w:t>措施</w:t>
            </w:r>
          </w:p>
        </w:tc>
        <w:tc>
          <w:tcPr>
            <w:tcW w:w="8162" w:type="dxa"/>
            <w:noWrap w:val="0"/>
            <w:vAlign w:val="center"/>
          </w:tcPr>
          <w:p>
            <w:pPr>
              <w:spacing w:line="360" w:lineRule="auto"/>
              <w:ind w:firstLine="482" w:firstLineChars="200"/>
              <w:rPr>
                <w:b/>
                <w:bCs/>
                <w:color w:val="auto"/>
                <w:sz w:val="24"/>
              </w:rPr>
            </w:pPr>
            <w:r>
              <w:rPr>
                <w:rFonts w:hint="eastAsia"/>
                <w:b/>
                <w:bCs/>
                <w:color w:val="auto"/>
                <w:sz w:val="24"/>
              </w:rPr>
              <w:t>四、固废</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b/>
                <w:bCs/>
                <w:color w:val="auto"/>
                <w:sz w:val="24"/>
                <w:szCs w:val="24"/>
              </w:rPr>
            </w:pPr>
            <w:r>
              <w:rPr>
                <w:rFonts w:hint="eastAsia"/>
                <w:b/>
                <w:bCs/>
                <w:color w:val="auto"/>
                <w:sz w:val="24"/>
                <w:szCs w:val="24"/>
                <w:lang w:val="en-US" w:eastAsia="zh-CN"/>
              </w:rPr>
              <w:t>1、</w:t>
            </w:r>
            <w:r>
              <w:rPr>
                <w:b/>
                <w:bCs/>
                <w:color w:val="auto"/>
                <w:sz w:val="24"/>
                <w:szCs w:val="24"/>
              </w:rPr>
              <w:t>固体废物产生及治理措施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eastAsia="zh-CN" w:bidi="ar"/>
              </w:rPr>
            </w:pPr>
            <w:r>
              <w:rPr>
                <w:color w:val="auto"/>
                <w:sz w:val="24"/>
                <w:szCs w:val="24"/>
              </w:rPr>
              <w:t>本项目运营期产生的固体废物主要包括</w:t>
            </w:r>
            <w:r>
              <w:rPr>
                <w:rFonts w:hint="eastAsia"/>
                <w:color w:val="auto"/>
                <w:sz w:val="24"/>
                <w:szCs w:val="24"/>
              </w:rPr>
              <w:t>生活垃圾、</w:t>
            </w:r>
            <w:r>
              <w:rPr>
                <w:color w:val="auto"/>
                <w:sz w:val="24"/>
                <w:szCs w:val="24"/>
              </w:rPr>
              <w:t>一般固体废物和危险废物</w:t>
            </w:r>
            <w:r>
              <w:rPr>
                <w:color w:val="auto"/>
                <w:kern w:val="0"/>
                <w:sz w:val="24"/>
                <w:szCs w:val="24"/>
                <w:lang w:bidi="ar"/>
              </w:rPr>
              <w:t>。</w:t>
            </w:r>
            <w:r>
              <w:rPr>
                <w:rFonts w:hint="eastAsia"/>
                <w:color w:val="auto"/>
                <w:kern w:val="0"/>
                <w:sz w:val="24"/>
                <w:szCs w:val="24"/>
                <w:lang w:bidi="ar"/>
              </w:rPr>
              <w:t>一般固体废物主要包括未沾</w:t>
            </w:r>
            <w:r>
              <w:rPr>
                <w:rFonts w:hint="eastAsia" w:ascii="Times New Roman" w:hAnsi="Times New Roman" w:eastAsia="宋体" w:cs="Times New Roman"/>
                <w:color w:val="auto"/>
                <w:kern w:val="0"/>
                <w:sz w:val="24"/>
                <w:szCs w:val="24"/>
                <w:lang w:bidi="ar"/>
              </w:rPr>
              <w:t>染具有危险特性物质的废包装材料</w:t>
            </w:r>
            <w:r>
              <w:rPr>
                <w:rFonts w:hint="eastAsia" w:ascii="Times New Roman" w:hAnsi="Times New Roman" w:eastAsia="宋体" w:cs="Times New Roman"/>
                <w:color w:val="auto"/>
                <w:kern w:val="0"/>
                <w:sz w:val="24"/>
                <w:szCs w:val="24"/>
                <w:lang w:eastAsia="zh-CN" w:bidi="ar"/>
              </w:rPr>
              <w:t>、</w:t>
            </w:r>
            <w:r>
              <w:rPr>
                <w:rFonts w:hint="eastAsia" w:ascii="Times New Roman" w:hAnsi="Times New Roman" w:eastAsia="宋体" w:cs="Times New Roman"/>
                <w:color w:val="auto"/>
                <w:kern w:val="0"/>
                <w:sz w:val="24"/>
                <w:szCs w:val="24"/>
                <w:lang w:bidi="ar"/>
              </w:rPr>
              <w:t>磁性杂质物</w:t>
            </w:r>
            <w:r>
              <w:rPr>
                <w:rFonts w:hint="eastAsia" w:ascii="Times New Roman" w:hAnsi="Times New Roman" w:eastAsia="宋体" w:cs="Times New Roman"/>
                <w:color w:val="auto"/>
                <w:kern w:val="0"/>
                <w:sz w:val="24"/>
                <w:szCs w:val="24"/>
                <w:lang w:eastAsia="zh-CN" w:bidi="ar"/>
              </w:rPr>
              <w:t>、</w:t>
            </w:r>
            <w:r>
              <w:rPr>
                <w:rFonts w:hint="eastAsia" w:ascii="Times New Roman" w:hAnsi="Times New Roman" w:eastAsia="宋体" w:cs="Times New Roman"/>
                <w:color w:val="auto"/>
                <w:kern w:val="0"/>
                <w:sz w:val="24"/>
                <w:szCs w:val="24"/>
                <w:lang w:val="en-US" w:eastAsia="zh-CN" w:bidi="ar"/>
              </w:rPr>
              <w:t>布袋除尘器收集粉尘、废边角料</w:t>
            </w:r>
            <w:r>
              <w:rPr>
                <w:rFonts w:hint="eastAsia" w:ascii="Times New Roman" w:hAnsi="Times New Roman" w:eastAsia="宋体" w:cs="Times New Roman"/>
                <w:color w:val="auto"/>
                <w:kern w:val="0"/>
                <w:sz w:val="24"/>
                <w:szCs w:val="24"/>
                <w:lang w:eastAsia="zh-CN" w:bidi="ar"/>
              </w:rPr>
              <w:t>；</w:t>
            </w:r>
            <w:r>
              <w:rPr>
                <w:rFonts w:hint="eastAsia" w:ascii="Times New Roman" w:hAnsi="Times New Roman" w:eastAsia="宋体" w:cs="Times New Roman"/>
                <w:color w:val="auto"/>
                <w:kern w:val="0"/>
                <w:sz w:val="24"/>
                <w:szCs w:val="24"/>
                <w:lang w:bidi="ar"/>
              </w:rPr>
              <w:t>危险废物主要包括</w:t>
            </w:r>
            <w:r>
              <w:rPr>
                <w:rFonts w:hint="eastAsia" w:ascii="Times New Roman" w:hAnsi="Times New Roman" w:eastAsia="宋体" w:cs="Times New Roman"/>
                <w:color w:val="auto"/>
                <w:kern w:val="0"/>
                <w:sz w:val="24"/>
                <w:szCs w:val="24"/>
                <w:lang w:val="en-US" w:eastAsia="zh-CN" w:bidi="ar"/>
              </w:rPr>
              <w:t>废机油、废机油桶、废含油手套及抹布。</w:t>
            </w:r>
          </w:p>
          <w:p>
            <w:pPr>
              <w:widowControl/>
              <w:spacing w:line="360" w:lineRule="auto"/>
              <w:ind w:firstLine="482" w:firstLineChars="200"/>
              <w:rPr>
                <w:b/>
                <w:bCs/>
                <w:color w:val="auto"/>
                <w:sz w:val="24"/>
              </w:rPr>
            </w:pPr>
            <w:r>
              <w:rPr>
                <w:rFonts w:hint="eastAsia"/>
                <w:b/>
                <w:bCs/>
                <w:color w:val="auto"/>
                <w:sz w:val="24"/>
              </w:rPr>
              <w:t>（1）</w:t>
            </w:r>
            <w:r>
              <w:rPr>
                <w:b/>
                <w:bCs/>
                <w:color w:val="auto"/>
                <w:kern w:val="0"/>
                <w:sz w:val="24"/>
                <w:lang w:bidi="ar"/>
              </w:rPr>
              <w:t>生活垃圾：</w:t>
            </w:r>
            <w:r>
              <w:rPr>
                <w:color w:val="auto"/>
                <w:kern w:val="0"/>
                <w:sz w:val="24"/>
                <w:lang w:bidi="ar"/>
              </w:rPr>
              <w:t>本项目</w:t>
            </w:r>
            <w:r>
              <w:rPr>
                <w:rFonts w:hint="eastAsia"/>
                <w:color w:val="auto"/>
                <w:kern w:val="0"/>
                <w:sz w:val="24"/>
                <w:lang w:bidi="ar"/>
              </w:rPr>
              <w:t>新增</w:t>
            </w:r>
            <w:r>
              <w:rPr>
                <w:color w:val="auto"/>
                <w:kern w:val="0"/>
                <w:sz w:val="24"/>
                <w:lang w:bidi="ar"/>
              </w:rPr>
              <w:t>劳动定员</w:t>
            </w:r>
            <w:r>
              <w:rPr>
                <w:rFonts w:hint="eastAsia"/>
                <w:color w:val="auto"/>
                <w:kern w:val="0"/>
                <w:sz w:val="24"/>
                <w:lang w:val="en-US" w:eastAsia="zh-CN" w:bidi="ar"/>
              </w:rPr>
              <w:t>1</w:t>
            </w:r>
            <w:r>
              <w:rPr>
                <w:rFonts w:hint="eastAsia"/>
                <w:color w:val="auto"/>
                <w:kern w:val="0"/>
                <w:sz w:val="24"/>
                <w:lang w:bidi="ar"/>
              </w:rPr>
              <w:t>0</w:t>
            </w:r>
            <w:r>
              <w:rPr>
                <w:color w:val="auto"/>
                <w:kern w:val="0"/>
                <w:sz w:val="24"/>
                <w:lang w:bidi="ar"/>
              </w:rPr>
              <w:t>人，</w:t>
            </w:r>
            <w:r>
              <w:rPr>
                <w:color w:val="auto"/>
                <w:sz w:val="24"/>
              </w:rPr>
              <w:t>年工作</w:t>
            </w:r>
            <w:r>
              <w:rPr>
                <w:rFonts w:hint="eastAsia"/>
                <w:color w:val="auto"/>
                <w:sz w:val="24"/>
              </w:rPr>
              <w:t>3</w:t>
            </w:r>
            <w:r>
              <w:rPr>
                <w:rFonts w:hint="eastAsia"/>
                <w:color w:val="auto"/>
                <w:sz w:val="24"/>
                <w:lang w:val="en-US" w:eastAsia="zh-CN"/>
              </w:rPr>
              <w:t>3</w:t>
            </w:r>
            <w:r>
              <w:rPr>
                <w:rFonts w:hint="eastAsia"/>
                <w:color w:val="auto"/>
                <w:sz w:val="24"/>
              </w:rPr>
              <w:t>0</w:t>
            </w:r>
            <w:r>
              <w:rPr>
                <w:color w:val="auto"/>
                <w:sz w:val="24"/>
              </w:rPr>
              <w:t>天，垃圾产生量按0.5kg/人·d计，则项目生活垃圾产生量约为</w:t>
            </w:r>
            <w:r>
              <w:rPr>
                <w:rFonts w:hint="eastAsia"/>
                <w:color w:val="auto"/>
                <w:kern w:val="0"/>
                <w:sz w:val="24"/>
                <w:lang w:val="en-US" w:eastAsia="zh-CN" w:bidi="ar"/>
              </w:rPr>
              <w:t>5</w:t>
            </w:r>
            <w:r>
              <w:rPr>
                <w:color w:val="auto"/>
                <w:kern w:val="0"/>
                <w:sz w:val="24"/>
                <w:lang w:bidi="ar"/>
              </w:rPr>
              <w:t>kg/d</w:t>
            </w:r>
            <w:r>
              <w:rPr>
                <w:color w:val="auto"/>
                <w:sz w:val="24"/>
              </w:rPr>
              <w:t>，</w:t>
            </w:r>
            <w:r>
              <w:rPr>
                <w:rFonts w:hint="eastAsia"/>
                <w:color w:val="auto"/>
                <w:kern w:val="0"/>
                <w:sz w:val="24"/>
                <w:lang w:val="en-US" w:eastAsia="zh-CN" w:bidi="ar"/>
              </w:rPr>
              <w:t>1.65</w:t>
            </w:r>
            <w:r>
              <w:rPr>
                <w:color w:val="auto"/>
                <w:kern w:val="0"/>
                <w:sz w:val="24"/>
                <w:lang w:bidi="ar"/>
              </w:rPr>
              <w:t>t/a。治理措施：</w:t>
            </w:r>
            <w:r>
              <w:rPr>
                <w:color w:val="auto"/>
                <w:sz w:val="24"/>
              </w:rPr>
              <w:t>收集后交由环卫部门清运处理</w:t>
            </w:r>
            <w:r>
              <w:rPr>
                <w:color w:val="auto"/>
                <w:kern w:val="0"/>
                <w:sz w:val="24"/>
                <w:lang w:bidi="ar"/>
              </w:rPr>
              <w:t>。</w:t>
            </w:r>
          </w:p>
          <w:p>
            <w:pPr>
              <w:spacing w:line="360" w:lineRule="auto"/>
              <w:ind w:firstLine="482" w:firstLineChars="200"/>
              <w:rPr>
                <w:b/>
                <w:bCs/>
                <w:color w:val="auto"/>
                <w:sz w:val="24"/>
              </w:rPr>
            </w:pPr>
            <w:r>
              <w:rPr>
                <w:b/>
                <w:bCs/>
                <w:color w:val="auto"/>
                <w:sz w:val="24"/>
              </w:rPr>
              <w:t>（</w:t>
            </w:r>
            <w:r>
              <w:rPr>
                <w:rFonts w:hint="eastAsia"/>
                <w:b/>
                <w:bCs/>
                <w:color w:val="auto"/>
                <w:sz w:val="24"/>
              </w:rPr>
              <w:t>2</w:t>
            </w:r>
            <w:r>
              <w:rPr>
                <w:b/>
                <w:bCs/>
                <w:color w:val="auto"/>
                <w:sz w:val="24"/>
              </w:rPr>
              <w:t>）一般固废</w:t>
            </w:r>
          </w:p>
          <w:p>
            <w:pPr>
              <w:spacing w:line="360" w:lineRule="auto"/>
              <w:ind w:firstLine="482" w:firstLineChars="200"/>
              <w:jc w:val="left"/>
              <w:rPr>
                <w:rFonts w:hint="eastAsia"/>
                <w:b/>
                <w:bCs/>
                <w:color w:val="auto"/>
                <w:sz w:val="24"/>
              </w:rPr>
            </w:pPr>
            <w:r>
              <w:rPr>
                <w:rFonts w:hint="eastAsia"/>
                <w:b/>
                <w:bCs/>
                <w:color w:val="auto"/>
                <w:sz w:val="24"/>
              </w:rPr>
              <w:t>1）未沾染具有危险特性物质的废包装材料：</w:t>
            </w:r>
            <w:r>
              <w:rPr>
                <w:rFonts w:hint="eastAsia"/>
                <w:color w:val="auto"/>
                <w:sz w:val="24"/>
              </w:rPr>
              <w:t>项目未沾染具有危险特性物质的废包装材料为废塑料及纸箱包装材料，产生量为0.1t/a。治理措施：收集后暂存于一般固废间，外售废品回收商。</w:t>
            </w:r>
          </w:p>
          <w:p>
            <w:pPr>
              <w:spacing w:line="360" w:lineRule="auto"/>
              <w:ind w:firstLine="482"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b/>
                <w:bCs/>
                <w:color w:val="auto"/>
                <w:sz w:val="24"/>
              </w:rPr>
              <w:t>2）磁性杂质物：</w:t>
            </w:r>
            <w:r>
              <w:rPr>
                <w:rFonts w:hint="eastAsia" w:ascii="Times New Roman" w:hAnsi="Times New Roman" w:eastAsia="宋体" w:cs="Times New Roman"/>
                <w:color w:val="auto"/>
                <w:sz w:val="24"/>
              </w:rPr>
              <w:t>膨胀后的石墨蠕虫需要转入除磁设备，进行物理提纯工艺，通过设定提纯所需的特定磁场强度范围，对带有磁性的杂质物质进行吸附</w:t>
            </w:r>
            <w:r>
              <w:rPr>
                <w:rFonts w:hint="eastAsia" w:ascii="Times New Roman" w:hAnsi="Times New Roman" w:eastAsia="宋体" w:cs="Times New Roman"/>
                <w:color w:val="auto"/>
                <w:sz w:val="24"/>
                <w:lang w:val="en-US" w:eastAsia="zh-CN"/>
              </w:rPr>
              <w:t>，此工序会产生</w:t>
            </w:r>
            <w:r>
              <w:rPr>
                <w:rFonts w:hint="eastAsia" w:ascii="Times New Roman" w:hAnsi="Times New Roman" w:eastAsia="宋体" w:cs="Times New Roman"/>
                <w:color w:val="auto"/>
                <w:sz w:val="24"/>
              </w:rPr>
              <w:t>磁</w:t>
            </w:r>
            <w:r>
              <w:rPr>
                <w:rFonts w:hint="eastAsia" w:ascii="Times New Roman" w:hAnsi="Times New Roman" w:eastAsia="宋体" w:cs="Times New Roman"/>
                <w:color w:val="auto"/>
                <w:sz w:val="24"/>
                <w:szCs w:val="24"/>
              </w:rPr>
              <w:t>性杂质物</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产生量约为</w:t>
            </w:r>
            <w:r>
              <w:rPr>
                <w:rFonts w:hint="eastAsia" w:ascii="Times New Roman" w:hAnsi="Times New Roman" w:eastAsia="宋体" w:cs="Times New Roman"/>
                <w:color w:val="auto"/>
                <w:sz w:val="24"/>
                <w:szCs w:val="24"/>
                <w:lang w:val="en-US" w:eastAsia="zh-CN"/>
              </w:rPr>
              <w:t>0.762</w:t>
            </w:r>
            <w:r>
              <w:rPr>
                <w:rFonts w:hint="eastAsia"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治理措</w:t>
            </w:r>
            <w:r>
              <w:rPr>
                <w:rFonts w:hint="eastAsia" w:ascii="Times New Roman" w:hAnsi="Times New Roman" w:eastAsia="宋体" w:cs="Times New Roman"/>
                <w:color w:val="auto"/>
                <w:sz w:val="24"/>
              </w:rPr>
              <w:t>施：收集后暂存于一般固废间，外售废品回收商。</w:t>
            </w:r>
          </w:p>
          <w:p>
            <w:pPr>
              <w:spacing w:line="360" w:lineRule="auto"/>
              <w:ind w:firstLine="482"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b/>
                <w:bCs/>
                <w:color w:val="auto"/>
                <w:sz w:val="24"/>
                <w:lang w:val="en-US" w:eastAsia="zh-CN"/>
              </w:rPr>
              <w:t>3</w:t>
            </w:r>
            <w:r>
              <w:rPr>
                <w:rFonts w:hint="eastAsia" w:ascii="Times New Roman" w:hAnsi="Times New Roman" w:eastAsia="宋体" w:cs="Times New Roman"/>
                <w:b/>
                <w:bCs/>
                <w:color w:val="auto"/>
                <w:sz w:val="24"/>
              </w:rPr>
              <w:t>）</w:t>
            </w:r>
            <w:r>
              <w:rPr>
                <w:rFonts w:hint="eastAsia" w:ascii="Times New Roman" w:hAnsi="Times New Roman" w:eastAsia="宋体" w:cs="Times New Roman"/>
                <w:b/>
                <w:bCs/>
                <w:color w:val="auto"/>
                <w:sz w:val="24"/>
                <w:lang w:val="en-US" w:eastAsia="zh-CN"/>
              </w:rPr>
              <w:t>布袋除尘器收集粉尘</w:t>
            </w:r>
            <w:r>
              <w:rPr>
                <w:rFonts w:hint="eastAsia" w:ascii="Times New Roman" w:hAnsi="Times New Roman" w:eastAsia="宋体" w:cs="Times New Roman"/>
                <w:b/>
                <w:bCs/>
                <w:color w:val="auto"/>
                <w:sz w:val="24"/>
              </w:rPr>
              <w:t>：</w:t>
            </w:r>
            <w:r>
              <w:rPr>
                <w:rFonts w:hint="eastAsia" w:ascii="Times New Roman" w:hAnsi="Times New Roman" w:eastAsia="宋体" w:cs="Times New Roman"/>
                <w:color w:val="auto"/>
                <w:sz w:val="24"/>
                <w:lang w:val="en-US" w:eastAsia="zh-CN"/>
              </w:rPr>
              <w:t>根据前文分析，布袋除尘器收集粉尘量为2.4071</w:t>
            </w:r>
            <w:r>
              <w:rPr>
                <w:rFonts w:hint="eastAsia" w:ascii="Times New Roman" w:hAnsi="Times New Roman" w:eastAsia="宋体" w:cs="Times New Roman"/>
                <w:color w:val="auto"/>
                <w:sz w:val="24"/>
              </w:rPr>
              <w:t>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治理措施：收集后暂存于一般固废间，外售废品回收商。</w:t>
            </w:r>
          </w:p>
          <w:p>
            <w:pPr>
              <w:spacing w:line="360" w:lineRule="auto"/>
              <w:ind w:firstLine="482" w:firstLineChars="200"/>
              <w:jc w:val="both"/>
              <w:rPr>
                <w:color w:val="auto"/>
                <w:sz w:val="24"/>
              </w:rPr>
            </w:pPr>
            <w:r>
              <w:rPr>
                <w:rFonts w:hint="eastAsia"/>
                <w:b/>
                <w:bCs/>
                <w:color w:val="auto"/>
                <w:sz w:val="24"/>
                <w:lang w:val="en-US" w:eastAsia="zh-CN"/>
              </w:rPr>
              <w:t>4</w:t>
            </w:r>
            <w:r>
              <w:rPr>
                <w:b/>
                <w:bCs/>
                <w:color w:val="auto"/>
                <w:sz w:val="24"/>
              </w:rPr>
              <w:t>）</w:t>
            </w:r>
            <w:r>
              <w:rPr>
                <w:rFonts w:hint="eastAsia" w:ascii="Times New Roman" w:hAnsi="Times New Roman" w:eastAsia="宋体" w:cs="Times New Roman"/>
                <w:b/>
                <w:bCs/>
                <w:color w:val="auto"/>
                <w:sz w:val="24"/>
                <w:lang w:val="en-US" w:eastAsia="zh-CN"/>
              </w:rPr>
              <w:t>废边角料</w:t>
            </w:r>
            <w:r>
              <w:rPr>
                <w:rFonts w:hint="eastAsia" w:ascii="Times New Roman" w:hAnsi="Times New Roman" w:eastAsia="宋体" w:cs="Times New Roman"/>
                <w:b/>
                <w:bCs/>
                <w:color w:val="auto"/>
                <w:sz w:val="24"/>
              </w:rPr>
              <w:t>：</w:t>
            </w:r>
            <w:r>
              <w:rPr>
                <w:color w:val="auto"/>
                <w:sz w:val="24"/>
              </w:rPr>
              <w:t>项目</w:t>
            </w:r>
            <w:r>
              <w:rPr>
                <w:rFonts w:hint="eastAsia"/>
                <w:color w:val="auto"/>
                <w:kern w:val="0"/>
                <w:sz w:val="24"/>
                <w:lang w:bidi="ar"/>
              </w:rPr>
              <w:t>包装入库</w:t>
            </w:r>
            <w:r>
              <w:rPr>
                <w:rFonts w:hint="eastAsia"/>
                <w:color w:val="auto"/>
                <w:kern w:val="0"/>
                <w:sz w:val="24"/>
                <w:lang w:val="en-US" w:eastAsia="zh-CN" w:bidi="ar"/>
              </w:rPr>
              <w:t>时，使用</w:t>
            </w:r>
            <w:r>
              <w:rPr>
                <w:rFonts w:hint="eastAsia" w:ascii="Times New Roman" w:hAnsi="Times New Roman" w:eastAsia="宋体" w:cs="Times New Roman"/>
                <w:color w:val="auto"/>
                <w:kern w:val="0"/>
                <w:sz w:val="24"/>
                <w:lang w:bidi="ar"/>
              </w:rPr>
              <w:t>横切机、卷纸机</w:t>
            </w:r>
            <w:r>
              <w:rPr>
                <w:rFonts w:hint="eastAsia" w:ascii="Times New Roman" w:hAnsi="Times New Roman" w:eastAsia="宋体" w:cs="Times New Roman"/>
                <w:color w:val="auto"/>
                <w:kern w:val="0"/>
                <w:sz w:val="24"/>
                <w:lang w:val="en-US" w:eastAsia="zh-CN" w:bidi="ar"/>
              </w:rPr>
              <w:t>切割高性能石墨导热膜及超高纯度柔性石墨纸，此工序会产生废边角料，产生量约为1.1932t/a</w:t>
            </w:r>
            <w:r>
              <w:rPr>
                <w:rFonts w:hint="eastAsia"/>
                <w:color w:val="auto"/>
                <w:sz w:val="24"/>
              </w:rPr>
              <w:t>。治理措施：收集后暂存于一般固废间，外售废品回收商。</w:t>
            </w:r>
          </w:p>
          <w:p>
            <w:pPr>
              <w:spacing w:line="360" w:lineRule="auto"/>
              <w:ind w:firstLine="482" w:firstLineChars="200"/>
              <w:rPr>
                <w:b/>
                <w:bCs/>
                <w:color w:val="auto"/>
                <w:sz w:val="24"/>
                <w:szCs w:val="24"/>
              </w:rPr>
            </w:pPr>
            <w:r>
              <w:rPr>
                <w:b/>
                <w:bCs/>
                <w:color w:val="auto"/>
                <w:sz w:val="24"/>
                <w:szCs w:val="24"/>
              </w:rPr>
              <w:t>（</w:t>
            </w:r>
            <w:r>
              <w:rPr>
                <w:rFonts w:hint="eastAsia"/>
                <w:b/>
                <w:bCs/>
                <w:color w:val="auto"/>
                <w:sz w:val="24"/>
                <w:szCs w:val="24"/>
                <w:lang w:val="en-US" w:eastAsia="zh-CN"/>
              </w:rPr>
              <w:t>3</w:t>
            </w:r>
            <w:r>
              <w:rPr>
                <w:b/>
                <w:bCs/>
                <w:color w:val="auto"/>
                <w:sz w:val="24"/>
                <w:szCs w:val="24"/>
              </w:rPr>
              <w:t>）危险废物</w:t>
            </w:r>
          </w:p>
          <w:p>
            <w:pPr>
              <w:widowControl/>
              <w:spacing w:line="360" w:lineRule="auto"/>
              <w:ind w:firstLine="482" w:firstLineChars="200"/>
              <w:jc w:val="left"/>
              <w:rPr>
                <w:rFonts w:hint="eastAsia" w:ascii="Times New Roman" w:hAnsi="Times New Roman" w:eastAsia="宋体" w:cs="Times New Roman"/>
                <w:b/>
                <w:bCs/>
                <w:color w:val="auto"/>
                <w:kern w:val="0"/>
                <w:sz w:val="24"/>
                <w:lang w:val="en-US" w:eastAsia="zh-CN" w:bidi="ar"/>
              </w:rPr>
            </w:pPr>
            <w:r>
              <w:rPr>
                <w:b/>
                <w:bCs/>
                <w:color w:val="auto"/>
                <w:sz w:val="24"/>
                <w:szCs w:val="24"/>
              </w:rPr>
              <w:t>1</w:t>
            </w:r>
            <w:r>
              <w:rPr>
                <w:rFonts w:ascii="Times New Roman" w:hAnsi="Times New Roman" w:eastAsia="宋体" w:cs="Times New Roman"/>
                <w:b/>
                <w:bCs/>
                <w:color w:val="auto"/>
                <w:sz w:val="24"/>
                <w:szCs w:val="24"/>
              </w:rPr>
              <w:t>）</w:t>
            </w:r>
            <w:r>
              <w:rPr>
                <w:rFonts w:hint="eastAsia" w:ascii="Times New Roman" w:hAnsi="Times New Roman" w:eastAsia="宋体" w:cs="Times New Roman"/>
                <w:b/>
                <w:bCs/>
                <w:color w:val="auto"/>
                <w:kern w:val="0"/>
                <w:sz w:val="24"/>
                <w:lang w:val="en-US" w:eastAsia="zh-CN" w:bidi="ar"/>
              </w:rPr>
              <w:t>废机油/废机油桶</w:t>
            </w:r>
          </w:p>
          <w:p>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本项目设备保养、维修过程中会产生少量的</w:t>
            </w:r>
            <w:r>
              <w:rPr>
                <w:rFonts w:hint="eastAsia" w:ascii="Times New Roman" w:hAnsi="Times New Roman" w:eastAsia="宋体" w:cs="Times New Roman"/>
                <w:color w:val="auto"/>
                <w:kern w:val="0"/>
                <w:sz w:val="24"/>
                <w:lang w:val="en-US" w:eastAsia="zh-CN" w:bidi="ar"/>
              </w:rPr>
              <w:t>废润滑油/废润滑油桶</w:t>
            </w:r>
            <w:r>
              <w:rPr>
                <w:rFonts w:hint="default" w:ascii="Times New Roman" w:hAnsi="Times New Roman" w:eastAsia="宋体" w:cs="Times New Roman"/>
                <w:color w:val="auto"/>
                <w:kern w:val="0"/>
                <w:sz w:val="24"/>
                <w:lang w:val="en-US" w:eastAsia="zh-CN" w:bidi="ar"/>
              </w:rPr>
              <w:t>，产生量约</w:t>
            </w:r>
            <w:r>
              <w:rPr>
                <w:rFonts w:hint="eastAsia" w:ascii="Times New Roman" w:hAnsi="Times New Roman" w:eastAsia="宋体" w:cs="Times New Roman"/>
                <w:color w:val="auto"/>
                <w:kern w:val="0"/>
                <w:sz w:val="24"/>
                <w:lang w:val="en-US" w:eastAsia="zh-CN" w:bidi="ar"/>
              </w:rPr>
              <w:t>0.03</w:t>
            </w:r>
            <w:r>
              <w:rPr>
                <w:rFonts w:hint="default" w:ascii="Times New Roman" w:hAnsi="Times New Roman" w:eastAsia="宋体" w:cs="Times New Roman"/>
                <w:color w:val="auto"/>
                <w:kern w:val="0"/>
                <w:sz w:val="24"/>
                <w:lang w:val="en-US" w:eastAsia="zh-CN" w:bidi="ar"/>
              </w:rPr>
              <w:t>t/a。根据《国家危险废物名录》（2025年版），</w:t>
            </w:r>
            <w:r>
              <w:rPr>
                <w:rFonts w:hint="eastAsia" w:ascii="Times New Roman" w:hAnsi="Times New Roman" w:eastAsia="宋体" w:cs="Times New Roman"/>
                <w:color w:val="auto"/>
                <w:kern w:val="0"/>
                <w:sz w:val="24"/>
                <w:lang w:val="en-US" w:eastAsia="zh-CN" w:bidi="ar"/>
              </w:rPr>
              <w:t>废润滑油/废润滑油桶</w:t>
            </w:r>
            <w:r>
              <w:rPr>
                <w:rFonts w:hint="default" w:ascii="Times New Roman" w:hAnsi="Times New Roman" w:eastAsia="宋体" w:cs="Times New Roman"/>
                <w:color w:val="auto"/>
                <w:kern w:val="0"/>
                <w:sz w:val="24"/>
                <w:lang w:val="en-US" w:eastAsia="zh-CN" w:bidi="ar"/>
              </w:rPr>
              <w:t>属于危险</w:t>
            </w:r>
            <w:r>
              <w:rPr>
                <w:rFonts w:hint="eastAsia" w:ascii="Times New Roman" w:hAnsi="Times New Roman" w:eastAsia="宋体" w:cs="Times New Roman"/>
                <w:color w:val="auto"/>
                <w:kern w:val="0"/>
                <w:sz w:val="24"/>
                <w:lang w:val="en-US" w:eastAsia="zh-CN" w:bidi="ar"/>
              </w:rPr>
              <w:t>废物</w:t>
            </w:r>
            <w:r>
              <w:rPr>
                <w:rFonts w:hint="default" w:ascii="Times New Roman" w:hAnsi="Times New Roman" w:eastAsia="宋体" w:cs="Times New Roman"/>
                <w:color w:val="auto"/>
                <w:kern w:val="0"/>
                <w:sz w:val="24"/>
                <w:lang w:val="en-US" w:eastAsia="zh-CN" w:bidi="ar"/>
              </w:rPr>
              <w:t>，危废名录类别为HW08废矿物油与含矿物油废物；废物代码为900-249-08；危废特性</w:t>
            </w:r>
            <w:r>
              <w:rPr>
                <w:rFonts w:hint="eastAsia" w:ascii="Times New Roman" w:hAnsi="Times New Roman" w:eastAsia="宋体" w:cs="Times New Roman"/>
                <w:color w:val="auto"/>
                <w:kern w:val="0"/>
                <w:sz w:val="24"/>
                <w:lang w:val="en-US" w:eastAsia="zh-CN" w:bidi="ar"/>
              </w:rPr>
              <w:t>T/I</w:t>
            </w:r>
            <w:r>
              <w:rPr>
                <w:rFonts w:hint="default" w:ascii="Times New Roman" w:hAnsi="Times New Roman" w:eastAsia="宋体"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危险废物：其他生产、销售、使用过程中产生的废矿物油及沾染矿物油的废弃包装物。</w:t>
            </w:r>
          </w:p>
          <w:p>
            <w:pPr>
              <w:widowControl/>
              <w:spacing w:line="360" w:lineRule="auto"/>
              <w:ind w:firstLine="482" w:firstLineChars="200"/>
              <w:jc w:val="left"/>
              <w:rPr>
                <w:rFonts w:hint="eastAsia" w:ascii="Times New Roman" w:hAnsi="Times New Roman" w:eastAsia="宋体" w:cs="Times New Roman"/>
                <w:b/>
                <w:bCs/>
                <w:color w:val="auto"/>
                <w:kern w:val="0"/>
                <w:sz w:val="24"/>
                <w:lang w:val="en-US" w:eastAsia="zh-CN" w:bidi="ar"/>
              </w:rPr>
            </w:pPr>
            <w:r>
              <w:rPr>
                <w:rFonts w:hint="eastAsia" w:ascii="Times New Roman" w:hAnsi="Times New Roman" w:eastAsia="宋体" w:cs="Times New Roman"/>
                <w:b/>
                <w:bCs/>
                <w:color w:val="auto"/>
                <w:kern w:val="0"/>
                <w:sz w:val="24"/>
                <w:lang w:val="en-US" w:eastAsia="zh-CN" w:bidi="ar"/>
              </w:rPr>
              <w:t>2）废含油手套及抹布</w:t>
            </w:r>
          </w:p>
          <w:p>
            <w:pPr>
              <w:widowControl/>
              <w:spacing w:line="360" w:lineRule="auto"/>
              <w:ind w:firstLine="480" w:firstLineChars="200"/>
              <w:jc w:val="left"/>
              <w:rPr>
                <w:rFonts w:hint="eastAsia"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主要来自设备</w:t>
            </w:r>
            <w:r>
              <w:rPr>
                <w:rFonts w:hint="eastAsia" w:ascii="Times New Roman" w:hAnsi="Times New Roman" w:eastAsia="宋体" w:cs="Times New Roman"/>
                <w:color w:val="auto"/>
                <w:kern w:val="0"/>
                <w:sz w:val="24"/>
                <w:lang w:val="en-US" w:eastAsia="zh-CN" w:bidi="ar"/>
              </w:rPr>
              <w:t>机油</w:t>
            </w:r>
            <w:r>
              <w:rPr>
                <w:rFonts w:hint="default" w:ascii="Times New Roman" w:hAnsi="Times New Roman" w:eastAsia="宋体" w:cs="Times New Roman"/>
                <w:color w:val="auto"/>
                <w:kern w:val="0"/>
                <w:sz w:val="24"/>
                <w:lang w:val="en-US" w:eastAsia="zh-CN" w:bidi="ar"/>
              </w:rPr>
              <w:t>润滑过程及零件维修擦拭过程，产生量约</w:t>
            </w:r>
            <w:r>
              <w:rPr>
                <w:rFonts w:hint="eastAsia" w:ascii="Times New Roman" w:hAnsi="Times New Roman" w:eastAsia="宋体" w:cs="Times New Roman"/>
                <w:color w:val="auto"/>
                <w:kern w:val="0"/>
                <w:sz w:val="24"/>
                <w:lang w:val="en-US" w:eastAsia="zh-CN" w:bidi="ar"/>
              </w:rPr>
              <w:t>0.001</w:t>
            </w:r>
            <w:r>
              <w:rPr>
                <w:rFonts w:hint="default" w:ascii="Times New Roman" w:hAnsi="Times New Roman" w:eastAsia="宋体" w:cs="Times New Roman"/>
                <w:color w:val="auto"/>
                <w:kern w:val="0"/>
                <w:sz w:val="24"/>
                <w:lang w:val="en-US" w:eastAsia="zh-CN" w:bidi="ar"/>
              </w:rPr>
              <w:t>t/a</w:t>
            </w:r>
            <w:r>
              <w:rPr>
                <w:rFonts w:hint="eastAsia" w:ascii="Times New Roman" w:hAnsi="Times New Roman" w:eastAsia="宋体" w:cs="Times New Roman"/>
                <w:color w:val="auto"/>
                <w:kern w:val="0"/>
                <w:sz w:val="24"/>
                <w:lang w:val="en-US" w:eastAsia="zh-CN" w:bidi="ar"/>
              </w:rPr>
              <w:t>。</w:t>
            </w:r>
            <w:r>
              <w:rPr>
                <w:rFonts w:hint="default" w:ascii="Times New Roman" w:hAnsi="Times New Roman" w:eastAsia="宋体" w:cs="Times New Roman"/>
                <w:color w:val="auto"/>
                <w:kern w:val="0"/>
                <w:sz w:val="24"/>
                <w:lang w:val="en-US" w:eastAsia="zh-CN" w:bidi="ar"/>
              </w:rPr>
              <w:t>根据《国家危险废物名录》（2025年版），</w:t>
            </w:r>
            <w:r>
              <w:rPr>
                <w:rFonts w:hint="eastAsia" w:ascii="Times New Roman" w:hAnsi="Times New Roman" w:eastAsia="宋体" w:cs="Times New Roman"/>
                <w:color w:val="auto"/>
                <w:kern w:val="0"/>
                <w:sz w:val="24"/>
                <w:lang w:val="en-US" w:eastAsia="zh-CN" w:bidi="ar"/>
              </w:rPr>
              <w:t>废含油手套及抹布</w:t>
            </w:r>
            <w:r>
              <w:rPr>
                <w:rFonts w:hint="default" w:ascii="Times New Roman" w:hAnsi="Times New Roman" w:eastAsia="宋体" w:cs="Times New Roman"/>
                <w:color w:val="auto"/>
                <w:kern w:val="0"/>
                <w:sz w:val="24"/>
                <w:lang w:val="en-US" w:eastAsia="zh-CN" w:bidi="ar"/>
              </w:rPr>
              <w:t>属于危险</w:t>
            </w:r>
            <w:r>
              <w:rPr>
                <w:rFonts w:hint="eastAsia" w:ascii="Times New Roman" w:hAnsi="Times New Roman" w:eastAsia="宋体" w:cs="Times New Roman"/>
                <w:color w:val="auto"/>
                <w:kern w:val="0"/>
                <w:sz w:val="24"/>
                <w:lang w:val="en-US" w:eastAsia="zh-CN" w:bidi="ar"/>
              </w:rPr>
              <w:t>废物</w:t>
            </w:r>
            <w:r>
              <w:rPr>
                <w:rFonts w:hint="default" w:ascii="Times New Roman" w:hAnsi="Times New Roman" w:eastAsia="宋体" w:cs="Times New Roman"/>
                <w:color w:val="auto"/>
                <w:kern w:val="0"/>
                <w:sz w:val="24"/>
                <w:lang w:val="en-US" w:eastAsia="zh-CN" w:bidi="ar"/>
              </w:rPr>
              <w:t>，危废名录类别为HW49其他废物；废物代码为900-041-49；危废特性</w:t>
            </w:r>
            <w:r>
              <w:rPr>
                <w:rFonts w:hint="eastAsia" w:ascii="Times New Roman" w:hAnsi="Times New Roman" w:eastAsia="宋体" w:cs="Times New Roman"/>
                <w:color w:val="auto"/>
                <w:kern w:val="0"/>
                <w:sz w:val="24"/>
                <w:lang w:val="en-US" w:eastAsia="zh-CN" w:bidi="ar"/>
              </w:rPr>
              <w:t>T/In</w:t>
            </w:r>
            <w:r>
              <w:rPr>
                <w:rFonts w:hint="default" w:ascii="Times New Roman" w:hAnsi="Times New Roman" w:eastAsia="宋体"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危险废物：含有或者沾染毒性、感染性危险废物的废弃的包装物、容器、过滤吸附介质。</w:t>
            </w:r>
          </w:p>
          <w:p>
            <w:pPr>
              <w:pStyle w:val="97"/>
              <w:spacing w:line="360" w:lineRule="auto"/>
              <w:ind w:left="0" w:right="0" w:firstLine="480" w:firstLineChars="200"/>
              <w:jc w:val="both"/>
              <w:rPr>
                <w:rFonts w:hint="eastAsia" w:ascii="Times New Roman" w:hAnsi="Times New Roman"/>
                <w:bCs/>
                <w:color w:val="auto"/>
                <w:szCs w:val="24"/>
              </w:rPr>
            </w:pPr>
            <w:r>
              <w:rPr>
                <w:rFonts w:ascii="Times New Roman" w:hAnsi="Times New Roman"/>
                <w:bCs/>
                <w:color w:val="auto"/>
                <w:szCs w:val="24"/>
              </w:rPr>
              <w:t>危废经收集后暂存于危废暂存间，各类危废应按种类进行分类收集，且危废暂存间仅作为危废临时收集点使用，各类危废应定期交由具有危废处置资质的单位进行处置</w:t>
            </w:r>
            <w:r>
              <w:rPr>
                <w:rFonts w:hint="eastAsia" w:ascii="Times New Roman" w:hAnsi="Times New Roman"/>
                <w:bCs/>
                <w:color w:val="auto"/>
                <w:szCs w:val="24"/>
              </w:rPr>
              <w:t>。</w:t>
            </w:r>
          </w:p>
          <w:p>
            <w:pPr>
              <w:spacing w:line="360" w:lineRule="auto"/>
              <w:ind w:firstLine="480" w:firstLineChars="200"/>
              <w:rPr>
                <w:b/>
                <w:bCs/>
                <w:color w:val="auto"/>
                <w:sz w:val="24"/>
              </w:rPr>
            </w:pPr>
            <w:r>
              <w:rPr>
                <w:color w:val="auto"/>
                <w:sz w:val="24"/>
              </w:rPr>
              <w:t>本项目固体废物产生及处理、处置情况见下表。</w:t>
            </w:r>
          </w:p>
          <w:p>
            <w:pPr>
              <w:pStyle w:val="97"/>
              <w:spacing w:line="360" w:lineRule="auto"/>
              <w:ind w:left="0" w:right="0" w:firstLine="0"/>
              <w:jc w:val="center"/>
              <w:rPr>
                <w:rFonts w:hint="eastAsia" w:ascii="Times New Roman" w:hAnsi="Times New Roman" w:eastAsia="宋体"/>
                <w:bCs/>
                <w:color w:val="auto"/>
                <w:sz w:val="21"/>
                <w:szCs w:val="21"/>
                <w:lang w:eastAsia="zh-CN"/>
              </w:rPr>
            </w:pPr>
            <w:r>
              <w:rPr>
                <w:rFonts w:ascii="Times New Roman" w:hAnsi="Times New Roman"/>
                <w:b/>
                <w:bCs/>
                <w:color w:val="auto"/>
                <w:sz w:val="21"/>
                <w:szCs w:val="21"/>
              </w:rPr>
              <w:t>表4-</w:t>
            </w:r>
            <w:r>
              <w:rPr>
                <w:rFonts w:hint="eastAsia" w:ascii="Times New Roman" w:hAnsi="Times New Roman"/>
                <w:b/>
                <w:bCs/>
                <w:color w:val="auto"/>
                <w:sz w:val="21"/>
                <w:szCs w:val="21"/>
                <w:lang w:val="en-US" w:eastAsia="zh-CN"/>
              </w:rPr>
              <w:t>16</w:t>
            </w:r>
            <w:r>
              <w:rPr>
                <w:rFonts w:hint="eastAsia" w:ascii="Times New Roman" w:hAnsi="Times New Roman"/>
                <w:b/>
                <w:bCs/>
                <w:color w:val="auto"/>
                <w:sz w:val="21"/>
                <w:szCs w:val="21"/>
              </w:rPr>
              <w:t xml:space="preserve"> </w:t>
            </w:r>
            <w:r>
              <w:rPr>
                <w:b/>
                <w:bCs/>
                <w:color w:val="auto"/>
                <w:sz w:val="21"/>
                <w:szCs w:val="21"/>
              </w:rPr>
              <w:t>固体废物产生及处理、处置情况</w:t>
            </w: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t</w:t>
            </w:r>
            <w:r>
              <w:rPr>
                <w:rFonts w:hint="default" w:ascii="Times New Roman" w:hAnsi="Times New Roman" w:eastAsia="宋体" w:cs="Times New Roman"/>
                <w:b/>
                <w:bCs/>
                <w:color w:val="auto"/>
                <w:sz w:val="21"/>
                <w:szCs w:val="21"/>
                <w:lang w:val="zh-CN"/>
              </w:rPr>
              <w:t>/a</w:t>
            </w:r>
            <w:r>
              <w:rPr>
                <w:rFonts w:hint="default" w:ascii="Times New Roman" w:hAnsi="Times New Roman" w:eastAsia="宋体" w:cs="Times New Roman"/>
                <w:b/>
                <w:bCs/>
                <w:color w:val="auto"/>
                <w:sz w:val="21"/>
                <w:szCs w:val="21"/>
                <w:lang w:eastAsia="zh-CN"/>
              </w:rPr>
              <w:t>）</w:t>
            </w:r>
          </w:p>
          <w:tbl>
            <w:tblPr>
              <w:tblStyle w:val="36"/>
              <w:tblW w:w="7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365"/>
              <w:gridCol w:w="360"/>
              <w:gridCol w:w="855"/>
              <w:gridCol w:w="1155"/>
              <w:gridCol w:w="1170"/>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noWrap w:val="0"/>
                  <w:vAlign w:val="center"/>
                </w:tcPr>
                <w:p>
                  <w:pPr>
                    <w:pStyle w:val="97"/>
                    <w:spacing w:line="240" w:lineRule="auto"/>
                    <w:ind w:left="0" w:right="0" w:firstLine="0"/>
                    <w:jc w:val="center"/>
                    <w:rPr>
                      <w:rFonts w:ascii="Times New Roman" w:hAnsi="Times New Roman"/>
                      <w:b/>
                      <w:color w:val="auto"/>
                      <w:sz w:val="21"/>
                      <w:szCs w:val="21"/>
                    </w:rPr>
                  </w:pPr>
                  <w:r>
                    <w:rPr>
                      <w:rFonts w:ascii="Times New Roman" w:hAnsi="Times New Roman"/>
                      <w:b/>
                      <w:color w:val="auto"/>
                      <w:sz w:val="21"/>
                      <w:szCs w:val="21"/>
                    </w:rPr>
                    <w:t>序号</w:t>
                  </w:r>
                </w:p>
              </w:tc>
              <w:tc>
                <w:tcPr>
                  <w:tcW w:w="1365" w:type="dxa"/>
                  <w:noWrap w:val="0"/>
                  <w:vAlign w:val="center"/>
                </w:tcPr>
                <w:p>
                  <w:pPr>
                    <w:pStyle w:val="97"/>
                    <w:spacing w:line="240" w:lineRule="auto"/>
                    <w:ind w:left="0" w:right="0" w:firstLine="0"/>
                    <w:jc w:val="center"/>
                    <w:rPr>
                      <w:rFonts w:ascii="Times New Roman" w:hAnsi="Times New Roman"/>
                      <w:b/>
                      <w:color w:val="auto"/>
                      <w:sz w:val="21"/>
                      <w:szCs w:val="21"/>
                    </w:rPr>
                  </w:pPr>
                  <w:r>
                    <w:rPr>
                      <w:rFonts w:ascii="Times New Roman" w:hAnsi="Times New Roman"/>
                      <w:b/>
                      <w:color w:val="auto"/>
                      <w:sz w:val="21"/>
                      <w:szCs w:val="21"/>
                    </w:rPr>
                    <w:t>固废名称</w:t>
                  </w:r>
                </w:p>
              </w:tc>
              <w:tc>
                <w:tcPr>
                  <w:tcW w:w="2370" w:type="dxa"/>
                  <w:gridSpan w:val="3"/>
                  <w:noWrap w:val="0"/>
                  <w:vAlign w:val="center"/>
                </w:tcPr>
                <w:p>
                  <w:pPr>
                    <w:pStyle w:val="97"/>
                    <w:spacing w:line="240" w:lineRule="auto"/>
                    <w:ind w:left="0" w:right="0" w:firstLine="0"/>
                    <w:jc w:val="center"/>
                    <w:rPr>
                      <w:rFonts w:ascii="Times New Roman" w:hAnsi="Times New Roman"/>
                      <w:b/>
                      <w:color w:val="auto"/>
                      <w:sz w:val="21"/>
                      <w:szCs w:val="21"/>
                    </w:rPr>
                  </w:pPr>
                  <w:r>
                    <w:rPr>
                      <w:rFonts w:ascii="Times New Roman" w:hAnsi="Times New Roman"/>
                      <w:b/>
                      <w:color w:val="auto"/>
                      <w:sz w:val="21"/>
                      <w:szCs w:val="21"/>
                    </w:rPr>
                    <w:t>固废属性</w:t>
                  </w:r>
                </w:p>
              </w:tc>
              <w:tc>
                <w:tcPr>
                  <w:tcW w:w="1170" w:type="dxa"/>
                  <w:noWrap w:val="0"/>
                  <w:vAlign w:val="center"/>
                </w:tcPr>
                <w:p>
                  <w:pPr>
                    <w:pStyle w:val="97"/>
                    <w:spacing w:line="240" w:lineRule="auto"/>
                    <w:ind w:left="0" w:right="0" w:firstLine="0"/>
                    <w:jc w:val="center"/>
                    <w:rPr>
                      <w:rFonts w:ascii="Times New Roman" w:hAnsi="Times New Roman"/>
                      <w:b/>
                      <w:color w:val="auto"/>
                      <w:sz w:val="21"/>
                      <w:szCs w:val="21"/>
                    </w:rPr>
                  </w:pPr>
                  <w:r>
                    <w:rPr>
                      <w:rFonts w:ascii="Times New Roman" w:hAnsi="Times New Roman"/>
                      <w:b/>
                      <w:color w:val="auto"/>
                      <w:sz w:val="21"/>
                      <w:szCs w:val="21"/>
                    </w:rPr>
                    <w:t>产生情况</w:t>
                  </w:r>
                </w:p>
              </w:tc>
              <w:tc>
                <w:tcPr>
                  <w:tcW w:w="2373" w:type="dxa"/>
                  <w:noWrap w:val="0"/>
                  <w:vAlign w:val="center"/>
                </w:tcPr>
                <w:p>
                  <w:pPr>
                    <w:pStyle w:val="97"/>
                    <w:spacing w:line="240" w:lineRule="auto"/>
                    <w:ind w:left="0" w:right="0" w:firstLine="0"/>
                    <w:jc w:val="center"/>
                    <w:rPr>
                      <w:rFonts w:ascii="Times New Roman" w:hAnsi="Times New Roman"/>
                      <w:b/>
                      <w:color w:val="auto"/>
                      <w:sz w:val="21"/>
                      <w:szCs w:val="21"/>
                    </w:rPr>
                  </w:pPr>
                  <w:r>
                    <w:rPr>
                      <w:rFonts w:ascii="Times New Roman" w:hAnsi="Times New Roman"/>
                      <w:b/>
                      <w:color w:val="auto"/>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noWrap w:val="0"/>
                  <w:vAlign w:val="center"/>
                </w:tcPr>
                <w:p>
                  <w:pPr>
                    <w:topLinePunct/>
                    <w:contextualSpacing/>
                    <w:jc w:val="center"/>
                    <w:rPr>
                      <w:color w:val="auto"/>
                      <w:szCs w:val="21"/>
                      <w:lang w:val="zh-CN" w:bidi="zh-CN"/>
                    </w:rPr>
                  </w:pPr>
                  <w:r>
                    <w:rPr>
                      <w:color w:val="auto"/>
                      <w:szCs w:val="21"/>
                      <w:lang w:val="zh-CN" w:bidi="zh-CN"/>
                    </w:rPr>
                    <w:t>1</w:t>
                  </w:r>
                </w:p>
              </w:tc>
              <w:tc>
                <w:tcPr>
                  <w:tcW w:w="1365" w:type="dxa"/>
                  <w:noWrap w:val="0"/>
                  <w:vAlign w:val="center"/>
                </w:tcPr>
                <w:p>
                  <w:pPr>
                    <w:pStyle w:val="157"/>
                    <w:spacing w:before="0"/>
                    <w:ind w:left="0"/>
                    <w:rPr>
                      <w:rFonts w:ascii="Times New Roman" w:hAnsi="Times New Roman" w:eastAsia="宋体" w:cs="Times New Roman"/>
                      <w:color w:val="auto"/>
                      <w:szCs w:val="21"/>
                      <w:lang w:val="en-US"/>
                    </w:rPr>
                  </w:pPr>
                  <w:r>
                    <w:rPr>
                      <w:rFonts w:ascii="Times New Roman" w:hAnsi="Times New Roman" w:eastAsia="宋体" w:cs="Times New Roman"/>
                      <w:color w:val="auto"/>
                      <w:szCs w:val="21"/>
                      <w:lang w:val="en-US"/>
                    </w:rPr>
                    <w:t>生活垃圾</w:t>
                  </w:r>
                </w:p>
              </w:tc>
              <w:tc>
                <w:tcPr>
                  <w:tcW w:w="2370" w:type="dxa"/>
                  <w:gridSpan w:val="3"/>
                  <w:noWrap w:val="0"/>
                  <w:vAlign w:val="center"/>
                </w:tcPr>
                <w:p>
                  <w:pPr>
                    <w:pStyle w:val="97"/>
                    <w:spacing w:line="240" w:lineRule="auto"/>
                    <w:ind w:left="0" w:right="0" w:firstLine="0"/>
                    <w:jc w:val="center"/>
                    <w:rPr>
                      <w:rFonts w:ascii="Times New Roman" w:hAnsi="Times New Roman"/>
                      <w:color w:val="auto"/>
                      <w:kern w:val="2"/>
                      <w:sz w:val="21"/>
                      <w:szCs w:val="21"/>
                      <w:lang w:val="zh-CN" w:bidi="zh-CN"/>
                    </w:rPr>
                  </w:pPr>
                  <w:r>
                    <w:rPr>
                      <w:rFonts w:ascii="Times New Roman" w:hAnsi="Times New Roman"/>
                      <w:color w:val="auto"/>
                      <w:kern w:val="2"/>
                      <w:sz w:val="21"/>
                      <w:szCs w:val="21"/>
                      <w:lang w:bidi="zh-CN"/>
                    </w:rPr>
                    <w:t>/</w:t>
                  </w:r>
                </w:p>
              </w:tc>
              <w:tc>
                <w:tcPr>
                  <w:tcW w:w="1170" w:type="dxa"/>
                  <w:noWrap w:val="0"/>
                  <w:vAlign w:val="center"/>
                </w:tcPr>
                <w:p>
                  <w:pPr>
                    <w:pStyle w:val="97"/>
                    <w:spacing w:line="240" w:lineRule="auto"/>
                    <w:ind w:left="0" w:right="0" w:firstLine="0"/>
                    <w:jc w:val="center"/>
                    <w:rPr>
                      <w:rFonts w:hint="default" w:ascii="Times New Roman" w:hAnsi="Times New Roman"/>
                      <w:color w:val="auto"/>
                      <w:kern w:val="2"/>
                      <w:sz w:val="21"/>
                      <w:szCs w:val="21"/>
                      <w:lang w:val="en-US" w:bidi="zh-CN"/>
                    </w:rPr>
                  </w:pPr>
                  <w:r>
                    <w:rPr>
                      <w:rFonts w:hint="eastAsia" w:ascii="Times New Roman" w:hAnsi="Times New Roman"/>
                      <w:color w:val="auto"/>
                      <w:kern w:val="2"/>
                      <w:sz w:val="21"/>
                      <w:szCs w:val="21"/>
                      <w:lang w:val="en-US" w:bidi="zh-CN"/>
                    </w:rPr>
                    <w:t>1.65</w:t>
                  </w:r>
                </w:p>
              </w:tc>
              <w:tc>
                <w:tcPr>
                  <w:tcW w:w="2373" w:type="dxa"/>
                  <w:noWrap w:val="0"/>
                  <w:vAlign w:val="center"/>
                </w:tcPr>
                <w:p>
                  <w:pPr>
                    <w:jc w:val="center"/>
                    <w:rPr>
                      <w:color w:val="auto"/>
                      <w:szCs w:val="21"/>
                      <w:lang w:bidi="zh-CN"/>
                    </w:rPr>
                  </w:pPr>
                  <w:r>
                    <w:rPr>
                      <w:color w:val="auto"/>
                      <w:szCs w:val="21"/>
                      <w:lang w:bidi="zh-CN"/>
                    </w:rPr>
                    <w:t>收集后交环卫清运处理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noWrap w:val="0"/>
                  <w:vAlign w:val="center"/>
                </w:tcPr>
                <w:p>
                  <w:pPr>
                    <w:topLinePunct/>
                    <w:contextualSpacing/>
                    <w:jc w:val="center"/>
                    <w:rPr>
                      <w:color w:val="auto"/>
                      <w:szCs w:val="21"/>
                      <w:lang w:val="zh-CN" w:bidi="zh-CN"/>
                    </w:rPr>
                  </w:pPr>
                  <w:r>
                    <w:rPr>
                      <w:color w:val="auto"/>
                      <w:szCs w:val="21"/>
                      <w:lang w:val="zh-CN" w:bidi="zh-CN"/>
                    </w:rPr>
                    <w:t>2</w:t>
                  </w:r>
                </w:p>
              </w:tc>
              <w:tc>
                <w:tcPr>
                  <w:tcW w:w="1365" w:type="dxa"/>
                  <w:noWrap w:val="0"/>
                  <w:vAlign w:val="center"/>
                </w:tcPr>
                <w:p>
                  <w:pPr>
                    <w:pStyle w:val="157"/>
                    <w:spacing w:before="0"/>
                    <w:ind w:left="0"/>
                    <w:rPr>
                      <w:rFonts w:ascii="Times New Roman" w:hAnsi="Times New Roman" w:eastAsia="宋体" w:cs="Times New Roman"/>
                      <w:color w:val="auto"/>
                      <w:szCs w:val="21"/>
                      <w:lang w:val="en-US"/>
                    </w:rPr>
                  </w:pPr>
                  <w:r>
                    <w:rPr>
                      <w:rFonts w:ascii="Times New Roman" w:hAnsi="Times New Roman" w:eastAsia="宋体" w:cs="Times New Roman"/>
                      <w:color w:val="auto"/>
                      <w:szCs w:val="21"/>
                      <w:lang w:val="en-US"/>
                    </w:rPr>
                    <w:t>未</w:t>
                  </w:r>
                  <w:r>
                    <w:rPr>
                      <w:rFonts w:ascii="Times New Roman" w:hAnsi="Times New Roman" w:eastAsia="宋体" w:cs="Times New Roman"/>
                      <w:color w:val="auto"/>
                      <w:szCs w:val="21"/>
                    </w:rPr>
                    <w:t>沾染具有危险特性物质的废包装材料</w:t>
                  </w:r>
                </w:p>
              </w:tc>
              <w:tc>
                <w:tcPr>
                  <w:tcW w:w="2370" w:type="dxa"/>
                  <w:gridSpan w:val="3"/>
                  <w:noWrap w:val="0"/>
                  <w:vAlign w:val="center"/>
                </w:tcPr>
                <w:p>
                  <w:pPr>
                    <w:jc w:val="center"/>
                    <w:rPr>
                      <w:color w:val="auto"/>
                      <w:szCs w:val="21"/>
                      <w:lang w:val="zh-CN" w:bidi="zh-CN"/>
                    </w:rPr>
                  </w:pPr>
                  <w:r>
                    <w:rPr>
                      <w:color w:val="auto"/>
                      <w:szCs w:val="21"/>
                      <w:lang w:val="zh-CN" w:bidi="zh-CN"/>
                    </w:rPr>
                    <w:t>一般固废</w:t>
                  </w:r>
                </w:p>
              </w:tc>
              <w:tc>
                <w:tcPr>
                  <w:tcW w:w="1170" w:type="dxa"/>
                  <w:noWrap w:val="0"/>
                  <w:vAlign w:val="center"/>
                </w:tcPr>
                <w:p>
                  <w:pPr>
                    <w:pStyle w:val="97"/>
                    <w:spacing w:line="240" w:lineRule="auto"/>
                    <w:ind w:left="0" w:right="0" w:firstLine="0"/>
                    <w:jc w:val="center"/>
                    <w:rPr>
                      <w:rFonts w:ascii="Times New Roman" w:hAnsi="Times New Roman"/>
                      <w:color w:val="auto"/>
                      <w:kern w:val="2"/>
                      <w:sz w:val="21"/>
                      <w:szCs w:val="21"/>
                      <w:lang w:val="zh-CN" w:bidi="zh-CN"/>
                    </w:rPr>
                  </w:pPr>
                  <w:r>
                    <w:rPr>
                      <w:rFonts w:ascii="Times New Roman" w:hAnsi="Times New Roman"/>
                      <w:color w:val="auto"/>
                      <w:kern w:val="2"/>
                      <w:sz w:val="21"/>
                      <w:szCs w:val="21"/>
                      <w:lang w:bidi="zh-CN"/>
                    </w:rPr>
                    <w:t>0.1</w:t>
                  </w:r>
                </w:p>
              </w:tc>
              <w:tc>
                <w:tcPr>
                  <w:tcW w:w="2373" w:type="dxa"/>
                  <w:vMerge w:val="restart"/>
                  <w:noWrap w:val="0"/>
                  <w:vAlign w:val="center"/>
                </w:tcPr>
                <w:p>
                  <w:pPr>
                    <w:jc w:val="center"/>
                    <w:rPr>
                      <w:color w:val="auto"/>
                      <w:szCs w:val="21"/>
                      <w:lang w:val="zh-CN" w:bidi="zh-CN"/>
                    </w:rPr>
                  </w:pPr>
                  <w:r>
                    <w:rPr>
                      <w:color w:val="auto"/>
                      <w:szCs w:val="21"/>
                    </w:rPr>
                    <w:t>收集后暂存于一般固废暂存间，</w:t>
                  </w:r>
                  <w:r>
                    <w:rPr>
                      <w:color w:val="auto"/>
                      <w:szCs w:val="21"/>
                      <w:lang w:val="zh-CN" w:bidi="zh-CN"/>
                    </w:rPr>
                    <w:t>外售废品回收商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noWrap w:val="0"/>
                  <w:vAlign w:val="center"/>
                </w:tcPr>
                <w:p>
                  <w:pPr>
                    <w:topLinePunct/>
                    <w:contextualSpacing/>
                    <w:jc w:val="center"/>
                    <w:rPr>
                      <w:rFonts w:ascii="Times New Roman" w:hAnsi="Times New Roman" w:eastAsia="宋体" w:cs="Times New Roman"/>
                      <w:color w:val="auto"/>
                      <w:kern w:val="2"/>
                      <w:sz w:val="21"/>
                      <w:szCs w:val="21"/>
                      <w:lang w:val="zh-CN" w:eastAsia="zh-CN" w:bidi="zh-CN"/>
                    </w:rPr>
                  </w:pPr>
                  <w:r>
                    <w:rPr>
                      <w:rFonts w:hint="eastAsia" w:ascii="Times New Roman" w:hAnsi="Times New Roman" w:eastAsia="宋体" w:cs="Times New Roman"/>
                      <w:color w:val="auto"/>
                      <w:kern w:val="2"/>
                      <w:sz w:val="21"/>
                      <w:szCs w:val="21"/>
                      <w:lang w:val="en-US" w:eastAsia="zh-CN" w:bidi="zh-CN"/>
                    </w:rPr>
                    <w:t>3</w:t>
                  </w:r>
                </w:p>
              </w:tc>
              <w:tc>
                <w:tcPr>
                  <w:tcW w:w="1365" w:type="dxa"/>
                  <w:noWrap w:val="0"/>
                  <w:vAlign w:val="center"/>
                </w:tcPr>
                <w:p>
                  <w:pPr>
                    <w:pStyle w:val="157"/>
                    <w:spacing w:before="0"/>
                    <w:ind w:left="0"/>
                    <w:rPr>
                      <w:rFonts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zh-CN" w:eastAsia="zh-CN" w:bidi="zh-CN"/>
                    </w:rPr>
                    <w:t>磁性杂质物</w:t>
                  </w:r>
                </w:p>
              </w:tc>
              <w:tc>
                <w:tcPr>
                  <w:tcW w:w="2370" w:type="dxa"/>
                  <w:gridSpan w:val="3"/>
                  <w:noWrap w:val="0"/>
                  <w:vAlign w:val="center"/>
                </w:tcPr>
                <w:p>
                  <w:pPr>
                    <w:jc w:val="center"/>
                    <w:rPr>
                      <w:rFonts w:ascii="Times New Roman" w:hAnsi="Times New Roman" w:eastAsia="宋体" w:cs="Times New Roman"/>
                      <w:color w:val="auto"/>
                      <w:kern w:val="2"/>
                      <w:sz w:val="21"/>
                      <w:szCs w:val="21"/>
                      <w:lang w:val="zh-CN" w:eastAsia="zh-CN" w:bidi="zh-CN"/>
                    </w:rPr>
                  </w:pPr>
                  <w:r>
                    <w:rPr>
                      <w:rFonts w:ascii="Times New Roman" w:hAnsi="Times New Roman" w:eastAsia="宋体" w:cs="Times New Roman"/>
                      <w:color w:val="auto"/>
                      <w:kern w:val="2"/>
                      <w:sz w:val="21"/>
                      <w:szCs w:val="21"/>
                      <w:lang w:val="zh-CN" w:eastAsia="zh-CN" w:bidi="zh-CN"/>
                    </w:rPr>
                    <w:t>一般固废</w:t>
                  </w:r>
                </w:p>
              </w:tc>
              <w:tc>
                <w:tcPr>
                  <w:tcW w:w="1170" w:type="dxa"/>
                  <w:noWrap w:val="0"/>
                  <w:vAlign w:val="center"/>
                </w:tcPr>
                <w:p>
                  <w:pPr>
                    <w:pStyle w:val="97"/>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0.762</w:t>
                  </w:r>
                </w:p>
              </w:tc>
              <w:tc>
                <w:tcPr>
                  <w:tcW w:w="2373" w:type="dxa"/>
                  <w:vMerge w:val="continue"/>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noWrap w:val="0"/>
                  <w:vAlign w:val="center"/>
                </w:tcPr>
                <w:p>
                  <w:pPr>
                    <w:topLinePunct/>
                    <w:contextualSpacing/>
                    <w:jc w:val="center"/>
                    <w:rPr>
                      <w:rFonts w:ascii="Times New Roman" w:hAnsi="Times New Roman" w:eastAsia="宋体" w:cs="Times New Roman"/>
                      <w:color w:val="auto"/>
                      <w:kern w:val="2"/>
                      <w:sz w:val="21"/>
                      <w:szCs w:val="21"/>
                      <w:lang w:val="zh-CN" w:eastAsia="zh-CN" w:bidi="zh-CN"/>
                    </w:rPr>
                  </w:pPr>
                  <w:r>
                    <w:rPr>
                      <w:rFonts w:hint="eastAsia" w:ascii="Times New Roman" w:hAnsi="Times New Roman" w:eastAsia="宋体" w:cs="Times New Roman"/>
                      <w:color w:val="auto"/>
                      <w:kern w:val="2"/>
                      <w:sz w:val="21"/>
                      <w:szCs w:val="21"/>
                      <w:lang w:val="en-US" w:eastAsia="zh-CN" w:bidi="zh-CN"/>
                    </w:rPr>
                    <w:t>4</w:t>
                  </w:r>
                </w:p>
              </w:tc>
              <w:tc>
                <w:tcPr>
                  <w:tcW w:w="1365" w:type="dxa"/>
                  <w:noWrap w:val="0"/>
                  <w:vAlign w:val="center"/>
                </w:tcPr>
                <w:p>
                  <w:pPr>
                    <w:pStyle w:val="157"/>
                    <w:spacing w:before="0"/>
                    <w:ind w:left="0"/>
                    <w:rPr>
                      <w:rFonts w:hint="eastAsia" w:ascii="Times New Roman" w:hAnsi="Times New Roman" w:eastAsia="宋体" w:cs="Times New Roman"/>
                      <w:color w:val="auto"/>
                      <w:kern w:val="2"/>
                      <w:sz w:val="21"/>
                      <w:szCs w:val="21"/>
                      <w:lang w:val="zh-CN" w:eastAsia="zh-CN" w:bidi="zh-CN"/>
                    </w:rPr>
                  </w:pPr>
                  <w:r>
                    <w:rPr>
                      <w:rFonts w:hint="eastAsia" w:ascii="Times New Roman" w:hAnsi="Times New Roman" w:eastAsia="宋体" w:cs="Times New Roman"/>
                      <w:color w:val="auto"/>
                      <w:kern w:val="2"/>
                      <w:sz w:val="21"/>
                      <w:szCs w:val="21"/>
                      <w:lang w:val="en-US" w:eastAsia="zh-CN" w:bidi="zh-CN"/>
                    </w:rPr>
                    <w:t>布袋除尘器收集粉尘</w:t>
                  </w:r>
                </w:p>
              </w:tc>
              <w:tc>
                <w:tcPr>
                  <w:tcW w:w="2370" w:type="dxa"/>
                  <w:gridSpan w:val="3"/>
                  <w:noWrap w:val="0"/>
                  <w:vAlign w:val="center"/>
                </w:tcPr>
                <w:p>
                  <w:pPr>
                    <w:jc w:val="center"/>
                    <w:rPr>
                      <w:rFonts w:ascii="Times New Roman" w:hAnsi="Times New Roman" w:eastAsia="宋体" w:cs="Times New Roman"/>
                      <w:color w:val="auto"/>
                      <w:kern w:val="2"/>
                      <w:sz w:val="21"/>
                      <w:szCs w:val="21"/>
                      <w:lang w:val="zh-CN" w:eastAsia="zh-CN" w:bidi="zh-CN"/>
                    </w:rPr>
                  </w:pPr>
                  <w:r>
                    <w:rPr>
                      <w:rFonts w:ascii="Times New Roman" w:hAnsi="Times New Roman" w:eastAsia="宋体" w:cs="Times New Roman"/>
                      <w:color w:val="auto"/>
                      <w:kern w:val="2"/>
                      <w:sz w:val="21"/>
                      <w:szCs w:val="21"/>
                      <w:lang w:val="zh-CN" w:eastAsia="zh-CN" w:bidi="zh-CN"/>
                    </w:rPr>
                    <w:t>一般固废</w:t>
                  </w:r>
                </w:p>
              </w:tc>
              <w:tc>
                <w:tcPr>
                  <w:tcW w:w="1170" w:type="dxa"/>
                  <w:noWrap w:val="0"/>
                  <w:vAlign w:val="center"/>
                </w:tcPr>
                <w:p>
                  <w:pPr>
                    <w:pStyle w:val="97"/>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sz w:val="21"/>
                      <w:szCs w:val="21"/>
                      <w:lang w:val="en-US" w:eastAsia="zh-CN"/>
                    </w:rPr>
                    <w:t>2.4071</w:t>
                  </w:r>
                </w:p>
              </w:tc>
              <w:tc>
                <w:tcPr>
                  <w:tcW w:w="2373" w:type="dxa"/>
                  <w:vMerge w:val="continue"/>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noWrap w:val="0"/>
                  <w:vAlign w:val="center"/>
                </w:tcPr>
                <w:p>
                  <w:pPr>
                    <w:topLinePunct/>
                    <w:contextualSpacing/>
                    <w:jc w:val="center"/>
                    <w:rPr>
                      <w:rFonts w:ascii="Times New Roman" w:hAnsi="Times New Roman" w:eastAsia="宋体" w:cs="Times New Roman"/>
                      <w:color w:val="auto"/>
                      <w:kern w:val="2"/>
                      <w:sz w:val="21"/>
                      <w:szCs w:val="21"/>
                      <w:lang w:val="zh-CN" w:eastAsia="zh-CN" w:bidi="zh-CN"/>
                    </w:rPr>
                  </w:pPr>
                  <w:r>
                    <w:rPr>
                      <w:rFonts w:hint="eastAsia" w:ascii="Times New Roman" w:hAnsi="Times New Roman" w:eastAsia="宋体" w:cs="Times New Roman"/>
                      <w:color w:val="auto"/>
                      <w:kern w:val="2"/>
                      <w:sz w:val="21"/>
                      <w:szCs w:val="21"/>
                      <w:lang w:val="zh-CN" w:eastAsia="zh-CN" w:bidi="zh-CN"/>
                    </w:rPr>
                    <w:t>5</w:t>
                  </w:r>
                </w:p>
              </w:tc>
              <w:tc>
                <w:tcPr>
                  <w:tcW w:w="1365" w:type="dxa"/>
                  <w:noWrap w:val="0"/>
                  <w:vAlign w:val="center"/>
                </w:tcPr>
                <w:p>
                  <w:pPr>
                    <w:pStyle w:val="157"/>
                    <w:spacing w:before="0"/>
                    <w:ind w:left="0"/>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废边角料</w:t>
                  </w:r>
                </w:p>
              </w:tc>
              <w:tc>
                <w:tcPr>
                  <w:tcW w:w="2370" w:type="dxa"/>
                  <w:gridSpan w:val="3"/>
                  <w:noWrap w:val="0"/>
                  <w:vAlign w:val="center"/>
                </w:tcPr>
                <w:p>
                  <w:pPr>
                    <w:jc w:val="center"/>
                    <w:rPr>
                      <w:rFonts w:ascii="Times New Roman" w:hAnsi="Times New Roman" w:eastAsia="宋体" w:cs="Times New Roman"/>
                      <w:color w:val="auto"/>
                      <w:kern w:val="2"/>
                      <w:sz w:val="21"/>
                      <w:szCs w:val="21"/>
                      <w:lang w:val="zh-CN" w:eastAsia="zh-CN" w:bidi="zh-CN"/>
                    </w:rPr>
                  </w:pPr>
                  <w:r>
                    <w:rPr>
                      <w:rFonts w:ascii="Times New Roman" w:hAnsi="Times New Roman" w:eastAsia="宋体" w:cs="Times New Roman"/>
                      <w:color w:val="auto"/>
                      <w:kern w:val="2"/>
                      <w:sz w:val="21"/>
                      <w:szCs w:val="21"/>
                      <w:lang w:val="zh-CN" w:eastAsia="zh-CN" w:bidi="zh-CN"/>
                    </w:rPr>
                    <w:t>一般固废</w:t>
                  </w:r>
                </w:p>
              </w:tc>
              <w:tc>
                <w:tcPr>
                  <w:tcW w:w="1170" w:type="dxa"/>
                  <w:noWrap w:val="0"/>
                  <w:vAlign w:val="center"/>
                </w:tcPr>
                <w:p>
                  <w:pPr>
                    <w:pStyle w:val="97"/>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1.1932</w:t>
                  </w:r>
                </w:p>
              </w:tc>
              <w:tc>
                <w:tcPr>
                  <w:tcW w:w="2373" w:type="dxa"/>
                  <w:vMerge w:val="continue"/>
                  <w:noWrap w:val="0"/>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68" w:type="dxa"/>
                  <w:noWrap w:val="0"/>
                  <w:vAlign w:val="center"/>
                </w:tcPr>
                <w:p>
                  <w:pPr>
                    <w:topLinePunct/>
                    <w:contextualSpacing/>
                    <w:jc w:val="center"/>
                    <w:rPr>
                      <w:rFonts w:hint="eastAsia" w:eastAsia="宋体"/>
                      <w:bCs/>
                      <w:color w:val="auto"/>
                      <w:sz w:val="21"/>
                      <w:szCs w:val="21"/>
                      <w:lang w:val="en-US" w:eastAsia="zh-CN"/>
                    </w:rPr>
                  </w:pPr>
                  <w:r>
                    <w:rPr>
                      <w:bCs/>
                      <w:color w:val="auto"/>
                      <w:sz w:val="21"/>
                      <w:szCs w:val="21"/>
                    </w:rPr>
                    <w:t>7</w:t>
                  </w:r>
                </w:p>
              </w:tc>
              <w:tc>
                <w:tcPr>
                  <w:tcW w:w="1365" w:type="dxa"/>
                  <w:noWrap w:val="0"/>
                  <w:vAlign w:val="center"/>
                </w:tcPr>
                <w:p>
                  <w:pPr>
                    <w:topLinePunct/>
                    <w:contextualSpacing/>
                    <w:jc w:val="center"/>
                    <w:rPr>
                      <w:rFonts w:ascii="Times New Roman" w:hAnsi="Times New Roman" w:eastAsia="宋体" w:cs="Times New Roman"/>
                      <w:color w:val="auto"/>
                      <w:sz w:val="21"/>
                      <w:szCs w:val="21"/>
                      <w:lang w:val="en-US" w:bidi="zh-CN"/>
                    </w:rPr>
                  </w:pPr>
                  <w:r>
                    <w:rPr>
                      <w:rFonts w:hint="eastAsia" w:ascii="Times New Roman" w:hAnsi="Times New Roman" w:eastAsia="宋体" w:cs="Times New Roman"/>
                      <w:color w:val="auto"/>
                      <w:sz w:val="21"/>
                      <w:szCs w:val="21"/>
                      <w:lang w:val="en-US" w:eastAsia="zh-CN" w:bidi="zh-CN"/>
                    </w:rPr>
                    <w:t>废机油/废机油桶</w:t>
                  </w:r>
                </w:p>
              </w:tc>
              <w:tc>
                <w:tcPr>
                  <w:tcW w:w="360" w:type="dxa"/>
                  <w:vMerge w:val="restart"/>
                  <w:noWrap w:val="0"/>
                  <w:vAlign w:val="center"/>
                </w:tcPr>
                <w:p>
                  <w:pPr>
                    <w:topLinePunct/>
                    <w:contextualSpacing/>
                    <w:jc w:val="center"/>
                    <w:rPr>
                      <w:rFonts w:ascii="Times New Roman" w:hAnsi="Times New Roman" w:eastAsia="宋体" w:cs="Times New Roman"/>
                      <w:color w:val="auto"/>
                      <w:sz w:val="21"/>
                      <w:szCs w:val="21"/>
                      <w:lang w:val="zh-CN" w:bidi="zh-CN"/>
                    </w:rPr>
                  </w:pPr>
                  <w:r>
                    <w:rPr>
                      <w:rFonts w:ascii="Times New Roman" w:hAnsi="Times New Roman" w:eastAsia="宋体" w:cs="Times New Roman"/>
                      <w:color w:val="auto"/>
                      <w:sz w:val="21"/>
                      <w:szCs w:val="21"/>
                      <w:lang w:val="zh-CN" w:bidi="zh-CN"/>
                    </w:rPr>
                    <w:t>危险废物</w:t>
                  </w:r>
                </w:p>
              </w:tc>
              <w:tc>
                <w:tcPr>
                  <w:tcW w:w="855" w:type="dxa"/>
                  <w:noWrap w:val="0"/>
                  <w:vAlign w:val="center"/>
                </w:tcPr>
                <w:p>
                  <w:pPr>
                    <w:topLinePunct/>
                    <w:contextualSpacing/>
                    <w:jc w:val="center"/>
                    <w:rPr>
                      <w:rFonts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en-US" w:eastAsia="zh-CN" w:bidi="zh-CN"/>
                    </w:rPr>
                    <w:t>HW08</w:t>
                  </w:r>
                </w:p>
              </w:tc>
              <w:tc>
                <w:tcPr>
                  <w:tcW w:w="1155" w:type="dxa"/>
                  <w:noWrap w:val="0"/>
                  <w:vAlign w:val="center"/>
                </w:tcPr>
                <w:p>
                  <w:pPr>
                    <w:topLinePunct/>
                    <w:contextualSpacing/>
                    <w:jc w:val="center"/>
                    <w:rPr>
                      <w:rFonts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en-US" w:eastAsia="zh-CN" w:bidi="zh-CN"/>
                    </w:rPr>
                    <w:t>900-249-08</w:t>
                  </w:r>
                </w:p>
              </w:tc>
              <w:tc>
                <w:tcPr>
                  <w:tcW w:w="1170" w:type="dxa"/>
                  <w:noWrap w:val="0"/>
                  <w:vAlign w:val="center"/>
                </w:tcPr>
                <w:p>
                  <w:pPr>
                    <w:topLinePunct/>
                    <w:contextualSpacing/>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0.03</w:t>
                  </w:r>
                </w:p>
              </w:tc>
              <w:tc>
                <w:tcPr>
                  <w:tcW w:w="2373" w:type="dxa"/>
                  <w:vMerge w:val="restart"/>
                  <w:noWrap w:val="0"/>
                  <w:vAlign w:val="center"/>
                </w:tcPr>
                <w:p>
                  <w:pPr>
                    <w:topLinePunct/>
                    <w:adjustRightInd w:val="0"/>
                    <w:snapToGrid w:val="0"/>
                    <w:jc w:val="center"/>
                    <w:rPr>
                      <w:bCs/>
                      <w:color w:val="auto"/>
                      <w:szCs w:val="21"/>
                    </w:rPr>
                  </w:pPr>
                  <w:r>
                    <w:rPr>
                      <w:color w:val="auto"/>
                      <w:szCs w:val="21"/>
                    </w:rPr>
                    <w:t>收集后暂存于危废暂存间，定期交由有资质单位处置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8" w:type="dxa"/>
                  <w:noWrap w:val="0"/>
                  <w:vAlign w:val="center"/>
                </w:tcPr>
                <w:p>
                  <w:pPr>
                    <w:topLinePunct/>
                    <w:contextualSpacing/>
                    <w:jc w:val="center"/>
                    <w:rPr>
                      <w:rFonts w:hint="eastAsia" w:eastAsia="宋体"/>
                      <w:bCs/>
                      <w:color w:val="auto"/>
                      <w:sz w:val="21"/>
                      <w:szCs w:val="21"/>
                      <w:lang w:val="en-US" w:eastAsia="zh-CN"/>
                    </w:rPr>
                  </w:pPr>
                  <w:r>
                    <w:rPr>
                      <w:color w:val="auto"/>
                      <w:sz w:val="21"/>
                      <w:szCs w:val="21"/>
                      <w:lang w:val="zh-CN" w:bidi="zh-CN"/>
                    </w:rPr>
                    <w:t>8</w:t>
                  </w:r>
                </w:p>
              </w:tc>
              <w:tc>
                <w:tcPr>
                  <w:tcW w:w="1365" w:type="dxa"/>
                  <w:noWrap w:val="0"/>
                  <w:vAlign w:val="center"/>
                </w:tcPr>
                <w:p>
                  <w:pPr>
                    <w:topLinePunct/>
                    <w:contextualSpacing/>
                    <w:jc w:val="center"/>
                    <w:rPr>
                      <w:rFonts w:ascii="Times New Roman" w:hAnsi="Times New Roman" w:eastAsia="宋体" w:cs="Times New Roman"/>
                      <w:color w:val="auto"/>
                      <w:sz w:val="21"/>
                      <w:szCs w:val="21"/>
                      <w:lang w:val="en-US" w:bidi="zh-CN"/>
                    </w:rPr>
                  </w:pPr>
                  <w:r>
                    <w:rPr>
                      <w:rFonts w:hint="eastAsia" w:ascii="Times New Roman" w:hAnsi="Times New Roman" w:eastAsia="宋体" w:cs="Times New Roman"/>
                      <w:color w:val="auto"/>
                      <w:sz w:val="21"/>
                      <w:szCs w:val="21"/>
                      <w:lang w:val="en-US" w:eastAsia="zh-CN" w:bidi="zh-CN"/>
                    </w:rPr>
                    <w:t>废含油手套及抹布</w:t>
                  </w:r>
                </w:p>
              </w:tc>
              <w:tc>
                <w:tcPr>
                  <w:tcW w:w="360" w:type="dxa"/>
                  <w:vMerge w:val="continue"/>
                  <w:noWrap w:val="0"/>
                  <w:vAlign w:val="center"/>
                </w:tcPr>
                <w:p>
                  <w:pPr>
                    <w:topLinePunct/>
                    <w:contextualSpacing/>
                    <w:jc w:val="center"/>
                    <w:rPr>
                      <w:rFonts w:ascii="Times New Roman" w:hAnsi="Times New Roman" w:eastAsia="宋体" w:cs="Times New Roman"/>
                      <w:color w:val="auto"/>
                      <w:sz w:val="21"/>
                      <w:szCs w:val="21"/>
                      <w:lang w:val="zh-CN" w:bidi="zh-CN"/>
                    </w:rPr>
                  </w:pPr>
                </w:p>
              </w:tc>
              <w:tc>
                <w:tcPr>
                  <w:tcW w:w="855" w:type="dxa"/>
                  <w:noWrap w:val="0"/>
                  <w:vAlign w:val="center"/>
                </w:tcPr>
                <w:p>
                  <w:pPr>
                    <w:topLinePunct/>
                    <w:contextualSpacing/>
                    <w:jc w:val="center"/>
                    <w:rPr>
                      <w:rFonts w:ascii="Times New Roman" w:hAnsi="Times New Roman" w:eastAsia="宋体" w:cs="Times New Roman"/>
                      <w:color w:val="auto"/>
                      <w:sz w:val="21"/>
                      <w:szCs w:val="21"/>
                      <w:lang w:val="zh-CN" w:bidi="zh-CN"/>
                    </w:rPr>
                  </w:pPr>
                  <w:r>
                    <w:rPr>
                      <w:rFonts w:ascii="Times New Roman" w:hAnsi="Times New Roman" w:eastAsia="宋体" w:cs="Times New Roman"/>
                      <w:color w:val="auto"/>
                      <w:sz w:val="21"/>
                      <w:szCs w:val="21"/>
                      <w:lang w:val="zh-CN" w:bidi="zh-CN"/>
                    </w:rPr>
                    <w:t>HW49</w:t>
                  </w:r>
                </w:p>
              </w:tc>
              <w:tc>
                <w:tcPr>
                  <w:tcW w:w="1155" w:type="dxa"/>
                  <w:noWrap w:val="0"/>
                  <w:vAlign w:val="center"/>
                </w:tcPr>
                <w:p>
                  <w:pPr>
                    <w:topLinePunct/>
                    <w:contextualSpacing/>
                    <w:jc w:val="center"/>
                    <w:rPr>
                      <w:rFonts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en-US" w:eastAsia="zh-CN" w:bidi="zh-CN"/>
                    </w:rPr>
                    <w:t>900-041-49</w:t>
                  </w:r>
                </w:p>
              </w:tc>
              <w:tc>
                <w:tcPr>
                  <w:tcW w:w="1170" w:type="dxa"/>
                  <w:noWrap w:val="0"/>
                  <w:vAlign w:val="center"/>
                </w:tcPr>
                <w:p>
                  <w:pPr>
                    <w:topLinePunct/>
                    <w:contextualSpacing/>
                    <w:jc w:val="center"/>
                    <w:rPr>
                      <w:rFonts w:hint="default" w:ascii="Times New Roman" w:hAnsi="Times New Roman" w:eastAsia="宋体" w:cs="Times New Roman"/>
                      <w:color w:val="auto"/>
                      <w:sz w:val="21"/>
                      <w:szCs w:val="21"/>
                      <w:lang w:val="en-US" w:eastAsia="zh-CN" w:bidi="zh-CN"/>
                    </w:rPr>
                  </w:pPr>
                  <w:r>
                    <w:rPr>
                      <w:rFonts w:hint="eastAsia" w:ascii="Times New Roman" w:hAnsi="Times New Roman" w:eastAsia="宋体" w:cs="Times New Roman"/>
                      <w:color w:val="auto"/>
                      <w:sz w:val="21"/>
                      <w:szCs w:val="21"/>
                      <w:lang w:val="en-US" w:eastAsia="zh-CN" w:bidi="zh-CN"/>
                    </w:rPr>
                    <w:t>0.001</w:t>
                  </w:r>
                </w:p>
              </w:tc>
              <w:tc>
                <w:tcPr>
                  <w:tcW w:w="2373" w:type="dxa"/>
                  <w:vMerge w:val="continue"/>
                  <w:noWrap w:val="0"/>
                  <w:vAlign w:val="center"/>
                </w:tcPr>
                <w:p>
                  <w:pPr>
                    <w:pStyle w:val="97"/>
                    <w:spacing w:line="240" w:lineRule="auto"/>
                    <w:ind w:left="0" w:right="0"/>
                    <w:jc w:val="center"/>
                    <w:rPr>
                      <w:rFonts w:ascii="Times New Roman" w:hAnsi="Times New Roman"/>
                      <w:bCs/>
                      <w:color w:val="auto"/>
                      <w:sz w:val="21"/>
                      <w:szCs w:val="21"/>
                    </w:rPr>
                  </w:pPr>
                </w:p>
              </w:tc>
            </w:tr>
          </w:tbl>
          <w:p>
            <w:pPr>
              <w:pStyle w:val="20"/>
              <w:spacing w:after="0" w:line="360" w:lineRule="auto"/>
              <w:ind w:left="0" w:leftChars="0" w:firstLine="480" w:firstLineChars="200"/>
              <w:rPr>
                <w:rFonts w:ascii="Times New Roman" w:hAnsi="Times New Roman"/>
                <w:b/>
                <w:bCs/>
                <w:color w:val="auto"/>
                <w:sz w:val="24"/>
                <w:szCs w:val="24"/>
              </w:rPr>
            </w:pPr>
            <w:r>
              <w:rPr>
                <w:color w:val="auto"/>
                <w:sz w:val="24"/>
                <w:szCs w:val="24"/>
              </w:rPr>
              <w:t>贮存方式：本项目生活垃圾收集后交环卫清运处理；</w:t>
            </w:r>
            <w:r>
              <w:rPr>
                <w:rFonts w:hint="eastAsia"/>
                <w:color w:val="auto"/>
                <w:kern w:val="0"/>
                <w:sz w:val="24"/>
                <w:szCs w:val="24"/>
                <w:lang w:bidi="ar"/>
              </w:rPr>
              <w:t>未沾</w:t>
            </w:r>
            <w:r>
              <w:rPr>
                <w:rFonts w:hint="eastAsia" w:ascii="Times New Roman" w:hAnsi="Times New Roman" w:eastAsia="宋体" w:cs="Times New Roman"/>
                <w:color w:val="auto"/>
                <w:kern w:val="0"/>
                <w:sz w:val="24"/>
                <w:szCs w:val="24"/>
                <w:lang w:bidi="ar"/>
              </w:rPr>
              <w:t>染具有危险特性物质的废包装材料</w:t>
            </w:r>
            <w:r>
              <w:rPr>
                <w:rFonts w:hint="eastAsia" w:ascii="Times New Roman" w:hAnsi="Times New Roman" w:eastAsia="宋体" w:cs="Times New Roman"/>
                <w:color w:val="auto"/>
                <w:kern w:val="0"/>
                <w:sz w:val="24"/>
                <w:szCs w:val="24"/>
                <w:lang w:eastAsia="zh-CN" w:bidi="ar"/>
              </w:rPr>
              <w:t>、</w:t>
            </w:r>
            <w:r>
              <w:rPr>
                <w:rFonts w:hint="eastAsia" w:ascii="Times New Roman" w:hAnsi="Times New Roman" w:eastAsia="宋体" w:cs="Times New Roman"/>
                <w:color w:val="auto"/>
                <w:kern w:val="0"/>
                <w:sz w:val="24"/>
                <w:szCs w:val="24"/>
                <w:lang w:bidi="ar"/>
              </w:rPr>
              <w:t>磁性杂质物</w:t>
            </w:r>
            <w:r>
              <w:rPr>
                <w:rFonts w:hint="eastAsia" w:ascii="Times New Roman" w:hAnsi="Times New Roman" w:eastAsia="宋体" w:cs="Times New Roman"/>
                <w:color w:val="auto"/>
                <w:kern w:val="0"/>
                <w:sz w:val="24"/>
                <w:szCs w:val="24"/>
                <w:lang w:eastAsia="zh-CN" w:bidi="ar"/>
              </w:rPr>
              <w:t>、</w:t>
            </w:r>
            <w:r>
              <w:rPr>
                <w:rFonts w:hint="eastAsia" w:ascii="Times New Roman" w:hAnsi="Times New Roman" w:eastAsia="宋体" w:cs="Times New Roman"/>
                <w:color w:val="auto"/>
                <w:kern w:val="0"/>
                <w:sz w:val="24"/>
                <w:szCs w:val="24"/>
                <w:lang w:val="en-US" w:eastAsia="zh-CN" w:bidi="ar"/>
              </w:rPr>
              <w:t>布袋除尘器收集粉尘及废边角料</w:t>
            </w:r>
            <w:r>
              <w:rPr>
                <w:color w:val="auto"/>
                <w:sz w:val="24"/>
                <w:szCs w:val="24"/>
              </w:rPr>
              <w:t>收集后存放于</w:t>
            </w:r>
            <w:r>
              <w:rPr>
                <w:color w:val="auto"/>
                <w:sz w:val="24"/>
                <w:szCs w:val="24"/>
                <w:lang w:val="zh-CN" w:bidi="zh-CN"/>
              </w:rPr>
              <w:t>一般固废暂存间，外售废品回收商；</w:t>
            </w:r>
            <w:r>
              <w:rPr>
                <w:rFonts w:hint="eastAsia" w:ascii="Times New Roman" w:hAnsi="Times New Roman" w:eastAsia="宋体" w:cs="Times New Roman"/>
                <w:color w:val="auto"/>
                <w:kern w:val="0"/>
                <w:sz w:val="24"/>
                <w:szCs w:val="24"/>
                <w:lang w:val="en-US" w:eastAsia="zh-CN" w:bidi="ar"/>
              </w:rPr>
              <w:t>废机油、废机油桶、废含油手套及抹布</w:t>
            </w:r>
            <w:r>
              <w:rPr>
                <w:rFonts w:hint="eastAsia" w:ascii="Times New Roman" w:hAnsi="Times New Roman" w:eastAsia="宋体" w:cs="Times New Roman"/>
                <w:b w:val="0"/>
                <w:bCs w:val="0"/>
                <w:color w:val="auto"/>
                <w:kern w:val="0"/>
                <w:sz w:val="24"/>
                <w:szCs w:val="24"/>
                <w:lang w:val="en-US" w:eastAsia="zh-CN" w:bidi="ar-SA"/>
              </w:rPr>
              <w:t>采用专用容器</w:t>
            </w:r>
            <w:r>
              <w:rPr>
                <w:rFonts w:ascii="Times New Roman" w:hAnsi="Times New Roman" w:eastAsia="宋体" w:cs="Times New Roman"/>
                <w:color w:val="auto"/>
                <w:sz w:val="24"/>
                <w:szCs w:val="24"/>
              </w:rPr>
              <w:t>分类收集后暂存于危废暂存间，定期交由有资质单位处置。</w:t>
            </w:r>
            <w:r>
              <w:rPr>
                <w:rFonts w:hint="eastAsia" w:ascii="Times New Roman" w:hAnsi="Times New Roman" w:eastAsia="宋体" w:cs="Times New Roman"/>
                <w:color w:val="auto"/>
                <w:sz w:val="24"/>
                <w:szCs w:val="24"/>
                <w:lang w:val="en-US" w:eastAsia="zh-CN"/>
              </w:rPr>
              <w:t>本项目</w:t>
            </w:r>
            <w:r>
              <w:rPr>
                <w:rFonts w:ascii="Times New Roman" w:hAnsi="Times New Roman"/>
                <w:color w:val="auto"/>
                <w:sz w:val="24"/>
                <w:szCs w:val="24"/>
              </w:rPr>
              <w:t>危废产生情况</w:t>
            </w:r>
            <w:r>
              <w:rPr>
                <w:rFonts w:hint="eastAsia" w:ascii="Times New Roman" w:hAnsi="Times New Roman"/>
                <w:color w:val="auto"/>
                <w:sz w:val="24"/>
                <w:szCs w:val="24"/>
              </w:rPr>
              <w:t>见</w:t>
            </w:r>
            <w:r>
              <w:rPr>
                <w:rFonts w:ascii="Times New Roman" w:hAnsi="Times New Roman"/>
                <w:color w:val="auto"/>
                <w:sz w:val="24"/>
                <w:szCs w:val="24"/>
              </w:rPr>
              <w:t>下表。</w:t>
            </w:r>
          </w:p>
          <w:p>
            <w:pPr>
              <w:pStyle w:val="97"/>
              <w:spacing w:line="360" w:lineRule="auto"/>
              <w:ind w:left="0" w:right="0" w:firstLine="0"/>
              <w:jc w:val="center"/>
              <w:rPr>
                <w:rFonts w:hint="eastAsia" w:ascii="Times New Roman" w:hAnsi="Times New Roman" w:eastAsia="宋体"/>
                <w:b/>
                <w:bCs/>
                <w:color w:val="auto"/>
                <w:sz w:val="21"/>
                <w:szCs w:val="21"/>
                <w:lang w:eastAsia="zh-CN"/>
              </w:rPr>
            </w:pPr>
            <w:r>
              <w:rPr>
                <w:rFonts w:ascii="Times New Roman" w:hAnsi="Times New Roman"/>
                <w:b/>
                <w:bCs/>
                <w:color w:val="auto"/>
                <w:sz w:val="21"/>
                <w:szCs w:val="21"/>
              </w:rPr>
              <w:t>表4-</w:t>
            </w:r>
            <w:r>
              <w:rPr>
                <w:rFonts w:hint="eastAsia" w:ascii="Times New Roman" w:hAnsi="Times New Roman"/>
                <w:b/>
                <w:bCs/>
                <w:color w:val="auto"/>
                <w:sz w:val="21"/>
                <w:szCs w:val="21"/>
                <w:lang w:val="en-US" w:eastAsia="zh-CN"/>
              </w:rPr>
              <w:t>16</w:t>
            </w:r>
            <w:r>
              <w:rPr>
                <w:rFonts w:ascii="Times New Roman" w:hAnsi="Times New Roman"/>
                <w:b/>
                <w:bCs/>
                <w:color w:val="auto"/>
                <w:sz w:val="21"/>
                <w:szCs w:val="21"/>
              </w:rPr>
              <w:t xml:space="preserve"> 项目危废产生情况表</w:t>
            </w:r>
          </w:p>
          <w:tbl>
            <w:tblPr>
              <w:tblStyle w:val="36"/>
              <w:tblW w:w="7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83"/>
              <w:gridCol w:w="990"/>
              <w:gridCol w:w="698"/>
              <w:gridCol w:w="649"/>
              <w:gridCol w:w="625"/>
              <w:gridCol w:w="748"/>
              <w:gridCol w:w="376"/>
              <w:gridCol w:w="625"/>
              <w:gridCol w:w="713"/>
              <w:gridCol w:w="614"/>
              <w:gridCol w:w="569"/>
              <w:gridCol w:w="10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07" w:hRule="atLeast"/>
                <w:jc w:val="center"/>
              </w:trPr>
              <w:tc>
                <w:tcPr>
                  <w:tcW w:w="383"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990"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698"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危险废物类别</w:t>
                  </w:r>
                </w:p>
              </w:tc>
              <w:tc>
                <w:tcPr>
                  <w:tcW w:w="649"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危险废物代码</w:t>
                  </w:r>
                </w:p>
              </w:tc>
              <w:tc>
                <w:tcPr>
                  <w:tcW w:w="625"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w:t>
                  </w:r>
                </w:p>
              </w:tc>
              <w:tc>
                <w:tcPr>
                  <w:tcW w:w="748"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产生工序及装置</w:t>
                  </w:r>
                </w:p>
              </w:tc>
              <w:tc>
                <w:tcPr>
                  <w:tcW w:w="376"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形态</w:t>
                  </w:r>
                </w:p>
              </w:tc>
              <w:tc>
                <w:tcPr>
                  <w:tcW w:w="625"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主要成分</w:t>
                  </w:r>
                </w:p>
              </w:tc>
              <w:tc>
                <w:tcPr>
                  <w:tcW w:w="713"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有害成分</w:t>
                  </w:r>
                </w:p>
              </w:tc>
              <w:tc>
                <w:tcPr>
                  <w:tcW w:w="614"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产废</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周期</w:t>
                  </w:r>
                </w:p>
              </w:tc>
              <w:tc>
                <w:tcPr>
                  <w:tcW w:w="569"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w:t>
                  </w:r>
                </w:p>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特性</w:t>
                  </w:r>
                </w:p>
              </w:tc>
              <w:tc>
                <w:tcPr>
                  <w:tcW w:w="1000"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07" w:hRule="atLeast"/>
                <w:jc w:val="center"/>
              </w:trPr>
              <w:tc>
                <w:tcPr>
                  <w:tcW w:w="383" w:type="dxa"/>
                  <w:noWrap w:val="0"/>
                  <w:vAlign w:val="center"/>
                </w:tcPr>
                <w:p>
                  <w:pPr>
                    <w:topLinePunct/>
                    <w:contextualSpacing/>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1</w:t>
                  </w:r>
                </w:p>
              </w:tc>
              <w:tc>
                <w:tcPr>
                  <w:tcW w:w="990" w:type="dxa"/>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bidi="zh-CN"/>
                    </w:rPr>
                    <w:t>废机油/废机油桶</w:t>
                  </w:r>
                </w:p>
              </w:tc>
              <w:tc>
                <w:tcPr>
                  <w:tcW w:w="698" w:type="dxa"/>
                  <w:noWrap w:val="0"/>
                  <w:vAlign w:val="center"/>
                </w:tcPr>
                <w:p>
                  <w:pPr>
                    <w:jc w:val="center"/>
                    <w:rPr>
                      <w:rFonts w:hint="default" w:ascii="Times New Roman" w:hAnsi="Times New Roman" w:cs="Times New Roman"/>
                      <w:bCs/>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HW08废矿物油与含矿物油废物</w:t>
                  </w:r>
                </w:p>
              </w:tc>
              <w:tc>
                <w:tcPr>
                  <w:tcW w:w="649" w:type="dxa"/>
                  <w:noWrap w:val="0"/>
                  <w:vAlign w:val="center"/>
                </w:tcPr>
                <w:p>
                  <w:pPr>
                    <w:jc w:val="center"/>
                    <w:rPr>
                      <w:rFonts w:hint="default" w:ascii="Times New Roman" w:hAnsi="Times New Roman" w:cs="Times New Roman"/>
                      <w:bCs/>
                      <w:color w:val="auto"/>
                      <w:kern w:val="0"/>
                      <w:sz w:val="21"/>
                      <w:szCs w:val="21"/>
                      <w:lang w:bidi="ar"/>
                    </w:rPr>
                  </w:pPr>
                  <w:r>
                    <w:rPr>
                      <w:rFonts w:hint="default" w:ascii="Times New Roman" w:hAnsi="Times New Roman" w:eastAsia="宋体" w:cs="Times New Roman"/>
                      <w:color w:val="auto"/>
                      <w:sz w:val="21"/>
                      <w:szCs w:val="21"/>
                      <w:lang w:val="en-US" w:eastAsia="zh-CN" w:bidi="zh-CN"/>
                    </w:rPr>
                    <w:t>900-249-08</w:t>
                  </w:r>
                </w:p>
              </w:tc>
              <w:tc>
                <w:tcPr>
                  <w:tcW w:w="625" w:type="dxa"/>
                  <w:noWrap w:val="0"/>
                  <w:vAlign w:val="center"/>
                </w:tcPr>
                <w:p>
                  <w:pPr>
                    <w:topLinePunct/>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0.03</w:t>
                  </w:r>
                  <w:r>
                    <w:rPr>
                      <w:rFonts w:hint="default" w:ascii="Times New Roman" w:hAnsi="Times New Roman" w:cs="Times New Roman"/>
                      <w:color w:val="auto"/>
                      <w:sz w:val="21"/>
                      <w:szCs w:val="21"/>
                    </w:rPr>
                    <w:t>t/a</w:t>
                  </w:r>
                </w:p>
              </w:tc>
              <w:tc>
                <w:tcPr>
                  <w:tcW w:w="748"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设备维修</w:t>
                  </w:r>
                </w:p>
              </w:tc>
              <w:tc>
                <w:tcPr>
                  <w:tcW w:w="376" w:type="dxa"/>
                  <w:noWrap w:val="0"/>
                  <w:vAlign w:val="center"/>
                </w:tcPr>
                <w:p>
                  <w:pPr>
                    <w:topLinePunct/>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w:t>
                  </w:r>
                  <w:r>
                    <w:rPr>
                      <w:rFonts w:hint="default" w:ascii="Times New Roman" w:hAnsi="Times New Roman" w:cs="Times New Roman"/>
                      <w:color w:val="auto"/>
                      <w:sz w:val="21"/>
                      <w:szCs w:val="21"/>
                      <w:lang w:val="en-US" w:eastAsia="zh-CN"/>
                    </w:rPr>
                    <w:t>/固</w:t>
                  </w:r>
                  <w:r>
                    <w:rPr>
                      <w:rFonts w:hint="default" w:ascii="Times New Roman" w:hAnsi="Times New Roman" w:cs="Times New Roman"/>
                      <w:color w:val="auto"/>
                      <w:sz w:val="21"/>
                      <w:szCs w:val="21"/>
                    </w:rPr>
                    <w:t>态</w:t>
                  </w:r>
                </w:p>
              </w:tc>
              <w:tc>
                <w:tcPr>
                  <w:tcW w:w="62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废机油</w:t>
                  </w:r>
                </w:p>
              </w:tc>
              <w:tc>
                <w:tcPr>
                  <w:tcW w:w="713"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废机油</w:t>
                  </w:r>
                </w:p>
              </w:tc>
              <w:tc>
                <w:tcPr>
                  <w:tcW w:w="61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每季度</w:t>
                  </w:r>
                </w:p>
              </w:tc>
              <w:tc>
                <w:tcPr>
                  <w:tcW w:w="569" w:type="dxa"/>
                  <w:noWrap w:val="0"/>
                  <w:vAlign w:val="center"/>
                </w:tcPr>
                <w:p>
                  <w:pPr>
                    <w:jc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T</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I</w:t>
                  </w:r>
                </w:p>
              </w:tc>
              <w:tc>
                <w:tcPr>
                  <w:tcW w:w="1000" w:type="dxa"/>
                  <w:vMerge w:val="restart"/>
                  <w:noWrap w:val="0"/>
                  <w:vAlign w:val="center"/>
                </w:tcPr>
                <w:p>
                  <w:pPr>
                    <w:topLinePunct/>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分类暂存于危废暂存间，委托有资质</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907" w:hRule="atLeast"/>
                <w:jc w:val="center"/>
              </w:trPr>
              <w:tc>
                <w:tcPr>
                  <w:tcW w:w="383" w:type="dxa"/>
                  <w:noWrap w:val="0"/>
                  <w:vAlign w:val="center"/>
                </w:tcPr>
                <w:p>
                  <w:pPr>
                    <w:topLinePunct/>
                    <w:contextualSpacing/>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2</w:t>
                  </w:r>
                </w:p>
              </w:tc>
              <w:tc>
                <w:tcPr>
                  <w:tcW w:w="990" w:type="dxa"/>
                  <w:noWrap w:val="0"/>
                  <w:vAlign w:val="center"/>
                </w:tcPr>
                <w:p>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bidi="zh-CN"/>
                    </w:rPr>
                    <w:t>废含油手套及抹布</w:t>
                  </w:r>
                </w:p>
              </w:tc>
              <w:tc>
                <w:tcPr>
                  <w:tcW w:w="698" w:type="dxa"/>
                  <w:noWrap w:val="0"/>
                  <w:vAlign w:val="center"/>
                </w:tcPr>
                <w:p>
                  <w:pPr>
                    <w:jc w:val="center"/>
                    <w:rPr>
                      <w:rFonts w:hint="default" w:ascii="Times New Roman" w:hAnsi="Times New Roman" w:cs="Times New Roman"/>
                      <w:bCs/>
                      <w:color w:val="auto"/>
                      <w:kern w:val="0"/>
                      <w:sz w:val="21"/>
                      <w:szCs w:val="21"/>
                      <w:lang w:bidi="ar"/>
                    </w:rPr>
                  </w:pPr>
                  <w:r>
                    <w:rPr>
                      <w:rFonts w:hint="default" w:ascii="Times New Roman" w:hAnsi="Times New Roman" w:cs="Times New Roman"/>
                      <w:bCs/>
                      <w:color w:val="auto"/>
                      <w:kern w:val="0"/>
                      <w:sz w:val="21"/>
                      <w:szCs w:val="21"/>
                      <w:lang w:bidi="ar"/>
                    </w:rPr>
                    <w:t>HW49</w:t>
                  </w:r>
                  <w:r>
                    <w:rPr>
                      <w:rFonts w:hint="default" w:ascii="Times New Roman" w:hAnsi="Times New Roman" w:cs="Times New Roman"/>
                      <w:color w:val="auto"/>
                      <w:sz w:val="21"/>
                      <w:szCs w:val="21"/>
                    </w:rPr>
                    <w:t>其他废物</w:t>
                  </w:r>
                </w:p>
              </w:tc>
              <w:tc>
                <w:tcPr>
                  <w:tcW w:w="649" w:type="dxa"/>
                  <w:noWrap w:val="0"/>
                  <w:vAlign w:val="center"/>
                </w:tcPr>
                <w:p>
                  <w:pPr>
                    <w:jc w:val="center"/>
                    <w:rPr>
                      <w:rFonts w:hint="default" w:ascii="Times New Roman" w:hAnsi="Times New Roman" w:cs="Times New Roman"/>
                      <w:bCs/>
                      <w:color w:val="auto"/>
                      <w:kern w:val="0"/>
                      <w:sz w:val="21"/>
                      <w:szCs w:val="21"/>
                      <w:lang w:bidi="ar"/>
                    </w:rPr>
                  </w:pPr>
                  <w:r>
                    <w:rPr>
                      <w:rFonts w:hint="default" w:ascii="Times New Roman" w:hAnsi="Times New Roman" w:eastAsia="宋体" w:cs="Times New Roman"/>
                      <w:color w:val="auto"/>
                      <w:sz w:val="21"/>
                      <w:szCs w:val="21"/>
                      <w:lang w:val="en-US" w:eastAsia="zh-CN" w:bidi="zh-CN"/>
                    </w:rPr>
                    <w:t>900-041-49</w:t>
                  </w:r>
                </w:p>
              </w:tc>
              <w:tc>
                <w:tcPr>
                  <w:tcW w:w="625" w:type="dxa"/>
                  <w:noWrap w:val="0"/>
                  <w:vAlign w:val="center"/>
                </w:tcPr>
                <w:p>
                  <w:pPr>
                    <w:topLinePunct/>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bidi="ar"/>
                    </w:rPr>
                    <w:t>0.001</w:t>
                  </w:r>
                  <w:r>
                    <w:rPr>
                      <w:rFonts w:hint="default" w:ascii="Times New Roman" w:hAnsi="Times New Roman" w:cs="Times New Roman"/>
                      <w:color w:val="auto"/>
                      <w:sz w:val="21"/>
                      <w:szCs w:val="21"/>
                    </w:rPr>
                    <w:t>t/a</w:t>
                  </w:r>
                </w:p>
              </w:tc>
              <w:tc>
                <w:tcPr>
                  <w:tcW w:w="748" w:type="dxa"/>
                  <w:noWrap w:val="0"/>
                  <w:vAlign w:val="center"/>
                </w:tcPr>
                <w:p>
                  <w:pPr>
                    <w:topLinePunct/>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设备维修</w:t>
                  </w:r>
                </w:p>
              </w:tc>
              <w:tc>
                <w:tcPr>
                  <w:tcW w:w="376" w:type="dxa"/>
                  <w:noWrap w:val="0"/>
                  <w:vAlign w:val="center"/>
                </w:tcPr>
                <w:p>
                  <w:pPr>
                    <w:topLinePunct/>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固</w:t>
                  </w:r>
                  <w:r>
                    <w:rPr>
                      <w:rFonts w:hint="default" w:ascii="Times New Roman" w:hAnsi="Times New Roman" w:cs="Times New Roman"/>
                      <w:color w:val="auto"/>
                      <w:sz w:val="21"/>
                      <w:szCs w:val="21"/>
                    </w:rPr>
                    <w:t>态</w:t>
                  </w:r>
                </w:p>
              </w:tc>
              <w:tc>
                <w:tcPr>
                  <w:tcW w:w="625"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废机油</w:t>
                  </w:r>
                </w:p>
              </w:tc>
              <w:tc>
                <w:tcPr>
                  <w:tcW w:w="713" w:type="dxa"/>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废机油</w:t>
                  </w:r>
                </w:p>
              </w:tc>
              <w:tc>
                <w:tcPr>
                  <w:tcW w:w="614"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每季度</w:t>
                  </w:r>
                </w:p>
              </w:tc>
              <w:tc>
                <w:tcPr>
                  <w:tcW w:w="569" w:type="dxa"/>
                  <w:noWrap w:val="0"/>
                  <w:vAlign w:val="center"/>
                </w:tcPr>
                <w:p>
                  <w:pPr>
                    <w:widowControl/>
                    <w:jc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T/In</w:t>
                  </w:r>
                </w:p>
              </w:tc>
              <w:tc>
                <w:tcPr>
                  <w:tcW w:w="1000" w:type="dxa"/>
                  <w:vMerge w:val="continue"/>
                  <w:noWrap w:val="0"/>
                  <w:vAlign w:val="center"/>
                </w:tcPr>
                <w:p>
                  <w:pPr>
                    <w:jc w:val="center"/>
                    <w:rPr>
                      <w:rFonts w:hint="default" w:ascii="Times New Roman" w:hAnsi="Times New Roman" w:cs="Times New Roman"/>
                      <w:color w:val="auto"/>
                      <w:sz w:val="21"/>
                      <w:szCs w:val="21"/>
                    </w:rPr>
                  </w:pPr>
                </w:p>
              </w:tc>
            </w:tr>
          </w:tbl>
          <w:p>
            <w:pPr>
              <w:pStyle w:val="97"/>
              <w:spacing w:line="360" w:lineRule="auto"/>
              <w:ind w:left="0" w:right="0" w:firstLine="0"/>
              <w:jc w:val="center"/>
              <w:rPr>
                <w:rFonts w:ascii="Times New Roman" w:hAnsi="Times New Roman"/>
                <w:b/>
                <w:bCs/>
                <w:color w:val="auto"/>
                <w:sz w:val="21"/>
                <w:szCs w:val="21"/>
              </w:rPr>
            </w:pPr>
            <w:r>
              <w:rPr>
                <w:rFonts w:ascii="Times New Roman" w:hAnsi="Times New Roman"/>
                <w:b/>
                <w:bCs/>
                <w:color w:val="auto"/>
                <w:sz w:val="21"/>
                <w:szCs w:val="21"/>
              </w:rPr>
              <w:t>表4-</w:t>
            </w:r>
            <w:r>
              <w:rPr>
                <w:rFonts w:hint="eastAsia" w:ascii="Times New Roman" w:hAnsi="Times New Roman"/>
                <w:b/>
                <w:bCs/>
                <w:color w:val="auto"/>
                <w:sz w:val="21"/>
                <w:szCs w:val="21"/>
                <w:lang w:val="en-US" w:eastAsia="zh-CN"/>
              </w:rPr>
              <w:t>17</w:t>
            </w:r>
            <w:r>
              <w:rPr>
                <w:rFonts w:ascii="Times New Roman" w:hAnsi="Times New Roman"/>
                <w:b/>
                <w:bCs/>
                <w:color w:val="auto"/>
                <w:sz w:val="21"/>
                <w:szCs w:val="21"/>
              </w:rPr>
              <w:t xml:space="preserve"> 项目</w:t>
            </w:r>
            <w:r>
              <w:rPr>
                <w:rFonts w:hint="eastAsia" w:ascii="Times New Roman" w:hAnsi="Times New Roman"/>
                <w:b/>
                <w:bCs/>
                <w:color w:val="auto"/>
                <w:sz w:val="21"/>
                <w:szCs w:val="21"/>
              </w:rPr>
              <w:t>危险废物贮存场所基本情况</w:t>
            </w:r>
          </w:p>
          <w:tbl>
            <w:tblPr>
              <w:tblStyle w:val="36"/>
              <w:tblW w:w="795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54"/>
              <w:gridCol w:w="1035"/>
              <w:gridCol w:w="1500"/>
              <w:gridCol w:w="855"/>
              <w:gridCol w:w="1035"/>
              <w:gridCol w:w="522"/>
              <w:gridCol w:w="614"/>
              <w:gridCol w:w="614"/>
              <w:gridCol w:w="614"/>
              <w:gridCol w:w="6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504" w:hRule="atLeast"/>
                <w:jc w:val="center"/>
              </w:trPr>
              <w:tc>
                <w:tcPr>
                  <w:tcW w:w="554" w:type="dxa"/>
                  <w:noWrap w:val="0"/>
                  <w:vAlign w:val="center"/>
                </w:tcPr>
                <w:p>
                  <w:pPr>
                    <w:jc w:val="center"/>
                    <w:rPr>
                      <w:b/>
                      <w:bCs/>
                      <w:color w:val="auto"/>
                      <w:sz w:val="21"/>
                      <w:szCs w:val="21"/>
                    </w:rPr>
                  </w:pPr>
                  <w:r>
                    <w:rPr>
                      <w:b/>
                      <w:bCs/>
                      <w:color w:val="auto"/>
                      <w:sz w:val="21"/>
                      <w:szCs w:val="21"/>
                    </w:rPr>
                    <w:t>序号</w:t>
                  </w:r>
                </w:p>
              </w:tc>
              <w:tc>
                <w:tcPr>
                  <w:tcW w:w="1035" w:type="dxa"/>
                  <w:noWrap w:val="0"/>
                  <w:vAlign w:val="center"/>
                </w:tcPr>
                <w:p>
                  <w:pPr>
                    <w:jc w:val="center"/>
                    <w:rPr>
                      <w:b/>
                      <w:bCs/>
                      <w:color w:val="auto"/>
                      <w:sz w:val="21"/>
                      <w:szCs w:val="21"/>
                    </w:rPr>
                  </w:pPr>
                  <w:r>
                    <w:rPr>
                      <w:b/>
                      <w:bCs/>
                      <w:color w:val="auto"/>
                      <w:sz w:val="21"/>
                      <w:szCs w:val="21"/>
                    </w:rPr>
                    <w:t>危险废物名称</w:t>
                  </w:r>
                </w:p>
              </w:tc>
              <w:tc>
                <w:tcPr>
                  <w:tcW w:w="1500" w:type="dxa"/>
                  <w:noWrap w:val="0"/>
                  <w:vAlign w:val="center"/>
                </w:tcPr>
                <w:p>
                  <w:pPr>
                    <w:jc w:val="center"/>
                    <w:rPr>
                      <w:b/>
                      <w:bCs/>
                      <w:color w:val="auto"/>
                      <w:sz w:val="21"/>
                      <w:szCs w:val="21"/>
                    </w:rPr>
                  </w:pPr>
                  <w:r>
                    <w:rPr>
                      <w:b/>
                      <w:bCs/>
                      <w:color w:val="auto"/>
                      <w:sz w:val="21"/>
                      <w:szCs w:val="21"/>
                    </w:rPr>
                    <w:t>危险废物类别</w:t>
                  </w:r>
                </w:p>
              </w:tc>
              <w:tc>
                <w:tcPr>
                  <w:tcW w:w="855" w:type="dxa"/>
                  <w:noWrap w:val="0"/>
                  <w:vAlign w:val="center"/>
                </w:tcPr>
                <w:p>
                  <w:pPr>
                    <w:jc w:val="center"/>
                    <w:rPr>
                      <w:b/>
                      <w:bCs/>
                      <w:color w:val="auto"/>
                      <w:sz w:val="21"/>
                      <w:szCs w:val="21"/>
                    </w:rPr>
                  </w:pPr>
                  <w:r>
                    <w:rPr>
                      <w:b/>
                      <w:bCs/>
                      <w:color w:val="auto"/>
                      <w:sz w:val="21"/>
                      <w:szCs w:val="21"/>
                    </w:rPr>
                    <w:t>危险废物代码</w:t>
                  </w:r>
                </w:p>
              </w:tc>
              <w:tc>
                <w:tcPr>
                  <w:tcW w:w="1035" w:type="dxa"/>
                  <w:noWrap w:val="0"/>
                  <w:vAlign w:val="center"/>
                </w:tcPr>
                <w:p>
                  <w:pPr>
                    <w:jc w:val="center"/>
                    <w:rPr>
                      <w:b/>
                      <w:bCs/>
                      <w:color w:val="auto"/>
                      <w:sz w:val="21"/>
                      <w:szCs w:val="21"/>
                    </w:rPr>
                  </w:pPr>
                  <w:r>
                    <w:rPr>
                      <w:b/>
                      <w:bCs/>
                      <w:color w:val="auto"/>
                      <w:sz w:val="21"/>
                      <w:szCs w:val="21"/>
                    </w:rPr>
                    <w:t>产生量</w:t>
                  </w:r>
                </w:p>
              </w:tc>
              <w:tc>
                <w:tcPr>
                  <w:tcW w:w="522" w:type="dxa"/>
                  <w:noWrap w:val="0"/>
                  <w:vAlign w:val="center"/>
                </w:tcPr>
                <w:p>
                  <w:pPr>
                    <w:jc w:val="center"/>
                    <w:rPr>
                      <w:rFonts w:hint="eastAsia"/>
                      <w:b/>
                      <w:bCs/>
                      <w:color w:val="auto"/>
                      <w:sz w:val="21"/>
                      <w:szCs w:val="21"/>
                    </w:rPr>
                  </w:pPr>
                  <w:r>
                    <w:rPr>
                      <w:rFonts w:hint="eastAsia"/>
                      <w:b/>
                      <w:bCs/>
                      <w:color w:val="auto"/>
                      <w:sz w:val="21"/>
                      <w:szCs w:val="21"/>
                    </w:rPr>
                    <w:t>位置</w:t>
                  </w:r>
                </w:p>
              </w:tc>
              <w:tc>
                <w:tcPr>
                  <w:tcW w:w="614" w:type="dxa"/>
                  <w:noWrap w:val="0"/>
                  <w:vAlign w:val="center"/>
                </w:tcPr>
                <w:p>
                  <w:pPr>
                    <w:jc w:val="center"/>
                    <w:rPr>
                      <w:b/>
                      <w:bCs/>
                      <w:color w:val="auto"/>
                      <w:sz w:val="21"/>
                      <w:szCs w:val="21"/>
                    </w:rPr>
                  </w:pPr>
                  <w:r>
                    <w:rPr>
                      <w:rFonts w:hint="eastAsia"/>
                      <w:b/>
                      <w:bCs/>
                      <w:color w:val="auto"/>
                      <w:sz w:val="21"/>
                      <w:szCs w:val="21"/>
                    </w:rPr>
                    <w:t>占地面积</w:t>
                  </w:r>
                </w:p>
              </w:tc>
              <w:tc>
                <w:tcPr>
                  <w:tcW w:w="614" w:type="dxa"/>
                  <w:noWrap w:val="0"/>
                  <w:vAlign w:val="center"/>
                </w:tcPr>
                <w:p>
                  <w:pPr>
                    <w:jc w:val="center"/>
                    <w:rPr>
                      <w:b/>
                      <w:bCs/>
                      <w:color w:val="auto"/>
                      <w:sz w:val="21"/>
                      <w:szCs w:val="21"/>
                    </w:rPr>
                  </w:pPr>
                  <w:r>
                    <w:rPr>
                      <w:rFonts w:hint="eastAsia"/>
                      <w:b/>
                      <w:bCs/>
                      <w:color w:val="auto"/>
                      <w:sz w:val="21"/>
                      <w:szCs w:val="21"/>
                    </w:rPr>
                    <w:t>贮存方式</w:t>
                  </w:r>
                </w:p>
              </w:tc>
              <w:tc>
                <w:tcPr>
                  <w:tcW w:w="614" w:type="dxa"/>
                  <w:noWrap w:val="0"/>
                  <w:vAlign w:val="center"/>
                </w:tcPr>
                <w:p>
                  <w:pPr>
                    <w:jc w:val="center"/>
                    <w:rPr>
                      <w:b/>
                      <w:bCs/>
                      <w:color w:val="auto"/>
                      <w:sz w:val="21"/>
                      <w:szCs w:val="21"/>
                    </w:rPr>
                  </w:pPr>
                  <w:r>
                    <w:rPr>
                      <w:rFonts w:hint="eastAsia"/>
                      <w:b/>
                      <w:bCs/>
                      <w:color w:val="auto"/>
                      <w:sz w:val="21"/>
                      <w:szCs w:val="21"/>
                    </w:rPr>
                    <w:t>贮存能力</w:t>
                  </w:r>
                </w:p>
              </w:tc>
              <w:tc>
                <w:tcPr>
                  <w:tcW w:w="614" w:type="dxa"/>
                  <w:noWrap w:val="0"/>
                  <w:vAlign w:val="center"/>
                </w:tcPr>
                <w:p>
                  <w:pPr>
                    <w:jc w:val="center"/>
                    <w:rPr>
                      <w:b/>
                      <w:bCs/>
                      <w:color w:val="auto"/>
                      <w:sz w:val="21"/>
                      <w:szCs w:val="21"/>
                    </w:rPr>
                  </w:pPr>
                  <w:r>
                    <w:rPr>
                      <w:rFonts w:hint="eastAsia"/>
                      <w:b/>
                      <w:bCs/>
                      <w:color w:val="auto"/>
                      <w:sz w:val="21"/>
                      <w:szCs w:val="21"/>
                    </w:rPr>
                    <w:t>贮存</w:t>
                  </w:r>
                  <w:r>
                    <w:rPr>
                      <w:b/>
                      <w:bCs/>
                      <w:color w:val="auto"/>
                      <w:sz w:val="21"/>
                      <w:szCs w:val="21"/>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81" w:hRule="atLeast"/>
                <w:jc w:val="center"/>
              </w:trPr>
              <w:tc>
                <w:tcPr>
                  <w:tcW w:w="554" w:type="dxa"/>
                  <w:noWrap w:val="0"/>
                  <w:vAlign w:val="center"/>
                </w:tcPr>
                <w:p>
                  <w:pPr>
                    <w:topLinePunct/>
                    <w:contextualSpacing/>
                    <w:jc w:val="center"/>
                    <w:rPr>
                      <w:rFonts w:hint="eastAsia" w:eastAsia="宋体"/>
                      <w:b/>
                      <w:bCs/>
                      <w:color w:val="auto"/>
                      <w:sz w:val="21"/>
                      <w:szCs w:val="21"/>
                      <w:lang w:eastAsia="zh-CN"/>
                    </w:rPr>
                  </w:pPr>
                  <w:r>
                    <w:rPr>
                      <w:rFonts w:hint="eastAsia"/>
                      <w:bCs/>
                      <w:color w:val="auto"/>
                      <w:sz w:val="21"/>
                      <w:szCs w:val="21"/>
                      <w:lang w:val="en-US" w:eastAsia="zh-CN"/>
                    </w:rPr>
                    <w:t>1</w:t>
                  </w:r>
                </w:p>
              </w:tc>
              <w:tc>
                <w:tcPr>
                  <w:tcW w:w="1035" w:type="dxa"/>
                  <w:noWrap w:val="0"/>
                  <w:vAlign w:val="center"/>
                </w:tcPr>
                <w:p>
                  <w:pPr>
                    <w:jc w:val="center"/>
                    <w:rPr>
                      <w:rFonts w:ascii="Times New Roman" w:hAnsi="Times New Roman" w:cs="Times New Roman"/>
                      <w:b/>
                      <w:bCs/>
                      <w:color w:val="auto"/>
                      <w:sz w:val="21"/>
                      <w:szCs w:val="21"/>
                    </w:rPr>
                  </w:pPr>
                  <w:r>
                    <w:rPr>
                      <w:rFonts w:hint="default" w:ascii="Times New Roman" w:hAnsi="Times New Roman" w:eastAsia="宋体" w:cs="Times New Roman"/>
                      <w:color w:val="auto"/>
                      <w:sz w:val="21"/>
                      <w:szCs w:val="21"/>
                      <w:lang w:val="en-US" w:eastAsia="zh-CN" w:bidi="zh-CN"/>
                    </w:rPr>
                    <w:t>废机油/废机油桶</w:t>
                  </w:r>
                </w:p>
              </w:tc>
              <w:tc>
                <w:tcPr>
                  <w:tcW w:w="1500" w:type="dxa"/>
                  <w:noWrap w:val="0"/>
                  <w:vAlign w:val="center"/>
                </w:tcPr>
                <w:p>
                  <w:pPr>
                    <w:jc w:val="center"/>
                    <w:rPr>
                      <w:b/>
                      <w:bCs/>
                      <w:color w:val="auto"/>
                      <w:sz w:val="21"/>
                      <w:szCs w:val="21"/>
                    </w:rPr>
                  </w:pPr>
                  <w:r>
                    <w:rPr>
                      <w:rFonts w:hint="default" w:ascii="Times New Roman" w:hAnsi="Times New Roman" w:eastAsia="宋体" w:cs="Times New Roman"/>
                      <w:color w:val="auto"/>
                      <w:kern w:val="0"/>
                      <w:sz w:val="21"/>
                      <w:szCs w:val="21"/>
                      <w:lang w:val="en-US" w:eastAsia="zh-CN" w:bidi="ar"/>
                    </w:rPr>
                    <w:t>HW08废矿物油与含矿物油废物</w:t>
                  </w:r>
                </w:p>
              </w:tc>
              <w:tc>
                <w:tcPr>
                  <w:tcW w:w="855" w:type="dxa"/>
                  <w:noWrap w:val="0"/>
                  <w:vAlign w:val="center"/>
                </w:tcPr>
                <w:p>
                  <w:pPr>
                    <w:jc w:val="center"/>
                    <w:rPr>
                      <w:b/>
                      <w:bCs/>
                      <w:color w:val="auto"/>
                      <w:sz w:val="21"/>
                      <w:szCs w:val="21"/>
                    </w:rPr>
                  </w:pPr>
                  <w:r>
                    <w:rPr>
                      <w:rFonts w:hint="default" w:ascii="Times New Roman" w:hAnsi="Times New Roman" w:eastAsia="宋体" w:cs="Times New Roman"/>
                      <w:color w:val="auto"/>
                      <w:sz w:val="21"/>
                      <w:szCs w:val="21"/>
                      <w:lang w:val="en-US" w:eastAsia="zh-CN" w:bidi="zh-CN"/>
                    </w:rPr>
                    <w:t>900-249-08</w:t>
                  </w:r>
                </w:p>
              </w:tc>
              <w:tc>
                <w:tcPr>
                  <w:tcW w:w="1035" w:type="dxa"/>
                  <w:noWrap w:val="0"/>
                  <w:vAlign w:val="center"/>
                </w:tcPr>
                <w:p>
                  <w:pPr>
                    <w:topLinePunct/>
                    <w:contextualSpacing/>
                    <w:jc w:val="center"/>
                    <w:rPr>
                      <w:rFonts w:hint="default"/>
                      <w:b/>
                      <w:bCs/>
                      <w:color w:val="auto"/>
                      <w:sz w:val="21"/>
                      <w:szCs w:val="21"/>
                      <w:lang w:val="en-US"/>
                    </w:rPr>
                  </w:pPr>
                  <w:r>
                    <w:rPr>
                      <w:rFonts w:hint="default" w:ascii="Times New Roman" w:hAnsi="Times New Roman" w:cs="Times New Roman"/>
                      <w:color w:val="auto"/>
                      <w:sz w:val="21"/>
                      <w:szCs w:val="21"/>
                      <w:lang w:val="en-US" w:eastAsia="zh-CN"/>
                    </w:rPr>
                    <w:t>0.03</w:t>
                  </w:r>
                  <w:r>
                    <w:rPr>
                      <w:rFonts w:hint="default" w:ascii="Times New Roman" w:hAnsi="Times New Roman" w:cs="Times New Roman"/>
                      <w:color w:val="auto"/>
                      <w:sz w:val="21"/>
                      <w:szCs w:val="21"/>
                    </w:rPr>
                    <w:t>t/a</w:t>
                  </w:r>
                </w:p>
              </w:tc>
              <w:tc>
                <w:tcPr>
                  <w:tcW w:w="522" w:type="dxa"/>
                  <w:vMerge w:val="restart"/>
                  <w:noWrap w:val="0"/>
                  <w:vAlign w:val="center"/>
                </w:tcPr>
                <w:p>
                  <w:pPr>
                    <w:topLinePunct/>
                    <w:contextualSpacing/>
                    <w:jc w:val="center"/>
                    <w:rPr>
                      <w:color w:val="auto"/>
                      <w:sz w:val="21"/>
                      <w:szCs w:val="21"/>
                    </w:rPr>
                  </w:pPr>
                  <w:r>
                    <w:rPr>
                      <w:rFonts w:hint="eastAsia" w:ascii="Times New Roman" w:hAnsi="Times New Roman" w:eastAsia="宋体" w:cs="Times New Roman"/>
                      <w:color w:val="auto"/>
                      <w:sz w:val="21"/>
                      <w:szCs w:val="21"/>
                      <w:lang w:val="en-US" w:eastAsia="zh-CN"/>
                    </w:rPr>
                    <w:t>位于四川翔丰华新能源材料有限公司厂区西北侧</w:t>
                  </w:r>
                </w:p>
              </w:tc>
              <w:tc>
                <w:tcPr>
                  <w:tcW w:w="614" w:type="dxa"/>
                  <w:vMerge w:val="restart"/>
                  <w:noWrap w:val="0"/>
                  <w:vAlign w:val="center"/>
                </w:tcPr>
                <w:p>
                  <w:pPr>
                    <w:topLinePunct/>
                    <w:contextualSpacing/>
                    <w:jc w:val="center"/>
                    <w:rPr>
                      <w:color w:val="auto"/>
                      <w:sz w:val="21"/>
                      <w:szCs w:val="21"/>
                    </w:rPr>
                  </w:pPr>
                  <w:r>
                    <w:rPr>
                      <w:rFonts w:hint="eastAsia"/>
                      <w:color w:val="auto"/>
                      <w:sz w:val="21"/>
                      <w:szCs w:val="21"/>
                      <w:lang w:val="en-US" w:eastAsia="zh-CN"/>
                    </w:rPr>
                    <w:t>324</w:t>
                  </w:r>
                  <w:r>
                    <w:rPr>
                      <w:color w:val="auto"/>
                      <w:sz w:val="21"/>
                      <w:szCs w:val="21"/>
                    </w:rPr>
                    <w:t>m</w:t>
                  </w:r>
                  <w:r>
                    <w:rPr>
                      <w:color w:val="auto"/>
                      <w:sz w:val="21"/>
                      <w:szCs w:val="21"/>
                      <w:vertAlign w:val="superscript"/>
                    </w:rPr>
                    <w:t>2</w:t>
                  </w:r>
                </w:p>
              </w:tc>
              <w:tc>
                <w:tcPr>
                  <w:tcW w:w="614" w:type="dxa"/>
                  <w:noWrap w:val="0"/>
                  <w:vAlign w:val="center"/>
                </w:tcPr>
                <w:p>
                  <w:pPr>
                    <w:topLinePunct/>
                    <w:contextualSpacing/>
                    <w:jc w:val="center"/>
                    <w:rPr>
                      <w:color w:val="auto"/>
                      <w:sz w:val="21"/>
                      <w:szCs w:val="21"/>
                    </w:rPr>
                  </w:pPr>
                  <w:r>
                    <w:rPr>
                      <w:color w:val="auto"/>
                      <w:kern w:val="0"/>
                      <w:sz w:val="21"/>
                      <w:szCs w:val="21"/>
                      <w:lang w:bidi="ar"/>
                    </w:rPr>
                    <w:t>桶</w:t>
                  </w:r>
                  <w:r>
                    <w:rPr>
                      <w:rFonts w:hint="eastAsia"/>
                      <w:color w:val="auto"/>
                      <w:kern w:val="0"/>
                      <w:sz w:val="21"/>
                      <w:szCs w:val="21"/>
                      <w:lang w:val="en-US" w:eastAsia="zh-CN" w:bidi="ar"/>
                    </w:rPr>
                    <w:t>/袋</w:t>
                  </w:r>
                  <w:r>
                    <w:rPr>
                      <w:color w:val="auto"/>
                      <w:kern w:val="0"/>
                      <w:sz w:val="21"/>
                      <w:szCs w:val="21"/>
                      <w:lang w:bidi="ar"/>
                    </w:rPr>
                    <w:t>装</w:t>
                  </w:r>
                </w:p>
              </w:tc>
              <w:tc>
                <w:tcPr>
                  <w:tcW w:w="614" w:type="dxa"/>
                  <w:vMerge w:val="restart"/>
                  <w:noWrap w:val="0"/>
                  <w:vAlign w:val="center"/>
                </w:tcPr>
                <w:p>
                  <w:pPr>
                    <w:topLinePunct/>
                    <w:contextualSpacing/>
                    <w:jc w:val="center"/>
                    <w:rPr>
                      <w:rFonts w:hint="default" w:eastAsia="宋体"/>
                      <w:color w:val="auto"/>
                      <w:sz w:val="21"/>
                      <w:szCs w:val="21"/>
                      <w:lang w:val="en-US" w:eastAsia="zh-CN"/>
                    </w:rPr>
                  </w:pPr>
                  <w:r>
                    <w:rPr>
                      <w:rFonts w:hint="eastAsia"/>
                      <w:color w:val="auto"/>
                      <w:sz w:val="21"/>
                      <w:szCs w:val="21"/>
                      <w:lang w:val="en-US" w:eastAsia="zh-CN"/>
                    </w:rPr>
                    <w:t>324t</w:t>
                  </w:r>
                </w:p>
              </w:tc>
              <w:tc>
                <w:tcPr>
                  <w:tcW w:w="614" w:type="dxa"/>
                  <w:noWrap w:val="0"/>
                  <w:vAlign w:val="center"/>
                </w:tcPr>
                <w:p>
                  <w:pPr>
                    <w:topLinePunct/>
                    <w:contextualSpacing/>
                    <w:jc w:val="center"/>
                    <w:rPr>
                      <w:b/>
                      <w:bCs/>
                      <w:color w:val="auto"/>
                      <w:sz w:val="21"/>
                      <w:szCs w:val="21"/>
                    </w:rPr>
                  </w:pPr>
                  <w:r>
                    <w:rPr>
                      <w:color w:val="auto"/>
                      <w:sz w:val="21"/>
                      <w:szCs w:val="21"/>
                    </w:rPr>
                    <w:t>一个月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81" w:hRule="atLeast"/>
                <w:jc w:val="center"/>
              </w:trPr>
              <w:tc>
                <w:tcPr>
                  <w:tcW w:w="554" w:type="dxa"/>
                  <w:noWrap w:val="0"/>
                  <w:vAlign w:val="center"/>
                </w:tcPr>
                <w:p>
                  <w:pPr>
                    <w:topLinePunct/>
                    <w:contextualSpacing/>
                    <w:jc w:val="center"/>
                    <w:rPr>
                      <w:rFonts w:hint="eastAsia" w:eastAsia="宋体"/>
                      <w:b/>
                      <w:bCs/>
                      <w:color w:val="auto"/>
                      <w:sz w:val="21"/>
                      <w:szCs w:val="21"/>
                      <w:lang w:eastAsia="zh-CN"/>
                    </w:rPr>
                  </w:pPr>
                  <w:r>
                    <w:rPr>
                      <w:rFonts w:hint="eastAsia"/>
                      <w:bCs/>
                      <w:color w:val="auto"/>
                      <w:sz w:val="21"/>
                      <w:szCs w:val="21"/>
                      <w:lang w:val="en-US" w:eastAsia="zh-CN"/>
                    </w:rPr>
                    <w:t>2</w:t>
                  </w:r>
                </w:p>
              </w:tc>
              <w:tc>
                <w:tcPr>
                  <w:tcW w:w="1035" w:type="dxa"/>
                  <w:noWrap w:val="0"/>
                  <w:vAlign w:val="center"/>
                </w:tcPr>
                <w:p>
                  <w:pPr>
                    <w:jc w:val="center"/>
                    <w:rPr>
                      <w:rFonts w:ascii="Times New Roman" w:hAnsi="Times New Roman" w:cs="Times New Roman"/>
                      <w:b/>
                      <w:bCs/>
                      <w:color w:val="auto"/>
                      <w:sz w:val="21"/>
                      <w:szCs w:val="21"/>
                    </w:rPr>
                  </w:pPr>
                  <w:r>
                    <w:rPr>
                      <w:rFonts w:hint="default" w:ascii="Times New Roman" w:hAnsi="Times New Roman" w:eastAsia="宋体" w:cs="Times New Roman"/>
                      <w:color w:val="auto"/>
                      <w:sz w:val="21"/>
                      <w:szCs w:val="21"/>
                      <w:lang w:val="en-US" w:eastAsia="zh-CN" w:bidi="zh-CN"/>
                    </w:rPr>
                    <w:t>废含油手套及抹布</w:t>
                  </w:r>
                </w:p>
              </w:tc>
              <w:tc>
                <w:tcPr>
                  <w:tcW w:w="1500" w:type="dxa"/>
                  <w:noWrap w:val="0"/>
                  <w:vAlign w:val="center"/>
                </w:tcPr>
                <w:p>
                  <w:pPr>
                    <w:jc w:val="center"/>
                    <w:rPr>
                      <w:b/>
                      <w:bCs/>
                      <w:color w:val="auto"/>
                      <w:sz w:val="21"/>
                      <w:szCs w:val="21"/>
                    </w:rPr>
                  </w:pPr>
                  <w:r>
                    <w:rPr>
                      <w:rFonts w:hint="default" w:ascii="Times New Roman" w:hAnsi="Times New Roman" w:cs="Times New Roman"/>
                      <w:bCs/>
                      <w:color w:val="auto"/>
                      <w:kern w:val="0"/>
                      <w:sz w:val="21"/>
                      <w:szCs w:val="21"/>
                      <w:lang w:bidi="ar"/>
                    </w:rPr>
                    <w:t>HW49</w:t>
                  </w:r>
                  <w:r>
                    <w:rPr>
                      <w:rFonts w:hint="default" w:ascii="Times New Roman" w:hAnsi="Times New Roman" w:cs="Times New Roman"/>
                      <w:color w:val="auto"/>
                      <w:sz w:val="21"/>
                      <w:szCs w:val="21"/>
                    </w:rPr>
                    <w:t>其他废物</w:t>
                  </w:r>
                </w:p>
              </w:tc>
              <w:tc>
                <w:tcPr>
                  <w:tcW w:w="855" w:type="dxa"/>
                  <w:noWrap w:val="0"/>
                  <w:vAlign w:val="center"/>
                </w:tcPr>
                <w:p>
                  <w:pPr>
                    <w:jc w:val="center"/>
                    <w:rPr>
                      <w:b/>
                      <w:bCs/>
                      <w:color w:val="auto"/>
                      <w:sz w:val="21"/>
                      <w:szCs w:val="21"/>
                    </w:rPr>
                  </w:pPr>
                  <w:r>
                    <w:rPr>
                      <w:rFonts w:hint="default" w:ascii="Times New Roman" w:hAnsi="Times New Roman" w:eastAsia="宋体" w:cs="Times New Roman"/>
                      <w:color w:val="auto"/>
                      <w:sz w:val="21"/>
                      <w:szCs w:val="21"/>
                      <w:lang w:val="en-US" w:eastAsia="zh-CN" w:bidi="zh-CN"/>
                    </w:rPr>
                    <w:t>900-041-49</w:t>
                  </w:r>
                </w:p>
              </w:tc>
              <w:tc>
                <w:tcPr>
                  <w:tcW w:w="1035" w:type="dxa"/>
                  <w:noWrap w:val="0"/>
                  <w:vAlign w:val="center"/>
                </w:tcPr>
                <w:p>
                  <w:pPr>
                    <w:topLinePunct/>
                    <w:contextualSpacing/>
                    <w:jc w:val="center"/>
                    <w:rPr>
                      <w:b/>
                      <w:bCs/>
                      <w:color w:val="auto"/>
                      <w:sz w:val="21"/>
                      <w:szCs w:val="21"/>
                    </w:rPr>
                  </w:pPr>
                  <w:r>
                    <w:rPr>
                      <w:rFonts w:hint="default" w:ascii="Times New Roman" w:hAnsi="Times New Roman" w:cs="Times New Roman"/>
                      <w:color w:val="auto"/>
                      <w:kern w:val="0"/>
                      <w:sz w:val="21"/>
                      <w:szCs w:val="21"/>
                      <w:lang w:val="en-US" w:eastAsia="zh-CN" w:bidi="ar"/>
                    </w:rPr>
                    <w:t>0.001</w:t>
                  </w:r>
                  <w:r>
                    <w:rPr>
                      <w:rFonts w:hint="default" w:ascii="Times New Roman" w:hAnsi="Times New Roman" w:cs="Times New Roman"/>
                      <w:color w:val="auto"/>
                      <w:sz w:val="21"/>
                      <w:szCs w:val="21"/>
                    </w:rPr>
                    <w:t>t/a</w:t>
                  </w:r>
                </w:p>
              </w:tc>
              <w:tc>
                <w:tcPr>
                  <w:tcW w:w="522" w:type="dxa"/>
                  <w:vMerge w:val="continue"/>
                  <w:noWrap w:val="0"/>
                  <w:vAlign w:val="center"/>
                </w:tcPr>
                <w:p>
                  <w:pPr>
                    <w:topLinePunct/>
                    <w:contextualSpacing/>
                    <w:jc w:val="center"/>
                    <w:rPr>
                      <w:color w:val="auto"/>
                      <w:kern w:val="0"/>
                      <w:sz w:val="21"/>
                      <w:szCs w:val="21"/>
                      <w:lang w:bidi="ar"/>
                    </w:rPr>
                  </w:pPr>
                </w:p>
              </w:tc>
              <w:tc>
                <w:tcPr>
                  <w:tcW w:w="614" w:type="dxa"/>
                  <w:vMerge w:val="continue"/>
                  <w:noWrap w:val="0"/>
                  <w:vAlign w:val="center"/>
                </w:tcPr>
                <w:p>
                  <w:pPr>
                    <w:topLinePunct/>
                    <w:contextualSpacing/>
                    <w:jc w:val="center"/>
                    <w:rPr>
                      <w:color w:val="auto"/>
                      <w:kern w:val="0"/>
                      <w:sz w:val="21"/>
                      <w:szCs w:val="21"/>
                      <w:lang w:bidi="ar"/>
                    </w:rPr>
                  </w:pPr>
                </w:p>
              </w:tc>
              <w:tc>
                <w:tcPr>
                  <w:tcW w:w="614" w:type="dxa"/>
                  <w:noWrap w:val="0"/>
                  <w:vAlign w:val="center"/>
                </w:tcPr>
                <w:p>
                  <w:pPr>
                    <w:topLinePunct/>
                    <w:contextualSpacing/>
                    <w:jc w:val="center"/>
                    <w:rPr>
                      <w:color w:val="auto"/>
                      <w:kern w:val="0"/>
                      <w:sz w:val="21"/>
                      <w:szCs w:val="21"/>
                      <w:lang w:bidi="ar"/>
                    </w:rPr>
                  </w:pPr>
                  <w:r>
                    <w:rPr>
                      <w:rFonts w:hint="eastAsia"/>
                      <w:color w:val="auto"/>
                      <w:kern w:val="0"/>
                      <w:sz w:val="21"/>
                      <w:szCs w:val="21"/>
                      <w:lang w:val="en-US" w:eastAsia="zh-CN" w:bidi="ar"/>
                    </w:rPr>
                    <w:t>袋</w:t>
                  </w:r>
                  <w:r>
                    <w:rPr>
                      <w:color w:val="auto"/>
                      <w:kern w:val="0"/>
                      <w:sz w:val="21"/>
                      <w:szCs w:val="21"/>
                      <w:lang w:bidi="ar"/>
                    </w:rPr>
                    <w:t>装</w:t>
                  </w:r>
                </w:p>
              </w:tc>
              <w:tc>
                <w:tcPr>
                  <w:tcW w:w="614" w:type="dxa"/>
                  <w:vMerge w:val="continue"/>
                  <w:noWrap w:val="0"/>
                  <w:vAlign w:val="center"/>
                </w:tcPr>
                <w:p>
                  <w:pPr>
                    <w:topLinePunct/>
                    <w:contextualSpacing/>
                    <w:jc w:val="center"/>
                    <w:rPr>
                      <w:color w:val="auto"/>
                      <w:kern w:val="0"/>
                      <w:sz w:val="21"/>
                      <w:szCs w:val="21"/>
                      <w:lang w:bidi="ar"/>
                    </w:rPr>
                  </w:pPr>
                </w:p>
              </w:tc>
              <w:tc>
                <w:tcPr>
                  <w:tcW w:w="614" w:type="dxa"/>
                  <w:noWrap w:val="0"/>
                  <w:vAlign w:val="center"/>
                </w:tcPr>
                <w:p>
                  <w:pPr>
                    <w:topLinePunct/>
                    <w:contextualSpacing/>
                    <w:jc w:val="center"/>
                    <w:rPr>
                      <w:b/>
                      <w:bCs/>
                      <w:color w:val="auto"/>
                      <w:sz w:val="21"/>
                      <w:szCs w:val="21"/>
                    </w:rPr>
                  </w:pPr>
                  <w:r>
                    <w:rPr>
                      <w:color w:val="auto"/>
                      <w:sz w:val="21"/>
                      <w:szCs w:val="21"/>
                    </w:rPr>
                    <w:t>一个月</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default" w:eastAsia="宋体"/>
                <w:b/>
                <w:bCs/>
                <w:color w:val="auto"/>
                <w:sz w:val="24"/>
                <w:szCs w:val="24"/>
                <w:u w:val="none"/>
                <w:lang w:val="en-US" w:eastAsia="zh-CN"/>
              </w:rPr>
            </w:pPr>
            <w:r>
              <w:rPr>
                <w:rFonts w:hint="eastAsia"/>
                <w:b/>
                <w:bCs/>
                <w:color w:val="auto"/>
                <w:sz w:val="24"/>
                <w:szCs w:val="24"/>
                <w:u w:val="none"/>
                <w:lang w:val="en-US" w:eastAsia="zh-CN"/>
              </w:rPr>
              <w:t>综上，本项目运营过程中产生的固体废物可实现妥善处理和处置，做到去向明确，不会造成二次污染。</w:t>
            </w:r>
          </w:p>
          <w:p>
            <w:pPr>
              <w:pStyle w:val="11"/>
              <w:keepNext w:val="0"/>
              <w:keepLines w:val="0"/>
              <w:pageBreakBefore w:val="0"/>
              <w:kinsoku/>
              <w:wordWrap/>
              <w:overflowPunct/>
              <w:topLinePunct w:val="0"/>
              <w:autoSpaceDE/>
              <w:autoSpaceDN/>
              <w:bidi w:val="0"/>
              <w:spacing w:before="0" w:after="0" w:line="360" w:lineRule="auto"/>
              <w:ind w:right="0" w:firstLine="482" w:firstLineChars="200"/>
              <w:textAlignment w:val="auto"/>
              <w:rPr>
                <w:rFonts w:hint="default" w:eastAsia="宋体"/>
                <w:b/>
                <w:bCs/>
                <w:color w:val="auto"/>
                <w:sz w:val="24"/>
                <w:szCs w:val="24"/>
                <w:u w:val="none"/>
                <w:lang w:val="en-US" w:eastAsia="zh-CN"/>
              </w:rPr>
            </w:pPr>
            <w:r>
              <w:rPr>
                <w:rFonts w:hint="eastAsia"/>
                <w:b/>
                <w:bCs/>
                <w:color w:val="auto"/>
                <w:sz w:val="24"/>
                <w:szCs w:val="24"/>
                <w:u w:val="none"/>
                <w:lang w:val="en-US" w:eastAsia="zh-CN"/>
              </w:rPr>
              <w:t>2、固体废物暂存合理性分析</w:t>
            </w:r>
          </w:p>
          <w:p>
            <w:pPr>
              <w:pStyle w:val="13"/>
              <w:snapToGrid w:val="0"/>
              <w:ind w:firstLine="482"/>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SA"/>
              </w:rPr>
              <w:t>本项目依托四川翔丰华新能源材料有限公司已建</w:t>
            </w:r>
            <w:r>
              <w:rPr>
                <w:rFonts w:hint="eastAsia" w:ascii="Times New Roman" w:hAnsi="Times New Roman" w:cs="Times New Roman"/>
                <w:color w:val="auto"/>
                <w:sz w:val="24"/>
                <w:szCs w:val="24"/>
                <w:highlight w:val="none"/>
                <w:lang w:val="en-US" w:eastAsia="zh-CN"/>
              </w:rPr>
              <w:t>一般固废暂存间（500 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）和危废暂存间（324m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），一般固废暂存间</w:t>
            </w:r>
            <w:r>
              <w:rPr>
                <w:color w:val="auto"/>
                <w:kern w:val="0"/>
                <w:sz w:val="24"/>
                <w:szCs w:val="24"/>
                <w:lang w:bidi="ar"/>
              </w:rPr>
              <w:t>位于</w:t>
            </w:r>
            <w:r>
              <w:rPr>
                <w:rFonts w:hint="eastAsia" w:ascii="Times New Roman" w:hAnsi="Times New Roman" w:eastAsia="宋体" w:cs="Times New Roman"/>
                <w:color w:val="auto"/>
                <w:sz w:val="24"/>
                <w:szCs w:val="24"/>
                <w:lang w:val="en-US" w:eastAsia="zh-CN"/>
              </w:rPr>
              <w:t>四川翔丰华新能源材料有限公司厂区西侧</w:t>
            </w:r>
            <w:r>
              <w:rPr>
                <w:rFonts w:hint="eastAsia" w:ascii="Times New Roman" w:hAnsi="Times New Roman" w:cs="Times New Roman"/>
                <w:color w:val="auto"/>
                <w:sz w:val="24"/>
                <w:szCs w:val="24"/>
                <w:highlight w:val="none"/>
                <w:lang w:val="en-US" w:eastAsia="zh-CN"/>
              </w:rPr>
              <w:t>，危废暂存间</w:t>
            </w:r>
            <w:r>
              <w:rPr>
                <w:color w:val="auto"/>
                <w:kern w:val="0"/>
                <w:sz w:val="24"/>
                <w:szCs w:val="24"/>
                <w:lang w:bidi="ar"/>
              </w:rPr>
              <w:t>位于</w:t>
            </w:r>
            <w:r>
              <w:rPr>
                <w:rFonts w:hint="eastAsia" w:ascii="Times New Roman" w:hAnsi="Times New Roman" w:eastAsia="宋体" w:cs="Times New Roman"/>
                <w:color w:val="auto"/>
                <w:sz w:val="24"/>
                <w:szCs w:val="24"/>
                <w:lang w:val="en-US" w:eastAsia="zh-CN"/>
              </w:rPr>
              <w:t>四川翔丰华新能源材料有限公司厂区西北侧</w:t>
            </w:r>
            <w:r>
              <w:rPr>
                <w:rFonts w:hint="eastAsia" w:ascii="Times New Roman" w:hAnsi="Times New Roman" w:cs="Times New Roman"/>
                <w:color w:val="auto"/>
                <w:sz w:val="24"/>
                <w:szCs w:val="24"/>
                <w:highlight w:val="none"/>
                <w:lang w:val="en-US" w:eastAsia="zh-CN"/>
              </w:rPr>
              <w:t>。根据现场调查危废暂存间按照</w:t>
            </w:r>
            <w:r>
              <w:rPr>
                <w:rFonts w:hint="eastAsia" w:ascii="Times New Roman" w:hAnsi="Times New Roman"/>
                <w:color w:val="auto"/>
                <w:sz w:val="24"/>
                <w:szCs w:val="24"/>
                <w:lang w:val="en-US" w:eastAsia="zh-CN"/>
              </w:rPr>
              <w:t>《危险废物贮存污染控制标准》（GB18597-2023）相关要求已采取六</w:t>
            </w:r>
            <w:r>
              <w:rPr>
                <w:rFonts w:ascii="Times New Roman" w:hAnsi="Times New Roman"/>
                <w:color w:val="auto"/>
                <w:sz w:val="24"/>
                <w:szCs w:val="24"/>
              </w:rPr>
              <w:t>防（防风、防雨、防晒、防渗</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防</w:t>
            </w:r>
            <w:r>
              <w:rPr>
                <w:rFonts w:ascii="Times New Roman" w:hAnsi="Times New Roman"/>
                <w:color w:val="auto"/>
                <w:sz w:val="24"/>
                <w:szCs w:val="24"/>
              </w:rPr>
              <w:t>漏</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防腐</w:t>
            </w:r>
            <w:r>
              <w:rPr>
                <w:rFonts w:ascii="Times New Roman" w:hAnsi="Times New Roman"/>
                <w:color w:val="auto"/>
                <w:sz w:val="24"/>
                <w:szCs w:val="24"/>
              </w:rPr>
              <w:t>）措施</w:t>
            </w:r>
            <w:r>
              <w:rPr>
                <w:rFonts w:hint="eastAsia" w:ascii="Times New Roman" w:hAnsi="Times New Roman"/>
                <w:color w:val="auto"/>
                <w:sz w:val="24"/>
                <w:szCs w:val="24"/>
                <w:lang w:eastAsia="zh-CN"/>
              </w:rPr>
              <w:t>，</w:t>
            </w:r>
            <w:r>
              <w:rPr>
                <w:rFonts w:hint="eastAsia" w:ascii="Times New Roman" w:hAnsi="Times New Roman" w:cs="Times New Roman"/>
                <w:color w:val="auto"/>
                <w:sz w:val="24"/>
                <w:szCs w:val="24"/>
                <w:highlight w:val="none"/>
                <w:lang w:val="en-US" w:eastAsia="zh-CN"/>
              </w:rPr>
              <w:t>危废暂存间及一般固废暂存间</w:t>
            </w:r>
            <w:r>
              <w:rPr>
                <w:rFonts w:hint="eastAsia" w:ascii="Times New Roman" w:hAnsi="Times New Roman" w:cs="Times New Roman"/>
                <w:color w:val="auto"/>
                <w:sz w:val="24"/>
                <w:szCs w:val="24"/>
                <w:lang w:val="en-US" w:eastAsia="zh-CN"/>
              </w:rPr>
              <w:t>地面未出现开裂情况，各类固体废物均进行分类收集、暂存及妥善处置，未发现</w:t>
            </w:r>
            <w:r>
              <w:rPr>
                <w:rFonts w:hint="eastAsia" w:cs="Times New Roman"/>
                <w:color w:val="auto"/>
                <w:sz w:val="24"/>
                <w:szCs w:val="24"/>
                <w:lang w:val="en-US" w:eastAsia="zh-CN"/>
              </w:rPr>
              <w:t>遗留环境问题。</w:t>
            </w:r>
          </w:p>
          <w:p>
            <w:pPr>
              <w:spacing w:line="360" w:lineRule="auto"/>
              <w:ind w:firstLine="482" w:firstLineChars="200"/>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3、固体废物的环境管理要求</w:t>
            </w:r>
          </w:p>
          <w:p>
            <w:pPr>
              <w:spacing w:line="360" w:lineRule="auto"/>
              <w:ind w:firstLine="482"/>
              <w:contextualSpacing/>
              <w:rPr>
                <w:color w:val="auto"/>
                <w:sz w:val="24"/>
              </w:rPr>
            </w:pPr>
            <w:r>
              <w:rPr>
                <w:color w:val="auto"/>
                <w:sz w:val="24"/>
              </w:rPr>
              <w:t>为了预防固体废物对环境产生不利影响，本环评提出的环境管理要求如下：</w:t>
            </w:r>
          </w:p>
          <w:p>
            <w:pPr>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w:t>
            </w:r>
            <w:r>
              <w:rPr>
                <w:rFonts w:hint="default" w:ascii="Times New Roman" w:hAnsi="Times New Roman"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一般固废暂存间</w:t>
            </w:r>
            <w:r>
              <w:rPr>
                <w:rFonts w:hint="default" w:ascii="Times New Roman" w:hAnsi="Times New Roman" w:eastAsia="宋体" w:cs="Times New Roman"/>
                <w:b/>
                <w:bCs/>
                <w:color w:val="auto"/>
                <w:sz w:val="24"/>
                <w:szCs w:val="24"/>
              </w:rPr>
              <w:t>的</w:t>
            </w:r>
            <w:r>
              <w:rPr>
                <w:rFonts w:hint="default" w:ascii="Times New Roman" w:hAnsi="Times New Roman" w:cs="Times New Roman"/>
                <w:b/>
                <w:bCs/>
                <w:color w:val="auto"/>
                <w:sz w:val="24"/>
                <w:szCs w:val="24"/>
              </w:rPr>
              <w:t>管理要求</w:t>
            </w:r>
          </w:p>
          <w:p>
            <w:pPr>
              <w:snapToGrid w:val="0"/>
              <w:spacing w:line="360" w:lineRule="auto"/>
              <w:ind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依托四川翔丰华新能源材料有限公司已建一般固废暂存间，用于一般固废暂存，一般固废暂存间为两家共用，需按照公司进行分区，采取过道形式进行隔离，各公司产生的一般固废分类收集后暂存于各自所属区域，并张贴明显的标识标牌。同时设置环保专员对一般固废库进行专人管理、定期打扫。</w:t>
            </w:r>
          </w:p>
          <w:p>
            <w:pPr>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w:t>
            </w:r>
            <w:r>
              <w:rPr>
                <w:rFonts w:hint="eastAsia" w:ascii="Times New Roman" w:hAnsi="Times New Roman" w:eastAsia="宋体" w:cs="Times New Roman"/>
                <w:b/>
                <w:bCs/>
                <w:color w:val="auto"/>
                <w:sz w:val="24"/>
                <w:szCs w:val="24"/>
                <w:lang w:val="en-US" w:eastAsia="zh-CN"/>
              </w:rPr>
              <w:t>危废暂存间</w:t>
            </w:r>
            <w:r>
              <w:rPr>
                <w:rFonts w:hint="default" w:ascii="Times New Roman" w:hAnsi="Times New Roman" w:eastAsia="宋体" w:cs="Times New Roman"/>
                <w:b/>
                <w:bCs/>
                <w:color w:val="auto"/>
                <w:sz w:val="24"/>
                <w:szCs w:val="24"/>
              </w:rPr>
              <w:t>的管</w:t>
            </w:r>
            <w:r>
              <w:rPr>
                <w:rFonts w:hint="default" w:ascii="Times New Roman" w:hAnsi="Times New Roman" w:cs="Times New Roman"/>
                <w:b/>
                <w:bCs/>
                <w:color w:val="auto"/>
                <w:sz w:val="24"/>
                <w:szCs w:val="24"/>
              </w:rPr>
              <w:t>理要求</w:t>
            </w:r>
          </w:p>
          <w:p>
            <w:pPr>
              <w:snapToGrid w:val="0"/>
              <w:spacing w:line="360" w:lineRule="auto"/>
              <w:ind w:firstLine="480" w:firstLineChars="20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本项目依托四川翔丰华新能源材料有限公司已建</w:t>
            </w:r>
            <w:r>
              <w:rPr>
                <w:rFonts w:hint="eastAsia" w:ascii="Times New Roman" w:hAnsi="Times New Roman" w:eastAsia="宋体" w:cs="Times New Roman"/>
                <w:color w:val="auto"/>
                <w:kern w:val="0"/>
                <w:sz w:val="24"/>
                <w:szCs w:val="24"/>
                <w:lang w:val="en-US" w:eastAsia="zh-CN" w:bidi="ar-SA"/>
              </w:rPr>
              <w:t>危废暂存间，</w:t>
            </w:r>
            <w:r>
              <w:rPr>
                <w:rFonts w:hint="default" w:ascii="Times New Roman" w:hAnsi="Times New Roman" w:eastAsia="宋体" w:cs="Times New Roman"/>
                <w:color w:val="auto"/>
                <w:kern w:val="0"/>
                <w:sz w:val="24"/>
                <w:szCs w:val="24"/>
                <w:lang w:val="en-US" w:eastAsia="zh-CN" w:bidi="ar-SA"/>
              </w:rPr>
              <w:t>用于危险废物暂存。</w:t>
            </w:r>
            <w:r>
              <w:rPr>
                <w:rFonts w:hint="eastAsia" w:ascii="Times New Roman" w:hAnsi="Times New Roman" w:eastAsia="宋体" w:cs="Times New Roman"/>
                <w:color w:val="auto"/>
                <w:kern w:val="0"/>
                <w:sz w:val="24"/>
                <w:szCs w:val="24"/>
                <w:lang w:val="en-US" w:eastAsia="zh-CN" w:bidi="ar-SA"/>
              </w:rPr>
              <w:t>危废暂存间租赁固定区域</w:t>
            </w:r>
            <w:r>
              <w:rPr>
                <w:rFonts w:hint="default" w:ascii="Times New Roman" w:hAnsi="Times New Roman" w:eastAsia="宋体" w:cs="Times New Roman"/>
                <w:color w:val="auto"/>
                <w:kern w:val="0"/>
                <w:sz w:val="24"/>
                <w:szCs w:val="24"/>
                <w:lang w:val="en-US" w:eastAsia="zh-CN" w:bidi="ar-SA"/>
              </w:rPr>
              <w:t>，需按照公司进行分区，不同分区之间采取过道形式进行隔离，各公司产生的危险废</w:t>
            </w:r>
            <w:r>
              <w:rPr>
                <w:rFonts w:hint="eastAsia" w:ascii="Times New Roman" w:hAnsi="Times New Roman" w:eastAsia="宋体" w:cs="Times New Roman"/>
                <w:color w:val="auto"/>
                <w:kern w:val="0"/>
                <w:sz w:val="24"/>
                <w:szCs w:val="24"/>
                <w:lang w:val="en-US" w:eastAsia="zh-CN" w:bidi="ar-SA"/>
              </w:rPr>
              <w:t>物分类收集后暂存于各自所属区域。危废暂存间内设围堰及泄漏盘，地面及墙面裙脚、堵截泄漏的围堰、接触危险废物的隔板和墙体等均采用坚固的材料建造，表面无裂缝。危废暂存间内做好防风、防晒、防雨、防漏、防渗、防腐等措施，地面采取防渗混凝土+2mm厚的防渗混凝土+2mm厚的</w:t>
            </w:r>
            <w:r>
              <w:rPr>
                <w:rFonts w:hint="default" w:ascii="Times New Roman" w:hAnsi="Times New Roman" w:eastAsia="宋体" w:cs="Times New Roman"/>
                <w:color w:val="auto"/>
                <w:kern w:val="0"/>
                <w:sz w:val="24"/>
                <w:szCs w:val="24"/>
                <w:lang w:val="en-US" w:eastAsia="zh-CN" w:bidi="ar-SA"/>
              </w:rPr>
              <w:t xml:space="preserve">HDPE </w:t>
            </w:r>
            <w:r>
              <w:rPr>
                <w:rFonts w:hint="eastAsia" w:ascii="Times New Roman" w:hAnsi="Times New Roman" w:eastAsia="宋体" w:cs="Times New Roman"/>
                <w:color w:val="auto"/>
                <w:kern w:val="0"/>
                <w:sz w:val="24"/>
                <w:szCs w:val="24"/>
                <w:lang w:val="en-US" w:eastAsia="zh-CN" w:bidi="ar-SA"/>
              </w:rPr>
              <w:t>膜或其他防渗材料，地面与裙脚用坚固、防渗材料建造，建筑材料与危险废物相容。危废暂存间采取有效管理措施，无关人员不可随意进入。同时，危险废物经收集暂存后定期由有资质单位的专用运输车辆运输。</w:t>
            </w:r>
          </w:p>
          <w:p>
            <w:pPr>
              <w:snapToGrid w:val="0"/>
              <w:spacing w:line="360" w:lineRule="auto"/>
              <w:ind w:firstLine="480" w:firstLineChars="200"/>
              <w:rPr>
                <w:rFonts w:hint="eastAsia" w:ascii="Times New Roman" w:hAnsi="Times New Roman" w:eastAsia="宋体"/>
                <w:color w:val="auto"/>
                <w:sz w:val="24"/>
                <w:szCs w:val="24"/>
                <w:lang w:eastAsia="zh-CN"/>
              </w:rPr>
            </w:pPr>
            <w:r>
              <w:rPr>
                <w:rFonts w:hint="eastAsia" w:ascii="Times New Roman" w:hAnsi="Times New Roman"/>
                <w:color w:val="auto"/>
                <w:sz w:val="24"/>
                <w:szCs w:val="24"/>
              </w:rPr>
              <w:t>对于</w:t>
            </w:r>
            <w:r>
              <w:rPr>
                <w:rFonts w:hint="eastAsia" w:ascii="Times New Roman" w:hAnsi="Times New Roman" w:eastAsia="宋体" w:cs="Times New Roman"/>
                <w:color w:val="auto"/>
                <w:kern w:val="0"/>
                <w:sz w:val="24"/>
                <w:szCs w:val="24"/>
                <w:lang w:val="en-US" w:eastAsia="zh-CN" w:bidi="ar-SA"/>
              </w:rPr>
              <w:t>危废暂存间</w:t>
            </w:r>
            <w:r>
              <w:rPr>
                <w:rFonts w:hint="eastAsia" w:ascii="Times New Roman" w:hAnsi="Times New Roman"/>
                <w:color w:val="auto"/>
                <w:sz w:val="24"/>
                <w:szCs w:val="24"/>
              </w:rPr>
              <w:t>，按照《危险废物贮存污染控制标准》（GB 18597-2023）进行污染控制和管理</w:t>
            </w:r>
            <w:r>
              <w:rPr>
                <w:rFonts w:hint="eastAsia"/>
                <w:color w:val="auto"/>
                <w:sz w:val="24"/>
                <w:szCs w:val="24"/>
                <w:lang w:eastAsia="zh-CN"/>
              </w:rPr>
              <w:t>：</w:t>
            </w:r>
          </w:p>
          <w:p>
            <w:pPr>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1）设置专用的危险废物贮存设施，并按危险废物性质分类贮存，禁止将不相容（相互反应）的危险废物在同一容器内混装。</w:t>
            </w:r>
          </w:p>
          <w:p>
            <w:pPr>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2）盛装危险废物的容器上必须粘贴符合《危险废物贮存污染控制标准》（GB18597-2023）标准中所示的标签应有严密的封闭措施，设专人管理，避免非工作人员进出，以及防鼠、防蚊蝇、防蟑螂、防盗以及预防儿童接触等安全措施。</w:t>
            </w:r>
          </w:p>
          <w:p>
            <w:pPr>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3）废物转运应当依照《中华人民共和国固体废物污染环境防治法》的规定，执行危险废物转移联单管理制度。应当对危险废物进行登记，登记内容应当包括危险废物的来源种类、重量或者数量、交接时间、处置方法、最终去向以及经办人签名等项目。保存时间为3年。</w:t>
            </w:r>
          </w:p>
          <w:p>
            <w:pPr>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4）每车每次运送的危险废物采用《危险废物运送登记卡》管理，一车一卡，由危险废物管理人员在交接时填写并签字。当危险废物运至处置单位时，处置厂接收人员确认该记卡上填写的危险废物数量真实、准确后签收。</w:t>
            </w:r>
          </w:p>
          <w:p>
            <w:pPr>
              <w:snapToGrid w:val="0"/>
              <w:spacing w:line="360" w:lineRule="auto"/>
              <w:ind w:firstLine="480" w:firstLineChars="200"/>
              <w:rPr>
                <w:rFonts w:hint="eastAsia"/>
                <w:color w:val="auto"/>
                <w:sz w:val="24"/>
                <w:szCs w:val="24"/>
                <w:lang w:val="en-US" w:eastAsia="zh-CN"/>
              </w:rPr>
            </w:pPr>
            <w:r>
              <w:rPr>
                <w:rFonts w:hint="eastAsia"/>
                <w:color w:val="auto"/>
                <w:sz w:val="24"/>
                <w:szCs w:val="24"/>
                <w:lang w:val="en-US" w:eastAsia="zh-CN"/>
              </w:rPr>
              <w:t>5）应当制定与危险废物安全处置有关的规章制度和在发生意外事故时的应急方案：设置监控部门或者专（兼）职人员，负责检查、督促、落实本项目危险废物的管理工作。</w:t>
            </w:r>
          </w:p>
          <w:p>
            <w:pPr>
              <w:snapToGrid w:val="0"/>
              <w:spacing w:line="360" w:lineRule="auto"/>
              <w:ind w:firstLine="480" w:firstLineChars="200"/>
              <w:rPr>
                <w:rFonts w:hint="eastAsia" w:ascii="Times New Roman" w:hAnsi="Times New Roman" w:eastAsia="宋体"/>
                <w:color w:val="auto"/>
                <w:sz w:val="24"/>
                <w:szCs w:val="24"/>
                <w:lang w:val="en-US" w:eastAsia="zh-CN"/>
              </w:rPr>
            </w:pPr>
            <w:r>
              <w:rPr>
                <w:rFonts w:hint="eastAsia"/>
                <w:color w:val="auto"/>
                <w:sz w:val="24"/>
                <w:szCs w:val="24"/>
                <w:lang w:val="en-US" w:eastAsia="zh-CN"/>
              </w:rPr>
              <w:t>6）禁止任何单位和个人转让、买卖危险废物。禁止在运送过程中丢弃危险废物；禁止在非贮存地点倾倒、堆放危险废物或者将危险废物混入其他废物和生活垃圾。</w:t>
            </w:r>
          </w:p>
          <w:p>
            <w:pPr>
              <w:spacing w:line="360" w:lineRule="auto"/>
              <w:ind w:firstLine="482" w:firstLineChars="200"/>
              <w:rPr>
                <w:b/>
                <w:bCs/>
                <w:color w:val="auto"/>
                <w:sz w:val="24"/>
              </w:rPr>
            </w:pPr>
            <w:r>
              <w:rPr>
                <w:b/>
                <w:bCs/>
                <w:color w:val="auto"/>
                <w:sz w:val="24"/>
              </w:rPr>
              <w:t>综上分析，本项目</w:t>
            </w:r>
            <w:r>
              <w:rPr>
                <w:rFonts w:hint="eastAsia"/>
                <w:b/>
                <w:bCs/>
                <w:color w:val="auto"/>
                <w:sz w:val="24"/>
                <w:lang w:val="en-US" w:eastAsia="zh-CN"/>
              </w:rPr>
              <w:t>危险废物</w:t>
            </w:r>
            <w:r>
              <w:rPr>
                <w:b/>
                <w:bCs/>
                <w:color w:val="auto"/>
                <w:sz w:val="24"/>
              </w:rPr>
              <w:t>只占固体废物中的小部分，并严格按照《危险废物贮存污染控制标准》</w:t>
            </w:r>
            <w:r>
              <w:rPr>
                <w:rFonts w:hint="eastAsia" w:ascii="Times New Roman" w:hAnsi="Times New Roman"/>
                <w:b/>
                <w:bCs/>
                <w:color w:val="auto"/>
                <w:sz w:val="24"/>
                <w:szCs w:val="24"/>
              </w:rPr>
              <w:t>（GB 18597-2023）</w:t>
            </w:r>
            <w:r>
              <w:rPr>
                <w:b/>
                <w:bCs/>
                <w:color w:val="auto"/>
                <w:sz w:val="24"/>
              </w:rPr>
              <w:t>采取了规范的堆存和分类贮存措施，最终由具有危废处置资质的单位进行处置。固体废弃物处置去向明确，不会对环境造成二次污染。</w:t>
            </w:r>
          </w:p>
          <w:p>
            <w:pPr>
              <w:spacing w:line="360" w:lineRule="auto"/>
              <w:ind w:firstLine="482" w:firstLineChars="200"/>
              <w:rPr>
                <w:b/>
                <w:color w:val="auto"/>
                <w:sz w:val="24"/>
              </w:rPr>
            </w:pPr>
            <w:r>
              <w:rPr>
                <w:rFonts w:hint="eastAsia"/>
                <w:b/>
                <w:color w:val="auto"/>
                <w:sz w:val="24"/>
              </w:rPr>
              <w:t>五、地下水</w:t>
            </w:r>
            <w:r>
              <w:rPr>
                <w:rFonts w:hint="eastAsia"/>
                <w:b/>
                <w:color w:val="auto"/>
                <w:sz w:val="24"/>
                <w:lang w:val="en-US" w:eastAsia="zh-CN"/>
              </w:rPr>
              <w:t>及土壤</w:t>
            </w:r>
            <w:r>
              <w:rPr>
                <w:rFonts w:hint="eastAsia"/>
                <w:b/>
                <w:color w:val="auto"/>
                <w:sz w:val="24"/>
              </w:rPr>
              <w:t>影响和保护措施</w:t>
            </w:r>
          </w:p>
          <w:p>
            <w:pPr>
              <w:spacing w:line="360" w:lineRule="auto"/>
              <w:ind w:firstLine="482" w:firstLineChars="200"/>
              <w:rPr>
                <w:rFonts w:hint="eastAsia"/>
                <w:b/>
                <w:bCs/>
                <w:color w:val="auto"/>
                <w:sz w:val="24"/>
                <w:lang w:val="en-US" w:eastAsia="zh-CN"/>
              </w:rPr>
            </w:pPr>
            <w:r>
              <w:rPr>
                <w:rFonts w:hint="eastAsia"/>
                <w:b/>
                <w:bCs/>
                <w:color w:val="auto"/>
                <w:sz w:val="24"/>
                <w:lang w:val="en-US" w:eastAsia="zh-CN"/>
              </w:rPr>
              <w:t>1、污染途径</w:t>
            </w:r>
          </w:p>
          <w:p>
            <w:pPr>
              <w:spacing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根据分析，污染物进入地下水、土壤的途径包括大气沉降、地面漫流以及垂直入渗。</w:t>
            </w:r>
          </w:p>
          <w:p>
            <w:pPr>
              <w:pStyle w:val="104"/>
              <w:spacing w:before="0" w:after="0" w:line="360" w:lineRule="auto"/>
              <w:ind w:firstLine="480" w:firstLineChars="200"/>
              <w:jc w:val="both"/>
              <w:rPr>
                <w:rFonts w:hint="default" w:ascii="Times New Roman" w:hAnsi="Times New Roman" w:eastAsia="宋体" w:cs="Times New Roman"/>
                <w:b w:val="0"/>
                <w:bCs w:val="0"/>
                <w:color w:val="auto"/>
                <w:kern w:val="2"/>
                <w:sz w:val="24"/>
                <w:szCs w:val="24"/>
                <w:lang w:val="en-US" w:eastAsia="zh-CN" w:bidi="ar-SA"/>
              </w:rPr>
            </w:pPr>
            <w:r>
              <w:rPr>
                <w:rFonts w:hint="eastAsia"/>
                <w:color w:val="auto"/>
                <w:sz w:val="24"/>
                <w:szCs w:val="24"/>
                <w:lang w:val="en-US" w:eastAsia="zh-CN"/>
              </w:rPr>
              <w:t>本项</w:t>
            </w:r>
            <w:r>
              <w:rPr>
                <w:rFonts w:hint="eastAsia" w:ascii="Times New Roman" w:hAnsi="Times New Roman" w:eastAsia="宋体" w:cs="Times New Roman"/>
                <w:b w:val="0"/>
                <w:bCs w:val="0"/>
                <w:color w:val="auto"/>
                <w:kern w:val="2"/>
                <w:sz w:val="24"/>
                <w:szCs w:val="24"/>
                <w:lang w:val="en-US" w:eastAsia="zh-CN" w:bidi="ar-SA"/>
              </w:rPr>
              <w:t>目不新建建筑物，依托已建厂房建设中试车间。根据工程分析，</w:t>
            </w:r>
            <w:r>
              <w:rPr>
                <w:rFonts w:hint="eastAsia" w:ascii="Times New Roman" w:hAnsi="Times New Roman" w:eastAsia="宋体" w:cs="Times New Roman"/>
                <w:b w:val="0"/>
                <w:bCs/>
                <w:color w:val="auto"/>
                <w:kern w:val="2"/>
                <w:sz w:val="24"/>
                <w:szCs w:val="24"/>
                <w:lang w:val="en-US" w:eastAsia="zh-CN" w:bidi="ar-SA"/>
              </w:rPr>
              <w:t>本项目产生的投料粉</w:t>
            </w:r>
            <w:r>
              <w:rPr>
                <w:rFonts w:hint="eastAsia" w:ascii="Times New Roman" w:hAnsi="Times New Roman" w:eastAsia="宋体" w:cs="Times New Roman"/>
                <w:b w:val="0"/>
                <w:bCs w:val="0"/>
                <w:color w:val="auto"/>
                <w:kern w:val="2"/>
                <w:sz w:val="24"/>
                <w:szCs w:val="24"/>
                <w:lang w:val="en-US" w:eastAsia="zh-CN" w:bidi="ar-SA"/>
              </w:rPr>
              <w:t>尘、膨化炉废气及分级粉尘经集气罩或管道收集至2套“布袋除尘器+碱喷淋”处理后，通过2根15m高排气筒（DA001、DA002）达标排放</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切割粉尘产生量小，直接无组织排放；研磨粉尘经设备自带布袋除尘器处理后无组织排放；产生的碱喷淋废水经酸碱中和预处理后，</w:t>
            </w:r>
            <w:r>
              <w:rPr>
                <w:rFonts w:hint="eastAsia" w:ascii="Times New Roman" w:hAnsi="Times New Roman" w:cs="Times New Roman"/>
                <w:b w:val="0"/>
                <w:bCs w:val="0"/>
                <w:color w:val="auto"/>
                <w:kern w:val="2"/>
                <w:sz w:val="24"/>
                <w:szCs w:val="24"/>
                <w:lang w:val="en-US" w:eastAsia="zh-CN" w:bidi="ar-SA"/>
              </w:rPr>
              <w:t>和</w:t>
            </w:r>
            <w:r>
              <w:rPr>
                <w:rFonts w:hint="eastAsia" w:ascii="Times New Roman" w:hAnsi="Times New Roman" w:eastAsia="宋体" w:cs="Times New Roman"/>
                <w:b w:val="0"/>
                <w:bCs w:val="0"/>
                <w:color w:val="auto"/>
                <w:kern w:val="2"/>
                <w:sz w:val="24"/>
                <w:szCs w:val="24"/>
                <w:lang w:val="en-US" w:eastAsia="zh-CN" w:bidi="ar-SA"/>
              </w:rPr>
              <w:t>生活污水一起排入四川翔丰华新能源材料有限公司已建4#预处理池处理后排入园区污水管网。同时，厂区对厂房、危废暂存间等已实施分区防渗，避免废水（液）因漫流或入渗污染土壤、地下水。</w:t>
            </w:r>
          </w:p>
          <w:p>
            <w:pPr>
              <w:widowControl/>
              <w:spacing w:line="36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因</w:t>
            </w:r>
            <w:r>
              <w:rPr>
                <w:rFonts w:hint="default" w:ascii="Times New Roman" w:hAnsi="Times New Roman" w:eastAsia="宋体" w:cs="Times New Roman"/>
                <w:b w:val="0"/>
                <w:bCs w:val="0"/>
                <w:color w:val="auto"/>
                <w:kern w:val="2"/>
                <w:sz w:val="24"/>
                <w:szCs w:val="24"/>
                <w:lang w:val="en-US" w:eastAsia="zh-CN" w:bidi="ar-SA"/>
              </w:rPr>
              <w:t>此，本项目在落实了废气废水治理设施、污染防治措施的条件下，大气沉降、地面漫流和垂直入渗对周边地下水、土壤产生污染的可能性很小。</w:t>
            </w:r>
          </w:p>
          <w:p>
            <w:pPr>
              <w:pStyle w:val="104"/>
              <w:spacing w:before="0" w:after="0" w:line="360" w:lineRule="auto"/>
              <w:ind w:firstLine="482" w:firstLineChars="200"/>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2、防治措施</w:t>
            </w:r>
          </w:p>
          <w:p>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地下水、土壤污染预防措施应按照“源头控制、分区控制、污染监控、应急响应”的主动与被动防治相结合的原则</w:t>
            </w:r>
            <w:r>
              <w:rPr>
                <w:rFonts w:hint="eastAsia" w:ascii="Times New Roman" w:hAnsi="Times New Roman" w:eastAsia="宋体" w:cs="Times New Roman"/>
                <w:b w:val="0"/>
                <w:bCs w:val="0"/>
                <w:color w:val="auto"/>
                <w:kern w:val="2"/>
                <w:sz w:val="24"/>
                <w:szCs w:val="24"/>
                <w:lang w:val="en-US" w:eastAsia="zh-CN" w:bidi="ar-SA"/>
              </w:rPr>
              <w:t>，本项目</w:t>
            </w:r>
            <w:r>
              <w:rPr>
                <w:rFonts w:hint="default" w:ascii="Times New Roman" w:hAnsi="Times New Roman" w:eastAsia="宋体" w:cs="Times New Roman"/>
                <w:b w:val="0"/>
                <w:bCs w:val="0"/>
                <w:color w:val="auto"/>
                <w:kern w:val="2"/>
                <w:sz w:val="24"/>
                <w:szCs w:val="24"/>
                <w:lang w:val="en-US" w:eastAsia="zh-CN" w:bidi="ar-SA"/>
              </w:rPr>
              <w:t>分为：简单防渗区（厂区内道路等），一般防渗区（</w:t>
            </w:r>
            <w:bookmarkStart w:id="6" w:name="_Hlk67409117"/>
            <w:r>
              <w:rPr>
                <w:rFonts w:hint="eastAsia" w:ascii="Times New Roman" w:hAnsi="Times New Roman" w:eastAsia="宋体" w:cs="Times New Roman"/>
                <w:b w:val="0"/>
                <w:bCs w:val="0"/>
                <w:color w:val="auto"/>
                <w:kern w:val="2"/>
                <w:sz w:val="24"/>
                <w:szCs w:val="24"/>
                <w:lang w:val="en-US" w:eastAsia="zh-CN" w:bidi="ar-SA"/>
              </w:rPr>
              <w:t>中试车间、</w:t>
            </w:r>
            <w:r>
              <w:rPr>
                <w:rFonts w:hint="default" w:ascii="Times New Roman" w:hAnsi="Times New Roman" w:eastAsia="宋体" w:cs="Times New Roman"/>
                <w:b w:val="0"/>
                <w:bCs w:val="0"/>
                <w:color w:val="auto"/>
                <w:kern w:val="2"/>
                <w:sz w:val="24"/>
                <w:szCs w:val="24"/>
                <w:lang w:val="en-US" w:eastAsia="zh-CN" w:bidi="ar-SA"/>
              </w:rPr>
              <w:t>预处理池、一般固废</w:t>
            </w:r>
            <w:r>
              <w:rPr>
                <w:rFonts w:hint="eastAsia" w:ascii="Times New Roman" w:hAnsi="Times New Roman" w:eastAsia="宋体" w:cs="Times New Roman"/>
                <w:b w:val="0"/>
                <w:bCs w:val="0"/>
                <w:color w:val="auto"/>
                <w:kern w:val="2"/>
                <w:sz w:val="24"/>
                <w:szCs w:val="24"/>
                <w:lang w:val="en-US" w:eastAsia="zh-CN" w:bidi="ar-SA"/>
              </w:rPr>
              <w:t>暂存间</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原料</w:t>
            </w:r>
            <w:r>
              <w:rPr>
                <w:rFonts w:hint="default" w:ascii="Times New Roman" w:hAnsi="Times New Roman" w:eastAsia="宋体" w:cs="Times New Roman"/>
                <w:b w:val="0"/>
                <w:bCs w:val="0"/>
                <w:color w:val="auto"/>
                <w:kern w:val="2"/>
                <w:sz w:val="24"/>
                <w:szCs w:val="24"/>
                <w:lang w:val="en-US" w:eastAsia="zh-CN" w:bidi="ar-SA"/>
              </w:rPr>
              <w:t>库房</w:t>
            </w:r>
            <w:bookmarkEnd w:id="6"/>
            <w:r>
              <w:rPr>
                <w:rFonts w:hint="eastAsia" w:ascii="Times New Roman" w:hAnsi="Times New Roman" w:eastAsia="宋体" w:cs="Times New Roman"/>
                <w:b w:val="0"/>
                <w:bCs w:val="0"/>
                <w:color w:val="auto"/>
                <w:kern w:val="2"/>
                <w:sz w:val="24"/>
                <w:szCs w:val="24"/>
                <w:lang w:val="en-US" w:eastAsia="zh-CN" w:bidi="ar-SA"/>
              </w:rPr>
              <w:t>、研发品暂存间</w:t>
            </w:r>
            <w:r>
              <w:rPr>
                <w:rFonts w:hint="default" w:ascii="Times New Roman" w:hAnsi="Times New Roman" w:eastAsia="宋体" w:cs="Times New Roman"/>
                <w:b w:val="0"/>
                <w:bCs w:val="0"/>
                <w:color w:val="auto"/>
                <w:kern w:val="2"/>
                <w:sz w:val="24"/>
                <w:szCs w:val="24"/>
                <w:lang w:val="en-US" w:eastAsia="zh-CN" w:bidi="ar-SA"/>
              </w:rPr>
              <w:t>），重点防渗区（</w:t>
            </w:r>
            <w:bookmarkStart w:id="7" w:name="_Hlk67409018"/>
            <w:r>
              <w:rPr>
                <w:rFonts w:hint="eastAsia" w:ascii="Times New Roman" w:hAnsi="Times New Roman" w:eastAsia="宋体" w:cs="Times New Roman"/>
                <w:b w:val="0"/>
                <w:bCs w:val="0"/>
                <w:color w:val="auto"/>
                <w:kern w:val="2"/>
                <w:sz w:val="24"/>
                <w:szCs w:val="24"/>
                <w:lang w:val="en-US" w:eastAsia="zh-CN" w:bidi="ar-SA"/>
              </w:rPr>
              <w:t>危废暂存间</w:t>
            </w:r>
            <w:r>
              <w:rPr>
                <w:rFonts w:hint="default" w:ascii="Times New Roman" w:hAnsi="Times New Roman" w:eastAsia="宋体" w:cs="Times New Roman"/>
                <w:b w:val="0"/>
                <w:bCs w:val="0"/>
                <w:color w:val="auto"/>
                <w:kern w:val="2"/>
                <w:sz w:val="24"/>
                <w:szCs w:val="24"/>
                <w:lang w:val="en-US" w:eastAsia="zh-CN" w:bidi="ar-SA"/>
              </w:rPr>
              <w:t>、</w:t>
            </w:r>
            <w:bookmarkEnd w:id="7"/>
            <w:r>
              <w:rPr>
                <w:rFonts w:hint="default" w:ascii="Times New Roman" w:hAnsi="Times New Roman" w:eastAsia="宋体" w:cs="Times New Roman"/>
                <w:b w:val="0"/>
                <w:bCs w:val="0"/>
                <w:color w:val="auto"/>
                <w:kern w:val="2"/>
                <w:sz w:val="24"/>
                <w:szCs w:val="24"/>
                <w:lang w:val="en-US" w:eastAsia="zh-CN" w:bidi="ar-SA"/>
              </w:rPr>
              <w:t>事故应急池</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初期雨水收集池</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消防水池</w:t>
            </w:r>
            <w:r>
              <w:rPr>
                <w:rFonts w:hint="default" w:ascii="Times New Roman" w:hAnsi="Times New Roman" w:eastAsia="宋体" w:cs="Times New Roman"/>
                <w:b w:val="0"/>
                <w:bCs w:val="0"/>
                <w:color w:val="auto"/>
                <w:kern w:val="2"/>
                <w:sz w:val="24"/>
                <w:szCs w:val="24"/>
                <w:lang w:val="en-US" w:eastAsia="zh-CN" w:bidi="ar-SA"/>
              </w:rPr>
              <w:t>）。</w:t>
            </w:r>
          </w:p>
          <w:p>
            <w:pPr>
              <w:pStyle w:val="13"/>
              <w:keepNext w:val="0"/>
              <w:keepLines w:val="0"/>
              <w:pageBreakBefore w:val="0"/>
              <w:widowControl w:val="0"/>
              <w:kinsoku/>
              <w:wordWrap/>
              <w:overflowPunct/>
              <w:topLinePunct w:val="0"/>
              <w:bidi w:val="0"/>
              <w:snapToGrid w:val="0"/>
              <w:spacing w:line="360" w:lineRule="auto"/>
              <w:ind w:firstLine="480" w:firstLineChars="200"/>
              <w:jc w:val="both"/>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本项目不新建建筑物，均依托</w:t>
            </w:r>
            <w:r>
              <w:rPr>
                <w:rFonts w:hint="default" w:ascii="Times New Roman" w:hAnsi="Times New Roman" w:eastAsia="宋体" w:cs="Times New Roman"/>
                <w:b w:val="0"/>
                <w:bCs w:val="0"/>
                <w:color w:val="auto"/>
                <w:kern w:val="2"/>
                <w:sz w:val="24"/>
                <w:szCs w:val="24"/>
                <w:lang w:val="en-US" w:eastAsia="zh-CN" w:bidi="ar-SA"/>
              </w:rPr>
              <w:t>四川翔丰华新能源材料有限公司</w:t>
            </w:r>
            <w:r>
              <w:rPr>
                <w:rFonts w:hint="eastAsia" w:ascii="Times New Roman" w:hAnsi="Times New Roman" w:eastAsia="宋体" w:cs="Times New Roman"/>
                <w:b w:val="0"/>
                <w:bCs w:val="0"/>
                <w:color w:val="auto"/>
                <w:kern w:val="2"/>
                <w:sz w:val="24"/>
                <w:szCs w:val="24"/>
                <w:lang w:val="en-US" w:eastAsia="zh-CN" w:bidi="ar-SA"/>
              </w:rPr>
              <w:t>现有工程。根据现场踏勘，本项目涉及建筑物均采取相应防渗措施，具体如下：</w:t>
            </w:r>
          </w:p>
          <w:p>
            <w:pPr>
              <w:widowControl/>
              <w:spacing w:line="360" w:lineRule="auto"/>
              <w:jc w:val="center"/>
              <w:rPr>
                <w:b/>
                <w:bCs/>
                <w:color w:val="auto"/>
                <w:kern w:val="0"/>
                <w:szCs w:val="21"/>
                <w:lang w:bidi="ar"/>
              </w:rPr>
            </w:pPr>
            <w:r>
              <w:rPr>
                <w:b/>
                <w:color w:val="auto"/>
                <w:szCs w:val="21"/>
              </w:rPr>
              <w:t>表4-</w:t>
            </w:r>
            <w:r>
              <w:rPr>
                <w:rFonts w:hint="eastAsia"/>
                <w:b/>
                <w:color w:val="auto"/>
                <w:szCs w:val="21"/>
                <w:lang w:val="en-US" w:eastAsia="zh-CN"/>
              </w:rPr>
              <w:t>18</w:t>
            </w:r>
            <w:r>
              <w:rPr>
                <w:b/>
                <w:color w:val="auto"/>
                <w:szCs w:val="21"/>
              </w:rPr>
              <w:t xml:space="preserve"> </w:t>
            </w:r>
            <w:r>
              <w:rPr>
                <w:b/>
                <w:bCs/>
                <w:color w:val="auto"/>
                <w:kern w:val="0"/>
                <w:szCs w:val="21"/>
                <w:lang w:bidi="ar"/>
              </w:rPr>
              <w:t>各区域防渗措施一览表</w:t>
            </w:r>
          </w:p>
          <w:tbl>
            <w:tblPr>
              <w:tblStyle w:val="37"/>
              <w:tblW w:w="7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250"/>
              <w:gridCol w:w="1267"/>
              <w:gridCol w:w="3152"/>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noWrap w:val="0"/>
                  <w:vAlign w:val="center"/>
                </w:tcPr>
                <w:p>
                  <w:pPr>
                    <w:pStyle w:val="121"/>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b/>
                      <w:color w:val="auto"/>
                      <w:sz w:val="21"/>
                      <w:szCs w:val="21"/>
                    </w:rPr>
                    <w:t>序号</w:t>
                  </w:r>
                </w:p>
              </w:tc>
              <w:tc>
                <w:tcPr>
                  <w:tcW w:w="1250" w:type="dxa"/>
                  <w:noWrap w:val="0"/>
                  <w:vAlign w:val="center"/>
                </w:tcPr>
                <w:p>
                  <w:pPr>
                    <w:pStyle w:val="121"/>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b/>
                      <w:color w:val="auto"/>
                      <w:sz w:val="21"/>
                      <w:szCs w:val="21"/>
                    </w:rPr>
                    <w:t>防渗分区</w:t>
                  </w:r>
                </w:p>
              </w:tc>
              <w:tc>
                <w:tcPr>
                  <w:tcW w:w="1267" w:type="dxa"/>
                  <w:noWrap w:val="0"/>
                  <w:vAlign w:val="center"/>
                </w:tcPr>
                <w:p>
                  <w:pPr>
                    <w:pStyle w:val="121"/>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b/>
                      <w:color w:val="auto"/>
                      <w:sz w:val="21"/>
                      <w:szCs w:val="21"/>
                    </w:rPr>
                    <w:t>项目区域</w:t>
                  </w:r>
                </w:p>
              </w:tc>
              <w:tc>
                <w:tcPr>
                  <w:tcW w:w="3152" w:type="dxa"/>
                  <w:noWrap w:val="0"/>
                  <w:vAlign w:val="center"/>
                </w:tcPr>
                <w:p>
                  <w:pPr>
                    <w:autoSpaceDE w:val="0"/>
                    <w:autoSpaceDN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b/>
                      <w:color w:val="auto"/>
                      <w:sz w:val="21"/>
                      <w:szCs w:val="21"/>
                    </w:rPr>
                    <w:t>防渗技术要求</w:t>
                  </w:r>
                </w:p>
              </w:tc>
              <w:tc>
                <w:tcPr>
                  <w:tcW w:w="1590" w:type="dxa"/>
                  <w:noWrap w:val="0"/>
                  <w:vAlign w:val="center"/>
                </w:tcPr>
                <w:p>
                  <w:pPr>
                    <w:autoSpaceDE w:val="0"/>
                    <w:autoSpaceDN w:val="0"/>
                    <w:adjustRightInd w:val="0"/>
                    <w:snapToGrid w:val="0"/>
                    <w:spacing w:line="240" w:lineRule="auto"/>
                    <w:jc w:val="center"/>
                    <w:textAlignment w:val="bottom"/>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Merge w:val="restart"/>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1</w:t>
                  </w:r>
                </w:p>
              </w:tc>
              <w:tc>
                <w:tcPr>
                  <w:tcW w:w="1250" w:type="dxa"/>
                  <w:vMerge w:val="restart"/>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bCs/>
                      <w:color w:val="auto"/>
                      <w:sz w:val="21"/>
                      <w:szCs w:val="21"/>
                    </w:rPr>
                    <w:t>重点防渗区</w:t>
                  </w:r>
                </w:p>
              </w:tc>
              <w:tc>
                <w:tcPr>
                  <w:tcW w:w="1267"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bCs/>
                      <w:color w:val="auto"/>
                      <w:sz w:val="21"/>
                      <w:szCs w:val="21"/>
                    </w:rPr>
                    <w:t>危废暂存间</w:t>
                  </w:r>
                </w:p>
              </w:tc>
              <w:tc>
                <w:tcPr>
                  <w:tcW w:w="3152"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color w:val="auto"/>
                      <w:kern w:val="0"/>
                      <w:sz w:val="21"/>
                      <w:szCs w:val="21"/>
                      <w:lang w:val="en-US" w:eastAsia="zh-CN" w:bidi="ar-SA"/>
                    </w:rPr>
                    <w:t>防渗混凝土+2mm厚的</w:t>
                  </w:r>
                  <w:r>
                    <w:rPr>
                      <w:rFonts w:hint="default" w:ascii="Times New Roman" w:hAnsi="Times New Roman" w:eastAsia="宋体" w:cs="Times New Roman"/>
                      <w:color w:val="auto"/>
                      <w:kern w:val="0"/>
                      <w:sz w:val="21"/>
                      <w:szCs w:val="21"/>
                      <w:lang w:val="en-US" w:eastAsia="zh-CN" w:bidi="ar"/>
                    </w:rPr>
                    <w:t>HDPE 膜</w:t>
                  </w:r>
                  <w:r>
                    <w:rPr>
                      <w:rFonts w:hint="default" w:ascii="Times New Roman" w:hAnsi="Times New Roman" w:eastAsia="宋体" w:cs="Times New Roman"/>
                      <w:color w:val="auto"/>
                      <w:sz w:val="21"/>
                      <w:szCs w:val="21"/>
                    </w:rPr>
                    <w:t>或其他防渗材料，防渗层渗透系数K≤1×10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cm/s，对液态危废采用密闭容器存储，底部设置不锈钢防渗托盘，设置备用空桶，防止液体流失</w:t>
                  </w:r>
                </w:p>
              </w:tc>
              <w:tc>
                <w:tcPr>
                  <w:tcW w:w="1590"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color w:val="auto"/>
                      <w:sz w:val="21"/>
                      <w:szCs w:val="21"/>
                    </w:rPr>
                    <w:t>依托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已验收，已采取重点防渗措施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Merge w:val="continue"/>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bidi="ar"/>
                    </w:rPr>
                  </w:pPr>
                </w:p>
              </w:tc>
              <w:tc>
                <w:tcPr>
                  <w:tcW w:w="1250" w:type="dxa"/>
                  <w:vMerge w:val="continue"/>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bidi="ar"/>
                    </w:rPr>
                  </w:pPr>
                </w:p>
              </w:tc>
              <w:tc>
                <w:tcPr>
                  <w:tcW w:w="1267"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val="en-US" w:bidi="ar"/>
                    </w:rPr>
                  </w:pPr>
                  <w:r>
                    <w:rPr>
                      <w:rFonts w:hint="default" w:ascii="Times New Roman" w:hAnsi="Times New Roman" w:eastAsia="宋体" w:cs="Times New Roman"/>
                      <w:b w:val="0"/>
                      <w:bCs w:val="0"/>
                      <w:color w:val="auto"/>
                      <w:kern w:val="2"/>
                      <w:sz w:val="21"/>
                      <w:szCs w:val="21"/>
                      <w:lang w:val="en-US" w:eastAsia="zh-CN" w:bidi="ar-SA"/>
                    </w:rPr>
                    <w:t>事故应急池</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初期雨水收集池</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消防水池</w:t>
                  </w:r>
                </w:p>
              </w:tc>
              <w:tc>
                <w:tcPr>
                  <w:tcW w:w="3152"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color w:val="auto"/>
                      <w:kern w:val="0"/>
                      <w:sz w:val="21"/>
                      <w:szCs w:val="21"/>
                      <w:lang w:val="en-US" w:eastAsia="zh-CN" w:bidi="ar-SA"/>
                    </w:rPr>
                    <w:t>防渗混凝土+2mm厚的</w:t>
                  </w:r>
                  <w:r>
                    <w:rPr>
                      <w:rFonts w:hint="default" w:ascii="Times New Roman" w:hAnsi="Times New Roman" w:eastAsia="宋体" w:cs="Times New Roman"/>
                      <w:color w:val="auto"/>
                      <w:kern w:val="0"/>
                      <w:sz w:val="21"/>
                      <w:szCs w:val="21"/>
                      <w:lang w:val="en-US" w:eastAsia="zh-CN" w:bidi="ar"/>
                    </w:rPr>
                    <w:t>HDPE 膜</w:t>
                  </w:r>
                  <w:r>
                    <w:rPr>
                      <w:rFonts w:hint="default" w:ascii="Times New Roman" w:hAnsi="Times New Roman" w:eastAsia="宋体" w:cs="Times New Roman"/>
                      <w:color w:val="auto"/>
                      <w:sz w:val="21"/>
                      <w:szCs w:val="21"/>
                    </w:rPr>
                    <w:t>或其他防渗材料，</w:t>
                  </w:r>
                  <w:r>
                    <w:rPr>
                      <w:rFonts w:hint="default" w:ascii="Times New Roman" w:hAnsi="Times New Roman" w:eastAsia="宋体" w:cs="Times New Roman"/>
                      <w:color w:val="auto"/>
                      <w:sz w:val="21"/>
                      <w:szCs w:val="21"/>
                      <w:lang w:bidi="ar"/>
                    </w:rPr>
                    <w:t>防渗要求为</w:t>
                  </w:r>
                  <w:r>
                    <w:rPr>
                      <w:rFonts w:hint="default" w:ascii="Times New Roman" w:hAnsi="Times New Roman" w:eastAsia="宋体" w:cs="Times New Roman"/>
                      <w:color w:val="auto"/>
                      <w:sz w:val="21"/>
                      <w:szCs w:val="21"/>
                    </w:rPr>
                    <w:t>等效黏土防渗层Mb≥6.0m，K≤1×10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p>
              </w:tc>
              <w:tc>
                <w:tcPr>
                  <w:tcW w:w="1590"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color w:val="auto"/>
                      <w:sz w:val="21"/>
                      <w:szCs w:val="21"/>
                    </w:rPr>
                    <w:t>依托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已验收，已采取重点防渗措施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Merge w:val="restart"/>
                  <w:noWrap w:val="0"/>
                  <w:vAlign w:val="center"/>
                </w:tcPr>
                <w:p>
                  <w:pPr>
                    <w:widowControl/>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2</w:t>
                  </w:r>
                </w:p>
              </w:tc>
              <w:tc>
                <w:tcPr>
                  <w:tcW w:w="1250" w:type="dxa"/>
                  <w:vMerge w:val="restart"/>
                  <w:noWrap w:val="0"/>
                  <w:vAlign w:val="center"/>
                </w:tcPr>
                <w:p>
                  <w:pPr>
                    <w:widowControl/>
                    <w:spacing w:line="240" w:lineRule="auto"/>
                    <w:jc w:val="center"/>
                    <w:rPr>
                      <w:rFonts w:hint="default" w:ascii="Times New Roman" w:hAnsi="Times New Roman" w:eastAsia="宋体" w:cs="Times New Roman"/>
                      <w:b w:val="0"/>
                      <w:bCs w:val="0"/>
                      <w:color w:val="auto"/>
                      <w:kern w:val="0"/>
                      <w:sz w:val="21"/>
                      <w:szCs w:val="21"/>
                      <w:vertAlign w:val="baseline"/>
                      <w:lang w:bidi="ar"/>
                    </w:rPr>
                  </w:pPr>
                  <w:r>
                    <w:rPr>
                      <w:rFonts w:hint="default" w:ascii="Times New Roman" w:hAnsi="Times New Roman" w:eastAsia="宋体" w:cs="Times New Roman"/>
                      <w:b w:val="0"/>
                      <w:bCs w:val="0"/>
                      <w:color w:val="auto"/>
                      <w:sz w:val="21"/>
                      <w:szCs w:val="21"/>
                    </w:rPr>
                    <w:t>一般防渗区</w:t>
                  </w:r>
                </w:p>
              </w:tc>
              <w:tc>
                <w:tcPr>
                  <w:tcW w:w="1267"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b w:val="0"/>
                      <w:bCs w:val="0"/>
                      <w:color w:val="auto"/>
                      <w:kern w:val="2"/>
                      <w:sz w:val="21"/>
                      <w:szCs w:val="21"/>
                      <w:lang w:val="en-US" w:eastAsia="zh-CN" w:bidi="ar-SA"/>
                    </w:rPr>
                    <w:t>预处理池、一般固废暂存间</w:t>
                  </w:r>
                </w:p>
              </w:tc>
              <w:tc>
                <w:tcPr>
                  <w:tcW w:w="3152"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color w:val="auto"/>
                      <w:kern w:val="0"/>
                      <w:sz w:val="21"/>
                      <w:szCs w:val="21"/>
                      <w:lang w:val="en-US" w:eastAsia="zh-CN" w:bidi="ar-SA"/>
                    </w:rPr>
                    <w:t>防渗混凝土，</w:t>
                  </w:r>
                  <w:r>
                    <w:rPr>
                      <w:rFonts w:hint="default" w:ascii="Times New Roman" w:hAnsi="Times New Roman" w:eastAsia="宋体" w:cs="Times New Roman"/>
                      <w:bCs/>
                      <w:color w:val="auto"/>
                      <w:sz w:val="21"/>
                      <w:szCs w:val="21"/>
                    </w:rPr>
                    <w:t>等效黏土防渗层Mb≥1.5m，防渗层渗透系数</w:t>
                  </w:r>
                  <w:r>
                    <w:rPr>
                      <w:rFonts w:hint="default" w:ascii="Times New Roman" w:hAnsi="Times New Roman" w:eastAsia="宋体" w:cs="Times New Roman"/>
                      <w:color w:val="auto"/>
                      <w:sz w:val="21"/>
                      <w:szCs w:val="21"/>
                    </w:rPr>
                    <w:t>K≤1×10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p>
              </w:tc>
              <w:tc>
                <w:tcPr>
                  <w:tcW w:w="1590"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color w:val="auto"/>
                      <w:sz w:val="21"/>
                      <w:szCs w:val="21"/>
                    </w:rPr>
                    <w:t>依托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已验收，已采取一般防渗措施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vMerge w:val="continue"/>
                  <w:noWrap w:val="0"/>
                  <w:vAlign w:val="center"/>
                </w:tcPr>
                <w:p>
                  <w:pPr>
                    <w:widowControl/>
                    <w:spacing w:line="240" w:lineRule="auto"/>
                    <w:jc w:val="center"/>
                    <w:rPr>
                      <w:rFonts w:hint="default" w:ascii="Times New Roman" w:hAnsi="Times New Roman" w:eastAsia="宋体" w:cs="Times New Roman"/>
                      <w:b w:val="0"/>
                      <w:bCs w:val="0"/>
                      <w:color w:val="auto"/>
                      <w:kern w:val="0"/>
                      <w:sz w:val="21"/>
                      <w:szCs w:val="21"/>
                      <w:vertAlign w:val="baseline"/>
                      <w:lang w:bidi="ar"/>
                    </w:rPr>
                  </w:pPr>
                </w:p>
              </w:tc>
              <w:tc>
                <w:tcPr>
                  <w:tcW w:w="1250" w:type="dxa"/>
                  <w:vMerge w:val="continue"/>
                  <w:noWrap w:val="0"/>
                  <w:vAlign w:val="center"/>
                </w:tcPr>
                <w:p>
                  <w:pPr>
                    <w:widowControl/>
                    <w:spacing w:line="240" w:lineRule="auto"/>
                    <w:jc w:val="center"/>
                    <w:rPr>
                      <w:rFonts w:hint="default" w:ascii="Times New Roman" w:hAnsi="Times New Roman" w:eastAsia="宋体" w:cs="Times New Roman"/>
                      <w:b w:val="0"/>
                      <w:bCs w:val="0"/>
                      <w:color w:val="auto"/>
                      <w:kern w:val="0"/>
                      <w:sz w:val="21"/>
                      <w:szCs w:val="21"/>
                      <w:vertAlign w:val="baseline"/>
                      <w:lang w:bidi="ar"/>
                    </w:rPr>
                  </w:pPr>
                </w:p>
              </w:tc>
              <w:tc>
                <w:tcPr>
                  <w:tcW w:w="1267" w:type="dxa"/>
                  <w:noWrap w:val="0"/>
                  <w:vAlign w:val="center"/>
                </w:tcPr>
                <w:p>
                  <w:pPr>
                    <w:widowControl/>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中试车间</w:t>
                  </w:r>
                  <w:r>
                    <w:rPr>
                      <w:rFonts w:hint="default" w:ascii="Times New Roman" w:hAnsi="Times New Roman" w:eastAsia="宋体" w:cs="Times New Roman"/>
                      <w:b w:val="0"/>
                      <w:bCs w:val="0"/>
                      <w:color w:val="auto"/>
                      <w:kern w:val="2"/>
                      <w:sz w:val="21"/>
                      <w:szCs w:val="21"/>
                      <w:lang w:val="en-US" w:eastAsia="zh-CN" w:bidi="ar-SA"/>
                    </w:rPr>
                    <w:t>、原料库房、研发品暂存间</w:t>
                  </w:r>
                </w:p>
              </w:tc>
              <w:tc>
                <w:tcPr>
                  <w:tcW w:w="3152"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bidi="ar"/>
                    </w:rPr>
                  </w:pPr>
                  <w:r>
                    <w:rPr>
                      <w:rFonts w:hint="default" w:ascii="Times New Roman" w:hAnsi="Times New Roman" w:eastAsia="宋体" w:cs="Times New Roman"/>
                      <w:color w:val="auto"/>
                      <w:kern w:val="0"/>
                      <w:sz w:val="21"/>
                      <w:szCs w:val="21"/>
                      <w:lang w:val="en-US" w:eastAsia="zh-CN" w:bidi="ar-SA"/>
                    </w:rPr>
                    <w:t>防渗混凝土，</w:t>
                  </w:r>
                  <w:r>
                    <w:rPr>
                      <w:rFonts w:hint="default" w:ascii="Times New Roman" w:hAnsi="Times New Roman" w:eastAsia="宋体" w:cs="Times New Roman"/>
                      <w:bCs/>
                      <w:color w:val="auto"/>
                      <w:sz w:val="21"/>
                      <w:szCs w:val="21"/>
                    </w:rPr>
                    <w:t>等效黏土防渗层Mb≥1.5m，防渗层渗透系数</w:t>
                  </w:r>
                  <w:r>
                    <w:rPr>
                      <w:rFonts w:hint="default" w:ascii="Times New Roman" w:hAnsi="Times New Roman" w:eastAsia="宋体" w:cs="Times New Roman"/>
                      <w:color w:val="auto"/>
                      <w:sz w:val="21"/>
                      <w:szCs w:val="21"/>
                    </w:rPr>
                    <w:t>K≤1×10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p>
              </w:tc>
              <w:tc>
                <w:tcPr>
                  <w:tcW w:w="1590" w:type="dxa"/>
                  <w:noWrap w:val="0"/>
                  <w:vAlign w:val="center"/>
                </w:tcPr>
                <w:p>
                  <w:pPr>
                    <w:widowControl/>
                    <w:spacing w:line="240" w:lineRule="auto"/>
                    <w:jc w:val="center"/>
                    <w:rPr>
                      <w:rFonts w:hint="default" w:ascii="Times New Roman" w:hAnsi="Times New Roman" w:eastAsia="宋体" w:cs="Times New Roman"/>
                      <w:b/>
                      <w:bCs/>
                      <w:color w:val="auto"/>
                      <w:kern w:val="0"/>
                      <w:sz w:val="21"/>
                      <w:szCs w:val="21"/>
                      <w:vertAlign w:val="baseline"/>
                      <w:lang w:val="en-US" w:bidi="ar"/>
                    </w:rPr>
                  </w:pPr>
                  <w:r>
                    <w:rPr>
                      <w:rFonts w:hint="default" w:ascii="Times New Roman" w:hAnsi="Times New Roman" w:eastAsia="宋体" w:cs="Times New Roman"/>
                      <w:b w:val="0"/>
                      <w:bCs w:val="0"/>
                      <w:color w:val="auto"/>
                      <w:kern w:val="2"/>
                      <w:sz w:val="21"/>
                      <w:szCs w:val="21"/>
                      <w:lang w:val="en-US" w:eastAsia="zh-CN" w:bidi="ar-SA"/>
                    </w:rPr>
                    <w:t>原料库房及研发品暂存间</w:t>
                  </w:r>
                  <w:r>
                    <w:rPr>
                      <w:rFonts w:hint="default" w:ascii="Times New Roman" w:hAnsi="Times New Roman" w:eastAsia="宋体" w:cs="Times New Roman"/>
                      <w:color w:val="auto"/>
                      <w:sz w:val="21"/>
                      <w:szCs w:val="21"/>
                    </w:rPr>
                    <w:t>依托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b w:val="0"/>
                      <w:bCs w:val="0"/>
                      <w:color w:val="auto"/>
                      <w:kern w:val="2"/>
                      <w:sz w:val="21"/>
                      <w:szCs w:val="21"/>
                      <w:lang w:val="en-US" w:eastAsia="zh-CN" w:bidi="ar-SA"/>
                    </w:rPr>
                    <w:t>已</w:t>
                  </w:r>
                  <w:r>
                    <w:rPr>
                      <w:rFonts w:hint="default" w:ascii="Times New Roman" w:hAnsi="Times New Roman" w:eastAsia="宋体" w:cs="Times New Roman"/>
                      <w:color w:val="auto"/>
                      <w:sz w:val="21"/>
                      <w:szCs w:val="21"/>
                      <w:lang w:val="en-US" w:eastAsia="zh-CN"/>
                    </w:rPr>
                    <w:t>采取一般防渗措施；</w:t>
                  </w:r>
                  <w:r>
                    <w:rPr>
                      <w:rFonts w:hint="eastAsia" w:ascii="Times New Roman" w:hAnsi="Times New Roman" w:eastAsia="宋体" w:cs="Times New Roman"/>
                      <w:b w:val="0"/>
                      <w:bCs w:val="0"/>
                      <w:color w:val="auto"/>
                      <w:kern w:val="2"/>
                      <w:sz w:val="21"/>
                      <w:szCs w:val="21"/>
                      <w:lang w:val="en-US" w:eastAsia="zh-CN" w:bidi="ar-SA"/>
                    </w:rPr>
                    <w:t>中试车间</w:t>
                  </w:r>
                  <w:r>
                    <w:rPr>
                      <w:rFonts w:hint="default" w:ascii="Times New Roman" w:hAnsi="Times New Roman" w:eastAsia="宋体" w:cs="Times New Roman"/>
                      <w:b w:val="0"/>
                      <w:bCs w:val="0"/>
                      <w:color w:val="auto"/>
                      <w:kern w:val="2"/>
                      <w:sz w:val="21"/>
                      <w:szCs w:val="21"/>
                      <w:lang w:val="en-US" w:eastAsia="zh-CN" w:bidi="ar-SA"/>
                    </w:rPr>
                    <w:t>地面已采用</w:t>
                  </w:r>
                  <w:r>
                    <w:rPr>
                      <w:rFonts w:hint="default" w:ascii="Times New Roman" w:hAnsi="Times New Roman" w:eastAsia="宋体" w:cs="Times New Roman"/>
                      <w:color w:val="auto"/>
                      <w:kern w:val="0"/>
                      <w:sz w:val="21"/>
                      <w:szCs w:val="21"/>
                      <w:lang w:val="en-US" w:eastAsia="zh-CN" w:bidi="ar-SA"/>
                    </w:rPr>
                    <w:t>防渗混凝土，满足一般防渗措施要求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7" w:type="dxa"/>
                  <w:noWrap w:val="0"/>
                  <w:vAlign w:val="center"/>
                </w:tcPr>
                <w:p>
                  <w:pPr>
                    <w:widowControl/>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3</w:t>
                  </w:r>
                </w:p>
              </w:tc>
              <w:tc>
                <w:tcPr>
                  <w:tcW w:w="1250" w:type="dxa"/>
                  <w:noWrap w:val="0"/>
                  <w:vAlign w:val="center"/>
                </w:tcPr>
                <w:p>
                  <w:pPr>
                    <w:widowControl/>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简单防渗区</w:t>
                  </w:r>
                </w:p>
              </w:tc>
              <w:tc>
                <w:tcPr>
                  <w:tcW w:w="1267" w:type="dxa"/>
                  <w:noWrap w:val="0"/>
                  <w:vAlign w:val="center"/>
                </w:tcPr>
                <w:p>
                  <w:pPr>
                    <w:widowControl/>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厂区内道路等</w:t>
                  </w:r>
                </w:p>
              </w:tc>
              <w:tc>
                <w:tcPr>
                  <w:tcW w:w="3152" w:type="dxa"/>
                  <w:noWrap w:val="0"/>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一般地面硬化</w:t>
                  </w:r>
                </w:p>
              </w:tc>
              <w:tc>
                <w:tcPr>
                  <w:tcW w:w="1590" w:type="dxa"/>
                  <w:noWrap w:val="0"/>
                  <w:vAlign w:val="center"/>
                </w:tcPr>
                <w:p>
                  <w:pPr>
                    <w:widowControl/>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1"/>
                      <w:szCs w:val="21"/>
                    </w:rPr>
                    <w:t>依托，厂区地面已硬化</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kern w:val="0"/>
                <w:sz w:val="24"/>
              </w:rPr>
            </w:pPr>
            <w:r>
              <w:rPr>
                <w:rFonts w:hint="eastAsia" w:ascii="宋体" w:hAnsi="宋体" w:eastAsia="宋体" w:cs="宋体"/>
                <w:color w:val="auto"/>
                <w:kern w:val="0"/>
                <w:sz w:val="24"/>
                <w:szCs w:val="24"/>
                <w:lang w:val="en-US" w:eastAsia="zh-CN" w:bidi="ar"/>
              </w:rPr>
              <w:t>综上，本项目在严格落实地下水、土壤污染防治措施的条件下，</w:t>
            </w:r>
            <w:r>
              <w:rPr>
                <w:rFonts w:hint="eastAsia"/>
                <w:color w:val="auto"/>
                <w:sz w:val="24"/>
                <w:lang w:val="en-US" w:eastAsia="zh-CN"/>
              </w:rPr>
              <w:t>不会对地下水、土壤造成不良影响</w:t>
            </w:r>
            <w:r>
              <w:rPr>
                <w:color w:val="auto"/>
                <w:kern w:val="0"/>
                <w:sz w:val="24"/>
              </w:rPr>
              <w:t>。</w:t>
            </w:r>
          </w:p>
          <w:p>
            <w:pPr>
              <w:spacing w:line="360" w:lineRule="auto"/>
              <w:ind w:firstLine="482" w:firstLineChars="200"/>
              <w:rPr>
                <w:b/>
                <w:color w:val="auto"/>
                <w:sz w:val="24"/>
              </w:rPr>
            </w:pPr>
            <w:r>
              <w:rPr>
                <w:rFonts w:hint="eastAsia"/>
                <w:b/>
                <w:color w:val="auto"/>
                <w:sz w:val="24"/>
                <w:lang w:val="en-US" w:eastAsia="zh-CN"/>
              </w:rPr>
              <w:t>六</w:t>
            </w:r>
            <w:r>
              <w:rPr>
                <w:b/>
                <w:color w:val="auto"/>
                <w:sz w:val="24"/>
              </w:rPr>
              <w:t>、生态影响分析</w:t>
            </w:r>
          </w:p>
          <w:p>
            <w:pPr>
              <w:pStyle w:val="11"/>
              <w:spacing w:before="0" w:after="0" w:line="360" w:lineRule="auto"/>
              <w:ind w:right="0" w:firstLine="480" w:firstLineChars="200"/>
              <w:rPr>
                <w:b/>
                <w:bCs/>
                <w:color w:val="auto"/>
                <w:sz w:val="24"/>
              </w:rPr>
            </w:pPr>
            <w:r>
              <w:rPr>
                <w:color w:val="auto"/>
                <w:kern w:val="2"/>
                <w:sz w:val="24"/>
                <w:szCs w:val="24"/>
              </w:rPr>
              <w:t>本项目位于</w:t>
            </w:r>
            <w:r>
              <w:rPr>
                <w:rFonts w:hint="eastAsia" w:ascii="Times New Roman" w:hAnsi="Times New Roman" w:eastAsia="宋体" w:cs="Times New Roman"/>
                <w:b w:val="0"/>
                <w:color w:val="auto"/>
                <w:kern w:val="2"/>
                <w:sz w:val="24"/>
                <w:szCs w:val="18"/>
                <w:lang w:val="en-US" w:eastAsia="zh-CN" w:bidi="ar-SA"/>
              </w:rPr>
              <w:t>四川省遂宁市蓬溪县金桥镇创业四支路1号</w:t>
            </w:r>
            <w:r>
              <w:rPr>
                <w:color w:val="auto"/>
                <w:kern w:val="2"/>
                <w:sz w:val="24"/>
                <w:szCs w:val="24"/>
              </w:rPr>
              <w:t>，项目用地内无生态环境保护目标，项目不直接构成对地表植被的破坏。项目运营过程中使用清洁能源电</w:t>
            </w:r>
            <w:r>
              <w:rPr>
                <w:rFonts w:hint="eastAsia"/>
                <w:color w:val="auto"/>
                <w:kern w:val="2"/>
                <w:sz w:val="24"/>
                <w:szCs w:val="24"/>
                <w:lang w:eastAsia="zh-CN"/>
              </w:rPr>
              <w:t>、</w:t>
            </w:r>
            <w:r>
              <w:rPr>
                <w:rFonts w:hint="eastAsia"/>
                <w:color w:val="auto"/>
                <w:kern w:val="2"/>
                <w:sz w:val="24"/>
                <w:szCs w:val="24"/>
                <w:lang w:val="en-US" w:eastAsia="zh-CN"/>
              </w:rPr>
              <w:t>天然气</w:t>
            </w:r>
            <w:r>
              <w:rPr>
                <w:color w:val="auto"/>
                <w:kern w:val="2"/>
                <w:sz w:val="24"/>
                <w:szCs w:val="24"/>
              </w:rPr>
              <w:t>，不使用燃煤。</w:t>
            </w:r>
            <w:r>
              <w:rPr>
                <w:rFonts w:hint="eastAsia"/>
                <w:color w:val="auto"/>
                <w:kern w:val="2"/>
                <w:sz w:val="24"/>
                <w:szCs w:val="24"/>
                <w:lang w:val="en-US" w:eastAsia="zh-CN"/>
              </w:rPr>
              <w:t>研发过</w:t>
            </w:r>
            <w:r>
              <w:rPr>
                <w:color w:val="auto"/>
                <w:kern w:val="2"/>
                <w:sz w:val="24"/>
                <w:szCs w:val="24"/>
              </w:rPr>
              <w:t>程中产生的各项污染物均采取了有效的防治措施，项目</w:t>
            </w:r>
            <w:r>
              <w:rPr>
                <w:rFonts w:hint="eastAsia"/>
                <w:color w:val="auto"/>
                <w:kern w:val="2"/>
                <w:sz w:val="24"/>
                <w:szCs w:val="24"/>
                <w:lang w:val="en-US" w:eastAsia="zh-CN"/>
              </w:rPr>
              <w:t>研发</w:t>
            </w:r>
            <w:r>
              <w:rPr>
                <w:color w:val="auto"/>
                <w:kern w:val="2"/>
                <w:sz w:val="24"/>
                <w:szCs w:val="24"/>
              </w:rPr>
              <w:t>不会对当地生态环境造成影响，生态环境质量维持原有水平。</w:t>
            </w:r>
          </w:p>
          <w:p>
            <w:pPr>
              <w:spacing w:line="360" w:lineRule="auto"/>
              <w:ind w:firstLine="482" w:firstLineChars="200"/>
              <w:jc w:val="left"/>
              <w:rPr>
                <w:b/>
                <w:bCs/>
                <w:color w:val="auto"/>
                <w:sz w:val="24"/>
              </w:rPr>
            </w:pPr>
            <w:r>
              <w:rPr>
                <w:rFonts w:hint="eastAsia"/>
                <w:b/>
                <w:bCs/>
                <w:color w:val="auto"/>
                <w:sz w:val="24"/>
                <w:lang w:val="en-US" w:eastAsia="zh-CN"/>
              </w:rPr>
              <w:t>七</w:t>
            </w:r>
            <w:r>
              <w:rPr>
                <w:b/>
                <w:bCs/>
                <w:color w:val="auto"/>
                <w:sz w:val="24"/>
              </w:rPr>
              <w:t>、风险评价分析</w:t>
            </w:r>
          </w:p>
          <w:p>
            <w:pPr>
              <w:spacing w:line="360" w:lineRule="auto"/>
              <w:ind w:firstLine="482" w:firstLineChars="200"/>
              <w:jc w:val="left"/>
              <w:rPr>
                <w:b/>
                <w:bCs/>
                <w:color w:val="auto"/>
                <w:sz w:val="24"/>
              </w:rPr>
            </w:pPr>
            <w:r>
              <w:rPr>
                <w:rFonts w:hint="eastAsia"/>
                <w:b/>
                <w:bCs/>
                <w:color w:val="auto"/>
                <w:sz w:val="24"/>
                <w:lang w:eastAsia="zh-CN"/>
              </w:rPr>
              <w:t>（</w:t>
            </w:r>
            <w:r>
              <w:rPr>
                <w:rFonts w:hint="eastAsia"/>
                <w:b/>
                <w:bCs/>
                <w:color w:val="auto"/>
                <w:sz w:val="24"/>
                <w:lang w:val="en-US" w:eastAsia="zh-CN"/>
              </w:rPr>
              <w:t>一</w:t>
            </w:r>
            <w:r>
              <w:rPr>
                <w:rFonts w:hint="eastAsia"/>
                <w:b/>
                <w:bCs/>
                <w:color w:val="auto"/>
                <w:sz w:val="24"/>
                <w:lang w:eastAsia="zh-CN"/>
              </w:rPr>
              <w:t>）</w:t>
            </w:r>
            <w:r>
              <w:rPr>
                <w:b/>
                <w:bCs/>
                <w:color w:val="auto"/>
                <w:sz w:val="24"/>
              </w:rPr>
              <w:t>评价依据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根据《建设项目环境风险评价技术导则》（</w:t>
            </w:r>
            <w:r>
              <w:rPr>
                <w:rFonts w:hint="default" w:ascii="Times New Roman" w:hAnsi="Times New Roman" w:eastAsia="宋体" w:cs="Times New Roman"/>
                <w:color w:val="auto"/>
                <w:kern w:val="2"/>
                <w:sz w:val="24"/>
                <w:szCs w:val="24"/>
                <w:lang w:val="en-US" w:eastAsia="zh-CN" w:bidi="ar-SA"/>
              </w:rPr>
              <w:t>HJ169-2018</w:t>
            </w:r>
            <w:r>
              <w:rPr>
                <w:rFonts w:hint="eastAsia" w:ascii="Times New Roman" w:hAnsi="Times New Roman" w:eastAsia="宋体" w:cs="Times New Roman"/>
                <w:color w:val="auto"/>
                <w:kern w:val="2"/>
                <w:sz w:val="24"/>
                <w:szCs w:val="24"/>
                <w:lang w:val="en-US" w:eastAsia="zh-CN" w:bidi="ar-SA"/>
              </w:rPr>
              <w:t xml:space="preserve">）附录 </w:t>
            </w:r>
            <w:r>
              <w:rPr>
                <w:rFonts w:hint="default" w:ascii="Times New Roman" w:hAnsi="Times New Roman" w:eastAsia="宋体" w:cs="Times New Roman"/>
                <w:color w:val="auto"/>
                <w:kern w:val="2"/>
                <w:sz w:val="24"/>
                <w:szCs w:val="24"/>
                <w:lang w:val="en-US" w:eastAsia="zh-CN" w:bidi="ar-SA"/>
              </w:rPr>
              <w:t>B</w:t>
            </w:r>
            <w:r>
              <w:rPr>
                <w:rFonts w:hint="eastAsia" w:ascii="Times New Roman" w:hAnsi="Times New Roman" w:eastAsia="宋体" w:cs="Times New Roman"/>
                <w:color w:val="auto"/>
                <w:kern w:val="2"/>
                <w:sz w:val="24"/>
                <w:szCs w:val="24"/>
                <w:lang w:val="en-US" w:eastAsia="zh-CN" w:bidi="ar-SA"/>
              </w:rPr>
              <w:t>、《危险化学品重大危险源辨识》（</w:t>
            </w:r>
            <w:r>
              <w:rPr>
                <w:rFonts w:hint="default" w:ascii="Times New Roman" w:hAnsi="Times New Roman" w:eastAsia="宋体" w:cs="Times New Roman"/>
                <w:color w:val="auto"/>
                <w:kern w:val="2"/>
                <w:sz w:val="24"/>
                <w:szCs w:val="24"/>
                <w:lang w:val="en-US" w:eastAsia="zh-CN" w:bidi="ar-SA"/>
              </w:rPr>
              <w:t>GB18218-2018</w:t>
            </w:r>
            <w:r>
              <w:rPr>
                <w:rFonts w:hint="eastAsia" w:ascii="Times New Roman" w:hAnsi="Times New Roman" w:eastAsia="宋体" w:cs="Times New Roman"/>
                <w:color w:val="auto"/>
                <w:kern w:val="2"/>
                <w:sz w:val="24"/>
                <w:szCs w:val="24"/>
                <w:lang w:val="en-US" w:eastAsia="zh-CN" w:bidi="ar-SA"/>
              </w:rPr>
              <w:t>）等，本项目主要风险物质如下表。</w:t>
            </w:r>
          </w:p>
          <w:p>
            <w:pPr>
              <w:spacing w:line="360" w:lineRule="auto"/>
              <w:jc w:val="center"/>
              <w:rPr>
                <w:rFonts w:hint="eastAsia"/>
                <w:b/>
                <w:bCs/>
                <w:color w:val="auto"/>
                <w:szCs w:val="21"/>
              </w:rPr>
            </w:pPr>
            <w:r>
              <w:rPr>
                <w:b/>
                <w:bCs/>
                <w:color w:val="auto"/>
                <w:szCs w:val="21"/>
              </w:rPr>
              <w:t>表</w:t>
            </w:r>
            <w:r>
              <w:rPr>
                <w:rFonts w:hint="eastAsia"/>
                <w:b/>
                <w:bCs/>
                <w:color w:val="auto"/>
                <w:szCs w:val="21"/>
              </w:rPr>
              <w:t>4</w:t>
            </w:r>
            <w:r>
              <w:rPr>
                <w:b/>
                <w:bCs/>
                <w:color w:val="auto"/>
                <w:szCs w:val="21"/>
              </w:rPr>
              <w:t>-</w:t>
            </w:r>
            <w:r>
              <w:rPr>
                <w:rFonts w:hint="eastAsia"/>
                <w:b/>
                <w:bCs/>
                <w:color w:val="auto"/>
                <w:szCs w:val="21"/>
                <w:lang w:val="en-US" w:eastAsia="zh-CN"/>
              </w:rPr>
              <w:t>19</w:t>
            </w:r>
            <w:r>
              <w:rPr>
                <w:rFonts w:hint="eastAsia"/>
                <w:b/>
                <w:bCs/>
                <w:color w:val="auto"/>
                <w:szCs w:val="21"/>
              </w:rPr>
              <w:t xml:space="preserve"> </w:t>
            </w:r>
            <w:r>
              <w:rPr>
                <w:b/>
                <w:bCs/>
                <w:color w:val="auto"/>
                <w:szCs w:val="21"/>
              </w:rPr>
              <w:t>项目</w:t>
            </w:r>
            <w:r>
              <w:rPr>
                <w:rFonts w:hint="eastAsia"/>
                <w:b/>
                <w:bCs/>
                <w:color w:val="auto"/>
                <w:szCs w:val="21"/>
              </w:rPr>
              <w:t>危险化学品废物危险标记及储存统计表</w:t>
            </w:r>
          </w:p>
          <w:tbl>
            <w:tblPr>
              <w:tblStyle w:val="36"/>
              <w:tblW w:w="8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400"/>
              <w:gridCol w:w="1695"/>
              <w:gridCol w:w="1350"/>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3" w:type="dxa"/>
                  <w:noWrap w:val="0"/>
                  <w:vAlign w:val="center"/>
                </w:tcPr>
                <w:p>
                  <w:pPr>
                    <w:jc w:val="center"/>
                    <w:rPr>
                      <w:rFonts w:hint="eastAsia" w:eastAsia="宋体"/>
                      <w:b/>
                      <w:bCs/>
                      <w:color w:val="auto"/>
                      <w:szCs w:val="21"/>
                      <w:lang w:eastAsia="zh-CN"/>
                    </w:rPr>
                  </w:pPr>
                  <w:r>
                    <w:rPr>
                      <w:rFonts w:hint="eastAsia"/>
                      <w:b/>
                      <w:bCs/>
                      <w:color w:val="auto"/>
                      <w:szCs w:val="21"/>
                      <w:lang w:val="en-US" w:eastAsia="zh-CN"/>
                    </w:rPr>
                    <w:t>序号</w:t>
                  </w:r>
                </w:p>
              </w:tc>
              <w:tc>
                <w:tcPr>
                  <w:tcW w:w="2400" w:type="dxa"/>
                  <w:noWrap w:val="0"/>
                  <w:vAlign w:val="center"/>
                </w:tcPr>
                <w:p>
                  <w:pPr>
                    <w:jc w:val="center"/>
                    <w:rPr>
                      <w:b/>
                      <w:bCs/>
                      <w:color w:val="auto"/>
                      <w:szCs w:val="21"/>
                    </w:rPr>
                  </w:pPr>
                  <w:r>
                    <w:rPr>
                      <w:b/>
                      <w:bCs/>
                      <w:color w:val="auto"/>
                      <w:szCs w:val="21"/>
                    </w:rPr>
                    <w:t>危险物质名称</w:t>
                  </w:r>
                </w:p>
              </w:tc>
              <w:tc>
                <w:tcPr>
                  <w:tcW w:w="1695" w:type="dxa"/>
                  <w:noWrap w:val="0"/>
                  <w:vAlign w:val="center"/>
                </w:tcPr>
                <w:p>
                  <w:pPr>
                    <w:jc w:val="center"/>
                    <w:rPr>
                      <w:b/>
                      <w:bCs/>
                      <w:color w:val="auto"/>
                      <w:szCs w:val="21"/>
                    </w:rPr>
                  </w:pPr>
                  <w:r>
                    <w:rPr>
                      <w:rFonts w:hint="eastAsia"/>
                      <w:b/>
                      <w:bCs/>
                      <w:color w:val="auto"/>
                      <w:szCs w:val="21"/>
                      <w:lang w:val="en-US" w:eastAsia="zh-CN"/>
                    </w:rPr>
                    <w:t>最大</w:t>
                  </w:r>
                  <w:r>
                    <w:rPr>
                      <w:rFonts w:hint="eastAsia"/>
                      <w:b/>
                      <w:bCs/>
                      <w:color w:val="auto"/>
                      <w:szCs w:val="21"/>
                    </w:rPr>
                    <w:t>在线</w:t>
                  </w:r>
                  <w:r>
                    <w:rPr>
                      <w:b/>
                      <w:bCs/>
                      <w:color w:val="auto"/>
                      <w:szCs w:val="21"/>
                    </w:rPr>
                    <w:t>量（t）</w:t>
                  </w:r>
                </w:p>
              </w:tc>
              <w:tc>
                <w:tcPr>
                  <w:tcW w:w="1350" w:type="dxa"/>
                  <w:noWrap w:val="0"/>
                  <w:vAlign w:val="center"/>
                </w:tcPr>
                <w:p>
                  <w:pPr>
                    <w:jc w:val="center"/>
                    <w:rPr>
                      <w:b/>
                      <w:bCs/>
                      <w:color w:val="auto"/>
                      <w:szCs w:val="21"/>
                    </w:rPr>
                  </w:pPr>
                  <w:r>
                    <w:rPr>
                      <w:b/>
                      <w:bCs/>
                      <w:color w:val="auto"/>
                      <w:szCs w:val="21"/>
                    </w:rPr>
                    <w:t>临界量（t）</w:t>
                  </w:r>
                </w:p>
              </w:tc>
              <w:tc>
                <w:tcPr>
                  <w:tcW w:w="1910" w:type="dxa"/>
                  <w:noWrap w:val="0"/>
                  <w:vAlign w:val="center"/>
                </w:tcPr>
                <w:p>
                  <w:pPr>
                    <w:jc w:val="center"/>
                    <w:rPr>
                      <w:b/>
                      <w:bCs/>
                      <w:color w:val="auto"/>
                      <w:szCs w:val="21"/>
                    </w:rPr>
                  </w:pPr>
                  <w:r>
                    <w:rPr>
                      <w:b/>
                      <w:bCs/>
                      <w:color w:val="auto"/>
                      <w:szCs w:val="21"/>
                    </w:rPr>
                    <w:t>qn/Qn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63" w:type="dxa"/>
                  <w:noWrap w:val="0"/>
                  <w:vAlign w:val="center"/>
                </w:tcPr>
                <w:p>
                  <w:pPr>
                    <w:widowControl/>
                    <w:jc w:val="center"/>
                    <w:rPr>
                      <w:rFonts w:hint="default"/>
                      <w:color w:val="auto"/>
                      <w:kern w:val="0"/>
                      <w:szCs w:val="21"/>
                      <w:lang w:val="en-US" w:eastAsia="zh-CN" w:bidi="ar"/>
                    </w:rPr>
                  </w:pPr>
                  <w:r>
                    <w:rPr>
                      <w:rFonts w:hint="eastAsia"/>
                      <w:color w:val="auto"/>
                      <w:kern w:val="0"/>
                      <w:szCs w:val="21"/>
                      <w:lang w:val="en-US" w:eastAsia="zh-CN" w:bidi="ar"/>
                    </w:rPr>
                    <w:t>1</w:t>
                  </w:r>
                </w:p>
              </w:tc>
              <w:tc>
                <w:tcPr>
                  <w:tcW w:w="240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lang w:val="en-US" w:eastAsia="zh-CN"/>
                    </w:rPr>
                    <w:t>废机油</w:t>
                  </w:r>
                </w:p>
              </w:tc>
              <w:tc>
                <w:tcPr>
                  <w:tcW w:w="1695" w:type="dxa"/>
                  <w:noWrap w:val="0"/>
                  <w:vAlign w:val="center"/>
                </w:tcPr>
                <w:p>
                  <w:pPr>
                    <w:jc w:val="center"/>
                    <w:rPr>
                      <w:rFonts w:hint="default"/>
                      <w:color w:val="auto"/>
                      <w:szCs w:val="21"/>
                      <w:lang w:val="en-US" w:eastAsia="zh-CN"/>
                    </w:rPr>
                  </w:pPr>
                  <w:r>
                    <w:rPr>
                      <w:rFonts w:hint="eastAsia"/>
                      <w:color w:val="auto"/>
                      <w:szCs w:val="21"/>
                      <w:lang w:val="en-US" w:eastAsia="zh-CN"/>
                    </w:rPr>
                    <w:t>0.0025</w:t>
                  </w:r>
                </w:p>
              </w:tc>
              <w:tc>
                <w:tcPr>
                  <w:tcW w:w="1350" w:type="dxa"/>
                  <w:noWrap w:val="0"/>
                  <w:vAlign w:val="center"/>
                </w:tcPr>
                <w:p>
                  <w:pPr>
                    <w:jc w:val="center"/>
                    <w:rPr>
                      <w:rFonts w:hint="default"/>
                      <w:color w:val="auto"/>
                      <w:szCs w:val="21"/>
                      <w:lang w:val="en-US" w:eastAsia="zh-CN"/>
                    </w:rPr>
                  </w:pPr>
                  <w:r>
                    <w:rPr>
                      <w:rFonts w:hint="eastAsia" w:ascii="Times New Roman" w:hAnsi="Times New Roman"/>
                      <w:color w:val="auto"/>
                      <w:szCs w:val="21"/>
                    </w:rPr>
                    <w:t>2500</w:t>
                  </w:r>
                </w:p>
              </w:tc>
              <w:tc>
                <w:tcPr>
                  <w:tcW w:w="1910"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108" w:type="dxa"/>
                  <w:gridSpan w:val="4"/>
                  <w:noWrap w:val="0"/>
                  <w:vAlign w:val="center"/>
                </w:tcPr>
                <w:p>
                  <w:pPr>
                    <w:jc w:val="center"/>
                    <w:rPr>
                      <w:color w:val="auto"/>
                      <w:szCs w:val="21"/>
                    </w:rPr>
                  </w:pPr>
                  <w:r>
                    <w:rPr>
                      <w:rFonts w:hint="eastAsia"/>
                      <w:color w:val="auto"/>
                      <w:szCs w:val="21"/>
                    </w:rPr>
                    <w:t>合计</w:t>
                  </w:r>
                </w:p>
              </w:tc>
              <w:tc>
                <w:tcPr>
                  <w:tcW w:w="1910" w:type="dxa"/>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0.000001</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rPr>
            </w:pPr>
            <w:r>
              <w:rPr>
                <w:color w:val="auto"/>
                <w:sz w:val="24"/>
              </w:rPr>
              <w:t>根据《建设项目</w:t>
            </w:r>
            <w:r>
              <w:rPr>
                <w:rFonts w:ascii="Times New Roman" w:hAnsi="Times New Roman" w:eastAsia="宋体" w:cs="Times New Roman"/>
                <w:color w:val="auto"/>
                <w:sz w:val="24"/>
              </w:rPr>
              <w:t>环境风险评价技术导则》HJ169-2018，按照项目内危险物质数量与临界量比值（Q），本项目Q值为</w:t>
            </w:r>
            <w:r>
              <w:rPr>
                <w:rFonts w:hint="eastAsia" w:ascii="Times New Roman" w:hAnsi="Times New Roman" w:eastAsia="宋体" w:cs="Times New Roman"/>
                <w:color w:val="auto"/>
                <w:sz w:val="24"/>
                <w:lang w:val="en-US" w:eastAsia="zh-CN"/>
              </w:rPr>
              <w:t>0.000001</w:t>
            </w:r>
            <w:r>
              <w:rPr>
                <w:rFonts w:ascii="Times New Roman" w:hAnsi="Times New Roman" w:eastAsia="宋体" w:cs="Times New Roman"/>
                <w:color w:val="auto"/>
                <w:sz w:val="24"/>
              </w:rPr>
              <w:t>，Q小于1</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风险评价工作等级为简单分析。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sz w:val="24"/>
                <w:lang w:eastAsia="zh-CN"/>
              </w:rPr>
            </w:pPr>
            <w:r>
              <w:rPr>
                <w:rFonts w:hint="eastAsia"/>
                <w:b/>
                <w:bCs/>
                <w:color w:val="auto"/>
                <w:kern w:val="0"/>
                <w:sz w:val="24"/>
                <w:lang w:eastAsia="zh-CN" w:bidi="ar"/>
              </w:rPr>
              <w:t>（</w:t>
            </w:r>
            <w:r>
              <w:rPr>
                <w:rFonts w:hint="eastAsia" w:ascii="Times New Roman" w:hAnsi="Times New Roman" w:eastAsia="宋体" w:cs="Times New Roman"/>
                <w:b/>
                <w:bCs/>
                <w:color w:val="auto"/>
                <w:sz w:val="24"/>
                <w:lang w:val="en-US" w:eastAsia="zh-CN"/>
              </w:rPr>
              <w:t>二</w:t>
            </w:r>
            <w:r>
              <w:rPr>
                <w:rFonts w:hint="eastAsia"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危险物质及风险源的分布情况及可能影响途径</w:t>
            </w:r>
          </w:p>
          <w:p>
            <w:pPr>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表4-</w:t>
            </w:r>
            <w:r>
              <w:rPr>
                <w:rFonts w:hint="eastAsia" w:ascii="Times New Roman" w:hAnsi="Times New Roman" w:eastAsia="宋体" w:cs="Times New Roman"/>
                <w:b/>
                <w:bCs/>
                <w:color w:val="auto"/>
                <w:szCs w:val="21"/>
                <w:lang w:val="en-US" w:eastAsia="zh-CN"/>
              </w:rPr>
              <w:t>20</w:t>
            </w:r>
            <w:r>
              <w:rPr>
                <w:rFonts w:hint="default" w:ascii="Times New Roman" w:hAnsi="Times New Roman" w:eastAsia="宋体" w:cs="Times New Roman"/>
                <w:b/>
                <w:bCs/>
                <w:color w:val="auto"/>
                <w:szCs w:val="21"/>
              </w:rPr>
              <w:t xml:space="preserve"> </w:t>
            </w:r>
            <w:r>
              <w:rPr>
                <w:rFonts w:hint="default" w:ascii="Times New Roman" w:hAnsi="Times New Roman" w:eastAsia="宋体" w:cs="Times New Roman"/>
                <w:b/>
                <w:bCs/>
                <w:color w:val="auto"/>
                <w:szCs w:val="21"/>
                <w:lang w:val="en-US" w:eastAsia="zh-CN"/>
              </w:rPr>
              <w:t>本项目环境风险情况一览表</w:t>
            </w:r>
          </w:p>
          <w:tbl>
            <w:tblPr>
              <w:tblStyle w:val="36"/>
              <w:tblW w:w="8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515"/>
              <w:gridCol w:w="1110"/>
              <w:gridCol w:w="1875"/>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98" w:type="dxa"/>
                  <w:noWrap w:val="0"/>
                  <w:vAlign w:val="center"/>
                </w:tcPr>
                <w:p>
                  <w:pPr>
                    <w:keepNext w:val="0"/>
                    <w:keepLines w:val="0"/>
                    <w:widowControl/>
                    <w:suppressLineNumbers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0"/>
                      <w:sz w:val="21"/>
                      <w:szCs w:val="21"/>
                      <w:lang w:val="en-US" w:eastAsia="zh-CN" w:bidi="ar"/>
                    </w:rPr>
                    <w:t>危险物质</w:t>
                  </w:r>
                </w:p>
              </w:tc>
              <w:tc>
                <w:tcPr>
                  <w:tcW w:w="1515"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风险源</w:t>
                  </w:r>
                </w:p>
              </w:tc>
              <w:tc>
                <w:tcPr>
                  <w:tcW w:w="1110" w:type="dxa"/>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风险单元</w:t>
                  </w:r>
                </w:p>
              </w:tc>
              <w:tc>
                <w:tcPr>
                  <w:tcW w:w="1875" w:type="dxa"/>
                  <w:noWrap w:val="0"/>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风险类型</w:t>
                  </w:r>
                </w:p>
              </w:tc>
              <w:tc>
                <w:tcPr>
                  <w:tcW w:w="2420" w:type="dxa"/>
                  <w:noWrap w:val="0"/>
                  <w:vAlign w:val="center"/>
                </w:tcPr>
                <w:p>
                  <w:pPr>
                    <w:keepNext w:val="0"/>
                    <w:keepLines w:val="0"/>
                    <w:widowControl/>
                    <w:suppressLineNumbers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可能影响途径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98" w:type="dxa"/>
                  <w:noWrap w:val="0"/>
                  <w:vAlign w:val="center"/>
                </w:tcPr>
                <w:p>
                  <w:pPr>
                    <w:widowControl/>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废机油</w:t>
                  </w:r>
                </w:p>
              </w:tc>
              <w:tc>
                <w:tcPr>
                  <w:tcW w:w="1515" w:type="dxa"/>
                  <w:noWrap w:val="0"/>
                  <w:vAlign w:val="center"/>
                </w:tcPr>
                <w:p>
                  <w:pPr>
                    <w:widowControl/>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危废暂存间</w:t>
                  </w:r>
                </w:p>
              </w:tc>
              <w:tc>
                <w:tcPr>
                  <w:tcW w:w="1110"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中试车间</w:t>
                  </w:r>
                </w:p>
              </w:tc>
              <w:tc>
                <w:tcPr>
                  <w:tcW w:w="1875" w:type="dxa"/>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泄漏、火灾爆炸</w:t>
                  </w:r>
                </w:p>
              </w:tc>
              <w:tc>
                <w:tcPr>
                  <w:tcW w:w="2420" w:type="dxa"/>
                  <w:noWrap w:val="0"/>
                  <w:vAlign w:val="center"/>
                </w:tcPr>
                <w:p>
                  <w:pPr>
                    <w:keepNext w:val="0"/>
                    <w:keepLines w:val="0"/>
                    <w:widowControl/>
                    <w:suppressLineNumbers w:val="0"/>
                    <w:jc w:val="center"/>
                    <w:rPr>
                      <w:rFonts w:hint="default" w:ascii="Times New Roman" w:hAnsi="Times New Roman" w:cs="Times New Roman"/>
                      <w:color w:val="auto"/>
                      <w:sz w:val="21"/>
                      <w:szCs w:val="21"/>
                      <w:lang w:val="en-US" w:eastAsia="zh-CN"/>
                    </w:rPr>
                  </w:pPr>
                  <w:r>
                    <w:rPr>
                      <w:rFonts w:hint="eastAsia" w:ascii="宋体" w:hAnsi="宋体" w:eastAsia="宋体" w:cs="宋体"/>
                      <w:color w:val="auto"/>
                      <w:kern w:val="0"/>
                      <w:sz w:val="21"/>
                      <w:szCs w:val="21"/>
                      <w:lang w:val="en-US" w:eastAsia="zh-CN" w:bidi="ar"/>
                    </w:rPr>
                    <w:t>大气、地表水、地下水、土壤</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color w:val="auto"/>
                <w:sz w:val="24"/>
                <w:szCs w:val="24"/>
              </w:rPr>
            </w:pPr>
            <w:r>
              <w:rPr>
                <w:rFonts w:hint="eastAsia" w:ascii="Times New Roman" w:hAnsi="Times New Roman" w:eastAsia="宋体" w:cs="Times New Roman"/>
                <w:b/>
                <w:bCs/>
                <w:color w:val="auto"/>
                <w:kern w:val="0"/>
                <w:sz w:val="24"/>
                <w:szCs w:val="24"/>
                <w:lang w:val="en-US" w:eastAsia="zh-CN" w:bidi="ar"/>
              </w:rPr>
              <w:t>（三）</w:t>
            </w:r>
            <w:r>
              <w:rPr>
                <w:rFonts w:hint="eastAsia" w:ascii="宋体" w:hAnsi="宋体" w:eastAsia="宋体" w:cs="宋体"/>
                <w:b/>
                <w:bCs/>
                <w:color w:val="auto"/>
                <w:kern w:val="0"/>
                <w:sz w:val="24"/>
                <w:szCs w:val="24"/>
                <w:lang w:val="en-US" w:eastAsia="zh-CN" w:bidi="ar"/>
              </w:rPr>
              <w:t>相应的环境风险防范及应急措施：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color w:val="auto"/>
                <w:sz w:val="24"/>
                <w:szCs w:val="24"/>
              </w:rPr>
            </w:pPr>
            <w:r>
              <w:rPr>
                <w:rFonts w:hint="eastAsia" w:ascii="Times New Roman" w:hAnsi="Times New Roman" w:eastAsia="宋体" w:cs="Times New Roman"/>
                <w:b/>
                <w:bCs/>
                <w:color w:val="auto"/>
                <w:kern w:val="0"/>
                <w:sz w:val="24"/>
                <w:szCs w:val="24"/>
                <w:lang w:val="en-US" w:eastAsia="zh-CN" w:bidi="ar"/>
              </w:rPr>
              <w:t>1、</w:t>
            </w:r>
            <w:r>
              <w:rPr>
                <w:rFonts w:hint="eastAsia" w:ascii="宋体" w:hAnsi="宋体" w:eastAsia="宋体" w:cs="宋体"/>
                <w:b/>
                <w:bCs/>
                <w:color w:val="auto"/>
                <w:kern w:val="0"/>
                <w:sz w:val="24"/>
                <w:szCs w:val="24"/>
                <w:lang w:val="en-US" w:eastAsia="zh-CN" w:bidi="ar"/>
              </w:rPr>
              <w:t>危险物质泄漏风险防范应急措施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本项目危险物质储存于危废暂存间，由于储存不当，可能发生泄漏，泄漏后可能对地下水、土壤造成影响，若遇明火还可能发生火灾爆炸等风险。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color w:val="auto"/>
                <w:sz w:val="24"/>
                <w:szCs w:val="24"/>
              </w:rPr>
            </w:pPr>
            <w:r>
              <w:rPr>
                <w:rFonts w:hint="eastAsia" w:ascii="宋体" w:hAnsi="宋体" w:eastAsia="宋体" w:cs="宋体"/>
                <w:b/>
                <w:bCs/>
                <w:color w:val="auto"/>
                <w:kern w:val="0"/>
                <w:sz w:val="24"/>
                <w:szCs w:val="24"/>
                <w:lang w:val="en-US" w:eastAsia="zh-CN" w:bidi="ar"/>
              </w:rPr>
              <w:t>防范措施：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①采用专用储存设施，储存条件（温度、通风、远离火源等）满足要求。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②易发生泄漏的场所，应常备收容设施（备用桶等）、防范物资（如吸附泄漏物的沙子、吸附棉等），采用防爆型照明、通风设施。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③存储场所严禁烟火，并设置灭火器。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④设置专员管理，定期对包装容器进行检查，发现包装破裂时及时转移。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⑤规范设置危险物质容器以及收集、贮存、运输、处置危险废物的设施、场所，必须设置危险物质识别标志。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color w:val="auto"/>
                <w:sz w:val="24"/>
                <w:szCs w:val="24"/>
              </w:rPr>
            </w:pPr>
            <w:r>
              <w:rPr>
                <w:rFonts w:hint="eastAsia" w:ascii="宋体" w:hAnsi="宋体" w:eastAsia="宋体" w:cs="宋体"/>
                <w:b/>
                <w:bCs/>
                <w:color w:val="auto"/>
                <w:kern w:val="0"/>
                <w:sz w:val="24"/>
                <w:szCs w:val="24"/>
                <w:lang w:val="en-US" w:eastAsia="zh-CN" w:bidi="ar"/>
              </w:rPr>
              <w:t>应急措施：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一旦发生泄漏，应立即切断泄漏源，泄漏在托盘中的废机油和原容器剩余废机油均转移到备用容器中，核查泄漏原因，严禁烟火，控制泄漏物外流。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color w:val="auto"/>
                <w:sz w:val="24"/>
                <w:szCs w:val="24"/>
              </w:rPr>
            </w:pPr>
            <w:r>
              <w:rPr>
                <w:rFonts w:hint="eastAsia" w:ascii="Times New Roman" w:hAnsi="Times New Roman" w:eastAsia="宋体" w:cs="Times New Roman"/>
                <w:b/>
                <w:bCs/>
                <w:color w:val="auto"/>
                <w:kern w:val="0"/>
                <w:sz w:val="24"/>
                <w:szCs w:val="24"/>
                <w:lang w:val="en-US" w:eastAsia="zh-CN" w:bidi="ar"/>
              </w:rPr>
              <w:t>2、</w:t>
            </w:r>
            <w:r>
              <w:rPr>
                <w:rFonts w:hint="eastAsia" w:ascii="宋体" w:hAnsi="宋体" w:eastAsia="宋体" w:cs="宋体"/>
                <w:b/>
                <w:bCs/>
                <w:color w:val="auto"/>
                <w:kern w:val="0"/>
                <w:sz w:val="24"/>
                <w:szCs w:val="24"/>
                <w:lang w:val="en-US" w:eastAsia="zh-CN" w:bidi="ar"/>
              </w:rPr>
              <w:t>火灾、爆炸产生伴生</w:t>
            </w:r>
            <w:r>
              <w:rPr>
                <w:rFonts w:hint="default" w:ascii="Times New Roman" w:hAnsi="Times New Roman" w:eastAsia="宋体" w:cs="Times New Roman"/>
                <w:b/>
                <w:bCs/>
                <w:color w:val="auto"/>
                <w:kern w:val="0"/>
                <w:sz w:val="24"/>
                <w:szCs w:val="24"/>
                <w:lang w:val="en-US" w:eastAsia="zh-CN" w:bidi="ar"/>
              </w:rPr>
              <w:t>/</w:t>
            </w:r>
            <w:r>
              <w:rPr>
                <w:rFonts w:hint="eastAsia" w:ascii="宋体" w:hAnsi="宋体" w:eastAsia="宋体" w:cs="宋体"/>
                <w:b/>
                <w:bCs/>
                <w:color w:val="auto"/>
                <w:kern w:val="0"/>
                <w:sz w:val="24"/>
                <w:szCs w:val="24"/>
                <w:lang w:val="en-US" w:eastAsia="zh-CN" w:bidi="ar"/>
              </w:rPr>
              <w:t>次生污染物风险防范应急措施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火灾爆炸事故主要为易燃物品、电线短路等遇火源等引发的火灾及燃爆事故。火灾事故产生的浓烟会以起火点为中心在一定范围内降落大量烟尘，局部气温、气压、能见度等，会产生明显的变化，对局部大气环境（包括下风向大气环境）造成较大的短期的影响。火灾对周围环境的影响体现在火灾期间有毒烟气对周围环境的影响，这种影响一般是短暂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color w:val="auto"/>
                <w:sz w:val="24"/>
                <w:szCs w:val="24"/>
              </w:rPr>
            </w:pPr>
            <w:r>
              <w:rPr>
                <w:rFonts w:hint="eastAsia" w:ascii="宋体" w:hAnsi="宋体" w:eastAsia="宋体" w:cs="宋体"/>
                <w:b/>
                <w:bCs/>
                <w:color w:val="auto"/>
                <w:kern w:val="0"/>
                <w:sz w:val="24"/>
                <w:szCs w:val="24"/>
                <w:lang w:val="en-US" w:eastAsia="zh-CN" w:bidi="ar"/>
              </w:rPr>
              <w:t>防范措施：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①科学设计，严格管理。建筑、总平等符合《建设设计防火规范》。针对项目潜在的火灾风险，要求项目工程设计要科学规划，合理布置，保证施工质量，完善安全制度，严格管理，提高操作人员素质和水平，操作人员必须培训上岗，以避免事故的发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②按照《建筑灭火器配置设计规范》在项目内配备足够数量的灭火器。消防器材应当设置在明显和便于取用的地点，周围不准堆放物品和杂物。消防设施、器材，应当由专人管理，负责检查、维修、保养、更换和添置，保证完好有效，严禁圈占、埋压和挪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③禁止使用易产生火花的设备和工具，严禁烟火。</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④定期检查实验室电路，防止电路老化引起火灾事故。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⑤加强职工管理，进行必要的安全消防教育，并做好个人防护，加强职工培训，提高应急处理能力。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color w:val="auto"/>
                <w:sz w:val="24"/>
                <w:szCs w:val="24"/>
              </w:rPr>
            </w:pPr>
            <w:r>
              <w:rPr>
                <w:rFonts w:hint="eastAsia" w:ascii="宋体" w:hAnsi="宋体" w:eastAsia="宋体" w:cs="宋体"/>
                <w:b/>
                <w:bCs/>
                <w:color w:val="auto"/>
                <w:kern w:val="0"/>
                <w:sz w:val="24"/>
                <w:szCs w:val="24"/>
                <w:lang w:val="en-US" w:eastAsia="zh-CN" w:bidi="ar"/>
              </w:rPr>
              <w:t>应急措施：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一旦发生火灾，立即采取灭火器或消防栓救火，针对不同的着火物料，采取不同的灭火器材。如超出自身的灭火能力应立即联系当地消防大队救火（119）。灭火会产生消防废水，</w:t>
            </w:r>
            <w:r>
              <w:rPr>
                <w:rFonts w:hint="eastAsia" w:ascii="Times New Roman" w:hAnsi="Times New Roman" w:eastAsia="宋体" w:cs="Times New Roman"/>
                <w:color w:val="auto"/>
                <w:kern w:val="0"/>
                <w:sz w:val="24"/>
                <w:szCs w:val="24"/>
                <w:lang w:val="en-US" w:eastAsia="zh-CN" w:bidi="ar"/>
              </w:rPr>
              <w:t>四川翔丰华新能源材料有限公司厂区已采取雨污分流，设置</w:t>
            </w:r>
            <w:r>
              <w:rPr>
                <w:rFonts w:hint="default" w:ascii="Times New Roman" w:hAnsi="Times New Roman" w:eastAsia="宋体" w:cs="Times New Roman"/>
                <w:color w:val="auto"/>
                <w:kern w:val="0"/>
                <w:sz w:val="24"/>
                <w:szCs w:val="24"/>
                <w:lang w:val="en-US" w:eastAsia="zh-CN" w:bidi="ar"/>
              </w:rPr>
              <w:t>截止阀，出现紧急状况及时关闭截止阀，防止事故废水外排，同时，利用已设置的事故应急池对事故废水进行收集暂存。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为了防范火灾事故时可能造成的消防排水直接通过雨水管网排入地表水，避免造成环境风险事故，</w:t>
            </w:r>
            <w:r>
              <w:rPr>
                <w:rFonts w:hint="eastAsia" w:ascii="Times New Roman" w:hAnsi="Times New Roman" w:eastAsia="宋体" w:cs="Times New Roman"/>
                <w:color w:val="auto"/>
                <w:kern w:val="0"/>
                <w:sz w:val="24"/>
                <w:szCs w:val="24"/>
                <w:lang w:val="en-US" w:eastAsia="zh-CN" w:bidi="ar"/>
              </w:rPr>
              <w:t>四川翔丰华新能源材料有限公司已</w:t>
            </w:r>
            <w:r>
              <w:rPr>
                <w:rFonts w:hint="default" w:ascii="Times New Roman" w:hAnsi="Times New Roman" w:eastAsia="宋体" w:cs="Times New Roman"/>
                <w:color w:val="auto"/>
                <w:kern w:val="0"/>
                <w:sz w:val="24"/>
                <w:szCs w:val="24"/>
                <w:lang w:val="en-US" w:eastAsia="zh-CN" w:bidi="ar"/>
              </w:rPr>
              <w:t>设置1个有效容积约为</w:t>
            </w:r>
            <w:r>
              <w:rPr>
                <w:rFonts w:hint="eastAsia" w:ascii="Times New Roman" w:hAnsi="Times New Roman" w:eastAsia="宋体" w:cs="Times New Roman"/>
                <w:color w:val="auto"/>
                <w:kern w:val="0"/>
                <w:sz w:val="24"/>
                <w:szCs w:val="24"/>
                <w:lang w:val="en-US" w:eastAsia="zh-CN" w:bidi="ar"/>
              </w:rPr>
              <w:t>70</w:t>
            </w:r>
            <w:r>
              <w:rPr>
                <w:rFonts w:hint="default" w:ascii="Times New Roman" w:hAnsi="Times New Roman" w:eastAsia="宋体" w:cs="Times New Roman"/>
                <w:color w:val="auto"/>
                <w:kern w:val="0"/>
                <w:sz w:val="24"/>
                <w:szCs w:val="24"/>
                <w:lang w:val="en-US" w:eastAsia="zh-CN" w:bidi="ar"/>
              </w:rPr>
              <w:t>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事故应急池，平时空置，主要用于临时暂存事故状态下废水。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b/>
                <w:bCs/>
                <w:color w:val="auto"/>
                <w:kern w:val="0"/>
                <w:sz w:val="24"/>
                <w:szCs w:val="24"/>
                <w:lang w:val="en-US" w:eastAsia="zh-CN" w:bidi="ar"/>
              </w:rPr>
              <w:t>3、</w:t>
            </w:r>
            <w:r>
              <w:rPr>
                <w:rFonts w:hint="default" w:ascii="Times New Roman" w:hAnsi="Times New Roman" w:eastAsia="宋体" w:cs="Times New Roman"/>
                <w:b/>
                <w:bCs/>
                <w:color w:val="auto"/>
                <w:kern w:val="0"/>
                <w:sz w:val="24"/>
                <w:szCs w:val="24"/>
                <w:lang w:val="en-US" w:eastAsia="zh-CN" w:bidi="ar"/>
              </w:rPr>
              <w:t>环保设施故障导致废气不达标排放的风险防范应急措施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防范措施：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建立环保设备运行台账，每天对环保设备的运行情况进行如实记录，开机时间、关机时间、保养记录、故障维修情况。记录要点按照《排污单位环境管理台账及排污许可证执行报告技术规范总则》中相应模板进行记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建立环保设备维护制度，每天定时查看设备运行状态，加强废气治理设施的维护保养，一旦故障可及时发现及时处理。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按照监测计划定期监测环保设备污染物排放浓度，通过数据准确判断环保处理设备的有效性。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环保设备设置规范的排污口及采样口，配置一名专门的环保管理专员。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应急措施：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项目废气环保设备为自建，一旦发生故障，涉及废气污染物产生的工序均立即停止运行。同时委托专业单位维修，维修完成后才可再次恢复运行。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b/>
                <w:bCs/>
                <w:color w:val="auto"/>
                <w:kern w:val="0"/>
                <w:sz w:val="24"/>
                <w:szCs w:val="24"/>
                <w:lang w:val="en-US" w:eastAsia="zh-CN" w:bidi="ar"/>
              </w:rPr>
              <w:t>4</w:t>
            </w:r>
            <w:r>
              <w:rPr>
                <w:rFonts w:hint="default" w:ascii="Times New Roman" w:hAnsi="Times New Roman" w:eastAsia="宋体" w:cs="Times New Roman"/>
                <w:b/>
                <w:bCs/>
                <w:color w:val="auto"/>
                <w:kern w:val="0"/>
                <w:sz w:val="24"/>
                <w:szCs w:val="24"/>
                <w:lang w:val="en-US" w:eastAsia="zh-CN" w:bidi="ar"/>
              </w:rPr>
              <w:t>、应急预案</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作为事故风险防范和应急对策的重要组成部分，应急组织机构应制定应急计划，其基本内容包括应急组织、应急设备（设备器材）、应急通讯联络、应急监测、应急安全保卫、应急撤离措施、应急救援、事故后果评价、应急报告等。</w:t>
            </w:r>
          </w:p>
          <w:p>
            <w:pPr>
              <w:keepNext w:val="0"/>
              <w:keepLines w:val="0"/>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应急管理</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1 \* GB3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①</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应急原则</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应急组织坚持“主动预防、积极抢救”的原则，应能够处理火灾、爆炸、泄漏等突发事件，快速的反应和下达正确的处理措施，尽快控制，防止事故进一步蔓延或扩大，尽量减少人员伤亡和财产损失，一切听从指挥的命令。先救人后救物，发现火灾报警灭火。当险情已无法控制时，应及时组织人员采取求生自救方案。</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GB3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②</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应急救援保障</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应根据消防部门、应急管理局和生态环境局的要求，配置一定数量的应急设施、设备与器材。</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3 \* GB3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③</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应急小组</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成立应急小组，作为处理应急、突发事件的组织机构，明确应急小组责任人。</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GB3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应急演练</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开展应急演练，使员工熟悉并掌握各类事故发生后所采取的正确方法及应急程序，以便将事故造成的损失降至最低。演练方法以现场应急事故处理，消防设施的使用，人员急救、抢险模拟演练为主；也可在可能发生同类事故的地点、部位进行模拟演练等。</w:t>
            </w:r>
          </w:p>
          <w:p>
            <w:pPr>
              <w:keepNext w:val="0"/>
              <w:keepLines w:val="0"/>
              <w:pageBreakBefore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应急预案</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为了预防突发性的自然灾害、操作失控、污染事故、危险品泄漏等事故的发生，确保国家财产和人民生命</w:t>
            </w:r>
            <w:r>
              <w:rPr>
                <w:rFonts w:hint="eastAsia" w:cs="Times New Roman"/>
                <w:color w:val="auto"/>
                <w:sz w:val="24"/>
                <w:szCs w:val="24"/>
                <w:lang w:val="en-US" w:eastAsia="zh-CN"/>
              </w:rPr>
              <w:t>财产</w:t>
            </w:r>
            <w:r>
              <w:rPr>
                <w:rFonts w:hint="default" w:ascii="Times New Roman" w:hAnsi="Times New Roman" w:cs="Times New Roman"/>
                <w:color w:val="auto"/>
                <w:sz w:val="24"/>
                <w:szCs w:val="24"/>
              </w:rPr>
              <w:t>的安全，在突发性事故发生时，能够迅速、准确地处理和控制事故扩大，把事故损失及危害降到最小程度，有效地应急救援行动是唯一可以抵御事故灾害蔓延和减缓灾害后果的有力措施。</w:t>
            </w:r>
          </w:p>
          <w:p>
            <w:pPr>
              <w:keepNext w:val="0"/>
              <w:keepLines w:val="0"/>
              <w:pageBreakBefore w:val="0"/>
              <w:widowControl/>
              <w:suppressLineNumbers w:val="0"/>
              <w:kinsoku/>
              <w:wordWrap/>
              <w:overflowPunct/>
              <w:topLinePunct w:val="0"/>
              <w:bidi w:val="0"/>
              <w:adjustRightInd/>
              <w:snapToGrid/>
              <w:spacing w:line="36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一般应急预案应包括以下内容，见下表。</w:t>
            </w:r>
          </w:p>
          <w:p>
            <w:pPr>
              <w:keepNext w:val="0"/>
              <w:keepLines w:val="0"/>
              <w:pageBreakBefore w:val="0"/>
              <w:widowControl/>
              <w:suppressLineNumbers w:val="0"/>
              <w:kinsoku/>
              <w:wordWrap/>
              <w:overflowPunct/>
              <w:topLinePunct w:val="0"/>
              <w:bidi w:val="0"/>
              <w:adjustRightInd/>
              <w:snapToGrid/>
              <w:spacing w:line="360" w:lineRule="auto"/>
              <w:jc w:val="center"/>
              <w:textAlignment w:val="auto"/>
              <w:rPr>
                <w:rFonts w:hint="eastAsia" w:ascii="宋体" w:hAnsi="宋体" w:eastAsia="宋体" w:cs="Times New Roman"/>
                <w:b/>
                <w:bCs/>
                <w:color w:val="auto"/>
                <w:lang w:val="en-US" w:eastAsia="zh-CN"/>
              </w:rPr>
            </w:pPr>
            <w:r>
              <w:rPr>
                <w:rFonts w:hint="default" w:ascii="Times New Roman" w:hAnsi="Times New Roman" w:cs="Times New Roman"/>
                <w:b/>
                <w:bCs/>
                <w:color w:val="auto"/>
              </w:rPr>
              <w:t>表4-</w:t>
            </w:r>
            <w:r>
              <w:rPr>
                <w:rFonts w:hint="eastAsia" w:ascii="Times New Roman" w:hAnsi="Times New Roman" w:cs="Times New Roman"/>
                <w:b/>
                <w:bCs/>
                <w:color w:val="auto"/>
                <w:lang w:val="en-US" w:eastAsia="zh-CN"/>
              </w:rPr>
              <w:t>21</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lang w:val="en-US" w:eastAsia="zh-CN"/>
              </w:rPr>
              <w:t>环境风险应急预案主要内</w:t>
            </w:r>
            <w:r>
              <w:rPr>
                <w:rFonts w:hint="eastAsia" w:ascii="宋体" w:hAnsi="宋体" w:eastAsia="宋体" w:cs="Times New Roman"/>
                <w:b/>
                <w:bCs/>
                <w:color w:val="auto"/>
                <w:lang w:val="en-US" w:eastAsia="zh-CN"/>
              </w:rPr>
              <w:t>容要求</w:t>
            </w:r>
          </w:p>
          <w:tbl>
            <w:tblPr>
              <w:tblStyle w:val="37"/>
              <w:tblW w:w="79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2745"/>
              <w:gridCol w:w="4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27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454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274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应急组织机构、人员</w:t>
                  </w:r>
                </w:p>
              </w:tc>
              <w:tc>
                <w:tcPr>
                  <w:tcW w:w="4548" w:type="dxa"/>
                  <w:noWrap w:val="0"/>
                  <w:vAlign w:val="center"/>
                </w:tcPr>
                <w:p>
                  <w:pPr>
                    <w:adjustRightInd w:val="0"/>
                    <w:snapToGrid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公司应急组织机构、人员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274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预案分级响应条件</w:t>
                  </w:r>
                </w:p>
              </w:tc>
              <w:tc>
                <w:tcPr>
                  <w:tcW w:w="4548" w:type="dxa"/>
                  <w:noWrap w:val="0"/>
                  <w:vAlign w:val="center"/>
                </w:tcPr>
                <w:p>
                  <w:pPr>
                    <w:adjustRightInd w:val="0"/>
                    <w:snapToGrid w:val="0"/>
                    <w:ind w:firstLine="420" w:firstLineChars="20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274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应急救援保障</w:t>
                  </w:r>
                </w:p>
              </w:tc>
              <w:tc>
                <w:tcPr>
                  <w:tcW w:w="4548" w:type="dxa"/>
                  <w:noWrap w:val="0"/>
                  <w:vAlign w:val="center"/>
                </w:tcPr>
                <w:p>
                  <w:pPr>
                    <w:adjustRightInd w:val="0"/>
                    <w:snapToGrid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274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报警、通讯联络方式</w:t>
                  </w:r>
                </w:p>
              </w:tc>
              <w:tc>
                <w:tcPr>
                  <w:tcW w:w="4548" w:type="dxa"/>
                  <w:noWrap w:val="0"/>
                  <w:vAlign w:val="center"/>
                </w:tcPr>
                <w:p>
                  <w:pPr>
                    <w:adjustRightInd w:val="0"/>
                    <w:snapToGrid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规定应急状态下的报警通讯方式、通知方式和交通保障、管制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w:t>
                  </w:r>
                </w:p>
              </w:tc>
              <w:tc>
                <w:tcPr>
                  <w:tcW w:w="274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应急环境监测、抢险、救援及控制措施</w:t>
                  </w:r>
                </w:p>
              </w:tc>
              <w:tc>
                <w:tcPr>
                  <w:tcW w:w="4548" w:type="dxa"/>
                  <w:noWrap w:val="0"/>
                  <w:vAlign w:val="center"/>
                </w:tcPr>
                <w:p>
                  <w:pPr>
                    <w:autoSpaceDE w:val="0"/>
                    <w:autoSpaceDN w:val="0"/>
                    <w:adjustRightInd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由专业队伍负责对事故现场进行监测，对事故性质、参数与后果进行评估，为指挥部门提供决策依据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w:t>
                  </w:r>
                </w:p>
              </w:tc>
              <w:tc>
                <w:tcPr>
                  <w:tcW w:w="274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防护措施、清除泄漏措施器材</w:t>
                  </w:r>
                </w:p>
              </w:tc>
              <w:tc>
                <w:tcPr>
                  <w:tcW w:w="4548" w:type="dxa"/>
                  <w:noWrap w:val="0"/>
                  <w:vAlign w:val="center"/>
                </w:tcPr>
                <w:p>
                  <w:pPr>
                    <w:autoSpaceDE w:val="0"/>
                    <w:autoSpaceDN w:val="0"/>
                    <w:adjustRightInd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w:t>
                  </w:r>
                </w:p>
              </w:tc>
              <w:tc>
                <w:tcPr>
                  <w:tcW w:w="274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人员紧急撤离、疏散</w:t>
                  </w:r>
                </w:p>
              </w:tc>
              <w:tc>
                <w:tcPr>
                  <w:tcW w:w="4548" w:type="dxa"/>
                  <w:noWrap w:val="0"/>
                  <w:vAlign w:val="center"/>
                </w:tcPr>
                <w:p>
                  <w:pPr>
                    <w:autoSpaceDE w:val="0"/>
                    <w:autoSpaceDN w:val="0"/>
                    <w:adjustRightInd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事故现场、邻近区、受事故影响的区域人员及公众对毒物应急</w:t>
                  </w:r>
                  <w:r>
                    <w:rPr>
                      <w:rFonts w:hint="eastAsia" w:cs="Times New Roman"/>
                      <w:b w:val="0"/>
                      <w:bCs w:val="0"/>
                      <w:color w:val="auto"/>
                      <w:sz w:val="21"/>
                      <w:szCs w:val="21"/>
                      <w:lang w:val="en-US" w:eastAsia="zh-CN"/>
                    </w:rPr>
                    <w:t>总</w:t>
                  </w:r>
                  <w:r>
                    <w:rPr>
                      <w:rFonts w:hint="default" w:ascii="Times New Roman" w:hAnsi="Times New Roman" w:cs="Times New Roman"/>
                      <w:b w:val="0"/>
                      <w:bCs w:val="0"/>
                      <w:color w:val="auto"/>
                      <w:sz w:val="21"/>
                      <w:szCs w:val="21"/>
                    </w:rPr>
                    <w:t>量控制规定，撤离组织计划及救护，医疗救护与公众健康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w:t>
                  </w:r>
                </w:p>
              </w:tc>
              <w:tc>
                <w:tcPr>
                  <w:tcW w:w="274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事故应急救援关闭程序与恢复措施</w:t>
                  </w:r>
                </w:p>
              </w:tc>
              <w:tc>
                <w:tcPr>
                  <w:tcW w:w="4548" w:type="dxa"/>
                  <w:noWrap w:val="0"/>
                  <w:vAlign w:val="center"/>
                </w:tcPr>
                <w:p>
                  <w:pPr>
                    <w:autoSpaceDE w:val="0"/>
                    <w:autoSpaceDN w:val="0"/>
                    <w:adjustRightInd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规定应急状态终止程序；事故现场善后处理，恢复措施；邻近区域解除事故警戒及善后恢复措施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w:t>
                  </w:r>
                </w:p>
              </w:tc>
              <w:tc>
                <w:tcPr>
                  <w:tcW w:w="274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应急培训计划</w:t>
                  </w:r>
                </w:p>
              </w:tc>
              <w:tc>
                <w:tcPr>
                  <w:tcW w:w="4548" w:type="dxa"/>
                  <w:noWrap w:val="0"/>
                  <w:vAlign w:val="center"/>
                </w:tcPr>
                <w:p>
                  <w:pPr>
                    <w:adjustRightInd w:val="0"/>
                    <w:snapToGrid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rPr>
                    <w:t>应急计划制定后，平时安排人员培训与演练</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bCs/>
                <w:color w:val="auto"/>
                <w:kern w:val="0"/>
                <w:sz w:val="24"/>
                <w:szCs w:val="24"/>
                <w:lang w:val="en-US" w:eastAsia="zh-CN" w:bidi="ar"/>
              </w:rPr>
            </w:pPr>
            <w:r>
              <w:rPr>
                <w:color w:val="auto"/>
                <w:sz w:val="24"/>
                <w:szCs w:val="24"/>
              </w:rPr>
              <w:t>综上所述，项目运营过程中风险是存在的，但只要加强管理，建立健全相应的风险防范措施、应急措施，并在管理及运</w:t>
            </w:r>
            <w:bookmarkStart w:id="9" w:name="_GoBack"/>
            <w:bookmarkEnd w:id="9"/>
            <w:r>
              <w:rPr>
                <w:color w:val="auto"/>
                <w:sz w:val="24"/>
                <w:szCs w:val="24"/>
              </w:rPr>
              <w:t>行中认真落实提出的措施和相关安全管理规定、环境风险评价中提出的措施和相关环保规定，其风险事故隐患可降至可接受水平</w:t>
            </w:r>
            <w:r>
              <w:rPr>
                <w:rFonts w:hint="eastAsia"/>
                <w:color w:val="auto"/>
                <w:sz w:val="24"/>
                <w:szCs w:val="24"/>
                <w:lang w:eastAsia="zh-CN"/>
              </w:rPr>
              <w:t>。</w:t>
            </w:r>
          </w:p>
          <w:p>
            <w:pPr>
              <w:keepNext w:val="0"/>
              <w:keepLines w:val="0"/>
              <w:pageBreakBefore w:val="0"/>
              <w:widowControl/>
              <w:suppressLineNumbers w:val="0"/>
              <w:kinsoku/>
              <w:wordWrap/>
              <w:overflowPunct/>
              <w:topLinePunct w:val="0"/>
              <w:bidi w:val="0"/>
              <w:spacing w:line="360" w:lineRule="auto"/>
              <w:ind w:firstLine="482" w:firstLineChars="200"/>
              <w:jc w:val="both"/>
              <w:textAlignment w:val="auto"/>
              <w:rPr>
                <w:color w:val="auto"/>
                <w:sz w:val="24"/>
                <w:szCs w:val="24"/>
              </w:rPr>
            </w:pPr>
            <w:r>
              <w:rPr>
                <w:rFonts w:hint="eastAsia" w:ascii="Times New Roman" w:hAnsi="Times New Roman" w:eastAsia="宋体" w:cs="Times New Roman"/>
                <w:b/>
                <w:bCs/>
                <w:color w:val="auto"/>
                <w:kern w:val="0"/>
                <w:sz w:val="24"/>
                <w:szCs w:val="24"/>
                <w:lang w:val="en-US" w:eastAsia="zh-CN" w:bidi="ar"/>
              </w:rPr>
              <w:t>（四）</w:t>
            </w:r>
            <w:r>
              <w:rPr>
                <w:rFonts w:hint="eastAsia" w:ascii="宋体" w:hAnsi="宋体" w:eastAsia="宋体" w:cs="宋体"/>
                <w:b/>
                <w:bCs/>
                <w:color w:val="auto"/>
                <w:kern w:val="0"/>
                <w:sz w:val="24"/>
                <w:szCs w:val="24"/>
                <w:lang w:val="en-US" w:eastAsia="zh-CN" w:bidi="ar"/>
              </w:rPr>
              <w:t xml:space="preserve">环境风险分析结论 </w:t>
            </w:r>
          </w:p>
          <w:p>
            <w:pPr>
              <w:keepNext w:val="0"/>
              <w:keepLines w:val="0"/>
              <w:pageBreakBefore w:val="0"/>
              <w:kinsoku/>
              <w:wordWrap/>
              <w:overflowPunct/>
              <w:topLinePunct w:val="0"/>
              <w:autoSpaceDE w:val="0"/>
              <w:autoSpaceDN w:val="0"/>
              <w:bidi w:val="0"/>
              <w:spacing w:line="360" w:lineRule="auto"/>
              <w:ind w:firstLine="480" w:firstLineChars="200"/>
              <w:jc w:val="both"/>
              <w:textAlignment w:val="auto"/>
              <w:rPr>
                <w:color w:val="auto"/>
                <w:sz w:val="24"/>
                <w:szCs w:val="24"/>
              </w:rPr>
            </w:pPr>
            <w:r>
              <w:rPr>
                <w:color w:val="auto"/>
                <w:sz w:val="24"/>
                <w:szCs w:val="24"/>
              </w:rPr>
              <w:t>本项目运行期间存在一定的环境风险，主要存在于</w:t>
            </w:r>
            <w:r>
              <w:rPr>
                <w:rFonts w:hint="eastAsia" w:ascii="宋体" w:hAnsi="宋体" w:eastAsia="宋体" w:cs="宋体"/>
                <w:color w:val="auto"/>
                <w:kern w:val="0"/>
                <w:sz w:val="24"/>
                <w:szCs w:val="24"/>
                <w:lang w:val="en-US" w:eastAsia="zh-CN" w:bidi="ar"/>
              </w:rPr>
              <w:t>危废暂存间等</w:t>
            </w:r>
            <w:r>
              <w:rPr>
                <w:color w:val="auto"/>
                <w:sz w:val="24"/>
                <w:szCs w:val="24"/>
              </w:rPr>
              <w:t>区域，项目应按照本环境影响评价总结的风险防范措施要求，控制风险的发生。只要采取相应的风险防范措施，其风险事故可以得到有效预防及控制，风险处于完全可以接受的水平。</w:t>
            </w:r>
          </w:p>
          <w:p>
            <w:pPr>
              <w:keepNext w:val="0"/>
              <w:keepLines w:val="0"/>
              <w:pageBreakBefore w:val="0"/>
              <w:kinsoku/>
              <w:wordWrap/>
              <w:overflowPunct/>
              <w:topLinePunct w:val="0"/>
              <w:bidi w:val="0"/>
              <w:adjustRightInd w:val="0"/>
              <w:snapToGrid w:val="0"/>
              <w:spacing w:line="360" w:lineRule="auto"/>
              <w:ind w:firstLine="480" w:firstLineChars="200"/>
              <w:jc w:val="both"/>
              <w:textAlignment w:val="auto"/>
              <w:rPr>
                <w:color w:val="auto"/>
                <w:sz w:val="24"/>
                <w:szCs w:val="24"/>
              </w:rPr>
            </w:pPr>
            <w:r>
              <w:rPr>
                <w:color w:val="auto"/>
                <w:sz w:val="24"/>
                <w:szCs w:val="24"/>
              </w:rPr>
              <w:t>通过分析，项目发生风险的概率低，严格按照本次评价提出的防范措施和应急预案实施后，能够将风险影响范围控制在较小范围，对周围环境影响不大，环境风险事故水平在可接受范围之内。</w:t>
            </w:r>
          </w:p>
          <w:p>
            <w:pPr>
              <w:spacing w:line="360" w:lineRule="auto"/>
              <w:ind w:firstLine="482" w:firstLineChars="200"/>
              <w:rPr>
                <w:rFonts w:hint="eastAsia" w:ascii="宋体" w:hAnsi="宋体" w:cs="宋体"/>
                <w:b/>
                <w:bCs/>
                <w:color w:val="auto"/>
                <w:spacing w:val="-10"/>
                <w:sz w:val="24"/>
              </w:rPr>
            </w:pPr>
            <w:r>
              <w:rPr>
                <w:rFonts w:hint="eastAsia"/>
                <w:b/>
                <w:color w:val="auto"/>
                <w:sz w:val="24"/>
                <w:lang w:val="en-US" w:eastAsia="zh-CN"/>
              </w:rPr>
              <w:t>八</w:t>
            </w:r>
            <w:r>
              <w:rPr>
                <w:rFonts w:hint="eastAsia"/>
                <w:b/>
                <w:color w:val="auto"/>
                <w:sz w:val="24"/>
              </w:rPr>
              <w:t>、环保投资</w:t>
            </w:r>
          </w:p>
          <w:p>
            <w:pPr>
              <w:spacing w:line="360" w:lineRule="auto"/>
              <w:ind w:firstLine="480" w:firstLineChars="200"/>
              <w:rPr>
                <w:rFonts w:hint="eastAsia"/>
                <w:b/>
                <w:bCs/>
                <w:color w:val="auto"/>
                <w:szCs w:val="21"/>
              </w:rPr>
            </w:pPr>
            <w:r>
              <w:rPr>
                <w:color w:val="auto"/>
                <w:sz w:val="24"/>
              </w:rPr>
              <w:t>本项目总投资</w:t>
            </w:r>
            <w:r>
              <w:rPr>
                <w:rFonts w:hint="eastAsia"/>
                <w:color w:val="auto"/>
                <w:sz w:val="24"/>
                <w:lang w:val="en-US" w:eastAsia="zh-CN"/>
              </w:rPr>
              <w:t>1</w:t>
            </w:r>
            <w:r>
              <w:rPr>
                <w:rFonts w:hint="eastAsia"/>
                <w:color w:val="auto"/>
                <w:sz w:val="24"/>
              </w:rPr>
              <w:t>000</w:t>
            </w:r>
            <w:r>
              <w:rPr>
                <w:color w:val="auto"/>
                <w:sz w:val="24"/>
              </w:rPr>
              <w:t>万元，其中环保投资约</w:t>
            </w:r>
            <w:r>
              <w:rPr>
                <w:rFonts w:hint="eastAsia"/>
                <w:color w:val="auto"/>
                <w:sz w:val="24"/>
                <w:lang w:val="en-US" w:eastAsia="zh-CN"/>
              </w:rPr>
              <w:t>30</w:t>
            </w:r>
            <w:r>
              <w:rPr>
                <w:color w:val="auto"/>
                <w:sz w:val="24"/>
              </w:rPr>
              <w:t>万元，占总投资的</w:t>
            </w:r>
            <w:r>
              <w:rPr>
                <w:rFonts w:hint="eastAsia"/>
                <w:color w:val="auto"/>
                <w:sz w:val="24"/>
                <w:lang w:val="en-US" w:eastAsia="zh-CN"/>
              </w:rPr>
              <w:t>3</w:t>
            </w:r>
            <w:r>
              <w:rPr>
                <w:color w:val="auto"/>
                <w:sz w:val="24"/>
              </w:rPr>
              <w:t>%，环保设施（措施）及投资估算一览表见下表。</w:t>
            </w:r>
          </w:p>
          <w:p>
            <w:pPr>
              <w:spacing w:line="360" w:lineRule="auto"/>
              <w:jc w:val="center"/>
              <w:rPr>
                <w:b/>
                <w:bCs/>
                <w:color w:val="auto"/>
                <w:szCs w:val="21"/>
              </w:rPr>
            </w:pPr>
            <w:r>
              <w:rPr>
                <w:rFonts w:hint="eastAsia"/>
                <w:b/>
                <w:bCs/>
                <w:color w:val="auto"/>
                <w:szCs w:val="21"/>
              </w:rPr>
              <w:t>表4-</w:t>
            </w:r>
            <w:r>
              <w:rPr>
                <w:rFonts w:hint="eastAsia"/>
                <w:b/>
                <w:bCs/>
                <w:color w:val="auto"/>
                <w:szCs w:val="21"/>
                <w:lang w:val="en-US" w:eastAsia="zh-CN"/>
              </w:rPr>
              <w:t>22</w:t>
            </w:r>
            <w:r>
              <w:rPr>
                <w:rFonts w:hint="eastAsia"/>
                <w:b/>
                <w:bCs/>
                <w:color w:val="auto"/>
                <w:szCs w:val="21"/>
              </w:rPr>
              <w:t xml:space="preserve"> 环保投资估算一览表</w:t>
            </w:r>
          </w:p>
          <w:tbl>
            <w:tblPr>
              <w:tblStyle w:val="36"/>
              <w:tblW w:w="8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21"/>
              <w:gridCol w:w="750"/>
              <w:gridCol w:w="22"/>
              <w:gridCol w:w="4070"/>
              <w:gridCol w:w="1106"/>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40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b/>
                      <w:bCs/>
                      <w:color w:val="auto"/>
                    </w:rPr>
                  </w:pPr>
                  <w:r>
                    <w:rPr>
                      <w:rFonts w:ascii="宋体" w:hAnsi="宋体"/>
                      <w:b/>
                      <w:bCs/>
                      <w:color w:val="auto"/>
                    </w:rPr>
                    <w:t>项目</w:t>
                  </w:r>
                </w:p>
              </w:tc>
              <w:tc>
                <w:tcPr>
                  <w:tcW w:w="484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b/>
                      <w:bCs/>
                      <w:color w:val="auto"/>
                    </w:rPr>
                  </w:pPr>
                  <w:r>
                    <w:rPr>
                      <w:rFonts w:ascii="宋体" w:hAnsi="宋体"/>
                      <w:b/>
                      <w:bCs/>
                      <w:color w:val="auto"/>
                    </w:rPr>
                    <w:t>内容</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jc w:val="center"/>
                    <w:rPr>
                      <w:b/>
                      <w:bCs/>
                      <w:color w:val="auto"/>
                    </w:rPr>
                  </w:pPr>
                  <w:r>
                    <w:rPr>
                      <w:rFonts w:ascii="宋体" w:hAnsi="宋体"/>
                      <w:b/>
                      <w:bCs/>
                      <w:color w:val="auto"/>
                    </w:rPr>
                    <w:t>环保投资（万元）</w:t>
                  </w:r>
                </w:p>
              </w:tc>
              <w:tc>
                <w:tcPr>
                  <w:tcW w:w="704" w:type="dxa"/>
                  <w:tcBorders>
                    <w:top w:val="single" w:color="auto" w:sz="4" w:space="0"/>
                    <w:left w:val="single" w:color="auto" w:sz="4" w:space="0"/>
                    <w:bottom w:val="single" w:color="auto" w:sz="4" w:space="0"/>
                    <w:right w:val="single" w:color="auto" w:sz="4" w:space="0"/>
                  </w:tcBorders>
                  <w:noWrap w:val="0"/>
                  <w:vAlign w:val="center"/>
                </w:tcPr>
                <w:p>
                  <w:pPr>
                    <w:jc w:val="center"/>
                    <w:rPr>
                      <w:b/>
                      <w:bCs/>
                      <w:color w:val="auto"/>
                    </w:rPr>
                  </w:pPr>
                  <w:r>
                    <w:rPr>
                      <w:rFonts w:ascii="宋体" w:hAnsi="宋体"/>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jc w:val="center"/>
              </w:trPr>
              <w:tc>
                <w:tcPr>
                  <w:tcW w:w="688" w:type="dxa"/>
                  <w:vMerge w:val="restart"/>
                  <w:tcBorders>
                    <w:top w:val="nil"/>
                    <w:left w:val="single" w:color="auto" w:sz="4" w:space="0"/>
                    <w:right w:val="single" w:color="auto" w:sz="4" w:space="0"/>
                  </w:tcBorders>
                  <w:noWrap w:val="0"/>
                  <w:vAlign w:val="center"/>
                </w:tcPr>
                <w:p>
                  <w:pPr>
                    <w:widowControl/>
                    <w:jc w:val="center"/>
                    <w:rPr>
                      <w:color w:val="auto"/>
                    </w:rPr>
                  </w:pPr>
                  <w:r>
                    <w:rPr>
                      <w:rFonts w:ascii="宋体" w:hAnsi="宋体"/>
                      <w:color w:val="auto"/>
                    </w:rPr>
                    <w:t>废水治理</w:t>
                  </w:r>
                </w:p>
              </w:tc>
              <w:tc>
                <w:tcPr>
                  <w:tcW w:w="721" w:type="dxa"/>
                  <w:tcBorders>
                    <w:top w:val="nil"/>
                    <w:left w:val="single" w:color="auto" w:sz="4" w:space="0"/>
                    <w:bottom w:val="single" w:color="auto" w:sz="4" w:space="0"/>
                    <w:right w:val="single" w:color="auto" w:sz="4" w:space="0"/>
                  </w:tcBorders>
                  <w:noWrap w:val="0"/>
                  <w:vAlign w:val="center"/>
                </w:tcPr>
                <w:p>
                  <w:pPr>
                    <w:jc w:val="center"/>
                    <w:rPr>
                      <w:rFonts w:ascii="宋体" w:hAnsi="宋体"/>
                      <w:color w:val="auto"/>
                    </w:rPr>
                  </w:pPr>
                  <w:r>
                    <w:rPr>
                      <w:rFonts w:ascii="宋体" w:hAnsi="宋体"/>
                      <w:color w:val="auto"/>
                    </w:rPr>
                    <w:t>施工期</w:t>
                  </w:r>
                </w:p>
              </w:tc>
              <w:tc>
                <w:tcPr>
                  <w:tcW w:w="484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cs="Arial"/>
                      <w:color w:val="auto"/>
                      <w:szCs w:val="21"/>
                    </w:rPr>
                  </w:pPr>
                  <w:r>
                    <w:rPr>
                      <w:rFonts w:cs="Arial"/>
                      <w:color w:val="auto"/>
                      <w:szCs w:val="21"/>
                    </w:rPr>
                    <w:t>生活污水</w:t>
                  </w:r>
                  <w:r>
                    <w:rPr>
                      <w:rFonts w:hint="default" w:ascii="Times New Roman" w:hAnsi="Times New Roman" w:eastAsia="宋体" w:cs="Times New Roman"/>
                      <w:color w:val="auto"/>
                      <w:kern w:val="2"/>
                      <w:sz w:val="21"/>
                      <w:szCs w:val="21"/>
                      <w:lang w:val="en-US" w:eastAsia="zh-CN" w:bidi="ar-SA"/>
                    </w:rPr>
                    <w:t>依托</w:t>
                  </w:r>
                  <w:r>
                    <w:rPr>
                      <w:rFonts w:hint="eastAsia" w:ascii="Times New Roman" w:hAnsi="Times New Roman" w:eastAsia="宋体" w:cs="Times New Roman"/>
                      <w:color w:val="auto"/>
                      <w:sz w:val="21"/>
                      <w:szCs w:val="21"/>
                      <w:lang w:val="en-US" w:eastAsia="zh-CN"/>
                    </w:rPr>
                    <w:t>四川翔丰华新能源材料有限公司已建4#</w:t>
                  </w:r>
                  <w:r>
                    <w:rPr>
                      <w:rFonts w:hint="default" w:ascii="Times New Roman" w:hAnsi="Times New Roman" w:eastAsia="宋体" w:cs="Times New Roman"/>
                      <w:color w:val="auto"/>
                      <w:kern w:val="2"/>
                      <w:sz w:val="21"/>
                      <w:szCs w:val="21"/>
                      <w:lang w:val="en-US" w:eastAsia="zh-CN" w:bidi="ar-SA"/>
                    </w:rPr>
                    <w:t>预处理池（</w:t>
                  </w:r>
                  <w:r>
                    <w:rPr>
                      <w:rFonts w:hint="eastAsia" w:ascii="Times New Roman" w:hAnsi="Times New Roman" w:eastAsia="宋体" w:cs="Times New Roman"/>
                      <w:color w:val="auto"/>
                      <w:kern w:val="2"/>
                      <w:sz w:val="21"/>
                      <w:szCs w:val="21"/>
                      <w:lang w:val="en-US" w:eastAsia="zh-CN" w:bidi="ar-SA"/>
                    </w:rPr>
                    <w:t>6</w:t>
                  </w:r>
                  <w:r>
                    <w:rPr>
                      <w:rFonts w:hint="default" w:ascii="Times New Roman" w:hAnsi="Times New Roman" w:eastAsia="宋体"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）处理后</w:t>
                  </w:r>
                  <w:r>
                    <w:rPr>
                      <w:color w:val="auto"/>
                      <w:szCs w:val="21"/>
                    </w:rPr>
                    <w:t>排入</w:t>
                  </w:r>
                  <w:r>
                    <w:rPr>
                      <w:rFonts w:hint="eastAsia"/>
                      <w:color w:val="auto"/>
                      <w:szCs w:val="21"/>
                      <w:lang w:eastAsia="zh-CN"/>
                    </w:rPr>
                    <w:t>园区污水管网</w:t>
                  </w:r>
                  <w:r>
                    <w:rPr>
                      <w:rFonts w:hint="eastAsia"/>
                      <w:color w:val="auto"/>
                      <w:szCs w:val="21"/>
                    </w:rPr>
                    <w:t>；</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color w:val="auto"/>
                    </w:rPr>
                    <w:t>/</w:t>
                  </w:r>
                </w:p>
              </w:tc>
              <w:tc>
                <w:tcPr>
                  <w:tcW w:w="70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rPr>
                  </w:pPr>
                  <w:r>
                    <w:rPr>
                      <w:rFonts w:ascii="宋体" w:hAnsi="宋体"/>
                      <w:color w:val="auto"/>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688" w:type="dxa"/>
                  <w:vMerge w:val="continue"/>
                  <w:tcBorders>
                    <w:left w:val="single" w:color="auto" w:sz="4" w:space="0"/>
                    <w:bottom w:val="single" w:color="auto" w:sz="4" w:space="0"/>
                    <w:right w:val="single" w:color="auto" w:sz="4" w:space="0"/>
                  </w:tcBorders>
                  <w:noWrap w:val="0"/>
                  <w:vAlign w:val="center"/>
                </w:tcPr>
                <w:p>
                  <w:pPr>
                    <w:widowControl/>
                    <w:jc w:val="center"/>
                    <w:rPr>
                      <w:color w:val="auto"/>
                    </w:rPr>
                  </w:pPr>
                </w:p>
              </w:tc>
              <w:tc>
                <w:tcPr>
                  <w:tcW w:w="721" w:type="dxa"/>
                  <w:tcBorders>
                    <w:top w:val="nil"/>
                    <w:left w:val="single" w:color="auto" w:sz="4" w:space="0"/>
                    <w:bottom w:val="single" w:color="auto" w:sz="4" w:space="0"/>
                    <w:right w:val="single" w:color="auto" w:sz="4" w:space="0"/>
                  </w:tcBorders>
                  <w:noWrap w:val="0"/>
                  <w:vAlign w:val="center"/>
                </w:tcPr>
                <w:p>
                  <w:pPr>
                    <w:jc w:val="center"/>
                    <w:rPr>
                      <w:rFonts w:ascii="宋体" w:hAnsi="宋体"/>
                      <w:color w:val="auto"/>
                    </w:rPr>
                  </w:pPr>
                  <w:r>
                    <w:rPr>
                      <w:rFonts w:ascii="宋体" w:hAnsi="宋体"/>
                      <w:color w:val="auto"/>
                    </w:rPr>
                    <w:t>运营期</w:t>
                  </w:r>
                </w:p>
              </w:tc>
              <w:tc>
                <w:tcPr>
                  <w:tcW w:w="484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szCs w:val="21"/>
                    </w:rPr>
                  </w:pPr>
                  <w:r>
                    <w:rPr>
                      <w:rFonts w:hint="eastAsia" w:ascii="Times New Roman" w:hAnsi="Times New Roman" w:eastAsia="宋体" w:cs="Times New Roman"/>
                      <w:color w:val="auto"/>
                      <w:sz w:val="21"/>
                      <w:szCs w:val="21"/>
                      <w:lang w:val="en-US" w:eastAsia="zh-CN"/>
                    </w:rPr>
                    <w:t>碱喷淋废水经酸碱中和预处理后，</w:t>
                  </w:r>
                  <w:r>
                    <w:rPr>
                      <w:rFonts w:hint="eastAsia" w:cs="Times New Roman"/>
                      <w:color w:val="auto"/>
                      <w:sz w:val="21"/>
                      <w:szCs w:val="21"/>
                      <w:lang w:val="en-US" w:eastAsia="zh-CN"/>
                    </w:rPr>
                    <w:t>和</w:t>
                  </w:r>
                  <w:r>
                    <w:rPr>
                      <w:rFonts w:hint="eastAsia" w:ascii="Times New Roman" w:hAnsi="Times New Roman" w:eastAsia="宋体" w:cs="Times New Roman"/>
                      <w:color w:val="auto"/>
                      <w:sz w:val="21"/>
                      <w:szCs w:val="21"/>
                      <w:lang w:val="en-US" w:eastAsia="zh-CN"/>
                    </w:rPr>
                    <w:t>生活污水一起排入四川翔丰华新能源材料有限公司已建4#预处理池处理后排入园区污水管网</w:t>
                  </w:r>
                  <w:r>
                    <w:rPr>
                      <w:rFonts w:hint="eastAsia"/>
                      <w:color w:val="auto"/>
                      <w:szCs w:val="21"/>
                    </w:rPr>
                    <w:t>；</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auto"/>
                      <w:lang w:val="en-US" w:eastAsia="zh-CN"/>
                    </w:rPr>
                  </w:pPr>
                  <w:r>
                    <w:rPr>
                      <w:rFonts w:hint="eastAsia"/>
                      <w:color w:val="auto"/>
                      <w:lang w:val="en-US" w:eastAsia="zh-CN"/>
                    </w:rPr>
                    <w:t>0.01</w:t>
                  </w:r>
                </w:p>
              </w:tc>
              <w:tc>
                <w:tcPr>
                  <w:tcW w:w="70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auto"/>
                      <w:lang w:val="en-US" w:eastAsia="zh-CN"/>
                    </w:rPr>
                  </w:pPr>
                  <w:r>
                    <w:rPr>
                      <w:rFonts w:ascii="宋体" w:hAnsi="宋体"/>
                      <w:color w:val="auto"/>
                    </w:rPr>
                    <w:t>依托</w:t>
                  </w:r>
                  <w:r>
                    <w:rPr>
                      <w:rFonts w:hint="eastAsia" w:ascii="宋体" w:hAnsi="宋体"/>
                      <w:color w:val="auto"/>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88" w:type="dxa"/>
                  <w:vMerge w:val="restart"/>
                  <w:tcBorders>
                    <w:top w:val="nil"/>
                    <w:left w:val="single" w:color="auto" w:sz="4" w:space="0"/>
                    <w:right w:val="single" w:color="auto" w:sz="4" w:space="0"/>
                  </w:tcBorders>
                  <w:noWrap w:val="0"/>
                  <w:vAlign w:val="center"/>
                </w:tcPr>
                <w:p>
                  <w:pPr>
                    <w:widowControl/>
                    <w:jc w:val="center"/>
                    <w:rPr>
                      <w:color w:val="auto"/>
                    </w:rPr>
                  </w:pPr>
                  <w:r>
                    <w:rPr>
                      <w:rFonts w:ascii="宋体" w:hAnsi="宋体"/>
                      <w:color w:val="auto"/>
                    </w:rPr>
                    <w:t>废气治理</w:t>
                  </w:r>
                </w:p>
              </w:tc>
              <w:tc>
                <w:tcPr>
                  <w:tcW w:w="721" w:type="dxa"/>
                  <w:tcBorders>
                    <w:top w:val="nil"/>
                    <w:left w:val="single" w:color="auto" w:sz="4" w:space="0"/>
                    <w:right w:val="single" w:color="auto" w:sz="4" w:space="0"/>
                  </w:tcBorders>
                  <w:noWrap w:val="0"/>
                  <w:vAlign w:val="center"/>
                </w:tcPr>
                <w:p>
                  <w:pPr>
                    <w:jc w:val="center"/>
                    <w:rPr>
                      <w:rFonts w:ascii="宋体" w:hAnsi="宋体"/>
                      <w:color w:val="auto"/>
                    </w:rPr>
                  </w:pPr>
                  <w:r>
                    <w:rPr>
                      <w:rFonts w:ascii="宋体" w:hAnsi="宋体"/>
                      <w:color w:val="auto"/>
                    </w:rPr>
                    <w:t>施工期</w:t>
                  </w:r>
                </w:p>
              </w:tc>
              <w:tc>
                <w:tcPr>
                  <w:tcW w:w="4842" w:type="dxa"/>
                  <w:gridSpan w:val="3"/>
                  <w:tcBorders>
                    <w:top w:val="single" w:color="auto" w:sz="4" w:space="0"/>
                    <w:left w:val="single" w:color="auto" w:sz="4" w:space="0"/>
                    <w:bottom w:val="single" w:color="auto" w:sz="4" w:space="0"/>
                    <w:right w:val="single" w:color="auto" w:sz="4" w:space="0"/>
                  </w:tcBorders>
                  <w:noWrap w:val="0"/>
                  <w:vAlign w:val="center"/>
                </w:tcPr>
                <w:p>
                  <w:pPr>
                    <w:pStyle w:val="145"/>
                    <w:rPr>
                      <w:rFonts w:ascii="宋体" w:hAnsi="宋体" w:cs="宋体"/>
                      <w:color w:val="auto"/>
                      <w:kern w:val="0"/>
                      <w:szCs w:val="21"/>
                      <w:lang w:bidi="ar"/>
                    </w:rPr>
                  </w:pPr>
                  <w:r>
                    <w:rPr>
                      <w:rFonts w:hint="eastAsia" w:ascii="宋体" w:hAnsi="宋体"/>
                      <w:color w:val="auto"/>
                    </w:rPr>
                    <w:t>确保湿法作业，施工场地设专门的保洁工人，场地清理阶段，做到先洒水，后清扫，防止扬尘产生</w:t>
                  </w:r>
                  <w:r>
                    <w:rPr>
                      <w:rFonts w:ascii="宋体" w:hAnsi="宋体"/>
                      <w:color w:val="auto"/>
                    </w:rPr>
                    <w:t>等</w:t>
                  </w:r>
                  <w:r>
                    <w:rPr>
                      <w:rFonts w:hint="eastAsia" w:ascii="宋体" w:hAnsi="宋体"/>
                      <w:color w:val="auto"/>
                    </w:rPr>
                    <w:t>；</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auto"/>
                      <w:lang w:val="en-US" w:eastAsia="zh-CN"/>
                    </w:rPr>
                  </w:pPr>
                  <w:r>
                    <w:rPr>
                      <w:color w:val="auto"/>
                    </w:rPr>
                    <w:t>0.</w:t>
                  </w:r>
                  <w:r>
                    <w:rPr>
                      <w:rFonts w:hint="eastAsia"/>
                      <w:color w:val="auto"/>
                      <w:lang w:val="en-US" w:eastAsia="zh-CN"/>
                    </w:rPr>
                    <w:t>49</w:t>
                  </w:r>
                </w:p>
              </w:tc>
              <w:tc>
                <w:tcPr>
                  <w:tcW w:w="70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rPr>
                  </w:pPr>
                  <w:r>
                    <w:rPr>
                      <w:rFonts w:ascii="宋体" w:hAnsi="宋体"/>
                      <w:color w:val="auto"/>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88" w:type="dxa"/>
                  <w:vMerge w:val="continue"/>
                  <w:tcBorders>
                    <w:left w:val="single" w:color="auto" w:sz="4" w:space="0"/>
                    <w:right w:val="single" w:color="auto" w:sz="4" w:space="0"/>
                  </w:tcBorders>
                  <w:noWrap w:val="0"/>
                  <w:vAlign w:val="center"/>
                </w:tcPr>
                <w:p>
                  <w:pPr>
                    <w:widowControl/>
                    <w:jc w:val="center"/>
                    <w:rPr>
                      <w:color w:val="auto"/>
                    </w:rPr>
                  </w:pPr>
                </w:p>
              </w:tc>
              <w:tc>
                <w:tcPr>
                  <w:tcW w:w="721" w:type="dxa"/>
                  <w:tcBorders>
                    <w:top w:val="nil"/>
                    <w:left w:val="single" w:color="auto" w:sz="4" w:space="0"/>
                    <w:right w:val="single" w:color="auto" w:sz="4" w:space="0"/>
                  </w:tcBorders>
                  <w:noWrap w:val="0"/>
                  <w:vAlign w:val="center"/>
                </w:tcPr>
                <w:p>
                  <w:pPr>
                    <w:jc w:val="center"/>
                    <w:rPr>
                      <w:rFonts w:ascii="宋体" w:hAnsi="宋体"/>
                      <w:color w:val="auto"/>
                    </w:rPr>
                  </w:pPr>
                  <w:r>
                    <w:rPr>
                      <w:rFonts w:ascii="宋体" w:hAnsi="宋体"/>
                      <w:color w:val="auto"/>
                    </w:rPr>
                    <w:t>运营期</w:t>
                  </w:r>
                </w:p>
              </w:tc>
              <w:tc>
                <w:tcPr>
                  <w:tcW w:w="77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lang w:eastAsia="zh-CN"/>
                    </w:rPr>
                  </w:pPr>
                  <w:r>
                    <w:rPr>
                      <w:rFonts w:hint="eastAsia" w:ascii="Times New Roman" w:hAnsi="Times New Roman" w:eastAsia="宋体" w:cs="Times New Roman"/>
                      <w:color w:val="auto"/>
                      <w:sz w:val="21"/>
                      <w:szCs w:val="21"/>
                      <w:lang w:val="en-US" w:eastAsia="zh-CN"/>
                    </w:rPr>
                    <w:t>研发</w:t>
                  </w:r>
                  <w:r>
                    <w:rPr>
                      <w:rFonts w:hint="default" w:ascii="Times New Roman" w:hAnsi="Times New Roman" w:eastAsia="宋体" w:cs="Times New Roman"/>
                      <w:color w:val="auto"/>
                      <w:sz w:val="21"/>
                      <w:szCs w:val="21"/>
                      <w:lang w:val="en-US" w:eastAsia="zh-CN"/>
                    </w:rPr>
                    <w:t>废气</w:t>
                  </w:r>
                </w:p>
              </w:tc>
              <w:tc>
                <w:tcPr>
                  <w:tcW w:w="407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szCs w:val="21"/>
                    </w:rPr>
                  </w:pPr>
                  <w:r>
                    <w:rPr>
                      <w:rFonts w:hint="eastAsia" w:ascii="Times New Roman" w:hAnsi="Times New Roman" w:eastAsia="宋体" w:cs="Times New Roman"/>
                      <w:color w:val="auto"/>
                      <w:sz w:val="21"/>
                      <w:szCs w:val="21"/>
                      <w:lang w:val="en-US" w:eastAsia="zh-CN"/>
                    </w:rPr>
                    <w:t>项目产生的投料粉尘、膨化炉废气及分级粉尘经集气罩或管道收集至2套“布袋除尘器+碱喷淋”处理后，通过2根15m高排气筒（DA001、DA002）达标排放</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切割粉尘产生量小，直接无组织排放；研磨粉尘经设备自带布袋除尘器处理后无组织排放；</w:t>
                  </w:r>
                </w:p>
              </w:tc>
              <w:tc>
                <w:tcPr>
                  <w:tcW w:w="1106" w:type="dxa"/>
                  <w:tcBorders>
                    <w:top w:val="single" w:color="auto" w:sz="4" w:space="0"/>
                    <w:left w:val="single" w:color="auto" w:sz="4" w:space="0"/>
                    <w:right w:val="single" w:color="auto" w:sz="4" w:space="0"/>
                  </w:tcBorders>
                  <w:noWrap w:val="0"/>
                  <w:vAlign w:val="center"/>
                </w:tcPr>
                <w:p>
                  <w:pPr>
                    <w:jc w:val="center"/>
                    <w:rPr>
                      <w:rFonts w:hint="default" w:eastAsia="宋体"/>
                      <w:color w:val="auto"/>
                      <w:lang w:val="en-US" w:eastAsia="zh-CN"/>
                    </w:rPr>
                  </w:pPr>
                  <w:r>
                    <w:rPr>
                      <w:rFonts w:hint="eastAsia"/>
                      <w:color w:val="auto"/>
                      <w:lang w:val="en-US" w:eastAsia="zh-CN"/>
                    </w:rPr>
                    <w:t>20</w:t>
                  </w:r>
                </w:p>
              </w:tc>
              <w:tc>
                <w:tcPr>
                  <w:tcW w:w="704" w:type="dxa"/>
                  <w:tcBorders>
                    <w:top w:val="single" w:color="auto" w:sz="4" w:space="0"/>
                    <w:left w:val="single" w:color="auto" w:sz="4" w:space="0"/>
                    <w:right w:val="single" w:color="auto" w:sz="4" w:space="0"/>
                  </w:tcBorders>
                  <w:noWrap w:val="0"/>
                  <w:vAlign w:val="center"/>
                </w:tcPr>
                <w:p>
                  <w:pPr>
                    <w:jc w:val="center"/>
                    <w:rPr>
                      <w:rFonts w:ascii="宋体" w:hAnsi="宋体"/>
                      <w:color w:val="auto"/>
                    </w:rPr>
                  </w:pPr>
                  <w:r>
                    <w:rPr>
                      <w:rFonts w:ascii="宋体" w:hAnsi="宋体"/>
                      <w:color w:val="auto"/>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688" w:type="dxa"/>
                  <w:vMerge w:val="restart"/>
                  <w:tcBorders>
                    <w:top w:val="nil"/>
                    <w:left w:val="single" w:color="auto" w:sz="4" w:space="0"/>
                    <w:right w:val="single" w:color="auto" w:sz="4" w:space="0"/>
                  </w:tcBorders>
                  <w:noWrap w:val="0"/>
                  <w:vAlign w:val="center"/>
                </w:tcPr>
                <w:p>
                  <w:pPr>
                    <w:jc w:val="center"/>
                    <w:rPr>
                      <w:color w:val="auto"/>
                    </w:rPr>
                  </w:pPr>
                  <w:r>
                    <w:rPr>
                      <w:rFonts w:ascii="宋体" w:hAnsi="宋体"/>
                      <w:color w:val="auto"/>
                    </w:rPr>
                    <w:t>固废处置</w:t>
                  </w:r>
                </w:p>
              </w:tc>
              <w:tc>
                <w:tcPr>
                  <w:tcW w:w="721" w:type="dxa"/>
                  <w:tcBorders>
                    <w:top w:val="nil"/>
                    <w:left w:val="single" w:color="auto" w:sz="4" w:space="0"/>
                    <w:right w:val="single" w:color="auto" w:sz="4" w:space="0"/>
                  </w:tcBorders>
                  <w:noWrap w:val="0"/>
                  <w:vAlign w:val="center"/>
                </w:tcPr>
                <w:p>
                  <w:pPr>
                    <w:jc w:val="center"/>
                    <w:rPr>
                      <w:rFonts w:ascii="宋体" w:hAnsi="宋体"/>
                      <w:color w:val="auto"/>
                    </w:rPr>
                  </w:pPr>
                  <w:r>
                    <w:rPr>
                      <w:rFonts w:ascii="宋体" w:hAnsi="宋体"/>
                      <w:color w:val="auto"/>
                    </w:rPr>
                    <w:t>施工期</w:t>
                  </w:r>
                </w:p>
              </w:tc>
              <w:tc>
                <w:tcPr>
                  <w:tcW w:w="4842"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rFonts w:hint="eastAsia" w:ascii="宋体" w:hAnsi="宋体"/>
                      <w:color w:val="auto"/>
                    </w:rPr>
                    <w:t>建筑垃圾集中收集后，由环卫部门统一清运处置，废包装材料外售给废品站；</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rPr>
                  </w:pPr>
                  <w:r>
                    <w:rPr>
                      <w:rFonts w:hint="eastAsia"/>
                      <w:color w:val="auto"/>
                    </w:rPr>
                    <w:t>1</w:t>
                  </w:r>
                </w:p>
              </w:tc>
              <w:tc>
                <w:tcPr>
                  <w:tcW w:w="70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rPr>
                  </w:pPr>
                  <w:r>
                    <w:rPr>
                      <w:rFonts w:ascii="宋体" w:hAnsi="宋体"/>
                      <w:color w:val="auto"/>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9" w:hRule="atLeast"/>
                <w:jc w:val="center"/>
              </w:trPr>
              <w:tc>
                <w:tcPr>
                  <w:tcW w:w="688" w:type="dxa"/>
                  <w:vMerge w:val="continue"/>
                  <w:tcBorders>
                    <w:left w:val="single" w:color="auto" w:sz="4" w:space="0"/>
                    <w:right w:val="single" w:color="auto" w:sz="4" w:space="0"/>
                  </w:tcBorders>
                  <w:noWrap w:val="0"/>
                  <w:vAlign w:val="center"/>
                </w:tcPr>
                <w:p>
                  <w:pPr>
                    <w:jc w:val="center"/>
                    <w:rPr>
                      <w:color w:val="auto"/>
                    </w:rPr>
                  </w:pPr>
                </w:p>
              </w:tc>
              <w:tc>
                <w:tcPr>
                  <w:tcW w:w="721" w:type="dxa"/>
                  <w:vMerge w:val="restart"/>
                  <w:tcBorders>
                    <w:top w:val="nil"/>
                    <w:left w:val="single" w:color="auto" w:sz="4" w:space="0"/>
                    <w:right w:val="single" w:color="auto" w:sz="4" w:space="0"/>
                  </w:tcBorders>
                  <w:noWrap w:val="0"/>
                  <w:vAlign w:val="center"/>
                </w:tcPr>
                <w:p>
                  <w:pPr>
                    <w:jc w:val="center"/>
                    <w:rPr>
                      <w:rFonts w:ascii="宋体" w:hAnsi="宋体"/>
                      <w:color w:val="auto"/>
                    </w:rPr>
                  </w:pPr>
                  <w:r>
                    <w:rPr>
                      <w:rFonts w:ascii="宋体" w:hAnsi="宋体"/>
                      <w:color w:val="auto"/>
                    </w:rPr>
                    <w:t>运营期</w:t>
                  </w:r>
                </w:p>
              </w:tc>
              <w:tc>
                <w:tcPr>
                  <w:tcW w:w="750"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rFonts w:ascii="宋体" w:hAnsi="宋体"/>
                      <w:color w:val="auto"/>
                    </w:rPr>
                    <w:t>一般固废</w:t>
                  </w:r>
                </w:p>
              </w:tc>
              <w:tc>
                <w:tcPr>
                  <w:tcW w:w="4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color w:val="auto"/>
                    </w:rPr>
                  </w:pPr>
                  <w:r>
                    <w:rPr>
                      <w:rFonts w:hint="eastAsia"/>
                      <w:color w:val="auto"/>
                      <w:kern w:val="0"/>
                      <w:sz w:val="21"/>
                      <w:szCs w:val="21"/>
                      <w:lang w:val="en-US" w:eastAsia="zh-CN" w:bidi="ar"/>
                    </w:rPr>
                    <w:t>依托</w:t>
                  </w:r>
                  <w:r>
                    <w:rPr>
                      <w:rFonts w:hint="eastAsia" w:ascii="Times New Roman" w:hAnsi="Times New Roman" w:eastAsia="宋体" w:cs="Times New Roman"/>
                      <w:color w:val="auto"/>
                      <w:sz w:val="21"/>
                      <w:szCs w:val="21"/>
                      <w:lang w:val="en-US" w:eastAsia="zh-CN"/>
                    </w:rPr>
                    <w:t>四川翔丰华新能源材料有限公司已建一般固废暂存间，</w:t>
                  </w:r>
                  <w:r>
                    <w:rPr>
                      <w:color w:val="auto"/>
                      <w:kern w:val="0"/>
                      <w:sz w:val="21"/>
                      <w:szCs w:val="21"/>
                      <w:lang w:bidi="ar"/>
                    </w:rPr>
                    <w:t>位于</w:t>
                  </w:r>
                  <w:r>
                    <w:rPr>
                      <w:rFonts w:hint="eastAsia" w:ascii="Times New Roman" w:hAnsi="Times New Roman" w:eastAsia="宋体" w:cs="Times New Roman"/>
                      <w:color w:val="auto"/>
                      <w:sz w:val="21"/>
                      <w:szCs w:val="21"/>
                      <w:lang w:val="en-US" w:eastAsia="zh-CN"/>
                    </w:rPr>
                    <w:t>四川翔丰华新能源材料有限公司厂区西侧</w:t>
                  </w:r>
                  <w:r>
                    <w:rPr>
                      <w:rFonts w:hint="eastAsia" w:ascii="Times New Roman" w:hAnsi="Times New Roman" w:eastAsia="宋体" w:cs="Times New Roman"/>
                      <w:color w:val="auto"/>
                      <w:kern w:val="0"/>
                      <w:sz w:val="21"/>
                      <w:szCs w:val="21"/>
                      <w:lang w:val="en-US" w:eastAsia="zh-CN" w:bidi="ar"/>
                    </w:rPr>
                    <w:t>，</w:t>
                  </w:r>
                  <w:r>
                    <w:rPr>
                      <w:color w:val="auto"/>
                      <w:sz w:val="21"/>
                      <w:szCs w:val="21"/>
                    </w:rPr>
                    <w:t>建筑面积</w:t>
                  </w:r>
                  <w:r>
                    <w:rPr>
                      <w:rFonts w:hint="eastAsia"/>
                      <w:color w:val="auto"/>
                      <w:sz w:val="21"/>
                      <w:szCs w:val="21"/>
                      <w:lang w:val="en-US" w:eastAsia="zh-CN"/>
                    </w:rPr>
                    <w:t>约</w:t>
                  </w:r>
                  <w:r>
                    <w:rPr>
                      <w:color w:val="auto"/>
                      <w:sz w:val="21"/>
                      <w:szCs w:val="21"/>
                    </w:rPr>
                    <w:t>为</w:t>
                  </w:r>
                  <w:r>
                    <w:rPr>
                      <w:rFonts w:hint="eastAsia"/>
                      <w:color w:val="auto"/>
                      <w:sz w:val="21"/>
                      <w:szCs w:val="21"/>
                      <w:lang w:val="en-US" w:eastAsia="zh-CN"/>
                    </w:rPr>
                    <w:t>500</w:t>
                  </w:r>
                  <w:r>
                    <w:rPr>
                      <w:color w:val="auto"/>
                      <w:sz w:val="21"/>
                      <w:szCs w:val="21"/>
                    </w:rPr>
                    <w:t>m</w:t>
                  </w:r>
                  <w:r>
                    <w:rPr>
                      <w:color w:val="auto"/>
                      <w:sz w:val="21"/>
                      <w:szCs w:val="21"/>
                      <w:vertAlign w:val="superscript"/>
                    </w:rPr>
                    <w:t>2</w:t>
                  </w:r>
                  <w:r>
                    <w:rPr>
                      <w:color w:val="auto"/>
                      <w:sz w:val="21"/>
                      <w:szCs w:val="21"/>
                    </w:rPr>
                    <w:t>，用于暂存项目</w:t>
                  </w:r>
                  <w:r>
                    <w:rPr>
                      <w:rFonts w:hint="eastAsia"/>
                      <w:color w:val="auto"/>
                      <w:sz w:val="21"/>
                      <w:szCs w:val="21"/>
                      <w:lang w:val="en-US" w:eastAsia="zh-CN"/>
                    </w:rPr>
                    <w:t>研发</w:t>
                  </w:r>
                  <w:r>
                    <w:rPr>
                      <w:color w:val="auto"/>
                      <w:sz w:val="21"/>
                      <w:szCs w:val="21"/>
                    </w:rPr>
                    <w:t>过程中产生的一般固体废物（如</w:t>
                  </w:r>
                  <w:r>
                    <w:rPr>
                      <w:rFonts w:hint="eastAsia"/>
                      <w:color w:val="auto"/>
                      <w:sz w:val="21"/>
                      <w:szCs w:val="21"/>
                    </w:rPr>
                    <w:t>未沾染具有危险特性物质的废包装材料</w:t>
                  </w:r>
                  <w:r>
                    <w:rPr>
                      <w:color w:val="auto"/>
                      <w:sz w:val="21"/>
                      <w:szCs w:val="21"/>
                    </w:rPr>
                    <w:t>等）；</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auto"/>
                      <w:lang w:eastAsia="zh-CN"/>
                    </w:rPr>
                  </w:pPr>
                  <w:r>
                    <w:rPr>
                      <w:rFonts w:hint="eastAsia"/>
                      <w:color w:val="auto"/>
                      <w:lang w:val="en-US" w:eastAsia="zh-CN"/>
                    </w:rPr>
                    <w:t>/</w:t>
                  </w:r>
                </w:p>
              </w:tc>
              <w:tc>
                <w:tcPr>
                  <w:tcW w:w="704"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rFonts w:ascii="宋体" w:hAnsi="宋体"/>
                      <w:color w:val="auto"/>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688" w:type="dxa"/>
                  <w:vMerge w:val="continue"/>
                  <w:tcBorders>
                    <w:left w:val="single" w:color="auto" w:sz="4" w:space="0"/>
                    <w:bottom w:val="single" w:color="auto" w:sz="4" w:space="0"/>
                    <w:right w:val="single" w:color="auto" w:sz="4" w:space="0"/>
                  </w:tcBorders>
                  <w:noWrap w:val="0"/>
                  <w:vAlign w:val="center"/>
                </w:tcPr>
                <w:p>
                  <w:pPr>
                    <w:widowControl/>
                    <w:jc w:val="left"/>
                    <w:rPr>
                      <w:color w:val="auto"/>
                    </w:rPr>
                  </w:pPr>
                </w:p>
              </w:tc>
              <w:tc>
                <w:tcPr>
                  <w:tcW w:w="721" w:type="dxa"/>
                  <w:vMerge w:val="continue"/>
                  <w:tcBorders>
                    <w:left w:val="single" w:color="auto" w:sz="4" w:space="0"/>
                    <w:bottom w:val="single" w:color="auto" w:sz="4" w:space="0"/>
                    <w:right w:val="single" w:color="auto" w:sz="4" w:space="0"/>
                  </w:tcBorders>
                  <w:noWrap w:val="0"/>
                  <w:vAlign w:val="center"/>
                </w:tcPr>
                <w:p>
                  <w:pPr>
                    <w:widowControl/>
                    <w:jc w:val="left"/>
                    <w:rPr>
                      <w:color w:val="auto"/>
                    </w:rPr>
                  </w:pPr>
                </w:p>
              </w:tc>
              <w:tc>
                <w:tcPr>
                  <w:tcW w:w="7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409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Cs w:val="21"/>
                    </w:rPr>
                  </w:pPr>
                  <w:r>
                    <w:rPr>
                      <w:rFonts w:hint="eastAsia"/>
                      <w:color w:val="auto"/>
                      <w:kern w:val="0"/>
                      <w:sz w:val="21"/>
                      <w:szCs w:val="21"/>
                      <w:lang w:val="en-US" w:eastAsia="zh-CN" w:bidi="ar"/>
                    </w:rPr>
                    <w:t>依托</w:t>
                  </w:r>
                  <w:r>
                    <w:rPr>
                      <w:rFonts w:hint="eastAsia" w:ascii="Times New Roman" w:hAnsi="Times New Roman" w:eastAsia="宋体" w:cs="Times New Roman"/>
                      <w:color w:val="auto"/>
                      <w:sz w:val="21"/>
                      <w:szCs w:val="21"/>
                      <w:lang w:val="en-US" w:eastAsia="zh-CN"/>
                    </w:rPr>
                    <w:t>四川翔丰华新能源材料有限公司已建危废暂存间，</w:t>
                  </w:r>
                  <w:r>
                    <w:rPr>
                      <w:color w:val="auto"/>
                      <w:kern w:val="0"/>
                      <w:sz w:val="21"/>
                      <w:szCs w:val="21"/>
                      <w:lang w:bidi="ar"/>
                    </w:rPr>
                    <w:t>位于</w:t>
                  </w:r>
                  <w:r>
                    <w:rPr>
                      <w:rFonts w:hint="eastAsia" w:ascii="Times New Roman" w:hAnsi="Times New Roman" w:eastAsia="宋体" w:cs="Times New Roman"/>
                      <w:color w:val="auto"/>
                      <w:sz w:val="21"/>
                      <w:szCs w:val="21"/>
                      <w:lang w:val="en-US" w:eastAsia="zh-CN"/>
                    </w:rPr>
                    <w:t>四川翔丰华新能源材料有限公司厂区西北侧</w:t>
                  </w:r>
                  <w:r>
                    <w:rPr>
                      <w:rFonts w:hint="eastAsia" w:ascii="Times New Roman" w:hAnsi="Times New Roman" w:eastAsia="宋体" w:cs="Times New Roman"/>
                      <w:color w:val="auto"/>
                      <w:kern w:val="0"/>
                      <w:sz w:val="21"/>
                      <w:szCs w:val="21"/>
                      <w:lang w:val="en-US" w:eastAsia="zh-CN" w:bidi="ar"/>
                    </w:rPr>
                    <w:t>，</w:t>
                  </w:r>
                  <w:r>
                    <w:rPr>
                      <w:rFonts w:hint="eastAsia"/>
                      <w:color w:val="auto"/>
                      <w:sz w:val="21"/>
                      <w:szCs w:val="21"/>
                      <w:lang w:val="en-US" w:eastAsia="zh-CN"/>
                    </w:rPr>
                    <w:t>建筑面积约为324</w:t>
                  </w:r>
                  <w:r>
                    <w:rPr>
                      <w:color w:val="auto"/>
                      <w:sz w:val="21"/>
                      <w:szCs w:val="21"/>
                    </w:rPr>
                    <w:t>m</w:t>
                  </w:r>
                  <w:r>
                    <w:rPr>
                      <w:color w:val="auto"/>
                      <w:sz w:val="21"/>
                      <w:szCs w:val="21"/>
                      <w:vertAlign w:val="superscript"/>
                    </w:rPr>
                    <w:t>2</w:t>
                  </w:r>
                  <w:r>
                    <w:rPr>
                      <w:rFonts w:hint="eastAsia"/>
                      <w:color w:val="auto"/>
                      <w:sz w:val="21"/>
                      <w:szCs w:val="21"/>
                      <w:vertAlign w:val="baseline"/>
                      <w:lang w:eastAsia="zh-CN"/>
                    </w:rPr>
                    <w:t>，</w:t>
                  </w:r>
                  <w:r>
                    <w:rPr>
                      <w:rFonts w:hint="eastAsia"/>
                      <w:color w:val="auto"/>
                      <w:sz w:val="21"/>
                      <w:szCs w:val="21"/>
                      <w:vertAlign w:val="baseline"/>
                      <w:lang w:val="en-US" w:eastAsia="zh-CN"/>
                    </w:rPr>
                    <w:t>用于储存危险废物（如废机油等）</w:t>
                  </w:r>
                  <w:r>
                    <w:rPr>
                      <w:rFonts w:hint="eastAsia"/>
                      <w:color w:val="auto"/>
                      <w:sz w:val="21"/>
                      <w:szCs w:val="21"/>
                      <w:lang w:eastAsia="zh-CN"/>
                    </w:rPr>
                    <w:t>；</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auto"/>
                      <w:lang w:eastAsia="zh-CN"/>
                    </w:rPr>
                  </w:pPr>
                  <w:r>
                    <w:rPr>
                      <w:rFonts w:hint="eastAsia"/>
                      <w:color w:val="auto"/>
                      <w:lang w:val="en-US" w:eastAsia="zh-CN"/>
                    </w:rPr>
                    <w:t>1</w:t>
                  </w:r>
                </w:p>
              </w:tc>
              <w:tc>
                <w:tcPr>
                  <w:tcW w:w="704"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rFonts w:ascii="宋体" w:hAnsi="宋体"/>
                      <w:color w:val="auto"/>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688" w:type="dxa"/>
                  <w:vMerge w:val="restart"/>
                  <w:tcBorders>
                    <w:top w:val="nil"/>
                    <w:left w:val="single" w:color="auto" w:sz="4" w:space="0"/>
                    <w:right w:val="single" w:color="auto" w:sz="4" w:space="0"/>
                  </w:tcBorders>
                  <w:noWrap w:val="0"/>
                  <w:vAlign w:val="center"/>
                </w:tcPr>
                <w:p>
                  <w:pPr>
                    <w:widowControl/>
                    <w:jc w:val="center"/>
                    <w:rPr>
                      <w:color w:val="auto"/>
                      <w:sz w:val="21"/>
                      <w:szCs w:val="21"/>
                    </w:rPr>
                  </w:pPr>
                  <w:r>
                    <w:rPr>
                      <w:rFonts w:ascii="宋体" w:hAnsi="宋体"/>
                      <w:color w:val="auto"/>
                      <w:sz w:val="21"/>
                      <w:szCs w:val="21"/>
                    </w:rPr>
                    <w:t>噪声治理</w:t>
                  </w:r>
                </w:p>
              </w:tc>
              <w:tc>
                <w:tcPr>
                  <w:tcW w:w="721" w:type="dxa"/>
                  <w:tcBorders>
                    <w:top w:val="nil"/>
                    <w:left w:val="single" w:color="auto" w:sz="4" w:space="0"/>
                    <w:bottom w:val="single" w:color="auto" w:sz="4" w:space="0"/>
                    <w:right w:val="single" w:color="auto" w:sz="4" w:space="0"/>
                  </w:tcBorders>
                  <w:noWrap w:val="0"/>
                  <w:vAlign w:val="center"/>
                </w:tcPr>
                <w:p>
                  <w:pPr>
                    <w:jc w:val="center"/>
                    <w:rPr>
                      <w:rFonts w:ascii="宋体" w:hAnsi="宋体"/>
                      <w:color w:val="auto"/>
                      <w:sz w:val="21"/>
                      <w:szCs w:val="21"/>
                    </w:rPr>
                  </w:pPr>
                  <w:r>
                    <w:rPr>
                      <w:rFonts w:ascii="宋体" w:hAnsi="宋体"/>
                      <w:color w:val="auto"/>
                      <w:sz w:val="21"/>
                      <w:szCs w:val="21"/>
                    </w:rPr>
                    <w:t>施工期</w:t>
                  </w:r>
                </w:p>
              </w:tc>
              <w:tc>
                <w:tcPr>
                  <w:tcW w:w="4842" w:type="dxa"/>
                  <w:gridSpan w:val="3"/>
                  <w:tcBorders>
                    <w:top w:val="single" w:color="auto" w:sz="4" w:space="0"/>
                    <w:left w:val="single" w:color="auto" w:sz="4" w:space="0"/>
                    <w:right w:val="single" w:color="auto" w:sz="4" w:space="0"/>
                  </w:tcBorders>
                  <w:noWrap w:val="0"/>
                  <w:vAlign w:val="center"/>
                </w:tcPr>
                <w:p>
                  <w:pPr>
                    <w:jc w:val="center"/>
                    <w:rPr>
                      <w:rFonts w:hint="eastAsia"/>
                      <w:color w:val="auto"/>
                      <w:sz w:val="21"/>
                      <w:szCs w:val="21"/>
                    </w:rPr>
                  </w:pPr>
                  <w:r>
                    <w:rPr>
                      <w:rFonts w:ascii="宋体" w:hAnsi="宋体"/>
                      <w:color w:val="auto"/>
                      <w:sz w:val="21"/>
                      <w:szCs w:val="21"/>
                    </w:rPr>
                    <w:t>合理安排施工时段，禁止夜间施工，设基础减震</w:t>
                  </w:r>
                  <w:r>
                    <w:rPr>
                      <w:rFonts w:hint="eastAsia" w:ascii="宋体" w:hAnsi="宋体"/>
                      <w:color w:val="auto"/>
                      <w:sz w:val="21"/>
                      <w:szCs w:val="21"/>
                    </w:rPr>
                    <w:t>；</w:t>
                  </w:r>
                </w:p>
              </w:tc>
              <w:tc>
                <w:tcPr>
                  <w:tcW w:w="1106" w:type="dxa"/>
                  <w:tcBorders>
                    <w:top w:val="single" w:color="auto" w:sz="4" w:space="0"/>
                    <w:left w:val="single" w:color="auto" w:sz="4" w:space="0"/>
                    <w:right w:val="single" w:color="auto" w:sz="4" w:space="0"/>
                  </w:tcBorders>
                  <w:noWrap w:val="0"/>
                  <w:vAlign w:val="center"/>
                </w:tcPr>
                <w:p>
                  <w:pPr>
                    <w:jc w:val="center"/>
                    <w:rPr>
                      <w:rFonts w:hint="eastAsia"/>
                      <w:color w:val="auto"/>
                      <w:sz w:val="21"/>
                      <w:szCs w:val="21"/>
                    </w:rPr>
                  </w:pPr>
                  <w:r>
                    <w:rPr>
                      <w:color w:val="auto"/>
                      <w:sz w:val="21"/>
                      <w:szCs w:val="21"/>
                    </w:rPr>
                    <w:t>0.5</w:t>
                  </w:r>
                </w:p>
              </w:tc>
              <w:tc>
                <w:tcPr>
                  <w:tcW w:w="704" w:type="dxa"/>
                  <w:tcBorders>
                    <w:top w:val="single" w:color="auto" w:sz="4" w:space="0"/>
                    <w:left w:val="single" w:color="auto" w:sz="4" w:space="0"/>
                    <w:right w:val="single" w:color="auto" w:sz="4" w:space="0"/>
                  </w:tcBorders>
                  <w:noWrap w:val="0"/>
                  <w:vAlign w:val="center"/>
                </w:tcPr>
                <w:p>
                  <w:pPr>
                    <w:jc w:val="center"/>
                    <w:rPr>
                      <w:color w:val="auto"/>
                      <w:sz w:val="21"/>
                      <w:szCs w:val="21"/>
                    </w:rPr>
                  </w:pPr>
                  <w:r>
                    <w:rPr>
                      <w:rFonts w:ascii="宋体" w:hAnsi="宋体"/>
                      <w:color w:val="auto"/>
                      <w:sz w:val="21"/>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688" w:type="dxa"/>
                  <w:vMerge w:val="continue"/>
                  <w:tcBorders>
                    <w:left w:val="single" w:color="auto" w:sz="4" w:space="0"/>
                    <w:bottom w:val="single" w:color="auto" w:sz="4" w:space="0"/>
                    <w:right w:val="single" w:color="auto" w:sz="4" w:space="0"/>
                  </w:tcBorders>
                  <w:noWrap w:val="0"/>
                  <w:vAlign w:val="center"/>
                </w:tcPr>
                <w:p>
                  <w:pPr>
                    <w:widowControl/>
                    <w:jc w:val="center"/>
                    <w:rPr>
                      <w:rFonts w:ascii="宋体" w:hAnsi="宋体"/>
                      <w:color w:val="auto"/>
                      <w:sz w:val="21"/>
                      <w:szCs w:val="21"/>
                    </w:rPr>
                  </w:pPr>
                </w:p>
              </w:tc>
              <w:tc>
                <w:tcPr>
                  <w:tcW w:w="721" w:type="dxa"/>
                  <w:tcBorders>
                    <w:top w:val="nil"/>
                    <w:left w:val="single" w:color="auto" w:sz="4" w:space="0"/>
                    <w:bottom w:val="single" w:color="auto" w:sz="4" w:space="0"/>
                    <w:right w:val="single" w:color="auto" w:sz="4" w:space="0"/>
                  </w:tcBorders>
                  <w:noWrap w:val="0"/>
                  <w:vAlign w:val="center"/>
                </w:tcPr>
                <w:p>
                  <w:pPr>
                    <w:jc w:val="center"/>
                    <w:rPr>
                      <w:rFonts w:ascii="宋体" w:hAnsi="宋体"/>
                      <w:color w:val="auto"/>
                      <w:sz w:val="21"/>
                      <w:szCs w:val="21"/>
                    </w:rPr>
                  </w:pPr>
                  <w:r>
                    <w:rPr>
                      <w:rFonts w:ascii="宋体" w:hAnsi="宋体"/>
                      <w:color w:val="auto"/>
                      <w:sz w:val="21"/>
                      <w:szCs w:val="21"/>
                    </w:rPr>
                    <w:t>运营期</w:t>
                  </w:r>
                </w:p>
              </w:tc>
              <w:tc>
                <w:tcPr>
                  <w:tcW w:w="4842" w:type="dxa"/>
                  <w:gridSpan w:val="3"/>
                  <w:tcBorders>
                    <w:left w:val="single" w:color="auto" w:sz="4" w:space="0"/>
                    <w:bottom w:val="single" w:color="auto" w:sz="4" w:space="0"/>
                    <w:right w:val="single" w:color="auto" w:sz="4" w:space="0"/>
                  </w:tcBorders>
                  <w:noWrap w:val="0"/>
                  <w:vAlign w:val="center"/>
                </w:tcPr>
                <w:p>
                  <w:pPr>
                    <w:jc w:val="center"/>
                    <w:rPr>
                      <w:rFonts w:ascii="宋体" w:hAnsi="宋体"/>
                      <w:color w:val="auto"/>
                      <w:sz w:val="21"/>
                      <w:szCs w:val="21"/>
                    </w:rPr>
                  </w:pPr>
                  <w:r>
                    <w:rPr>
                      <w:color w:val="auto"/>
                      <w:sz w:val="21"/>
                      <w:szCs w:val="21"/>
                    </w:rPr>
                    <w:t>选用低噪声设备、基础减震、风机安装消音器；</w:t>
                  </w:r>
                </w:p>
              </w:tc>
              <w:tc>
                <w:tcPr>
                  <w:tcW w:w="1106" w:type="dxa"/>
                  <w:tcBorders>
                    <w:left w:val="single" w:color="auto" w:sz="4" w:space="0"/>
                    <w:bottom w:val="single" w:color="auto" w:sz="4" w:space="0"/>
                    <w:right w:val="single" w:color="auto" w:sz="4" w:space="0"/>
                  </w:tcBorders>
                  <w:noWrap w:val="0"/>
                  <w:vAlign w:val="center"/>
                </w:tcPr>
                <w:p>
                  <w:pPr>
                    <w:jc w:val="center"/>
                    <w:rPr>
                      <w:rFonts w:hint="eastAsia" w:ascii="宋体" w:hAnsi="宋体" w:eastAsia="宋体"/>
                      <w:color w:val="auto"/>
                      <w:sz w:val="21"/>
                      <w:szCs w:val="21"/>
                      <w:lang w:eastAsia="zh-CN"/>
                    </w:rPr>
                  </w:pPr>
                  <w:r>
                    <w:rPr>
                      <w:rFonts w:hint="eastAsia"/>
                      <w:color w:val="auto"/>
                      <w:sz w:val="21"/>
                      <w:szCs w:val="21"/>
                      <w:lang w:val="en-US" w:eastAsia="zh-CN"/>
                    </w:rPr>
                    <w:t>1</w:t>
                  </w:r>
                </w:p>
              </w:tc>
              <w:tc>
                <w:tcPr>
                  <w:tcW w:w="704" w:type="dxa"/>
                  <w:tcBorders>
                    <w:left w:val="single" w:color="auto" w:sz="4" w:space="0"/>
                    <w:bottom w:val="single" w:color="auto" w:sz="4" w:space="0"/>
                    <w:right w:val="single" w:color="auto" w:sz="4" w:space="0"/>
                  </w:tcBorders>
                  <w:noWrap w:val="0"/>
                  <w:vAlign w:val="center"/>
                </w:tcPr>
                <w:p>
                  <w:pPr>
                    <w:jc w:val="center"/>
                    <w:rPr>
                      <w:rFonts w:ascii="宋体" w:hAnsi="宋体"/>
                      <w:color w:val="auto"/>
                      <w:sz w:val="21"/>
                      <w:szCs w:val="21"/>
                    </w:rPr>
                  </w:pPr>
                  <w:r>
                    <w:rPr>
                      <w:rFonts w:ascii="宋体" w:hAnsi="宋体"/>
                      <w:color w:val="auto"/>
                      <w:sz w:val="21"/>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jc w:val="center"/>
              </w:trPr>
              <w:tc>
                <w:tcPr>
                  <w:tcW w:w="140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rFonts w:ascii="宋体" w:hAnsi="宋体"/>
                      <w:color w:val="auto"/>
                    </w:rPr>
                    <w:t>地下水</w:t>
                  </w:r>
                </w:p>
              </w:tc>
              <w:tc>
                <w:tcPr>
                  <w:tcW w:w="4842" w:type="dxa"/>
                  <w:gridSpan w:val="3"/>
                  <w:tcBorders>
                    <w:top w:val="single" w:color="auto" w:sz="4" w:space="0"/>
                    <w:left w:val="single" w:color="auto" w:sz="4" w:space="0"/>
                    <w:bottom w:val="single" w:color="auto" w:sz="4" w:space="0"/>
                    <w:right w:val="single" w:color="auto" w:sz="4" w:space="0"/>
                  </w:tcBorders>
                  <w:noWrap w:val="0"/>
                  <w:vAlign w:val="center"/>
                </w:tcPr>
                <w:p>
                  <w:pPr>
                    <w:jc w:val="both"/>
                    <w:rPr>
                      <w:rFonts w:hint="eastAsia" w:ascii="宋体" w:hAnsi="宋体" w:eastAsia="宋体"/>
                      <w:color w:val="auto"/>
                      <w:szCs w:val="21"/>
                      <w:lang w:eastAsia="zh-CN"/>
                    </w:rPr>
                  </w:pPr>
                  <w:r>
                    <w:rPr>
                      <w:rFonts w:ascii="宋体" w:hAnsi="宋体"/>
                      <w:b/>
                      <w:bCs/>
                      <w:color w:val="auto"/>
                    </w:rPr>
                    <w:t>重</w:t>
                  </w:r>
                  <w:r>
                    <w:rPr>
                      <w:rFonts w:ascii="宋体" w:hAnsi="宋体"/>
                      <w:b/>
                      <w:bCs/>
                      <w:color w:val="auto"/>
                      <w:szCs w:val="21"/>
                    </w:rPr>
                    <w:t>点防渗区：</w:t>
                  </w:r>
                  <w:r>
                    <w:rPr>
                      <w:rFonts w:hint="eastAsia"/>
                      <w:color w:val="auto"/>
                      <w:sz w:val="21"/>
                      <w:szCs w:val="21"/>
                      <w:lang w:val="en-US" w:eastAsia="zh-CN"/>
                    </w:rPr>
                    <w:t>依托的</w:t>
                  </w:r>
                  <w:r>
                    <w:rPr>
                      <w:color w:val="auto"/>
                      <w:sz w:val="21"/>
                      <w:szCs w:val="21"/>
                    </w:rPr>
                    <w:t>危废暂存间</w:t>
                  </w:r>
                  <w:r>
                    <w:rPr>
                      <w:rFonts w:hint="eastAsia"/>
                      <w:color w:val="auto"/>
                      <w:sz w:val="21"/>
                      <w:szCs w:val="21"/>
                      <w:lang w:val="en-US" w:eastAsia="zh-CN"/>
                    </w:rPr>
                    <w:t>满足</w:t>
                  </w:r>
                  <w:r>
                    <w:rPr>
                      <w:rFonts w:ascii="Times New Roman" w:hAnsi="Times New Roman" w:cs="Times New Roman"/>
                      <w:color w:val="auto"/>
                      <w:sz w:val="21"/>
                      <w:szCs w:val="21"/>
                    </w:rPr>
                    <w:t>防渗层渗透系数K≤1×10</w:t>
                  </w:r>
                  <w:r>
                    <w:rPr>
                      <w:rFonts w:ascii="Times New Roman" w:hAnsi="Times New Roman" w:cs="Times New Roman"/>
                      <w:color w:val="auto"/>
                      <w:sz w:val="21"/>
                      <w:szCs w:val="21"/>
                      <w:vertAlign w:val="superscript"/>
                    </w:rPr>
                    <w:t>-10</w:t>
                  </w:r>
                  <w:r>
                    <w:rPr>
                      <w:rFonts w:ascii="Times New Roman" w:hAnsi="Times New Roman" w:cs="Times New Roman"/>
                      <w:color w:val="auto"/>
                      <w:sz w:val="21"/>
                      <w:szCs w:val="21"/>
                    </w:rPr>
                    <w:t>cm/s</w:t>
                  </w:r>
                  <w:r>
                    <w:rPr>
                      <w:rFonts w:ascii="宋体" w:hAnsi="宋体"/>
                      <w:color w:val="auto"/>
                      <w:szCs w:val="21"/>
                    </w:rPr>
                    <w:t>；</w:t>
                  </w:r>
                  <w:r>
                    <w:rPr>
                      <w:rFonts w:hint="eastAsia" w:ascii="宋体" w:hAnsi="宋体"/>
                      <w:color w:val="auto"/>
                      <w:szCs w:val="21"/>
                      <w:lang w:val="en-US" w:eastAsia="zh-CN"/>
                    </w:rPr>
                    <w:t>依托的</w:t>
                  </w:r>
                  <w:r>
                    <w:rPr>
                      <w:rFonts w:hint="default" w:ascii="Times New Roman" w:hAnsi="Times New Roman" w:eastAsia="宋体" w:cs="Times New Roman"/>
                      <w:b w:val="0"/>
                      <w:bCs w:val="0"/>
                      <w:color w:val="auto"/>
                      <w:kern w:val="2"/>
                      <w:sz w:val="21"/>
                      <w:szCs w:val="21"/>
                      <w:lang w:val="en-US" w:eastAsia="zh-CN" w:bidi="ar-SA"/>
                    </w:rPr>
                    <w:t>事故应急池</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初期雨水收集池</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消防水池</w:t>
                  </w:r>
                  <w:r>
                    <w:rPr>
                      <w:rFonts w:hint="eastAsia" w:ascii="Times New Roman" w:hAnsi="Times New Roman" w:eastAsia="宋体" w:cs="Times New Roman"/>
                      <w:color w:val="auto"/>
                      <w:kern w:val="0"/>
                      <w:sz w:val="21"/>
                      <w:szCs w:val="21"/>
                      <w:lang w:val="en-US" w:eastAsia="zh-CN" w:bidi="ar-SA"/>
                    </w:rPr>
                    <w:t>满足</w:t>
                  </w:r>
                  <w:r>
                    <w:rPr>
                      <w:rFonts w:hint="default" w:ascii="Times New Roman" w:hAnsi="Times New Roman" w:eastAsia="宋体" w:cs="Times New Roman"/>
                      <w:color w:val="auto"/>
                      <w:sz w:val="21"/>
                      <w:szCs w:val="21"/>
                    </w:rPr>
                    <w:t>等效黏土防渗层Mb≥6.0m，K≤1×10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r>
                    <w:rPr>
                      <w:rFonts w:hint="eastAsia" w:ascii="Times New Roman" w:hAnsi="Times New Roman" w:eastAsia="宋体" w:cs="Times New Roman"/>
                      <w:color w:val="auto"/>
                      <w:sz w:val="21"/>
                      <w:szCs w:val="21"/>
                      <w:lang w:eastAsia="zh-CN"/>
                    </w:rPr>
                    <w:t>；</w:t>
                  </w:r>
                </w:p>
                <w:p>
                  <w:pPr>
                    <w:pStyle w:val="9"/>
                    <w:rPr>
                      <w:rFonts w:hint="default" w:ascii="Times New Roman" w:hAnsi="Times New Roman" w:eastAsia="宋体" w:cs="Times New Roman"/>
                      <w:color w:val="auto"/>
                      <w:kern w:val="2"/>
                      <w:sz w:val="21"/>
                      <w:szCs w:val="21"/>
                      <w:lang w:val="en-US" w:eastAsia="zh-CN" w:bidi="ar-SA"/>
                    </w:rPr>
                  </w:pPr>
                  <w:r>
                    <w:rPr>
                      <w:rFonts w:ascii="宋体" w:hAnsi="宋体"/>
                      <w:b/>
                      <w:bCs/>
                      <w:color w:val="auto"/>
                      <w:sz w:val="21"/>
                      <w:szCs w:val="21"/>
                    </w:rPr>
                    <w:t>一般防渗区：</w:t>
                  </w:r>
                  <w:r>
                    <w:rPr>
                      <w:rFonts w:hint="eastAsia" w:ascii="Times New Roman" w:hAnsi="Times New Roman" w:eastAsia="宋体" w:cs="Times New Roman"/>
                      <w:color w:val="auto"/>
                      <w:kern w:val="2"/>
                      <w:sz w:val="21"/>
                      <w:szCs w:val="21"/>
                      <w:lang w:val="en-US" w:eastAsia="zh-CN" w:bidi="ar-SA"/>
                    </w:rPr>
                    <w:t>依托的原料库房、研发品暂存间、一般固废暂存间、预处理池满足</w:t>
                  </w:r>
                  <w:r>
                    <w:rPr>
                      <w:color w:val="auto"/>
                      <w:sz w:val="21"/>
                      <w:szCs w:val="21"/>
                    </w:rPr>
                    <w:t>等效黏土</w:t>
                  </w:r>
                  <w:r>
                    <w:rPr>
                      <w:rFonts w:ascii="宋体" w:hAnsi="宋体"/>
                      <w:color w:val="auto"/>
                      <w:sz w:val="21"/>
                      <w:szCs w:val="21"/>
                    </w:rPr>
                    <w:t>防渗层</w:t>
                  </w:r>
                  <w:r>
                    <w:rPr>
                      <w:color w:val="auto"/>
                      <w:sz w:val="21"/>
                      <w:szCs w:val="21"/>
                    </w:rPr>
                    <w:t>Mb</w:t>
                  </w:r>
                  <w:r>
                    <w:rPr>
                      <w:rFonts w:hint="eastAsia" w:ascii="宋体" w:hAnsi="宋体"/>
                      <w:color w:val="auto"/>
                      <w:sz w:val="21"/>
                      <w:szCs w:val="21"/>
                    </w:rPr>
                    <w:t>≧</w:t>
                  </w:r>
                  <w:r>
                    <w:rPr>
                      <w:color w:val="auto"/>
                      <w:sz w:val="21"/>
                      <w:szCs w:val="21"/>
                    </w:rPr>
                    <w:t>1.5m</w:t>
                  </w:r>
                  <w:r>
                    <w:rPr>
                      <w:rFonts w:ascii="宋体" w:hAnsi="宋体"/>
                      <w:color w:val="auto"/>
                      <w:sz w:val="21"/>
                      <w:szCs w:val="21"/>
                    </w:rPr>
                    <w:t>，</w:t>
                  </w:r>
                  <w:r>
                    <w:rPr>
                      <w:color w:val="auto"/>
                      <w:sz w:val="21"/>
                      <w:szCs w:val="21"/>
                    </w:rPr>
                    <w:t>K≤10</w:t>
                  </w:r>
                  <w:r>
                    <w:rPr>
                      <w:color w:val="auto"/>
                      <w:sz w:val="21"/>
                      <w:szCs w:val="21"/>
                      <w:vertAlign w:val="superscript"/>
                    </w:rPr>
                    <w:t>-7</w:t>
                  </w:r>
                  <w:r>
                    <w:rPr>
                      <w:color w:val="auto"/>
                      <w:sz w:val="21"/>
                      <w:szCs w:val="21"/>
                    </w:rPr>
                    <w:t>cm/s</w:t>
                  </w:r>
                  <w:r>
                    <w:rPr>
                      <w:rFonts w:hint="eastAsia"/>
                      <w:color w:val="auto"/>
                      <w:sz w:val="21"/>
                      <w:szCs w:val="21"/>
                      <w:lang w:eastAsia="zh-CN"/>
                    </w:rPr>
                    <w:t>；</w:t>
                  </w:r>
                  <w:r>
                    <w:rPr>
                      <w:rFonts w:hint="eastAsia"/>
                      <w:color w:val="auto"/>
                      <w:sz w:val="21"/>
                      <w:szCs w:val="21"/>
                      <w:lang w:val="en-US" w:eastAsia="zh-CN"/>
                    </w:rPr>
                    <w:t>中试车间</w:t>
                  </w:r>
                  <w:r>
                    <w:rPr>
                      <w:rFonts w:ascii="Times New Roman" w:hAnsi="Times New Roman" w:cs="Times New Roman"/>
                      <w:bCs/>
                      <w:color w:val="auto"/>
                      <w:sz w:val="21"/>
                      <w:szCs w:val="21"/>
                    </w:rPr>
                    <w:t>地面</w:t>
                  </w:r>
                  <w:r>
                    <w:rPr>
                      <w:rFonts w:hint="eastAsia" w:ascii="Times New Roman" w:hAnsi="Times New Roman" w:cs="Times New Roman"/>
                      <w:bCs/>
                      <w:color w:val="auto"/>
                      <w:sz w:val="21"/>
                      <w:szCs w:val="21"/>
                      <w:lang w:val="en-US" w:eastAsia="zh-CN"/>
                    </w:rPr>
                    <w:t>已</w:t>
                  </w:r>
                  <w:r>
                    <w:rPr>
                      <w:rFonts w:ascii="Times New Roman" w:hAnsi="Times New Roman" w:cs="Times New Roman"/>
                      <w:bCs/>
                      <w:color w:val="auto"/>
                      <w:sz w:val="21"/>
                      <w:szCs w:val="21"/>
                    </w:rPr>
                    <w:t>采用</w:t>
                  </w:r>
                  <w:r>
                    <w:rPr>
                      <w:rFonts w:ascii="Times New Roman" w:hAnsi="Times New Roman" w:cs="Times New Roman"/>
                      <w:color w:val="auto"/>
                      <w:sz w:val="21"/>
                      <w:szCs w:val="21"/>
                    </w:rPr>
                    <w:t>防渗混凝土硬化</w:t>
                  </w:r>
                  <w:r>
                    <w:rPr>
                      <w:rFonts w:hint="eastAsia" w:ascii="Times New Roman" w:hAnsi="Times New Roman" w:cs="Times New Roman"/>
                      <w:color w:val="auto"/>
                      <w:sz w:val="21"/>
                      <w:szCs w:val="21"/>
                      <w:lang w:eastAsia="zh-CN"/>
                    </w:rPr>
                    <w:t>，</w:t>
                  </w:r>
                  <w:r>
                    <w:rPr>
                      <w:color w:val="auto"/>
                      <w:sz w:val="21"/>
                      <w:szCs w:val="21"/>
                    </w:rPr>
                    <w:t>防渗层能够达到等效黏土</w:t>
                  </w:r>
                  <w:r>
                    <w:rPr>
                      <w:rFonts w:ascii="宋体" w:hAnsi="宋体"/>
                      <w:color w:val="auto"/>
                      <w:sz w:val="21"/>
                      <w:szCs w:val="21"/>
                    </w:rPr>
                    <w:t>防渗层</w:t>
                  </w:r>
                  <w:r>
                    <w:rPr>
                      <w:color w:val="auto"/>
                      <w:sz w:val="21"/>
                      <w:szCs w:val="21"/>
                    </w:rPr>
                    <w:t>Mb</w:t>
                  </w:r>
                  <w:r>
                    <w:rPr>
                      <w:rFonts w:hint="eastAsia" w:ascii="宋体" w:hAnsi="宋体"/>
                      <w:color w:val="auto"/>
                      <w:sz w:val="21"/>
                      <w:szCs w:val="21"/>
                    </w:rPr>
                    <w:t>≧</w:t>
                  </w:r>
                  <w:r>
                    <w:rPr>
                      <w:color w:val="auto"/>
                      <w:sz w:val="21"/>
                      <w:szCs w:val="21"/>
                    </w:rPr>
                    <w:t>1.5m</w:t>
                  </w:r>
                  <w:r>
                    <w:rPr>
                      <w:rFonts w:ascii="宋体" w:hAnsi="宋体"/>
                      <w:color w:val="auto"/>
                      <w:sz w:val="21"/>
                      <w:szCs w:val="21"/>
                    </w:rPr>
                    <w:t>，</w:t>
                  </w:r>
                  <w:r>
                    <w:rPr>
                      <w:color w:val="auto"/>
                      <w:sz w:val="21"/>
                      <w:szCs w:val="21"/>
                    </w:rPr>
                    <w:t>K≤10</w:t>
                  </w:r>
                  <w:r>
                    <w:rPr>
                      <w:color w:val="auto"/>
                      <w:sz w:val="21"/>
                      <w:szCs w:val="21"/>
                      <w:vertAlign w:val="superscript"/>
                    </w:rPr>
                    <w:t>-7</w:t>
                  </w:r>
                  <w:r>
                    <w:rPr>
                      <w:color w:val="auto"/>
                      <w:sz w:val="21"/>
                      <w:szCs w:val="21"/>
                    </w:rPr>
                    <w:t>cm/s</w:t>
                  </w:r>
                  <w:r>
                    <w:rPr>
                      <w:rFonts w:ascii="宋体" w:hAnsi="宋体"/>
                      <w:color w:val="auto"/>
                      <w:sz w:val="21"/>
                      <w:szCs w:val="21"/>
                    </w:rPr>
                    <w:t>的要求</w:t>
                  </w:r>
                  <w:r>
                    <w:rPr>
                      <w:rFonts w:hint="eastAsia" w:ascii="宋体" w:hAnsi="宋体"/>
                      <w:color w:val="auto"/>
                      <w:sz w:val="21"/>
                      <w:szCs w:val="21"/>
                      <w:lang w:eastAsia="zh-CN"/>
                    </w:rPr>
                    <w:t>；</w:t>
                  </w:r>
                </w:p>
                <w:p>
                  <w:pPr>
                    <w:pStyle w:val="9"/>
                    <w:rPr>
                      <w:rFonts w:hint="eastAsia" w:eastAsia="宋体"/>
                      <w:color w:val="auto"/>
                      <w:lang w:eastAsia="zh-CN"/>
                    </w:rPr>
                  </w:pPr>
                  <w:r>
                    <w:rPr>
                      <w:rFonts w:hint="eastAsia" w:ascii="Times New Roman" w:hAnsi="Times New Roman" w:eastAsia="宋体" w:cs="Times New Roman"/>
                      <w:color w:val="auto"/>
                      <w:kern w:val="2"/>
                      <w:sz w:val="21"/>
                      <w:szCs w:val="21"/>
                      <w:lang w:val="en-US" w:eastAsia="zh-CN" w:bidi="ar-SA"/>
                    </w:rPr>
                    <w:t>简单防渗区：厂区道路已采取一般硬化处理；</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auto"/>
                      <w:lang w:eastAsia="zh-CN"/>
                    </w:rPr>
                  </w:pPr>
                  <w:r>
                    <w:rPr>
                      <w:rFonts w:hint="eastAsia"/>
                      <w:color w:val="auto"/>
                      <w:lang w:val="en-US" w:eastAsia="zh-CN"/>
                    </w:rPr>
                    <w:t>1</w:t>
                  </w:r>
                </w:p>
              </w:tc>
              <w:tc>
                <w:tcPr>
                  <w:tcW w:w="70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auto"/>
                      <w:lang w:val="en-US" w:eastAsia="zh-CN"/>
                    </w:rPr>
                  </w:pPr>
                  <w:r>
                    <w:rPr>
                      <w:rFonts w:hint="eastAsia" w:ascii="宋体" w:hAnsi="宋体"/>
                      <w:color w:val="auto"/>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jc w:val="center"/>
              </w:trPr>
              <w:tc>
                <w:tcPr>
                  <w:tcW w:w="140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rFonts w:ascii="宋体" w:hAnsi="宋体"/>
                      <w:color w:val="auto"/>
                    </w:rPr>
                    <w:t>环境管理</w:t>
                  </w:r>
                </w:p>
              </w:tc>
              <w:tc>
                <w:tcPr>
                  <w:tcW w:w="4842" w:type="dxa"/>
                  <w:gridSpan w:val="3"/>
                  <w:tcBorders>
                    <w:top w:val="single" w:color="auto" w:sz="4" w:space="0"/>
                    <w:left w:val="single" w:color="auto" w:sz="4" w:space="0"/>
                    <w:bottom w:val="single" w:color="auto" w:sz="4" w:space="0"/>
                    <w:right w:val="single" w:color="auto" w:sz="4" w:space="0"/>
                  </w:tcBorders>
                  <w:noWrap w:val="0"/>
                  <w:vAlign w:val="center"/>
                </w:tcPr>
                <w:p>
                  <w:pPr>
                    <w:jc w:val="left"/>
                    <w:rPr>
                      <w:color w:val="auto"/>
                    </w:rPr>
                  </w:pPr>
                  <w:r>
                    <w:rPr>
                      <w:rFonts w:ascii="宋体" w:hAnsi="宋体"/>
                      <w:color w:val="auto"/>
                    </w:rPr>
                    <w:t>加强环境管理，定期对设备进行维护，设标识牌，</w:t>
                  </w:r>
                </w:p>
                <w:p>
                  <w:pPr>
                    <w:jc w:val="left"/>
                    <w:rPr>
                      <w:color w:val="auto"/>
                    </w:rPr>
                  </w:pPr>
                  <w:r>
                    <w:rPr>
                      <w:rFonts w:ascii="宋体" w:hAnsi="宋体"/>
                      <w:color w:val="auto"/>
                    </w:rPr>
                    <w:t>建立危险废物转运台账，环保设施运行台账等。</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color w:val="auto"/>
                    </w:rPr>
                    <w:t>0.5</w:t>
                  </w:r>
                </w:p>
              </w:tc>
              <w:tc>
                <w:tcPr>
                  <w:tcW w:w="704"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rFonts w:ascii="宋体" w:hAnsi="宋体"/>
                      <w:color w:val="auto"/>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atLeast"/>
                <w:jc w:val="center"/>
              </w:trPr>
              <w:tc>
                <w:tcPr>
                  <w:tcW w:w="140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rFonts w:ascii="宋体" w:hAnsi="宋体"/>
                      <w:color w:val="auto"/>
                    </w:rPr>
                    <w:t>环境监测</w:t>
                  </w:r>
                </w:p>
              </w:tc>
              <w:tc>
                <w:tcPr>
                  <w:tcW w:w="4842" w:type="dxa"/>
                  <w:gridSpan w:val="3"/>
                  <w:tcBorders>
                    <w:top w:val="single" w:color="auto" w:sz="4" w:space="0"/>
                    <w:left w:val="single" w:color="auto" w:sz="4" w:space="0"/>
                    <w:bottom w:val="single" w:color="auto" w:sz="4" w:space="0"/>
                    <w:right w:val="single" w:color="auto" w:sz="4" w:space="0"/>
                  </w:tcBorders>
                  <w:noWrap w:val="0"/>
                  <w:vAlign w:val="center"/>
                </w:tcPr>
                <w:p>
                  <w:pPr>
                    <w:jc w:val="left"/>
                    <w:rPr>
                      <w:color w:val="auto"/>
                    </w:rPr>
                  </w:pPr>
                  <w:r>
                    <w:rPr>
                      <w:rFonts w:hint="eastAsia" w:ascii="宋体" w:hAnsi="宋体"/>
                      <w:color w:val="auto"/>
                    </w:rPr>
                    <w:t>①</w:t>
                  </w:r>
                  <w:r>
                    <w:rPr>
                      <w:rFonts w:ascii="宋体" w:hAnsi="宋体"/>
                      <w:color w:val="auto"/>
                    </w:rPr>
                    <w:t>排污口规范化建设；</w:t>
                  </w:r>
                </w:p>
                <w:p>
                  <w:pPr>
                    <w:jc w:val="left"/>
                    <w:rPr>
                      <w:color w:val="auto"/>
                    </w:rPr>
                  </w:pPr>
                  <w:r>
                    <w:rPr>
                      <w:rFonts w:hint="eastAsia" w:ascii="宋体" w:hAnsi="宋体"/>
                      <w:color w:val="auto"/>
                    </w:rPr>
                    <w:t>②</w:t>
                  </w:r>
                  <w:r>
                    <w:rPr>
                      <w:rFonts w:ascii="宋体" w:hAnsi="宋体"/>
                      <w:color w:val="auto"/>
                    </w:rPr>
                    <w:t>设置标识标牌；</w:t>
                  </w:r>
                </w:p>
                <w:p>
                  <w:pPr>
                    <w:jc w:val="left"/>
                    <w:rPr>
                      <w:color w:val="auto"/>
                    </w:rPr>
                  </w:pPr>
                  <w:r>
                    <w:rPr>
                      <w:rFonts w:hint="eastAsia" w:ascii="宋体" w:hAnsi="宋体"/>
                      <w:color w:val="auto"/>
                    </w:rPr>
                    <w:t>③</w:t>
                  </w:r>
                  <w:r>
                    <w:rPr>
                      <w:rFonts w:ascii="宋体" w:hAnsi="宋体"/>
                      <w:color w:val="auto"/>
                    </w:rPr>
                    <w:t>定期进行监测。</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color w:val="auto"/>
                    </w:rPr>
                    <w:t>0.5</w:t>
                  </w:r>
                </w:p>
              </w:tc>
              <w:tc>
                <w:tcPr>
                  <w:tcW w:w="704" w:type="dxa"/>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rFonts w:ascii="宋体" w:hAnsi="宋体"/>
                      <w:color w:val="auto"/>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jc w:val="center"/>
              </w:trPr>
              <w:tc>
                <w:tcPr>
                  <w:tcW w:w="1409"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auto"/>
                    </w:rPr>
                  </w:pPr>
                  <w:r>
                    <w:rPr>
                      <w:rFonts w:ascii="宋体" w:hAnsi="宋体"/>
                      <w:color w:val="auto"/>
                    </w:rPr>
                    <w:t>风险</w:t>
                  </w:r>
                </w:p>
                <w:p>
                  <w:pPr>
                    <w:widowControl/>
                    <w:jc w:val="center"/>
                    <w:rPr>
                      <w:color w:val="auto"/>
                    </w:rPr>
                  </w:pPr>
                  <w:r>
                    <w:rPr>
                      <w:rFonts w:ascii="宋体" w:hAnsi="宋体"/>
                      <w:color w:val="auto"/>
                    </w:rPr>
                    <w:t>防范</w:t>
                  </w:r>
                </w:p>
              </w:tc>
              <w:tc>
                <w:tcPr>
                  <w:tcW w:w="4842"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rPr>
                      <w:color w:val="auto"/>
                    </w:rPr>
                  </w:pPr>
                  <w:r>
                    <w:rPr>
                      <w:rFonts w:ascii="宋体" w:hAnsi="宋体"/>
                      <w:color w:val="auto"/>
                    </w:rPr>
                    <w:t>风险防范措施、风险应急预案等</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auto"/>
                    </w:rPr>
                  </w:pPr>
                  <w:r>
                    <w:rPr>
                      <w:rFonts w:hint="eastAsia"/>
                      <w:color w:val="auto"/>
                    </w:rPr>
                    <w:t>4</w:t>
                  </w:r>
                </w:p>
              </w:tc>
              <w:tc>
                <w:tcPr>
                  <w:tcW w:w="704"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auto"/>
                    </w:rPr>
                  </w:pPr>
                  <w:r>
                    <w:rPr>
                      <w:rFonts w:ascii="宋体" w:hAnsi="宋体"/>
                      <w:color w:val="auto"/>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6251"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rFonts w:ascii="宋体" w:hAnsi="宋体"/>
                      <w:color w:val="auto"/>
                    </w:rPr>
                    <w:t>环保投资合计</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pStyle w:val="162"/>
                    <w:jc w:val="center"/>
                    <w:rPr>
                      <w:rFonts w:hint="default" w:eastAsia="宋体"/>
                      <w:color w:val="auto"/>
                      <w:lang w:val="en-US" w:eastAsia="zh-CN"/>
                    </w:rPr>
                  </w:pPr>
                  <w:r>
                    <w:rPr>
                      <w:rFonts w:hint="eastAsia"/>
                      <w:color w:val="auto"/>
                      <w:lang w:val="en-US" w:eastAsia="zh-CN"/>
                    </w:rPr>
                    <w:t>30</w:t>
                  </w:r>
                </w:p>
              </w:tc>
              <w:tc>
                <w:tcPr>
                  <w:tcW w:w="704" w:type="dxa"/>
                  <w:tcBorders>
                    <w:top w:val="single" w:color="auto" w:sz="4" w:space="0"/>
                    <w:left w:val="single" w:color="auto" w:sz="4" w:space="0"/>
                    <w:bottom w:val="single" w:color="auto" w:sz="4" w:space="0"/>
                    <w:right w:val="single" w:color="auto" w:sz="4" w:space="0"/>
                  </w:tcBorders>
                  <w:noWrap w:val="0"/>
                  <w:vAlign w:val="center"/>
                </w:tcPr>
                <w:p>
                  <w:pPr>
                    <w:pStyle w:val="162"/>
                    <w:jc w:val="center"/>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6251"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color w:val="auto"/>
                    </w:rPr>
                  </w:pPr>
                  <w:r>
                    <w:rPr>
                      <w:rFonts w:ascii="宋体" w:hAnsi="宋体"/>
                      <w:color w:val="auto"/>
                    </w:rPr>
                    <w:t>环保投资占总投资比例</w:t>
                  </w:r>
                </w:p>
              </w:tc>
              <w:tc>
                <w:tcPr>
                  <w:tcW w:w="1106" w:type="dxa"/>
                  <w:tcBorders>
                    <w:top w:val="single" w:color="auto" w:sz="4" w:space="0"/>
                    <w:left w:val="single" w:color="auto" w:sz="4" w:space="0"/>
                    <w:bottom w:val="single" w:color="auto" w:sz="4" w:space="0"/>
                    <w:right w:val="single" w:color="auto" w:sz="4" w:space="0"/>
                  </w:tcBorders>
                  <w:noWrap w:val="0"/>
                  <w:vAlign w:val="center"/>
                </w:tcPr>
                <w:p>
                  <w:pPr>
                    <w:pStyle w:val="162"/>
                    <w:jc w:val="center"/>
                    <w:rPr>
                      <w:color w:val="auto"/>
                    </w:rPr>
                  </w:pPr>
                  <w:r>
                    <w:rPr>
                      <w:rFonts w:hint="eastAsia"/>
                      <w:color w:val="auto"/>
                      <w:lang w:val="en-US" w:eastAsia="zh-CN"/>
                    </w:rPr>
                    <w:t>3</w:t>
                  </w:r>
                  <w:r>
                    <w:rPr>
                      <w:color w:val="auto"/>
                    </w:rPr>
                    <w:t>%</w:t>
                  </w:r>
                </w:p>
              </w:tc>
              <w:tc>
                <w:tcPr>
                  <w:tcW w:w="704" w:type="dxa"/>
                  <w:tcBorders>
                    <w:top w:val="single" w:color="auto" w:sz="4" w:space="0"/>
                    <w:left w:val="single" w:color="auto" w:sz="4" w:space="0"/>
                    <w:bottom w:val="single" w:color="auto" w:sz="4" w:space="0"/>
                    <w:right w:val="single" w:color="auto" w:sz="4" w:space="0"/>
                  </w:tcBorders>
                  <w:noWrap w:val="0"/>
                  <w:vAlign w:val="center"/>
                </w:tcPr>
                <w:p>
                  <w:pPr>
                    <w:pStyle w:val="162"/>
                    <w:jc w:val="center"/>
                    <w:rPr>
                      <w:color w:val="auto"/>
                    </w:rPr>
                  </w:pPr>
                  <w:r>
                    <w:rPr>
                      <w:color w:val="auto"/>
                    </w:rPr>
                    <w:t>/</w:t>
                  </w:r>
                </w:p>
              </w:tc>
            </w:tr>
          </w:tbl>
          <w:p>
            <w:pPr>
              <w:spacing w:line="360" w:lineRule="auto"/>
              <w:jc w:val="left"/>
              <w:rPr>
                <w:rFonts w:ascii="宋体" w:hAnsi="宋体" w:cs="宋体"/>
                <w:bCs/>
                <w:color w:val="auto"/>
                <w:spacing w:val="-10"/>
                <w:szCs w:val="21"/>
              </w:rPr>
            </w:pPr>
          </w:p>
        </w:tc>
      </w:tr>
    </w:tbl>
    <w:p>
      <w:pPr>
        <w:adjustRightInd w:val="0"/>
        <w:snapToGrid w:val="0"/>
        <w:jc w:val="center"/>
        <w:rPr>
          <w:rFonts w:hint="eastAsia" w:ascii="宋体" w:hAnsi="宋体" w:cs="宋体"/>
          <w:bCs/>
          <w:color w:val="auto"/>
          <w:sz w:val="24"/>
        </w:rPr>
      </w:pPr>
    </w:p>
    <w:p>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cols w:space="720" w:num="1"/>
          <w:docGrid w:linePitch="312" w:charSpace="0"/>
        </w:sectPr>
      </w:pPr>
    </w:p>
    <w:p>
      <w:pPr>
        <w:pStyle w:val="32"/>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8" w:name="_Hlk54167917"/>
      <w:r>
        <w:rPr>
          <w:rFonts w:hint="eastAsia" w:ascii="黑体" w:hAnsi="黑体" w:eastAsia="黑体"/>
          <w:snapToGrid w:val="0"/>
          <w:color w:val="auto"/>
          <w:sz w:val="30"/>
          <w:szCs w:val="30"/>
        </w:rPr>
        <w:t>环境保护措施监督检查清单</w:t>
      </w:r>
      <w:bookmarkEnd w:id="8"/>
    </w:p>
    <w:tbl>
      <w:tblPr>
        <w:tblStyle w:val="36"/>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254"/>
        <w:gridCol w:w="1712"/>
        <w:gridCol w:w="1519"/>
        <w:gridCol w:w="2218"/>
        <w:gridCol w:w="20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1254" w:type="dxa"/>
            <w:tcBorders>
              <w:tl2br w:val="single" w:color="auto" w:sz="4" w:space="0"/>
            </w:tcBorders>
            <w:noWrap w:val="0"/>
            <w:vAlign w:val="top"/>
          </w:tcPr>
          <w:p>
            <w:pPr>
              <w:adjustRightInd w:val="0"/>
              <w:snapToGrid w:val="0"/>
              <w:jc w:val="right"/>
              <w:rPr>
                <w:color w:val="auto"/>
                <w:sz w:val="24"/>
              </w:rPr>
            </w:pPr>
            <w:r>
              <w:rPr>
                <w:color w:val="auto"/>
                <w:sz w:val="24"/>
              </w:rPr>
              <w:t>内容</w:t>
            </w:r>
          </w:p>
          <w:p>
            <w:pPr>
              <w:adjustRightInd w:val="0"/>
              <w:snapToGrid w:val="0"/>
              <w:rPr>
                <w:color w:val="auto"/>
                <w:sz w:val="24"/>
              </w:rPr>
            </w:pPr>
            <w:r>
              <w:rPr>
                <w:color w:val="auto"/>
                <w:sz w:val="24"/>
              </w:rPr>
              <w:t>要素</w:t>
            </w:r>
          </w:p>
        </w:tc>
        <w:tc>
          <w:tcPr>
            <w:tcW w:w="1712" w:type="dxa"/>
            <w:noWrap w:val="0"/>
            <w:vAlign w:val="center"/>
          </w:tcPr>
          <w:p>
            <w:pPr>
              <w:adjustRightInd w:val="0"/>
              <w:snapToGrid w:val="0"/>
              <w:jc w:val="center"/>
              <w:rPr>
                <w:color w:val="auto"/>
                <w:sz w:val="24"/>
              </w:rPr>
            </w:pPr>
            <w:r>
              <w:rPr>
                <w:color w:val="auto"/>
                <w:sz w:val="24"/>
              </w:rPr>
              <w:t>排放口</w:t>
            </w:r>
            <w:r>
              <w:rPr>
                <w:rFonts w:hint="eastAsia"/>
                <w:color w:val="auto"/>
                <w:sz w:val="24"/>
                <w:lang w:eastAsia="zh-CN"/>
              </w:rPr>
              <w:t>（</w:t>
            </w:r>
            <w:r>
              <w:rPr>
                <w:color w:val="auto"/>
                <w:sz w:val="24"/>
              </w:rPr>
              <w:t>编号、名称</w:t>
            </w:r>
            <w:r>
              <w:rPr>
                <w:rFonts w:hint="eastAsia"/>
                <w:color w:val="auto"/>
                <w:sz w:val="24"/>
                <w:lang w:eastAsia="zh-CN"/>
              </w:rPr>
              <w:t>）</w:t>
            </w:r>
            <w:r>
              <w:rPr>
                <w:color w:val="auto"/>
                <w:sz w:val="24"/>
              </w:rPr>
              <w:t>/污染源</w:t>
            </w:r>
          </w:p>
        </w:tc>
        <w:tc>
          <w:tcPr>
            <w:tcW w:w="1519" w:type="dxa"/>
            <w:noWrap w:val="0"/>
            <w:vAlign w:val="center"/>
          </w:tcPr>
          <w:p>
            <w:pPr>
              <w:adjustRightInd w:val="0"/>
              <w:snapToGrid w:val="0"/>
              <w:jc w:val="center"/>
              <w:rPr>
                <w:color w:val="auto"/>
                <w:sz w:val="24"/>
              </w:rPr>
            </w:pPr>
            <w:r>
              <w:rPr>
                <w:color w:val="auto"/>
                <w:sz w:val="24"/>
              </w:rPr>
              <w:t>污染物项目</w:t>
            </w:r>
          </w:p>
        </w:tc>
        <w:tc>
          <w:tcPr>
            <w:tcW w:w="2218" w:type="dxa"/>
            <w:noWrap w:val="0"/>
            <w:vAlign w:val="center"/>
          </w:tcPr>
          <w:p>
            <w:pPr>
              <w:adjustRightInd w:val="0"/>
              <w:snapToGrid w:val="0"/>
              <w:jc w:val="center"/>
              <w:rPr>
                <w:color w:val="auto"/>
                <w:sz w:val="24"/>
              </w:rPr>
            </w:pPr>
            <w:r>
              <w:rPr>
                <w:color w:val="auto"/>
                <w:sz w:val="24"/>
              </w:rPr>
              <w:t>环境保护措施</w:t>
            </w:r>
          </w:p>
        </w:tc>
        <w:tc>
          <w:tcPr>
            <w:tcW w:w="2097" w:type="dxa"/>
            <w:noWrap w:val="0"/>
            <w:vAlign w:val="center"/>
          </w:tcPr>
          <w:p>
            <w:pPr>
              <w:adjustRightInd w:val="0"/>
              <w:snapToGrid w:val="0"/>
              <w:jc w:val="center"/>
              <w:rPr>
                <w:color w:val="auto"/>
                <w:sz w:val="24"/>
              </w:rPr>
            </w:pPr>
            <w:r>
              <w:rPr>
                <w:color w:val="auto"/>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1254" w:type="dxa"/>
            <w:vMerge w:val="restart"/>
            <w:noWrap w:val="0"/>
            <w:vAlign w:val="center"/>
          </w:tcPr>
          <w:p>
            <w:pPr>
              <w:adjustRightInd w:val="0"/>
              <w:snapToGrid w:val="0"/>
              <w:jc w:val="center"/>
              <w:rPr>
                <w:color w:val="auto"/>
                <w:sz w:val="24"/>
                <w:szCs w:val="24"/>
              </w:rPr>
            </w:pPr>
            <w:r>
              <w:rPr>
                <w:color w:val="auto"/>
                <w:sz w:val="24"/>
                <w:szCs w:val="24"/>
              </w:rPr>
              <w:t>大气环境</w:t>
            </w:r>
          </w:p>
        </w:tc>
        <w:tc>
          <w:tcPr>
            <w:tcW w:w="1712" w:type="dxa"/>
            <w:noWrap w:val="0"/>
            <w:vAlign w:val="center"/>
          </w:tcPr>
          <w:p>
            <w:pPr>
              <w:jc w:val="center"/>
              <w:outlineLvl w:val="0"/>
              <w:rPr>
                <w:color w:val="auto"/>
                <w:sz w:val="24"/>
                <w:szCs w:val="24"/>
              </w:rPr>
            </w:pPr>
            <w:r>
              <w:rPr>
                <w:rFonts w:hint="eastAsia"/>
                <w:color w:val="auto"/>
                <w:sz w:val="24"/>
                <w:szCs w:val="24"/>
              </w:rPr>
              <w:t>DA00</w:t>
            </w:r>
            <w:r>
              <w:rPr>
                <w:rFonts w:hint="eastAsia"/>
                <w:color w:val="auto"/>
                <w:sz w:val="24"/>
                <w:szCs w:val="24"/>
                <w:lang w:val="en-US" w:eastAsia="zh-CN"/>
              </w:rPr>
              <w:t>1</w:t>
            </w:r>
            <w:r>
              <w:rPr>
                <w:color w:val="auto"/>
                <w:sz w:val="24"/>
                <w:szCs w:val="24"/>
              </w:rPr>
              <w:t>排气筒出口</w:t>
            </w:r>
          </w:p>
        </w:tc>
        <w:tc>
          <w:tcPr>
            <w:tcW w:w="1519" w:type="dxa"/>
            <w:noWrap w:val="0"/>
            <w:vAlign w:val="center"/>
          </w:tcPr>
          <w:p>
            <w:pPr>
              <w:widowControl/>
              <w:jc w:val="center"/>
              <w:textAlignment w:val="bottom"/>
              <w:rPr>
                <w:rFonts w:hint="default" w:eastAsia="宋体"/>
                <w:color w:val="auto"/>
                <w:sz w:val="24"/>
                <w:szCs w:val="24"/>
                <w:lang w:val="en-US" w:eastAsia="zh-CN"/>
              </w:rPr>
            </w:pPr>
            <w:r>
              <w:rPr>
                <w:rFonts w:hint="eastAsia" w:ascii="Times New Roman" w:hAnsi="Times New Roman" w:eastAsia="宋体" w:cs="Times New Roman"/>
                <w:b w:val="0"/>
                <w:bCs/>
                <w:color w:val="auto"/>
                <w:sz w:val="24"/>
                <w:szCs w:val="24"/>
                <w:lang w:val="en-US" w:eastAsia="zh-CN"/>
              </w:rPr>
              <w:t>颗粒物、二氧化硫、氮氧化物、烟气黑度（林格曼级）</w:t>
            </w:r>
          </w:p>
        </w:tc>
        <w:tc>
          <w:tcPr>
            <w:tcW w:w="2218" w:type="dxa"/>
            <w:noWrap w:val="0"/>
            <w:vAlign w:val="center"/>
          </w:tcPr>
          <w:p>
            <w:pPr>
              <w:pStyle w:val="1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color w:val="auto"/>
                <w:sz w:val="24"/>
                <w:szCs w:val="24"/>
              </w:rPr>
            </w:pPr>
            <w:r>
              <w:rPr>
                <w:rFonts w:hint="eastAsia" w:ascii="Times New Roman" w:hAnsi="Times New Roman" w:eastAsia="宋体" w:cs="Times New Roman"/>
                <w:b w:val="0"/>
                <w:bCs/>
                <w:color w:val="auto"/>
                <w:kern w:val="2"/>
                <w:sz w:val="24"/>
                <w:szCs w:val="24"/>
                <w:lang w:val="en-US" w:eastAsia="zh-CN" w:bidi="ar-SA"/>
              </w:rPr>
              <w:t>1号进料机产生的投料粉尘、1号膨化炉产生的膨化炉废气及</w:t>
            </w:r>
            <w:r>
              <w:rPr>
                <w:rFonts w:hint="default" w:ascii="Times New Roman" w:hAnsi="Times New Roman" w:eastAsia="宋体" w:cs="Times New Roman"/>
                <w:b w:val="0"/>
                <w:bCs/>
                <w:color w:val="auto"/>
                <w:sz w:val="24"/>
                <w:szCs w:val="24"/>
                <w:lang w:val="en-US" w:eastAsia="zh-CN"/>
              </w:rPr>
              <w:t>1号</w:t>
            </w:r>
            <w:r>
              <w:rPr>
                <w:rFonts w:hint="default" w:ascii="Times New Roman" w:hAnsi="Times New Roman" w:eastAsia="宋体" w:cs="Times New Roman"/>
                <w:color w:val="auto"/>
                <w:kern w:val="0"/>
                <w:sz w:val="24"/>
                <w:szCs w:val="24"/>
                <w:lang w:bidi="ar"/>
              </w:rPr>
              <w:t>物料分级系统</w:t>
            </w:r>
            <w:r>
              <w:rPr>
                <w:rFonts w:hint="default" w:ascii="Times New Roman" w:hAnsi="Times New Roman" w:eastAsia="宋体" w:cs="Times New Roman"/>
                <w:color w:val="auto"/>
                <w:kern w:val="0"/>
                <w:sz w:val="24"/>
                <w:szCs w:val="24"/>
                <w:lang w:val="en-US" w:eastAsia="zh-CN" w:bidi="ar"/>
              </w:rPr>
              <w:t>产生的</w:t>
            </w:r>
            <w:r>
              <w:rPr>
                <w:rFonts w:hint="default" w:ascii="Times New Roman" w:hAnsi="Times New Roman" w:eastAsia="宋体" w:cs="Times New Roman"/>
                <w:bCs/>
                <w:color w:val="auto"/>
                <w:sz w:val="24"/>
                <w:szCs w:val="24"/>
                <w:lang w:val="en-US" w:eastAsia="zh-CN"/>
              </w:rPr>
              <w:t>粉尘</w:t>
            </w:r>
            <w:r>
              <w:rPr>
                <w:rFonts w:hint="eastAsia" w:ascii="Times New Roman" w:hAnsi="Times New Roman" w:eastAsia="宋体" w:cs="Times New Roman"/>
                <w:b w:val="0"/>
                <w:bCs/>
                <w:color w:val="auto"/>
                <w:kern w:val="2"/>
                <w:sz w:val="24"/>
                <w:szCs w:val="24"/>
                <w:lang w:val="en-US" w:eastAsia="zh-CN" w:bidi="ar-SA"/>
              </w:rPr>
              <w:t>经集气罩或管道收集至TA001“布袋除尘器+碱喷淋”处理后，通过1根15m高排气筒（DA001）达标排放</w:t>
            </w:r>
          </w:p>
        </w:tc>
        <w:tc>
          <w:tcPr>
            <w:tcW w:w="2097" w:type="dxa"/>
            <w:noWrap w:val="0"/>
            <w:vAlign w:val="center"/>
          </w:tcPr>
          <w:p>
            <w:pPr>
              <w:tabs>
                <w:tab w:val="left" w:pos="0"/>
              </w:tabs>
              <w:autoSpaceDE w:val="0"/>
              <w:autoSpaceDN w:val="0"/>
              <w:jc w:val="center"/>
              <w:rPr>
                <w:rFonts w:hint="eastAsia" w:eastAsia="宋体"/>
                <w:color w:val="auto"/>
                <w:kern w:val="0"/>
                <w:sz w:val="24"/>
                <w:szCs w:val="24"/>
                <w:lang w:eastAsia="zh-CN" w:bidi="ar"/>
              </w:rPr>
            </w:pPr>
            <w:r>
              <w:rPr>
                <w:rFonts w:hint="default" w:ascii="Times New Roman" w:hAnsi="Times New Roman" w:eastAsia="宋体" w:cs="Times New Roman"/>
                <w:color w:val="auto"/>
                <w:kern w:val="0"/>
                <w:sz w:val="24"/>
                <w:szCs w:val="24"/>
                <w:lang w:val="en-US" w:eastAsia="zh-CN" w:bidi="ar"/>
              </w:rPr>
              <w:t>《工业炉窑大气污染物排放标准》（GB9078-1996）表2中“非金属加热炉”二级标准</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《四川省印发工业窑炉大气污染综合治理实施清单》中的标准限值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1254" w:type="dxa"/>
            <w:vMerge w:val="continue"/>
            <w:noWrap w:val="0"/>
            <w:vAlign w:val="center"/>
          </w:tcPr>
          <w:p>
            <w:pPr>
              <w:adjustRightInd w:val="0"/>
              <w:snapToGrid w:val="0"/>
              <w:jc w:val="center"/>
              <w:rPr>
                <w:color w:val="auto"/>
                <w:sz w:val="24"/>
              </w:rPr>
            </w:pPr>
          </w:p>
        </w:tc>
        <w:tc>
          <w:tcPr>
            <w:tcW w:w="1712" w:type="dxa"/>
            <w:noWrap w:val="0"/>
            <w:vAlign w:val="center"/>
          </w:tcPr>
          <w:p>
            <w:pPr>
              <w:jc w:val="center"/>
              <w:outlineLvl w:val="0"/>
              <w:rPr>
                <w:rFonts w:hint="eastAsia"/>
                <w:color w:val="auto"/>
                <w:sz w:val="24"/>
                <w:szCs w:val="24"/>
              </w:rPr>
            </w:pPr>
            <w:r>
              <w:rPr>
                <w:rFonts w:hint="eastAsia"/>
                <w:color w:val="auto"/>
                <w:sz w:val="24"/>
                <w:szCs w:val="24"/>
              </w:rPr>
              <w:t>DA00</w:t>
            </w:r>
            <w:r>
              <w:rPr>
                <w:rFonts w:hint="eastAsia"/>
                <w:color w:val="auto"/>
                <w:sz w:val="24"/>
                <w:szCs w:val="24"/>
                <w:lang w:val="en-US" w:eastAsia="zh-CN"/>
              </w:rPr>
              <w:t>2</w:t>
            </w:r>
            <w:r>
              <w:rPr>
                <w:color w:val="auto"/>
                <w:sz w:val="24"/>
                <w:szCs w:val="24"/>
              </w:rPr>
              <w:t>排气筒出口</w:t>
            </w:r>
          </w:p>
        </w:tc>
        <w:tc>
          <w:tcPr>
            <w:tcW w:w="1519" w:type="dxa"/>
            <w:noWrap w:val="0"/>
            <w:vAlign w:val="center"/>
          </w:tcPr>
          <w:p>
            <w:pPr>
              <w:widowControl/>
              <w:jc w:val="center"/>
              <w:textAlignment w:val="bottom"/>
              <w:rPr>
                <w:rFonts w:hint="default"/>
                <w:color w:val="auto"/>
                <w:kern w:val="0"/>
                <w:sz w:val="24"/>
                <w:szCs w:val="24"/>
                <w:lang w:val="en-US" w:bidi="ar"/>
              </w:rPr>
            </w:pPr>
            <w:r>
              <w:rPr>
                <w:rFonts w:hint="eastAsia" w:ascii="Times New Roman" w:hAnsi="Times New Roman" w:eastAsia="宋体" w:cs="Times New Roman"/>
                <w:b w:val="0"/>
                <w:bCs/>
                <w:color w:val="auto"/>
                <w:sz w:val="24"/>
                <w:szCs w:val="24"/>
                <w:lang w:val="en-US" w:eastAsia="zh-CN"/>
              </w:rPr>
              <w:t>颗粒物、二氧化硫、氮氧化物、烟气黑度（林格曼级）</w:t>
            </w:r>
          </w:p>
        </w:tc>
        <w:tc>
          <w:tcPr>
            <w:tcW w:w="2218" w:type="dxa"/>
            <w:noWrap w:val="0"/>
            <w:vAlign w:val="center"/>
          </w:tcPr>
          <w:p>
            <w:pPr>
              <w:adjustRightInd w:val="0"/>
              <w:snapToGrid w:val="0"/>
              <w:jc w:val="center"/>
              <w:rPr>
                <w:rFonts w:hint="eastAsia"/>
                <w:color w:val="auto"/>
                <w:sz w:val="24"/>
                <w:szCs w:val="24"/>
              </w:rPr>
            </w:pPr>
            <w:r>
              <w:rPr>
                <w:rFonts w:hint="eastAsia" w:ascii="Times New Roman" w:hAnsi="Times New Roman" w:eastAsia="宋体" w:cs="Times New Roman"/>
                <w:b w:val="0"/>
                <w:bCs/>
                <w:color w:val="auto"/>
                <w:kern w:val="2"/>
                <w:sz w:val="24"/>
                <w:szCs w:val="24"/>
                <w:lang w:val="en-US" w:eastAsia="zh-CN" w:bidi="ar-SA"/>
              </w:rPr>
              <w:t>2号进料机产生的投料粉尘、2号膨化炉产生的膨化炉废气及</w:t>
            </w:r>
            <w:r>
              <w:rPr>
                <w:rFonts w:hint="eastAsia"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号</w:t>
            </w:r>
            <w:r>
              <w:rPr>
                <w:rFonts w:hint="default" w:ascii="Times New Roman" w:hAnsi="Times New Roman" w:eastAsia="宋体" w:cs="Times New Roman"/>
                <w:color w:val="auto"/>
                <w:kern w:val="0"/>
                <w:sz w:val="24"/>
                <w:szCs w:val="24"/>
                <w:lang w:bidi="ar"/>
              </w:rPr>
              <w:t>物料分级系统</w:t>
            </w:r>
            <w:r>
              <w:rPr>
                <w:rFonts w:hint="default" w:ascii="Times New Roman" w:hAnsi="Times New Roman" w:eastAsia="宋体" w:cs="Times New Roman"/>
                <w:color w:val="auto"/>
                <w:kern w:val="0"/>
                <w:sz w:val="24"/>
                <w:szCs w:val="24"/>
                <w:lang w:val="en-US" w:eastAsia="zh-CN" w:bidi="ar"/>
              </w:rPr>
              <w:t>产生的</w:t>
            </w:r>
            <w:r>
              <w:rPr>
                <w:rFonts w:hint="default" w:ascii="Times New Roman" w:hAnsi="Times New Roman" w:eastAsia="宋体" w:cs="Times New Roman"/>
                <w:bCs/>
                <w:color w:val="auto"/>
                <w:sz w:val="24"/>
                <w:szCs w:val="24"/>
                <w:lang w:val="en-US" w:eastAsia="zh-CN"/>
              </w:rPr>
              <w:t>粉尘</w:t>
            </w:r>
            <w:r>
              <w:rPr>
                <w:rFonts w:hint="eastAsia" w:ascii="Times New Roman" w:hAnsi="Times New Roman" w:eastAsia="宋体" w:cs="Times New Roman"/>
                <w:b w:val="0"/>
                <w:bCs/>
                <w:color w:val="auto"/>
                <w:kern w:val="2"/>
                <w:sz w:val="24"/>
                <w:szCs w:val="24"/>
                <w:lang w:val="en-US" w:eastAsia="zh-CN" w:bidi="ar-SA"/>
              </w:rPr>
              <w:t>经集气罩或管道收集至TA002“布袋除尘器+碱喷淋”处理后，通过1根15m高排气筒（DA002）达标排放</w:t>
            </w:r>
          </w:p>
        </w:tc>
        <w:tc>
          <w:tcPr>
            <w:tcW w:w="2097" w:type="dxa"/>
            <w:noWrap w:val="0"/>
            <w:vAlign w:val="center"/>
          </w:tcPr>
          <w:p>
            <w:pPr>
              <w:tabs>
                <w:tab w:val="left" w:pos="0"/>
              </w:tabs>
              <w:autoSpaceDE w:val="0"/>
              <w:autoSpaceDN w:val="0"/>
              <w:jc w:val="center"/>
              <w:rPr>
                <w:rFonts w:hint="eastAsia" w:eastAsia="宋体"/>
                <w:color w:val="auto"/>
                <w:kern w:val="0"/>
                <w:sz w:val="24"/>
                <w:szCs w:val="24"/>
                <w:lang w:eastAsia="zh-CN" w:bidi="ar"/>
              </w:rPr>
            </w:pPr>
            <w:r>
              <w:rPr>
                <w:rFonts w:hint="default" w:ascii="Times New Roman" w:hAnsi="Times New Roman" w:eastAsia="宋体" w:cs="Times New Roman"/>
                <w:color w:val="auto"/>
                <w:kern w:val="0"/>
                <w:sz w:val="24"/>
                <w:szCs w:val="24"/>
                <w:lang w:val="en-US" w:eastAsia="zh-CN" w:bidi="ar"/>
              </w:rPr>
              <w:t>《工业炉窑大气污染物排放标准》（GB9078-1996）表2中“非金属加热炉”二级标准</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《四川省印发工业窑炉大气污染综合治理实施清单》中的标准限值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2114" w:hRule="atLeast"/>
          <w:jc w:val="center"/>
        </w:trPr>
        <w:tc>
          <w:tcPr>
            <w:tcW w:w="1254" w:type="dxa"/>
            <w:noWrap w:val="0"/>
            <w:vAlign w:val="center"/>
          </w:tcPr>
          <w:p>
            <w:pPr>
              <w:adjustRightInd w:val="0"/>
              <w:snapToGrid w:val="0"/>
              <w:jc w:val="center"/>
              <w:rPr>
                <w:color w:val="auto"/>
                <w:sz w:val="24"/>
              </w:rPr>
            </w:pPr>
            <w:r>
              <w:rPr>
                <w:color w:val="auto"/>
                <w:sz w:val="24"/>
              </w:rPr>
              <w:t>地表水环境</w:t>
            </w:r>
          </w:p>
        </w:tc>
        <w:tc>
          <w:tcPr>
            <w:tcW w:w="1712" w:type="dxa"/>
            <w:noWrap w:val="0"/>
            <w:vAlign w:val="center"/>
          </w:tcPr>
          <w:p>
            <w:pPr>
              <w:adjustRightInd w:val="0"/>
              <w:snapToGrid w:val="0"/>
              <w:jc w:val="center"/>
              <w:rPr>
                <w:rFonts w:hint="eastAsia"/>
                <w:color w:val="auto"/>
                <w:sz w:val="24"/>
              </w:rPr>
            </w:pPr>
            <w:r>
              <w:rPr>
                <w:rFonts w:hint="eastAsia" w:ascii="Times New Roman" w:hAnsi="Times New Roman" w:eastAsia="宋体" w:cs="Times New Roman"/>
                <w:color w:val="auto"/>
                <w:sz w:val="24"/>
                <w:lang w:val="en-US" w:eastAsia="zh-CN"/>
              </w:rPr>
              <w:t>四川翔丰华新能源材料有限公司4#预处理池</w:t>
            </w:r>
          </w:p>
        </w:tc>
        <w:tc>
          <w:tcPr>
            <w:tcW w:w="1519" w:type="dxa"/>
            <w:noWrap w:val="0"/>
            <w:vAlign w:val="center"/>
          </w:tcPr>
          <w:p>
            <w:pPr>
              <w:adjustRightInd w:val="0"/>
              <w:snapToGrid w:val="0"/>
              <w:jc w:val="center"/>
              <w:rPr>
                <w:color w:val="auto"/>
                <w:sz w:val="24"/>
              </w:rPr>
            </w:pPr>
            <w:r>
              <w:rPr>
                <w:rFonts w:hint="eastAsia" w:ascii="Times New Roman" w:hAnsi="Times New Roman" w:cs="Times New Roman"/>
                <w:color w:val="auto"/>
                <w:sz w:val="24"/>
                <w:lang w:eastAsia="zh-CN"/>
              </w:rPr>
              <w:t>COD</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SS</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总氮、</w:t>
            </w:r>
            <w:r>
              <w:rPr>
                <w:rFonts w:hint="default" w:ascii="Times New Roman" w:hAnsi="Times New Roman" w:cs="Times New Roman"/>
                <w:color w:val="auto"/>
                <w:sz w:val="24"/>
              </w:rPr>
              <w:t>TP</w:t>
            </w:r>
          </w:p>
        </w:tc>
        <w:tc>
          <w:tcPr>
            <w:tcW w:w="2218" w:type="dxa"/>
            <w:noWrap w:val="0"/>
            <w:vAlign w:val="center"/>
          </w:tcPr>
          <w:p>
            <w:pPr>
              <w:adjustRightInd w:val="0"/>
              <w:snapToGrid w:val="0"/>
              <w:jc w:val="center"/>
              <w:rPr>
                <w:rFonts w:hint="eastAsia"/>
                <w:color w:val="auto"/>
                <w:sz w:val="24"/>
              </w:rPr>
            </w:pPr>
            <w:r>
              <w:rPr>
                <w:rFonts w:hint="eastAsia" w:ascii="Times New Roman" w:hAnsi="Times New Roman" w:eastAsia="宋体" w:cs="Times New Roman"/>
                <w:color w:val="auto"/>
                <w:sz w:val="24"/>
                <w:szCs w:val="24"/>
                <w:lang w:val="en-US" w:eastAsia="zh-CN"/>
              </w:rPr>
              <w:t>碱喷淋废水经酸碱中和预处理后，</w:t>
            </w:r>
            <w:r>
              <w:rPr>
                <w:rFonts w:hint="eastAsia" w:cs="Times New Roman"/>
                <w:color w:val="auto"/>
                <w:sz w:val="24"/>
                <w:szCs w:val="24"/>
                <w:lang w:val="en-US" w:eastAsia="zh-CN"/>
              </w:rPr>
              <w:t>和</w:t>
            </w:r>
            <w:r>
              <w:rPr>
                <w:rFonts w:hint="eastAsia" w:ascii="Times New Roman" w:hAnsi="Times New Roman" w:eastAsia="宋体" w:cs="Times New Roman"/>
                <w:color w:val="auto"/>
                <w:sz w:val="24"/>
                <w:szCs w:val="24"/>
                <w:lang w:val="en-US" w:eastAsia="zh-CN"/>
              </w:rPr>
              <w:t>生活污水一起排入四川翔丰华新能源材料有限公司已建4#预处理池处理达到</w:t>
            </w:r>
            <w:r>
              <w:rPr>
                <w:rFonts w:hint="default" w:ascii="Times New Roman" w:hAnsi="Times New Roman" w:eastAsia="宋体" w:cs="Times New Roman"/>
                <w:color w:val="auto"/>
                <w:kern w:val="0"/>
                <w:sz w:val="24"/>
                <w:szCs w:val="24"/>
                <w:lang w:bidi="ar"/>
              </w:rPr>
              <w:t>《污水综合排放标准》（GB18978-1996）中的三级排放标准</w:t>
            </w:r>
            <w:r>
              <w:rPr>
                <w:rFonts w:hint="default" w:ascii="Times New Roman" w:hAnsi="Times New Roman" w:eastAsia="宋体" w:cs="Times New Roman"/>
                <w:color w:val="auto"/>
                <w:kern w:val="0"/>
                <w:sz w:val="24"/>
                <w:szCs w:val="24"/>
                <w:lang w:val="en-US" w:eastAsia="zh-CN" w:bidi="ar"/>
              </w:rPr>
              <w:t>及</w:t>
            </w:r>
            <w:r>
              <w:rPr>
                <w:rFonts w:hint="default" w:ascii="Times New Roman" w:hAnsi="Times New Roman" w:eastAsia="宋体" w:cs="Times New Roman"/>
                <w:color w:val="auto"/>
                <w:kern w:val="0"/>
                <w:sz w:val="24"/>
                <w:szCs w:val="24"/>
                <w:lang w:bidi="ar"/>
              </w:rPr>
              <w:t>《污水排入城市下水道水质标准》（GB/T319</w:t>
            </w:r>
            <w:r>
              <w:rPr>
                <w:rFonts w:hint="default" w:ascii="Times New Roman" w:hAnsi="Times New Roman" w:eastAsia="宋体" w:cs="Times New Roman"/>
                <w:color w:val="auto"/>
                <w:kern w:val="0"/>
                <w:sz w:val="24"/>
                <w:lang w:bidi="ar"/>
              </w:rPr>
              <w:t>62-2015）B等级标准</w:t>
            </w:r>
            <w:r>
              <w:rPr>
                <w:rFonts w:hint="eastAsia" w:ascii="Times New Roman" w:hAnsi="Times New Roman" w:eastAsia="宋体" w:cs="Times New Roman"/>
                <w:color w:val="auto"/>
                <w:sz w:val="24"/>
                <w:lang w:val="en-US" w:eastAsia="zh-CN"/>
              </w:rPr>
              <w:t>后排入园区污水管网</w:t>
            </w:r>
            <w:r>
              <w:rPr>
                <w:rFonts w:ascii="Times New Roman" w:hAnsi="Times New Roman" w:eastAsia="宋体" w:cs="Times New Roman"/>
                <w:color w:val="auto"/>
                <w:sz w:val="24"/>
              </w:rPr>
              <w:t>，再经污水管网排入</w:t>
            </w:r>
            <w:r>
              <w:rPr>
                <w:rFonts w:hint="eastAsia" w:ascii="Times New Roman" w:hAnsi="Times New Roman" w:eastAsia="宋体" w:cs="Times New Roman"/>
                <w:color w:val="auto"/>
                <w:sz w:val="24"/>
                <w:lang w:eastAsia="zh-CN"/>
              </w:rPr>
              <w:t>遂宁金桥新区城市污水处理厂</w:t>
            </w:r>
            <w:r>
              <w:rPr>
                <w:rFonts w:ascii="Times New Roman" w:hAnsi="Times New Roman" w:eastAsia="宋体" w:cs="Times New Roman"/>
                <w:color w:val="auto"/>
                <w:sz w:val="24"/>
              </w:rPr>
              <w:t>集中处理</w:t>
            </w:r>
            <w:r>
              <w:rPr>
                <w:rFonts w:hint="eastAsia" w:ascii="Times New Roman" w:hAnsi="Times New Roman" w:eastAsia="宋体" w:cs="Times New Roman"/>
                <w:color w:val="auto"/>
                <w:sz w:val="24"/>
                <w:lang w:eastAsia="zh-CN"/>
              </w:rPr>
              <w:t>达到</w:t>
            </w:r>
            <w:r>
              <w:rPr>
                <w:rFonts w:hint="eastAsia" w:ascii="Times New Roman" w:hAnsi="Times New Roman" w:eastAsia="宋体" w:cs="Times New Roman"/>
                <w:color w:val="auto"/>
                <w:sz w:val="24"/>
                <w:lang w:val="en-US" w:eastAsia="zh-CN"/>
              </w:rPr>
              <w:t>《城镇污水处理厂污染物排放标准》（</w:t>
            </w:r>
            <w:r>
              <w:rPr>
                <w:rFonts w:hint="default" w:ascii="Times New Roman" w:hAnsi="Times New Roman" w:eastAsia="宋体" w:cs="Times New Roman"/>
                <w:color w:val="auto"/>
                <w:sz w:val="24"/>
                <w:lang w:val="en-US" w:eastAsia="zh-CN"/>
              </w:rPr>
              <w:t>GB18918-2002</w:t>
            </w:r>
            <w:r>
              <w:rPr>
                <w:rFonts w:hint="eastAsia" w:ascii="Times New Roman" w:hAnsi="Times New Roman" w:eastAsia="宋体" w:cs="Times New Roman"/>
                <w:color w:val="auto"/>
                <w:sz w:val="24"/>
                <w:lang w:val="en-US" w:eastAsia="zh-CN"/>
              </w:rPr>
              <w:t>）一级</w:t>
            </w:r>
            <w:r>
              <w:rPr>
                <w:rFonts w:hint="default"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val="en-US" w:eastAsia="zh-CN"/>
              </w:rPr>
              <w:t>标准</w:t>
            </w:r>
            <w:r>
              <w:rPr>
                <w:rFonts w:ascii="Times New Roman" w:hAnsi="Times New Roman" w:eastAsia="宋体" w:cs="Times New Roman"/>
                <w:color w:val="auto"/>
                <w:sz w:val="24"/>
              </w:rPr>
              <w:t>后排入</w:t>
            </w:r>
            <w:r>
              <w:rPr>
                <w:rFonts w:hint="default" w:ascii="Times New Roman" w:hAnsi="Times New Roman" w:eastAsia="宋体" w:cs="Times New Roman"/>
                <w:color w:val="auto"/>
                <w:sz w:val="24"/>
              </w:rPr>
              <w:t>涪江</w:t>
            </w:r>
          </w:p>
        </w:tc>
        <w:tc>
          <w:tcPr>
            <w:tcW w:w="2097" w:type="dxa"/>
            <w:noWrap w:val="0"/>
            <w:vAlign w:val="center"/>
          </w:tcPr>
          <w:p>
            <w:pPr>
              <w:adjustRightInd w:val="0"/>
              <w:snapToGrid w:val="0"/>
              <w:jc w:val="center"/>
              <w:rPr>
                <w:color w:val="auto"/>
                <w:sz w:val="24"/>
              </w:rPr>
            </w:pPr>
            <w:r>
              <w:rPr>
                <w:rFonts w:hint="default" w:ascii="Times New Roman" w:hAnsi="Times New Roman" w:eastAsia="宋体" w:cs="Times New Roman"/>
                <w:color w:val="auto"/>
                <w:kern w:val="0"/>
                <w:sz w:val="24"/>
                <w:lang w:bidi="ar"/>
              </w:rPr>
              <w:t>《污水综合排放标准》（GB18978-1996）中的三级排放标准</w:t>
            </w:r>
            <w:r>
              <w:rPr>
                <w:rFonts w:hint="eastAsia" w:ascii="Times New Roman" w:hAnsi="Times New Roman" w:eastAsia="宋体" w:cs="Times New Roman"/>
                <w:color w:val="auto"/>
                <w:kern w:val="0"/>
                <w:sz w:val="24"/>
                <w:lang w:val="en-US" w:eastAsia="zh-CN" w:bidi="ar"/>
              </w:rPr>
              <w:t>、</w:t>
            </w:r>
            <w:r>
              <w:rPr>
                <w:rFonts w:hint="default" w:ascii="Times New Roman" w:hAnsi="Times New Roman" w:eastAsia="宋体" w:cs="Times New Roman"/>
                <w:color w:val="auto"/>
                <w:kern w:val="0"/>
                <w:sz w:val="24"/>
                <w:lang w:bidi="ar"/>
              </w:rPr>
              <w:t>《污水排入城市下水道水质标准》（GB/T31962-2015）B等级标准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581" w:hRule="atLeast"/>
          <w:jc w:val="center"/>
        </w:trPr>
        <w:tc>
          <w:tcPr>
            <w:tcW w:w="1254" w:type="dxa"/>
            <w:noWrap w:val="0"/>
            <w:vAlign w:val="center"/>
          </w:tcPr>
          <w:p>
            <w:pPr>
              <w:adjustRightInd w:val="0"/>
              <w:snapToGrid w:val="0"/>
              <w:spacing w:line="240" w:lineRule="auto"/>
              <w:jc w:val="center"/>
              <w:rPr>
                <w:color w:val="auto"/>
                <w:sz w:val="24"/>
              </w:rPr>
            </w:pPr>
            <w:r>
              <w:rPr>
                <w:color w:val="auto"/>
                <w:sz w:val="24"/>
              </w:rPr>
              <w:t>声环境</w:t>
            </w:r>
          </w:p>
        </w:tc>
        <w:tc>
          <w:tcPr>
            <w:tcW w:w="1712" w:type="dxa"/>
            <w:noWrap w:val="0"/>
            <w:vAlign w:val="center"/>
          </w:tcPr>
          <w:p>
            <w:pPr>
              <w:spacing w:line="240" w:lineRule="auto"/>
              <w:jc w:val="center"/>
              <w:rPr>
                <w:color w:val="auto"/>
                <w:sz w:val="24"/>
              </w:rPr>
            </w:pPr>
            <w:r>
              <w:rPr>
                <w:color w:val="auto"/>
                <w:sz w:val="24"/>
              </w:rPr>
              <w:t>厂界四周</w:t>
            </w:r>
          </w:p>
        </w:tc>
        <w:tc>
          <w:tcPr>
            <w:tcW w:w="1519" w:type="dxa"/>
            <w:noWrap w:val="0"/>
            <w:vAlign w:val="center"/>
          </w:tcPr>
          <w:p>
            <w:pPr>
              <w:adjustRightInd w:val="0"/>
              <w:snapToGrid w:val="0"/>
              <w:spacing w:line="240" w:lineRule="auto"/>
              <w:jc w:val="center"/>
              <w:rPr>
                <w:color w:val="auto"/>
                <w:sz w:val="24"/>
              </w:rPr>
            </w:pPr>
            <w:r>
              <w:rPr>
                <w:color w:val="auto"/>
                <w:sz w:val="24"/>
              </w:rPr>
              <w:t>噪声</w:t>
            </w:r>
          </w:p>
        </w:tc>
        <w:tc>
          <w:tcPr>
            <w:tcW w:w="2218" w:type="dxa"/>
            <w:noWrap w:val="0"/>
            <w:vAlign w:val="center"/>
          </w:tcPr>
          <w:p>
            <w:pPr>
              <w:adjustRightInd w:val="0"/>
              <w:snapToGrid w:val="0"/>
              <w:spacing w:line="240" w:lineRule="auto"/>
              <w:jc w:val="center"/>
              <w:rPr>
                <w:color w:val="auto"/>
                <w:sz w:val="24"/>
              </w:rPr>
            </w:pPr>
            <w:r>
              <w:rPr>
                <w:color w:val="auto"/>
                <w:sz w:val="24"/>
              </w:rPr>
              <w:t>采用低噪声设备、建筑隔声等措施。</w:t>
            </w:r>
          </w:p>
        </w:tc>
        <w:tc>
          <w:tcPr>
            <w:tcW w:w="2097" w:type="dxa"/>
            <w:noWrap w:val="0"/>
            <w:vAlign w:val="center"/>
          </w:tcPr>
          <w:p>
            <w:pPr>
              <w:adjustRightInd w:val="0"/>
              <w:snapToGrid w:val="0"/>
              <w:spacing w:line="240" w:lineRule="auto"/>
              <w:jc w:val="center"/>
              <w:rPr>
                <w:rFonts w:hint="eastAsia"/>
                <w:color w:val="auto"/>
                <w:sz w:val="24"/>
              </w:rPr>
            </w:pPr>
            <w:r>
              <w:rPr>
                <w:color w:val="auto"/>
                <w:sz w:val="24"/>
              </w:rPr>
              <w:t>运营期厂界</w:t>
            </w:r>
            <w:r>
              <w:rPr>
                <w:rFonts w:hint="eastAsia"/>
                <w:color w:val="auto"/>
                <w:sz w:val="24"/>
              </w:rPr>
              <w:t>执行</w:t>
            </w:r>
            <w:r>
              <w:rPr>
                <w:color w:val="auto"/>
                <w:sz w:val="24"/>
              </w:rPr>
              <w:t>《工业企业厂界环境噪声排放标准》（GB12348-2008）</w:t>
            </w:r>
            <w:r>
              <w:rPr>
                <w:rFonts w:hint="eastAsia"/>
                <w:color w:val="auto"/>
                <w:sz w:val="24"/>
              </w:rPr>
              <w:t>3</w:t>
            </w:r>
            <w:r>
              <w:rPr>
                <w:color w:val="auto"/>
                <w:sz w:val="24"/>
              </w:rPr>
              <w:t>类标准</w:t>
            </w:r>
            <w:r>
              <w:rPr>
                <w:rFonts w:hint="eastAsia"/>
                <w:color w:val="auto"/>
                <w:sz w:val="24"/>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1254" w:type="dxa"/>
            <w:noWrap w:val="0"/>
            <w:vAlign w:val="center"/>
          </w:tcPr>
          <w:p>
            <w:pPr>
              <w:adjustRightInd w:val="0"/>
              <w:snapToGrid w:val="0"/>
              <w:jc w:val="center"/>
              <w:rPr>
                <w:rFonts w:hint="eastAsia" w:ascii="宋体" w:hAnsi="宋体" w:cs="宋体"/>
                <w:color w:val="auto"/>
                <w:sz w:val="24"/>
              </w:rPr>
            </w:pPr>
            <w:r>
              <w:rPr>
                <w:rFonts w:hint="eastAsia" w:ascii="宋体" w:hAnsi="宋体" w:cs="宋体"/>
                <w:color w:val="auto"/>
                <w:sz w:val="24"/>
              </w:rPr>
              <w:t>电磁辐射</w:t>
            </w:r>
          </w:p>
        </w:tc>
        <w:tc>
          <w:tcPr>
            <w:tcW w:w="7546" w:type="dxa"/>
            <w:gridSpan w:val="4"/>
            <w:noWrap w:val="0"/>
            <w:vAlign w:val="center"/>
          </w:tcPr>
          <w:p>
            <w:pPr>
              <w:adjustRightInd w:val="0"/>
              <w:snapToGrid w:val="0"/>
              <w:jc w:val="center"/>
              <w:rPr>
                <w:rFonts w:hint="eastAsia" w:ascii="宋体" w:hAnsi="宋体" w:cs="宋体"/>
                <w:color w:val="auto"/>
                <w:sz w:val="24"/>
              </w:rPr>
            </w:pPr>
            <w:r>
              <w:rPr>
                <w:rFonts w:hint="eastAsia" w:ascii="宋体" w:hAnsi="宋体" w:cs="宋体"/>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1276" w:hRule="atLeast"/>
          <w:jc w:val="center"/>
        </w:trPr>
        <w:tc>
          <w:tcPr>
            <w:tcW w:w="1254" w:type="dxa"/>
            <w:noWrap w:val="0"/>
            <w:vAlign w:val="center"/>
          </w:tcPr>
          <w:p>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固体废物</w:t>
            </w:r>
          </w:p>
        </w:tc>
        <w:tc>
          <w:tcPr>
            <w:tcW w:w="7546" w:type="dxa"/>
            <w:gridSpan w:val="4"/>
            <w:noWrap w:val="0"/>
            <w:vAlign w:val="center"/>
          </w:tcPr>
          <w:p>
            <w:pPr>
              <w:pStyle w:val="20"/>
              <w:spacing w:after="0" w:line="360" w:lineRule="auto"/>
              <w:ind w:left="0" w:leftChars="0" w:firstLine="480" w:firstLineChars="200"/>
              <w:rPr>
                <w:rFonts w:hint="eastAsia" w:cs="宋体"/>
                <w:color w:val="auto"/>
                <w:sz w:val="24"/>
              </w:rPr>
            </w:pPr>
            <w:r>
              <w:rPr>
                <w:rFonts w:hint="default" w:ascii="Times New Roman" w:hAnsi="Times New Roman" w:cs="Times New Roman"/>
                <w:color w:val="auto"/>
                <w:sz w:val="24"/>
                <w:szCs w:val="24"/>
              </w:rPr>
              <w:t>生活垃圾收集后交环卫清运处理；</w:t>
            </w:r>
            <w:r>
              <w:rPr>
                <w:rFonts w:hint="default" w:ascii="Times New Roman" w:hAnsi="Times New Roman" w:cs="Times New Roman"/>
                <w:color w:val="auto"/>
                <w:kern w:val="0"/>
                <w:sz w:val="24"/>
                <w:szCs w:val="24"/>
                <w:lang w:bidi="ar"/>
              </w:rPr>
              <w:t>未沾</w:t>
            </w:r>
            <w:r>
              <w:rPr>
                <w:rFonts w:hint="default" w:ascii="Times New Roman" w:hAnsi="Times New Roman" w:eastAsia="宋体" w:cs="Times New Roman"/>
                <w:color w:val="auto"/>
                <w:kern w:val="0"/>
                <w:sz w:val="24"/>
                <w:szCs w:val="24"/>
                <w:lang w:bidi="ar"/>
              </w:rPr>
              <w:t>染具有危险特性物质的废包装材料</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磁性杂质物</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val="en-US" w:eastAsia="zh-CN" w:bidi="ar"/>
              </w:rPr>
              <w:t>布袋除尘器收集粉尘及废边角料</w:t>
            </w:r>
            <w:r>
              <w:rPr>
                <w:rFonts w:hint="default" w:ascii="Times New Roman" w:hAnsi="Times New Roman" w:cs="Times New Roman"/>
                <w:color w:val="auto"/>
                <w:sz w:val="24"/>
                <w:szCs w:val="24"/>
              </w:rPr>
              <w:t>收集后存放于</w:t>
            </w:r>
            <w:r>
              <w:rPr>
                <w:rFonts w:hint="default" w:ascii="Times New Roman" w:hAnsi="Times New Roman" w:cs="Times New Roman"/>
                <w:color w:val="auto"/>
                <w:sz w:val="24"/>
                <w:szCs w:val="24"/>
                <w:lang w:val="zh-CN" w:bidi="zh-CN"/>
              </w:rPr>
              <w:t>一般固废暂存间，外售废品回收商；</w:t>
            </w:r>
            <w:r>
              <w:rPr>
                <w:rFonts w:hint="default" w:ascii="Times New Roman" w:hAnsi="Times New Roman" w:eastAsia="宋体" w:cs="Times New Roman"/>
                <w:color w:val="auto"/>
                <w:kern w:val="0"/>
                <w:sz w:val="24"/>
                <w:szCs w:val="24"/>
                <w:lang w:val="en-US" w:eastAsia="zh-CN" w:bidi="ar"/>
              </w:rPr>
              <w:t>废机油、废机油桶、废含油手套及抹布</w:t>
            </w:r>
            <w:r>
              <w:rPr>
                <w:rFonts w:hint="default" w:ascii="Times New Roman" w:hAnsi="Times New Roman" w:eastAsia="宋体" w:cs="Times New Roman"/>
                <w:b w:val="0"/>
                <w:bCs w:val="0"/>
                <w:color w:val="auto"/>
                <w:kern w:val="0"/>
                <w:sz w:val="24"/>
                <w:szCs w:val="24"/>
                <w:lang w:val="en-US" w:eastAsia="zh-CN" w:bidi="ar-SA"/>
              </w:rPr>
              <w:t>采用专用容器</w:t>
            </w:r>
            <w:r>
              <w:rPr>
                <w:rFonts w:hint="default" w:ascii="Times New Roman" w:hAnsi="Times New Roman" w:eastAsia="宋体" w:cs="Times New Roman"/>
                <w:color w:val="auto"/>
                <w:sz w:val="24"/>
                <w:szCs w:val="24"/>
              </w:rPr>
              <w:t>分类收集后暂存于危废暂存间，定期交由有资质单位处置</w:t>
            </w:r>
            <w:r>
              <w:rPr>
                <w:rFonts w:hint="default" w:ascii="Times New Roman" w:hAnsi="Times New Roman" w:cs="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826" w:hRule="atLeast"/>
          <w:jc w:val="center"/>
        </w:trPr>
        <w:tc>
          <w:tcPr>
            <w:tcW w:w="1254" w:type="dxa"/>
            <w:noWrap w:val="0"/>
            <w:vAlign w:val="center"/>
          </w:tcPr>
          <w:p>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土壤及地下水污染防治措施</w:t>
            </w:r>
          </w:p>
        </w:tc>
        <w:tc>
          <w:tcPr>
            <w:tcW w:w="7546" w:type="dxa"/>
            <w:gridSpan w:val="4"/>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b/>
                <w:bCs/>
                <w:color w:val="auto"/>
                <w:sz w:val="24"/>
                <w:szCs w:val="24"/>
              </w:rPr>
            </w:pPr>
            <w:r>
              <w:rPr>
                <w:b/>
                <w:bCs/>
                <w:color w:val="auto"/>
                <w:kern w:val="0"/>
                <w:sz w:val="24"/>
                <w:szCs w:val="24"/>
                <w:lang w:bidi="ar"/>
              </w:rPr>
              <w:t>1）重点防渗区</w:t>
            </w:r>
            <w:r>
              <w:rPr>
                <w:rFonts w:hint="eastAsia"/>
                <w:b/>
                <w:bCs/>
                <w:color w:val="auto"/>
                <w:kern w:val="0"/>
                <w:sz w:val="24"/>
                <w:szCs w:val="24"/>
                <w:lang w:bidi="ar"/>
              </w:rPr>
              <w:t>：</w:t>
            </w:r>
            <w:r>
              <w:rPr>
                <w:b/>
                <w:bCs/>
                <w:color w:val="auto"/>
                <w:sz w:val="24"/>
                <w:szCs w:val="24"/>
              </w:rPr>
              <w:t>危废暂存间</w:t>
            </w:r>
            <w:r>
              <w:rPr>
                <w:rFonts w:hint="eastAsia"/>
                <w:b/>
                <w:bCs/>
                <w:color w:val="auto"/>
                <w:sz w:val="24"/>
                <w:szCs w:val="24"/>
                <w:lang w:eastAsia="zh-CN"/>
              </w:rPr>
              <w:t>、</w:t>
            </w:r>
            <w:r>
              <w:rPr>
                <w:rFonts w:hint="eastAsia"/>
                <w:b/>
                <w:bCs/>
                <w:color w:val="auto"/>
                <w:sz w:val="24"/>
                <w:szCs w:val="24"/>
                <w:lang w:val="en-US" w:eastAsia="zh-CN"/>
              </w:rPr>
              <w:t>事故应急池（兼初期雨水收集池）、消防水池</w:t>
            </w:r>
            <w:r>
              <w:rPr>
                <w:b/>
                <w:bCs/>
                <w:color w:val="auto"/>
                <w:sz w:val="24"/>
                <w:szCs w:val="24"/>
              </w:rPr>
              <w:t>。</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eastAsia="宋体"/>
                <w:color w:val="auto"/>
                <w:kern w:val="0"/>
                <w:sz w:val="24"/>
                <w:szCs w:val="24"/>
                <w:lang w:val="en-US" w:eastAsia="zh-CN" w:bidi="ar"/>
              </w:rPr>
            </w:pPr>
            <w:r>
              <w:rPr>
                <w:rFonts w:hint="eastAsia"/>
                <w:b w:val="0"/>
                <w:bCs w:val="0"/>
                <w:color w:val="auto"/>
                <w:kern w:val="0"/>
                <w:sz w:val="24"/>
                <w:szCs w:val="24"/>
                <w:lang w:val="en-US" w:eastAsia="zh-CN" w:bidi="ar"/>
              </w:rPr>
              <w:t>依托的</w:t>
            </w:r>
            <w:r>
              <w:rPr>
                <w:b w:val="0"/>
                <w:bCs w:val="0"/>
                <w:color w:val="auto"/>
                <w:kern w:val="0"/>
                <w:sz w:val="24"/>
                <w:szCs w:val="24"/>
                <w:lang w:bidi="ar"/>
              </w:rPr>
              <w:t>危废暂存间</w:t>
            </w:r>
            <w:r>
              <w:rPr>
                <w:color w:val="auto"/>
                <w:kern w:val="0"/>
                <w:sz w:val="24"/>
                <w:szCs w:val="24"/>
                <w:lang w:bidi="ar"/>
              </w:rPr>
              <w:t>按照</w:t>
            </w:r>
            <w:r>
              <w:rPr>
                <w:rFonts w:hint="eastAsia"/>
                <w:color w:val="auto"/>
                <w:kern w:val="0"/>
                <w:sz w:val="24"/>
                <w:szCs w:val="24"/>
                <w:lang w:bidi="ar"/>
              </w:rPr>
              <w:t>《危险废物贮存污染控制标准》（GB18597-2023）</w:t>
            </w:r>
            <w:r>
              <w:rPr>
                <w:color w:val="auto"/>
                <w:kern w:val="0"/>
                <w:sz w:val="24"/>
                <w:szCs w:val="24"/>
                <w:lang w:bidi="ar"/>
              </w:rPr>
              <w:t>要求进行防渗，</w:t>
            </w:r>
            <w:r>
              <w:rPr>
                <w:rFonts w:hint="eastAsia"/>
                <w:color w:val="auto"/>
                <w:kern w:val="0"/>
                <w:sz w:val="24"/>
                <w:szCs w:val="24"/>
                <w:lang w:val="en-US" w:eastAsia="zh-CN" w:bidi="ar"/>
              </w:rPr>
              <w:t>满足</w:t>
            </w:r>
            <w:r>
              <w:rPr>
                <w:color w:val="auto"/>
                <w:sz w:val="24"/>
                <w:szCs w:val="24"/>
              </w:rPr>
              <w:t>防渗层渗透系数K≤1×10</w:t>
            </w:r>
            <w:r>
              <w:rPr>
                <w:color w:val="auto"/>
                <w:sz w:val="24"/>
                <w:szCs w:val="24"/>
                <w:vertAlign w:val="superscript"/>
              </w:rPr>
              <w:t>-10</w:t>
            </w:r>
            <w:r>
              <w:rPr>
                <w:color w:val="auto"/>
                <w:sz w:val="24"/>
                <w:szCs w:val="24"/>
              </w:rPr>
              <w:t>cm/s</w:t>
            </w:r>
            <w:r>
              <w:rPr>
                <w:rFonts w:hint="eastAsia"/>
                <w:color w:val="auto"/>
                <w:sz w:val="24"/>
                <w:szCs w:val="24"/>
                <w:lang w:eastAsia="zh-CN"/>
              </w:rPr>
              <w:t>；</w:t>
            </w:r>
            <w:r>
              <w:rPr>
                <w:rFonts w:hint="eastAsia"/>
                <w:color w:val="auto"/>
                <w:sz w:val="24"/>
                <w:szCs w:val="24"/>
                <w:lang w:val="en-US" w:eastAsia="zh-CN"/>
              </w:rPr>
              <w:t>依托的事故应急池（兼初期雨水收集池）、消防水池</w:t>
            </w:r>
            <w:r>
              <w:rPr>
                <w:rFonts w:hint="eastAsia" w:ascii="Times New Roman" w:hAnsi="Times New Roman" w:eastAsia="宋体" w:cs="Times New Roman"/>
                <w:color w:val="auto"/>
                <w:kern w:val="0"/>
                <w:sz w:val="24"/>
                <w:szCs w:val="24"/>
                <w:lang w:val="en-US" w:eastAsia="zh-CN" w:bidi="ar-SA"/>
              </w:rPr>
              <w:t>满足</w:t>
            </w:r>
            <w:r>
              <w:rPr>
                <w:rFonts w:hint="default" w:ascii="Times New Roman" w:hAnsi="Times New Roman" w:eastAsia="宋体" w:cs="Times New Roman"/>
                <w:color w:val="auto"/>
                <w:sz w:val="24"/>
                <w:szCs w:val="24"/>
              </w:rPr>
              <w:t>等效黏土防渗层Mb≥6.0m，K≤1×10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w:t>
            </w:r>
            <w:r>
              <w:rPr>
                <w:rFonts w:hint="eastAsia" w:ascii="Times New Roman" w:hAnsi="Times New Roman" w:eastAsia="宋体" w:cs="Times New Roman"/>
                <w:color w:val="auto"/>
                <w:sz w:val="24"/>
                <w:szCs w:val="24"/>
                <w:lang w:eastAsia="zh-CN"/>
              </w:rPr>
              <w:t>；</w:t>
            </w:r>
          </w:p>
          <w:p>
            <w:pPr>
              <w:pStyle w:val="9"/>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b/>
                <w:bCs/>
                <w:color w:val="auto"/>
                <w:sz w:val="24"/>
                <w:szCs w:val="24"/>
                <w:lang w:bidi="ar"/>
              </w:rPr>
            </w:pPr>
            <w:r>
              <w:rPr>
                <w:b/>
                <w:bCs/>
                <w:color w:val="auto"/>
                <w:sz w:val="24"/>
                <w:szCs w:val="24"/>
                <w:lang w:bidi="ar"/>
              </w:rPr>
              <w:t>2）一般防渗区：</w:t>
            </w:r>
            <w:r>
              <w:rPr>
                <w:rFonts w:hint="eastAsia"/>
                <w:b/>
                <w:bCs/>
                <w:color w:val="auto"/>
                <w:sz w:val="24"/>
                <w:szCs w:val="24"/>
                <w:lang w:val="en-US" w:eastAsia="zh-CN"/>
              </w:rPr>
              <w:t>中试车间、</w:t>
            </w:r>
            <w:r>
              <w:rPr>
                <w:rFonts w:hint="eastAsia" w:ascii="Times New Roman" w:hAnsi="Times New Roman" w:eastAsia="宋体" w:cs="Times New Roman"/>
                <w:b/>
                <w:bCs/>
                <w:color w:val="auto"/>
                <w:kern w:val="2"/>
                <w:sz w:val="24"/>
                <w:szCs w:val="24"/>
                <w:lang w:val="en-US" w:eastAsia="zh-CN" w:bidi="ar-SA"/>
              </w:rPr>
              <w:t>原料库房、研发品暂存间、一般固废暂存间、预处理池</w:t>
            </w:r>
            <w:r>
              <w:rPr>
                <w:b/>
                <w:bCs/>
                <w:color w:val="auto"/>
                <w:sz w:val="24"/>
                <w:szCs w:val="24"/>
                <w:lang w:bidi="ar"/>
              </w:rPr>
              <w:t>。</w:t>
            </w:r>
          </w:p>
          <w:p>
            <w:pPr>
              <w:pStyle w:val="9"/>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依托的原料库房、研发品暂存间、一般固废暂存间、预处理池满足</w:t>
            </w:r>
            <w:r>
              <w:rPr>
                <w:color w:val="auto"/>
                <w:sz w:val="24"/>
                <w:szCs w:val="24"/>
              </w:rPr>
              <w:t>等效黏土</w:t>
            </w:r>
            <w:r>
              <w:rPr>
                <w:rFonts w:ascii="宋体" w:hAnsi="宋体"/>
                <w:color w:val="auto"/>
                <w:sz w:val="24"/>
                <w:szCs w:val="24"/>
              </w:rPr>
              <w:t>防渗层</w:t>
            </w:r>
            <w:r>
              <w:rPr>
                <w:color w:val="auto"/>
                <w:sz w:val="24"/>
                <w:szCs w:val="24"/>
              </w:rPr>
              <w:t>Mb</w:t>
            </w:r>
            <w:r>
              <w:rPr>
                <w:rFonts w:hint="eastAsia" w:ascii="宋体" w:hAnsi="宋体"/>
                <w:color w:val="auto"/>
                <w:sz w:val="24"/>
                <w:szCs w:val="24"/>
              </w:rPr>
              <w:t>≧</w:t>
            </w:r>
            <w:r>
              <w:rPr>
                <w:color w:val="auto"/>
                <w:sz w:val="24"/>
                <w:szCs w:val="24"/>
              </w:rPr>
              <w:t>1.5m</w:t>
            </w:r>
            <w:r>
              <w:rPr>
                <w:rFonts w:ascii="宋体" w:hAnsi="宋体"/>
                <w:color w:val="auto"/>
                <w:sz w:val="24"/>
                <w:szCs w:val="24"/>
              </w:rPr>
              <w:t>，</w:t>
            </w:r>
            <w:r>
              <w:rPr>
                <w:color w:val="auto"/>
                <w:sz w:val="24"/>
                <w:szCs w:val="24"/>
              </w:rPr>
              <w:t>K≤10</w:t>
            </w:r>
            <w:r>
              <w:rPr>
                <w:color w:val="auto"/>
                <w:sz w:val="24"/>
                <w:szCs w:val="24"/>
                <w:vertAlign w:val="superscript"/>
              </w:rPr>
              <w:t>-7</w:t>
            </w:r>
            <w:r>
              <w:rPr>
                <w:color w:val="auto"/>
                <w:sz w:val="24"/>
                <w:szCs w:val="24"/>
              </w:rPr>
              <w:t>cm/s</w:t>
            </w:r>
            <w:r>
              <w:rPr>
                <w:rFonts w:hint="eastAsia"/>
                <w:color w:val="auto"/>
                <w:sz w:val="24"/>
                <w:szCs w:val="24"/>
                <w:lang w:eastAsia="zh-CN"/>
              </w:rPr>
              <w:t>；</w:t>
            </w:r>
            <w:r>
              <w:rPr>
                <w:rFonts w:hint="eastAsia"/>
                <w:color w:val="auto"/>
                <w:sz w:val="24"/>
                <w:szCs w:val="24"/>
                <w:lang w:val="en-US" w:eastAsia="zh-CN"/>
              </w:rPr>
              <w:t>中试车间</w:t>
            </w:r>
            <w:r>
              <w:rPr>
                <w:rFonts w:ascii="Times New Roman" w:hAnsi="Times New Roman" w:cs="Times New Roman"/>
                <w:bCs/>
                <w:color w:val="auto"/>
                <w:sz w:val="24"/>
                <w:szCs w:val="24"/>
              </w:rPr>
              <w:t>地面</w:t>
            </w:r>
            <w:r>
              <w:rPr>
                <w:rFonts w:hint="eastAsia" w:ascii="Times New Roman" w:hAnsi="Times New Roman" w:cs="Times New Roman"/>
                <w:bCs/>
                <w:color w:val="auto"/>
                <w:sz w:val="24"/>
                <w:szCs w:val="24"/>
                <w:lang w:val="en-US" w:eastAsia="zh-CN"/>
              </w:rPr>
              <w:t>已</w:t>
            </w:r>
            <w:r>
              <w:rPr>
                <w:rFonts w:ascii="Times New Roman" w:hAnsi="Times New Roman" w:cs="Times New Roman"/>
                <w:bCs/>
                <w:color w:val="auto"/>
                <w:sz w:val="24"/>
                <w:szCs w:val="24"/>
              </w:rPr>
              <w:t>采用</w:t>
            </w:r>
            <w:r>
              <w:rPr>
                <w:rFonts w:ascii="Times New Roman" w:hAnsi="Times New Roman" w:cs="Times New Roman"/>
                <w:color w:val="auto"/>
                <w:sz w:val="24"/>
                <w:szCs w:val="24"/>
              </w:rPr>
              <w:t>防渗混凝土硬化</w:t>
            </w:r>
            <w:r>
              <w:rPr>
                <w:rFonts w:hint="eastAsia" w:ascii="Times New Roman" w:hAnsi="Times New Roman" w:cs="Times New Roman"/>
                <w:color w:val="auto"/>
                <w:sz w:val="24"/>
                <w:szCs w:val="24"/>
                <w:lang w:eastAsia="zh-CN"/>
              </w:rPr>
              <w:t>，</w:t>
            </w:r>
            <w:r>
              <w:rPr>
                <w:color w:val="auto"/>
                <w:sz w:val="24"/>
                <w:szCs w:val="24"/>
              </w:rPr>
              <w:t>防渗层能够达到等效黏土</w:t>
            </w:r>
            <w:r>
              <w:rPr>
                <w:rFonts w:ascii="宋体" w:hAnsi="宋体"/>
                <w:color w:val="auto"/>
                <w:sz w:val="24"/>
                <w:szCs w:val="24"/>
              </w:rPr>
              <w:t>防渗层</w:t>
            </w:r>
            <w:r>
              <w:rPr>
                <w:color w:val="auto"/>
                <w:sz w:val="24"/>
                <w:szCs w:val="24"/>
              </w:rPr>
              <w:t>Mb</w:t>
            </w:r>
            <w:r>
              <w:rPr>
                <w:rFonts w:hint="eastAsia" w:ascii="宋体" w:hAnsi="宋体"/>
                <w:color w:val="auto"/>
                <w:sz w:val="24"/>
                <w:szCs w:val="24"/>
              </w:rPr>
              <w:t>≧</w:t>
            </w:r>
            <w:r>
              <w:rPr>
                <w:color w:val="auto"/>
                <w:sz w:val="24"/>
                <w:szCs w:val="24"/>
              </w:rPr>
              <w:t>1.5m</w:t>
            </w:r>
            <w:r>
              <w:rPr>
                <w:rFonts w:ascii="宋体" w:hAnsi="宋体"/>
                <w:color w:val="auto"/>
                <w:sz w:val="24"/>
                <w:szCs w:val="24"/>
              </w:rPr>
              <w:t>，</w:t>
            </w:r>
            <w:r>
              <w:rPr>
                <w:color w:val="auto"/>
                <w:sz w:val="24"/>
                <w:szCs w:val="24"/>
              </w:rPr>
              <w:t>K≤10</w:t>
            </w:r>
            <w:r>
              <w:rPr>
                <w:color w:val="auto"/>
                <w:sz w:val="24"/>
                <w:szCs w:val="24"/>
                <w:vertAlign w:val="superscript"/>
              </w:rPr>
              <w:t>-7</w:t>
            </w:r>
            <w:r>
              <w:rPr>
                <w:color w:val="auto"/>
                <w:sz w:val="24"/>
                <w:szCs w:val="24"/>
              </w:rPr>
              <w:t>cm/s</w:t>
            </w:r>
            <w:r>
              <w:rPr>
                <w:rFonts w:ascii="宋体" w:hAnsi="宋体"/>
                <w:color w:val="auto"/>
                <w:sz w:val="24"/>
                <w:szCs w:val="24"/>
              </w:rPr>
              <w:t>的要求</w:t>
            </w:r>
            <w:r>
              <w:rPr>
                <w:rFonts w:hint="eastAsia" w:ascii="宋体" w:hAnsi="宋体"/>
                <w:color w:val="auto"/>
                <w:sz w:val="24"/>
                <w:szCs w:val="24"/>
                <w:lang w:eastAsia="zh-CN"/>
              </w:rPr>
              <w:t>；</w:t>
            </w:r>
          </w:p>
          <w:p>
            <w:pPr>
              <w:pStyle w:val="9"/>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b/>
                <w:bCs/>
                <w:color w:val="auto"/>
                <w:sz w:val="24"/>
                <w:szCs w:val="24"/>
                <w:lang w:bidi="ar"/>
              </w:rPr>
            </w:pPr>
            <w:r>
              <w:rPr>
                <w:rFonts w:hint="eastAsia"/>
                <w:b/>
                <w:bCs/>
                <w:color w:val="auto"/>
                <w:sz w:val="24"/>
                <w:szCs w:val="24"/>
                <w:lang w:val="en-US" w:eastAsia="zh-CN" w:bidi="ar"/>
              </w:rPr>
              <w:t>3</w:t>
            </w:r>
            <w:r>
              <w:rPr>
                <w:b/>
                <w:bCs/>
                <w:color w:val="auto"/>
                <w:sz w:val="24"/>
                <w:szCs w:val="24"/>
                <w:lang w:bidi="ar"/>
              </w:rPr>
              <w:t>）</w:t>
            </w:r>
            <w:r>
              <w:rPr>
                <w:rFonts w:hint="eastAsia"/>
                <w:b/>
                <w:bCs/>
                <w:color w:val="auto"/>
                <w:sz w:val="24"/>
                <w:szCs w:val="24"/>
                <w:lang w:val="en-US" w:eastAsia="zh-CN" w:bidi="ar"/>
              </w:rPr>
              <w:t>简单</w:t>
            </w:r>
            <w:r>
              <w:rPr>
                <w:b/>
                <w:bCs/>
                <w:color w:val="auto"/>
                <w:sz w:val="24"/>
                <w:szCs w:val="24"/>
                <w:lang w:bidi="ar"/>
              </w:rPr>
              <w:t>防渗区：</w:t>
            </w:r>
            <w:r>
              <w:rPr>
                <w:rFonts w:hint="eastAsia"/>
                <w:b/>
                <w:bCs/>
                <w:color w:val="auto"/>
                <w:sz w:val="24"/>
                <w:szCs w:val="24"/>
                <w:lang w:val="en-US" w:eastAsia="zh-CN"/>
              </w:rPr>
              <w:t>厂区道路</w:t>
            </w:r>
            <w:r>
              <w:rPr>
                <w:b/>
                <w:bCs/>
                <w:color w:val="auto"/>
                <w:sz w:val="24"/>
                <w:szCs w:val="24"/>
                <w:lang w:bidi="ar"/>
              </w:rPr>
              <w:t>。</w:t>
            </w:r>
          </w:p>
          <w:p>
            <w:pPr>
              <w:widowControl/>
              <w:spacing w:line="360" w:lineRule="auto"/>
              <w:ind w:firstLine="480" w:firstLineChars="200"/>
              <w:rPr>
                <w:rFonts w:hint="eastAsia" w:ascii="宋体" w:hAnsi="宋体" w:cs="宋体"/>
                <w:color w:val="auto"/>
                <w:sz w:val="24"/>
              </w:rPr>
            </w:pPr>
            <w:r>
              <w:rPr>
                <w:rFonts w:hint="eastAsia" w:ascii="Times New Roman" w:hAnsi="Times New Roman" w:eastAsia="宋体" w:cs="Times New Roman"/>
                <w:color w:val="auto"/>
                <w:kern w:val="2"/>
                <w:sz w:val="24"/>
                <w:szCs w:val="24"/>
                <w:lang w:val="en-US" w:eastAsia="zh-CN" w:bidi="ar-SA"/>
              </w:rPr>
              <w:t>厂区道路已采取一般硬化处理。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1276" w:hRule="atLeast"/>
          <w:jc w:val="center"/>
        </w:trPr>
        <w:tc>
          <w:tcPr>
            <w:tcW w:w="1254" w:type="dxa"/>
            <w:noWrap w:val="0"/>
            <w:vAlign w:val="center"/>
          </w:tcPr>
          <w:p>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生态</w:t>
            </w:r>
            <w:r>
              <w:rPr>
                <w:rFonts w:hint="eastAsia" w:ascii="宋体" w:hAnsi="宋体" w:eastAsia="宋体" w:cs="宋体"/>
                <w:color w:val="auto"/>
                <w:spacing w:val="-8"/>
                <w:sz w:val="24"/>
              </w:rPr>
              <w:t>保护措</w:t>
            </w:r>
            <w:r>
              <w:rPr>
                <w:rFonts w:hint="eastAsia" w:ascii="宋体" w:hAnsi="宋体" w:cs="宋体"/>
                <w:color w:val="auto"/>
                <w:sz w:val="24"/>
              </w:rPr>
              <w:t>施</w:t>
            </w:r>
          </w:p>
        </w:tc>
        <w:tc>
          <w:tcPr>
            <w:tcW w:w="7546" w:type="dxa"/>
            <w:gridSpan w:val="4"/>
            <w:noWrap w:val="0"/>
            <w:vAlign w:val="center"/>
          </w:tcPr>
          <w:p>
            <w:pPr>
              <w:adjustRightInd w:val="0"/>
              <w:snapToGrid w:val="0"/>
              <w:spacing w:line="240" w:lineRule="auto"/>
              <w:jc w:val="center"/>
              <w:rPr>
                <w:rFonts w:hint="eastAsia" w:ascii="宋体" w:hAnsi="宋体" w:cs="宋体"/>
                <w:color w:val="auto"/>
                <w:sz w:val="24"/>
              </w:rPr>
            </w:pPr>
            <w:r>
              <w:rPr>
                <w:rFonts w:hint="eastAsia" w:ascii="宋体" w:hAnsi="宋体" w:cs="宋体"/>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1276" w:hRule="atLeast"/>
          <w:jc w:val="center"/>
        </w:trPr>
        <w:tc>
          <w:tcPr>
            <w:tcW w:w="1254" w:type="dxa"/>
            <w:noWrap w:val="0"/>
            <w:vAlign w:val="center"/>
          </w:tcPr>
          <w:p>
            <w:pPr>
              <w:adjustRightInd w:val="0"/>
              <w:snapToGrid w:val="0"/>
              <w:spacing w:line="360" w:lineRule="auto"/>
              <w:jc w:val="center"/>
              <w:rPr>
                <w:rFonts w:ascii="宋体" w:hAnsi="宋体" w:cs="宋体"/>
                <w:color w:val="auto"/>
                <w:spacing w:val="-8"/>
                <w:sz w:val="24"/>
              </w:rPr>
            </w:pPr>
            <w:r>
              <w:rPr>
                <w:rFonts w:hint="eastAsia" w:ascii="宋体" w:hAnsi="宋体" w:cs="宋体"/>
                <w:color w:val="auto"/>
                <w:spacing w:val="-8"/>
                <w:sz w:val="24"/>
              </w:rPr>
              <w:t>环境风险</w:t>
            </w:r>
          </w:p>
          <w:p>
            <w:pPr>
              <w:adjustRightInd w:val="0"/>
              <w:snapToGrid w:val="0"/>
              <w:spacing w:line="360" w:lineRule="auto"/>
              <w:jc w:val="center"/>
              <w:rPr>
                <w:rFonts w:hint="eastAsia" w:ascii="宋体" w:hAnsi="宋体" w:cs="宋体"/>
                <w:color w:val="auto"/>
                <w:spacing w:val="-8"/>
                <w:sz w:val="24"/>
              </w:rPr>
            </w:pPr>
            <w:r>
              <w:rPr>
                <w:rFonts w:hint="eastAsia" w:ascii="宋体" w:hAnsi="宋体" w:cs="宋体"/>
                <w:color w:val="auto"/>
                <w:spacing w:val="-8"/>
                <w:sz w:val="24"/>
              </w:rPr>
              <w:t>防范措施</w:t>
            </w:r>
          </w:p>
        </w:tc>
        <w:tc>
          <w:tcPr>
            <w:tcW w:w="7546" w:type="dxa"/>
            <w:gridSpan w:val="4"/>
            <w:noWrap w:val="0"/>
            <w:vAlign w:val="center"/>
          </w:tcPr>
          <w:p>
            <w:pPr>
              <w:widowControl/>
              <w:spacing w:line="360" w:lineRule="auto"/>
              <w:ind w:firstLine="480" w:firstLineChars="200"/>
              <w:rPr>
                <w:rFonts w:hint="eastAsia"/>
                <w:color w:val="auto"/>
                <w:sz w:val="24"/>
              </w:rPr>
            </w:pPr>
            <w:r>
              <w:rPr>
                <w:rFonts w:hint="eastAsia" w:ascii="Times New Roman" w:hAnsi="Times New Roman" w:eastAsia="宋体" w:cs="Times New Roman"/>
                <w:color w:val="auto"/>
                <w:sz w:val="24"/>
                <w:lang w:val="en-US" w:eastAsia="zh-CN"/>
              </w:rPr>
              <w:t>设消火栓、灭火器等灭火装置；设置各种安全警示装置；雨水排口设置截止阀。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1002" w:hRule="atLeast"/>
          <w:jc w:val="center"/>
        </w:trPr>
        <w:tc>
          <w:tcPr>
            <w:tcW w:w="1254" w:type="dxa"/>
            <w:noWrap w:val="0"/>
            <w:vAlign w:val="center"/>
          </w:tcPr>
          <w:p>
            <w:pPr>
              <w:adjustRightInd w:val="0"/>
              <w:snapToGrid w:val="0"/>
              <w:spacing w:line="360" w:lineRule="auto"/>
              <w:jc w:val="center"/>
              <w:rPr>
                <w:rFonts w:ascii="宋体" w:hAnsi="宋体" w:cs="宋体"/>
                <w:color w:val="auto"/>
                <w:spacing w:val="-8"/>
                <w:sz w:val="24"/>
              </w:rPr>
            </w:pPr>
            <w:r>
              <w:rPr>
                <w:rFonts w:hint="eastAsia" w:ascii="宋体" w:hAnsi="宋体" w:cs="宋体"/>
                <w:color w:val="auto"/>
                <w:spacing w:val="-8"/>
                <w:sz w:val="24"/>
              </w:rPr>
              <w:t>其他环境</w:t>
            </w:r>
          </w:p>
          <w:p>
            <w:pPr>
              <w:adjustRightInd w:val="0"/>
              <w:snapToGrid w:val="0"/>
              <w:spacing w:line="360" w:lineRule="auto"/>
              <w:jc w:val="center"/>
              <w:rPr>
                <w:rFonts w:hint="eastAsia" w:ascii="宋体" w:hAnsi="宋体" w:cs="宋体"/>
                <w:color w:val="auto"/>
                <w:spacing w:val="-8"/>
                <w:sz w:val="24"/>
              </w:rPr>
            </w:pPr>
            <w:r>
              <w:rPr>
                <w:rFonts w:hint="eastAsia" w:ascii="宋体" w:hAnsi="宋体" w:cs="宋体"/>
                <w:color w:val="auto"/>
                <w:spacing w:val="-8"/>
                <w:sz w:val="24"/>
              </w:rPr>
              <w:t>管理要求</w:t>
            </w:r>
          </w:p>
        </w:tc>
        <w:tc>
          <w:tcPr>
            <w:tcW w:w="7546"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21"/>
                <w:sz w:val="24"/>
                <w:szCs w:val="24"/>
              </w:rPr>
            </w:pPr>
            <w:r>
              <w:rPr>
                <w:b/>
                <w:bCs/>
                <w:color w:val="auto"/>
                <w:kern w:val="21"/>
                <w:sz w:val="24"/>
                <w:szCs w:val="24"/>
              </w:rPr>
              <w:t>1、规范排污口</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21"/>
                <w:sz w:val="24"/>
                <w:szCs w:val="24"/>
              </w:rPr>
            </w:pPr>
            <w:r>
              <w:rPr>
                <w:b/>
                <w:bCs/>
                <w:color w:val="auto"/>
                <w:kern w:val="21"/>
                <w:sz w:val="24"/>
                <w:szCs w:val="24"/>
              </w:rPr>
              <w:t>（1）排污口规范化管理的基本原则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olor w:val="auto"/>
                <w:kern w:val="21"/>
                <w:sz w:val="24"/>
                <w:szCs w:val="24"/>
              </w:rPr>
            </w:pPr>
            <w:r>
              <w:rPr>
                <w:rFonts w:ascii="宋体" w:hAnsi="宋体"/>
                <w:color w:val="auto"/>
                <w:kern w:val="21"/>
                <w:sz w:val="24"/>
                <w:szCs w:val="24"/>
              </w:rPr>
              <w:t>①向环境排放污染物的排污口必须规范化。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olor w:val="auto"/>
                <w:kern w:val="21"/>
                <w:sz w:val="24"/>
                <w:szCs w:val="24"/>
              </w:rPr>
            </w:pPr>
            <w:r>
              <w:rPr>
                <w:rFonts w:ascii="宋体" w:hAnsi="宋体"/>
                <w:color w:val="auto"/>
                <w:kern w:val="21"/>
                <w:sz w:val="24"/>
                <w:szCs w:val="24"/>
              </w:rPr>
              <w:t>②根据排污许可管理要求进行本项目排污口排放管理。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olor w:val="auto"/>
                <w:kern w:val="21"/>
                <w:sz w:val="24"/>
                <w:szCs w:val="24"/>
              </w:rPr>
            </w:pPr>
            <w:r>
              <w:rPr>
                <w:rFonts w:ascii="宋体" w:hAnsi="宋体"/>
                <w:color w:val="auto"/>
                <w:kern w:val="21"/>
                <w:sz w:val="24"/>
                <w:szCs w:val="24"/>
              </w:rPr>
              <w:t>③排污口应便于采样与计量监测，便于日常现场监督检查。</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21"/>
                <w:sz w:val="24"/>
                <w:szCs w:val="24"/>
              </w:rPr>
            </w:pPr>
            <w:r>
              <w:rPr>
                <w:b/>
                <w:bCs/>
                <w:color w:val="auto"/>
                <w:kern w:val="21"/>
                <w:sz w:val="24"/>
                <w:szCs w:val="24"/>
              </w:rPr>
              <w:t>（2）排污口规范化设置</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宋体" w:hAnsi="宋体"/>
                <w:b/>
                <w:bCs/>
                <w:color w:val="auto"/>
                <w:kern w:val="21"/>
                <w:sz w:val="24"/>
                <w:szCs w:val="24"/>
              </w:rPr>
            </w:pPr>
            <w:r>
              <w:rPr>
                <w:rFonts w:ascii="宋体" w:hAnsi="宋体"/>
                <w:b/>
                <w:bCs/>
                <w:color w:val="auto"/>
                <w:kern w:val="21"/>
                <w:sz w:val="24"/>
                <w:szCs w:val="24"/>
              </w:rPr>
              <w:t>①废水排放口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1"/>
                <w:sz w:val="24"/>
                <w:szCs w:val="24"/>
              </w:rPr>
            </w:pPr>
            <w:r>
              <w:rPr>
                <w:rFonts w:ascii="宋体" w:hAnsi="宋体"/>
                <w:color w:val="auto"/>
                <w:kern w:val="21"/>
                <w:sz w:val="24"/>
                <w:szCs w:val="24"/>
              </w:rPr>
              <w:t>本项目废水</w:t>
            </w:r>
            <w:r>
              <w:rPr>
                <w:rFonts w:ascii="宋体" w:hAnsi="宋体" w:eastAsia="宋体" w:cs="Times New Roman"/>
                <w:color w:val="auto"/>
                <w:kern w:val="21"/>
                <w:sz w:val="24"/>
                <w:szCs w:val="24"/>
              </w:rPr>
              <w:t>依托</w:t>
            </w:r>
            <w:r>
              <w:rPr>
                <w:rFonts w:hint="eastAsia" w:ascii="Times New Roman" w:hAnsi="Times New Roman" w:eastAsia="宋体" w:cs="Times New Roman"/>
                <w:color w:val="auto"/>
                <w:sz w:val="24"/>
                <w:lang w:val="en-US" w:eastAsia="zh-CN"/>
              </w:rPr>
              <w:t>四川翔丰华新能源材料有限公司</w:t>
            </w:r>
            <w:r>
              <w:rPr>
                <w:rFonts w:hint="default" w:ascii="Times New Roman" w:hAnsi="Times New Roman" w:eastAsia="宋体" w:cs="Times New Roman"/>
                <w:color w:val="auto"/>
                <w:kern w:val="21"/>
                <w:sz w:val="24"/>
                <w:szCs w:val="24"/>
              </w:rPr>
              <w:t>预处理设施，不单独设置废水排放口。</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宋体" w:hAnsi="宋体"/>
                <w:b/>
                <w:bCs/>
                <w:color w:val="auto"/>
                <w:kern w:val="21"/>
                <w:sz w:val="24"/>
                <w:szCs w:val="24"/>
              </w:rPr>
            </w:pPr>
            <w:r>
              <w:rPr>
                <w:rFonts w:ascii="宋体" w:hAnsi="宋体"/>
                <w:b/>
                <w:bCs/>
                <w:color w:val="auto"/>
                <w:kern w:val="21"/>
                <w:sz w:val="24"/>
                <w:szCs w:val="24"/>
              </w:rPr>
              <w:t>②废气排放口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21"/>
                <w:sz w:val="24"/>
                <w:szCs w:val="24"/>
              </w:rPr>
            </w:pPr>
            <w:r>
              <w:rPr>
                <w:rFonts w:ascii="宋体" w:hAnsi="宋体"/>
                <w:color w:val="auto"/>
                <w:kern w:val="21"/>
                <w:sz w:val="24"/>
                <w:szCs w:val="24"/>
              </w:rPr>
              <w:t>项目废气排气筒应设置便于采样、监测的采样平台、采样口，采样口的设置应符合《污染源监测技</w:t>
            </w:r>
            <w:r>
              <w:rPr>
                <w:color w:val="auto"/>
                <w:kern w:val="21"/>
                <w:sz w:val="24"/>
                <w:szCs w:val="24"/>
              </w:rPr>
              <w:t>术规范》要求。废气排放口均应设置环保图形标志牌。</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宋体" w:hAnsi="宋体"/>
                <w:b/>
                <w:bCs/>
                <w:color w:val="auto"/>
                <w:kern w:val="21"/>
                <w:sz w:val="24"/>
                <w:szCs w:val="24"/>
              </w:rPr>
            </w:pPr>
            <w:r>
              <w:rPr>
                <w:rFonts w:ascii="宋体" w:hAnsi="宋体"/>
                <w:b/>
                <w:bCs/>
                <w:color w:val="auto"/>
                <w:kern w:val="21"/>
                <w:sz w:val="24"/>
                <w:szCs w:val="24"/>
              </w:rPr>
              <w:t>③固定噪声源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21"/>
                <w:sz w:val="24"/>
                <w:szCs w:val="24"/>
              </w:rPr>
            </w:pPr>
            <w:r>
              <w:rPr>
                <w:color w:val="auto"/>
                <w:kern w:val="21"/>
                <w:sz w:val="24"/>
                <w:szCs w:val="24"/>
              </w:rPr>
              <w:t>不同噪声源的情况，采取减振降噪、隔声等措施，使厂界达到相应功能区的标准要求。在厂界噪声敏感且对外界影响最大处设置固定噪声源的监测点和噪声环境保护图形标志牌。</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宋体" w:hAnsi="宋体"/>
                <w:b/>
                <w:bCs/>
                <w:color w:val="auto"/>
                <w:kern w:val="21"/>
                <w:sz w:val="24"/>
                <w:szCs w:val="24"/>
              </w:rPr>
            </w:pPr>
            <w:r>
              <w:rPr>
                <w:rFonts w:ascii="宋体" w:hAnsi="宋体"/>
                <w:b/>
                <w:bCs/>
                <w:color w:val="auto"/>
                <w:kern w:val="21"/>
                <w:sz w:val="24"/>
                <w:szCs w:val="24"/>
              </w:rPr>
              <w:t>④固废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21"/>
                <w:sz w:val="24"/>
                <w:szCs w:val="24"/>
              </w:rPr>
            </w:pPr>
            <w:r>
              <w:rPr>
                <w:color w:val="auto"/>
                <w:kern w:val="21"/>
                <w:sz w:val="24"/>
                <w:szCs w:val="24"/>
              </w:rPr>
              <w:t>对于各类固体废物应设置专用贮存、堆放场地。各类固体废物贮存场所均应设置醒目的</w:t>
            </w:r>
            <w:r>
              <w:rPr>
                <w:rFonts w:hint="eastAsia"/>
                <w:color w:val="auto"/>
                <w:kern w:val="21"/>
                <w:sz w:val="24"/>
                <w:szCs w:val="24"/>
                <w:lang w:val="en-US" w:eastAsia="zh-CN"/>
              </w:rPr>
              <w:t>标识</w:t>
            </w:r>
            <w:r>
              <w:rPr>
                <w:color w:val="auto"/>
                <w:kern w:val="21"/>
                <w:sz w:val="24"/>
                <w:szCs w:val="24"/>
              </w:rPr>
              <w:t>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21"/>
                <w:sz w:val="24"/>
                <w:szCs w:val="24"/>
              </w:rPr>
            </w:pPr>
            <w:r>
              <w:rPr>
                <w:color w:val="auto"/>
                <w:kern w:val="21"/>
                <w:sz w:val="24"/>
                <w:szCs w:val="24"/>
              </w:rPr>
              <w:t>a、固体废物贮存场所要防流失、防渗漏、防雨、防洪水；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21"/>
                <w:sz w:val="24"/>
                <w:szCs w:val="24"/>
              </w:rPr>
            </w:pPr>
            <w:r>
              <w:rPr>
                <w:color w:val="auto"/>
                <w:kern w:val="21"/>
                <w:sz w:val="24"/>
                <w:szCs w:val="24"/>
              </w:rPr>
              <w:t>b、危险废物暂存间的边界采用墙体封闭，并在边界各进出口设置明显标志牌；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21"/>
                <w:sz w:val="24"/>
                <w:szCs w:val="24"/>
              </w:rPr>
            </w:pPr>
            <w:r>
              <w:rPr>
                <w:color w:val="auto"/>
                <w:kern w:val="21"/>
                <w:sz w:val="24"/>
                <w:szCs w:val="24"/>
              </w:rPr>
              <w:t>c、危废暂存间必须按《危险废物识别标志设置技术规范》（HJ1276-2022）的规定设置警示标志。</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宋体" w:hAnsi="宋体"/>
                <w:b/>
                <w:bCs/>
                <w:color w:val="auto"/>
                <w:kern w:val="21"/>
                <w:sz w:val="24"/>
                <w:szCs w:val="24"/>
              </w:rPr>
            </w:pPr>
            <w:r>
              <w:rPr>
                <w:rFonts w:ascii="宋体" w:hAnsi="宋体"/>
                <w:b/>
                <w:bCs/>
                <w:color w:val="auto"/>
                <w:kern w:val="21"/>
                <w:sz w:val="24"/>
                <w:szCs w:val="24"/>
              </w:rPr>
              <w:t>⑤设置标志牌要求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21"/>
                <w:sz w:val="24"/>
                <w:szCs w:val="24"/>
              </w:rPr>
            </w:pPr>
            <w:r>
              <w:rPr>
                <w:color w:val="auto"/>
                <w:kern w:val="21"/>
                <w:sz w:val="24"/>
                <w:szCs w:val="24"/>
              </w:rPr>
              <w:t>排放一般污染物排污口（源），设置提示式标志牌，排</w:t>
            </w:r>
            <w:r>
              <w:rPr>
                <w:rFonts w:hint="eastAsia"/>
                <w:color w:val="auto"/>
                <w:kern w:val="21"/>
                <w:sz w:val="24"/>
                <w:szCs w:val="24"/>
                <w:lang w:eastAsia="zh-CN"/>
              </w:rPr>
              <w:t>放有</w:t>
            </w:r>
            <w:r>
              <w:rPr>
                <w:color w:val="auto"/>
                <w:kern w:val="21"/>
                <w:sz w:val="24"/>
                <w:szCs w:val="24"/>
              </w:rPr>
              <w:t>毒有害等污染物的排污口设置警告式标志牌。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
                <w:bCs/>
                <w:color w:val="auto"/>
                <w:kern w:val="21"/>
                <w:sz w:val="24"/>
                <w:szCs w:val="24"/>
              </w:rPr>
            </w:pPr>
            <w:r>
              <w:rPr>
                <w:color w:val="auto"/>
                <w:kern w:val="21"/>
                <w:sz w:val="24"/>
                <w:szCs w:val="24"/>
              </w:rPr>
              <w:t>标志牌设置位置在排污口附近且醒目处，高度为标志牌上缘离地面2m；排污口附近1m范围内有建筑物的，设平面式标志牌，无建筑物的设立式标志牌。规范化排污口的有关设置（如图形标志牌、监控装置等）</w:t>
            </w:r>
            <w:r>
              <w:rPr>
                <w:rFonts w:hint="eastAsia"/>
                <w:color w:val="auto"/>
                <w:kern w:val="21"/>
                <w:sz w:val="24"/>
                <w:szCs w:val="24"/>
                <w:lang w:eastAsia="zh-CN"/>
              </w:rPr>
              <w:t>属于</w:t>
            </w:r>
            <w:r>
              <w:rPr>
                <w:color w:val="auto"/>
                <w:kern w:val="21"/>
                <w:sz w:val="24"/>
                <w:szCs w:val="24"/>
              </w:rPr>
              <w:t>环保设施，排污单位必须负责日常的维护保养，任何单位和个人不得擅自拆除，如需变更的须报环境监管部门同意并办理变更手续。</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21"/>
                <w:sz w:val="24"/>
                <w:szCs w:val="24"/>
              </w:rPr>
            </w:pPr>
            <w:r>
              <w:rPr>
                <w:b/>
                <w:bCs/>
                <w:color w:val="auto"/>
                <w:kern w:val="21"/>
                <w:sz w:val="24"/>
                <w:szCs w:val="24"/>
              </w:rPr>
              <w:t>2、环境管理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21"/>
                <w:sz w:val="24"/>
                <w:szCs w:val="24"/>
              </w:rPr>
            </w:pPr>
            <w:r>
              <w:rPr>
                <w:color w:val="auto"/>
                <w:kern w:val="21"/>
                <w:sz w:val="24"/>
                <w:szCs w:val="24"/>
              </w:rPr>
              <w:t>根据</w:t>
            </w:r>
            <w:r>
              <w:rPr>
                <w:rFonts w:hint="eastAsia"/>
                <w:color w:val="auto"/>
                <w:kern w:val="21"/>
                <w:sz w:val="24"/>
                <w:szCs w:val="24"/>
                <w:lang w:eastAsia="zh-CN"/>
              </w:rPr>
              <w:t>《中华人民共和国环境保护法》</w:t>
            </w:r>
            <w:r>
              <w:rPr>
                <w:color w:val="auto"/>
                <w:kern w:val="21"/>
                <w:sz w:val="24"/>
                <w:szCs w:val="24"/>
              </w:rPr>
              <w:t>，建设单位必须把环保工作纳入工作计划，采取有效措施，防止产生的污染危害及对生态环境造成破坏。项目应有相关部门负责环保管理，负责对项目运行期的环境管理。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21"/>
                <w:sz w:val="24"/>
                <w:szCs w:val="24"/>
              </w:rPr>
            </w:pPr>
            <w:r>
              <w:rPr>
                <w:b/>
                <w:bCs/>
                <w:color w:val="auto"/>
                <w:kern w:val="21"/>
                <w:sz w:val="24"/>
                <w:szCs w:val="24"/>
              </w:rPr>
              <w:t>3、竣工环保验收与排污许可衔接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rPr>
            </w:pPr>
            <w:r>
              <w:rPr>
                <w:color w:val="auto"/>
                <w:kern w:val="21"/>
                <w:sz w:val="24"/>
                <w:szCs w:val="24"/>
              </w:rPr>
              <w:t>企业在主体工程与环保设施建设完成后，在发生实际排污行为之前，应按照《固定污染源排污许可分类管理名录（2019年版）》相关要求申报排污许可。项目竣工后，应按照《建设项目竣工环境保护验收暂行办法》（国环规环评[2017]4号）、《建设项目竣工环境保护验收技术指南 污染影响类》等相关要求，完成竣工环保验收工作。</w:t>
            </w:r>
          </w:p>
        </w:tc>
      </w:tr>
    </w:tbl>
    <w:p>
      <w:pPr>
        <w:pStyle w:val="32"/>
        <w:spacing w:before="0" w:beforeAutospacing="0"/>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36"/>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rPr>
                <w:rFonts w:hint="eastAsia" w:ascii="宋体" w:cs="宋体"/>
                <w:color w:val="auto"/>
                <w:sz w:val="24"/>
              </w:rPr>
            </w:pPr>
            <w:r>
              <w:rPr>
                <w:rFonts w:hint="eastAsia"/>
                <w:color w:val="auto"/>
                <w:sz w:val="24"/>
              </w:rPr>
              <w:t>本项目选址符合当地规划，总</w:t>
            </w:r>
            <w:r>
              <w:rPr>
                <w:rFonts w:hint="eastAsia"/>
                <w:color w:val="auto"/>
                <w:sz w:val="24"/>
                <w:lang w:val="en-US" w:eastAsia="zh-CN"/>
              </w:rPr>
              <w:t>平面</w:t>
            </w:r>
            <w:r>
              <w:rPr>
                <w:rFonts w:hint="eastAsia"/>
                <w:color w:val="auto"/>
                <w:sz w:val="24"/>
              </w:rPr>
              <w:t>布置基本合理，拟采取的污染防治措施可使污染物达标排放。项目全面严格落实环境影响报告表和工程设计提出的环保对策及措施，严格执行“三同时”制度，确保项目产生的污染物达标排放。则本项目的建设从环保角度上是可行的。</w:t>
            </w:r>
          </w:p>
          <w:p>
            <w:pPr>
              <w:spacing w:line="360" w:lineRule="auto"/>
              <w:ind w:firstLine="480" w:firstLineChars="200"/>
              <w:jc w:val="center"/>
              <w:rPr>
                <w:rFonts w:ascii="宋体" w:cs="宋体"/>
                <w:color w:val="auto"/>
                <w:sz w:val="24"/>
              </w:rPr>
            </w:pPr>
          </w:p>
        </w:tc>
      </w:tr>
    </w:tbl>
    <w:p>
      <w:pPr>
        <w:rPr>
          <w:rFonts w:ascii="宋体"/>
          <w:color w:val="auto"/>
        </w:rPr>
        <w:sectPr>
          <w:pgSz w:w="11906" w:h="16838"/>
          <w:pgMar w:top="1701" w:right="1531" w:bottom="1701" w:left="1531" w:header="851" w:footer="851" w:gutter="0"/>
          <w:cols w:space="720" w:num="1"/>
          <w:docGrid w:linePitch="312" w:charSpace="0"/>
        </w:sectPr>
      </w:pPr>
    </w:p>
    <w:p>
      <w:pPr>
        <w:pStyle w:val="32"/>
        <w:adjustRightInd w:val="0"/>
        <w:snapToGrid w:val="0"/>
        <w:spacing w:before="0" w:beforeAutospacing="0" w:after="0" w:afterAutospacing="0"/>
        <w:outlineLvl w:val="0"/>
        <w:rPr>
          <w:rFonts w:hint="eastAsia"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32"/>
        <w:adjustRightInd w:val="0"/>
        <w:snapToGrid w:val="0"/>
        <w:spacing w:before="0" w:beforeAutospacing="0" w:after="0" w:afterAutospacing="0"/>
        <w:jc w:val="center"/>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3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894"/>
        <w:gridCol w:w="1400"/>
        <w:gridCol w:w="1100"/>
        <w:gridCol w:w="1701"/>
        <w:gridCol w:w="1559"/>
        <w:gridCol w:w="1530"/>
        <w:gridCol w:w="1537"/>
        <w:gridCol w:w="14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trPr>
        <w:tc>
          <w:tcPr>
            <w:tcW w:w="1588" w:type="dxa"/>
            <w:tcBorders>
              <w:tl2br w:val="single" w:color="auto" w:sz="4" w:space="0"/>
            </w:tcBorders>
            <w:noWrap w:val="0"/>
            <w:tcMar>
              <w:left w:w="28" w:type="dxa"/>
              <w:right w:w="28" w:type="dxa"/>
            </w:tcMar>
            <w:vAlign w:val="center"/>
          </w:tcPr>
          <w:p>
            <w:pPr>
              <w:pStyle w:val="101"/>
              <w:spacing w:beforeLines="0" w:afterLines="0" w:line="240" w:lineRule="auto"/>
              <w:jc w:val="right"/>
              <w:rPr>
                <w:rFonts w:ascii="Times New Roman"/>
                <w:snapToGrid w:val="0"/>
                <w:color w:val="auto"/>
                <w:spacing w:val="-6"/>
                <w:kern w:val="21"/>
                <w:szCs w:val="21"/>
              </w:rPr>
            </w:pPr>
            <w:r>
              <w:rPr>
                <w:rFonts w:ascii="Times New Roman"/>
                <w:snapToGrid w:val="0"/>
                <w:color w:val="auto"/>
                <w:spacing w:val="-6"/>
                <w:kern w:val="21"/>
                <w:szCs w:val="21"/>
              </w:rPr>
              <w:t>项目</w:t>
            </w:r>
          </w:p>
          <w:p>
            <w:pPr>
              <w:pStyle w:val="101"/>
              <w:spacing w:beforeLines="0" w:afterLines="0" w:line="240" w:lineRule="auto"/>
              <w:jc w:val="left"/>
              <w:rPr>
                <w:rFonts w:ascii="Times New Roman"/>
                <w:snapToGrid w:val="0"/>
                <w:color w:val="auto"/>
                <w:spacing w:val="-6"/>
                <w:kern w:val="21"/>
                <w:szCs w:val="21"/>
              </w:rPr>
            </w:pPr>
            <w:r>
              <w:rPr>
                <w:rFonts w:ascii="Times New Roman"/>
                <w:snapToGrid w:val="0"/>
                <w:color w:val="auto"/>
                <w:spacing w:val="-6"/>
                <w:kern w:val="21"/>
                <w:szCs w:val="21"/>
              </w:rPr>
              <w:t>分类</w:t>
            </w:r>
          </w:p>
        </w:tc>
        <w:tc>
          <w:tcPr>
            <w:tcW w:w="1894" w:type="dxa"/>
            <w:noWrap w:val="0"/>
            <w:tcMar>
              <w:left w:w="28" w:type="dxa"/>
              <w:right w:w="28" w:type="dxa"/>
            </w:tcMar>
            <w:vAlign w:val="center"/>
          </w:tcPr>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污染物名称</w:t>
            </w:r>
          </w:p>
        </w:tc>
        <w:tc>
          <w:tcPr>
            <w:tcW w:w="1400" w:type="dxa"/>
            <w:noWrap w:val="0"/>
            <w:tcMar>
              <w:left w:w="28" w:type="dxa"/>
              <w:right w:w="28" w:type="dxa"/>
            </w:tcMar>
            <w:vAlign w:val="center"/>
          </w:tcPr>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现有工程</w:t>
            </w:r>
          </w:p>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kern w:val="2"/>
                <w:szCs w:val="21"/>
              </w:rPr>
              <w:t>①</w:t>
            </w:r>
            <w:r>
              <w:rPr>
                <w:rFonts w:ascii="Times New Roman"/>
                <w:snapToGrid w:val="0"/>
                <w:color w:val="auto"/>
                <w:spacing w:val="-6"/>
                <w:kern w:val="21"/>
                <w:szCs w:val="21"/>
              </w:rPr>
              <w:fldChar w:fldCharType="end"/>
            </w:r>
          </w:p>
        </w:tc>
        <w:tc>
          <w:tcPr>
            <w:tcW w:w="1100" w:type="dxa"/>
            <w:noWrap w:val="0"/>
            <w:tcMar>
              <w:left w:w="28" w:type="dxa"/>
              <w:right w:w="28" w:type="dxa"/>
            </w:tcMar>
            <w:vAlign w:val="center"/>
          </w:tcPr>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现有工程</w:t>
            </w:r>
          </w:p>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许可排放量</w:t>
            </w:r>
          </w:p>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2 \* GB3 \* MERGEFORMAT </w:instrText>
            </w:r>
            <w:r>
              <w:rPr>
                <w:rFonts w:ascii="Times New Roman"/>
                <w:snapToGrid w:val="0"/>
                <w:color w:val="auto"/>
                <w:spacing w:val="-6"/>
                <w:kern w:val="21"/>
                <w:szCs w:val="21"/>
              </w:rPr>
              <w:fldChar w:fldCharType="separate"/>
            </w:r>
            <w:r>
              <w:rPr>
                <w:rFonts w:ascii="Times New Roman"/>
                <w:snapToGrid w:val="0"/>
                <w:color w:val="auto"/>
                <w:spacing w:val="-6"/>
                <w:kern w:val="21"/>
                <w:szCs w:val="21"/>
              </w:rPr>
              <w:t>②</w:t>
            </w:r>
            <w:r>
              <w:rPr>
                <w:rFonts w:ascii="Times New Roman"/>
                <w:snapToGrid w:val="0"/>
                <w:color w:val="auto"/>
                <w:spacing w:val="-6"/>
                <w:kern w:val="21"/>
                <w:szCs w:val="21"/>
              </w:rPr>
              <w:fldChar w:fldCharType="end"/>
            </w:r>
          </w:p>
        </w:tc>
        <w:tc>
          <w:tcPr>
            <w:tcW w:w="1701" w:type="dxa"/>
            <w:noWrap w:val="0"/>
            <w:tcMar>
              <w:left w:w="28" w:type="dxa"/>
              <w:right w:w="28" w:type="dxa"/>
            </w:tcMar>
            <w:vAlign w:val="center"/>
          </w:tcPr>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在建工程</w:t>
            </w:r>
          </w:p>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kern w:val="2"/>
                <w:szCs w:val="21"/>
              </w:rPr>
              <w:t>③</w:t>
            </w:r>
            <w:r>
              <w:rPr>
                <w:rFonts w:ascii="Times New Roman"/>
                <w:snapToGrid w:val="0"/>
                <w:color w:val="auto"/>
                <w:spacing w:val="-6"/>
                <w:kern w:val="21"/>
                <w:szCs w:val="21"/>
              </w:rPr>
              <w:fldChar w:fldCharType="end"/>
            </w:r>
          </w:p>
        </w:tc>
        <w:tc>
          <w:tcPr>
            <w:tcW w:w="1559" w:type="dxa"/>
            <w:noWrap w:val="0"/>
            <w:tcMar>
              <w:left w:w="28" w:type="dxa"/>
              <w:right w:w="28" w:type="dxa"/>
            </w:tcMar>
            <w:vAlign w:val="center"/>
          </w:tcPr>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本项目</w:t>
            </w:r>
          </w:p>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kern w:val="2"/>
                <w:szCs w:val="21"/>
              </w:rPr>
              <w:t>④</w:t>
            </w:r>
            <w:r>
              <w:rPr>
                <w:rFonts w:ascii="Times New Roman"/>
                <w:snapToGrid w:val="0"/>
                <w:color w:val="auto"/>
                <w:spacing w:val="-6"/>
                <w:kern w:val="21"/>
                <w:szCs w:val="21"/>
              </w:rPr>
              <w:fldChar w:fldCharType="end"/>
            </w:r>
          </w:p>
        </w:tc>
        <w:tc>
          <w:tcPr>
            <w:tcW w:w="1530" w:type="dxa"/>
            <w:noWrap w:val="0"/>
            <w:tcMar>
              <w:left w:w="28" w:type="dxa"/>
              <w:right w:w="28" w:type="dxa"/>
            </w:tcMar>
            <w:vAlign w:val="center"/>
          </w:tcPr>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16"/>
                <w:kern w:val="21"/>
                <w:szCs w:val="21"/>
              </w:rPr>
            </w:pPr>
            <w:r>
              <w:rPr>
                <w:rFonts w:ascii="Times New Roman"/>
                <w:snapToGrid w:val="0"/>
                <w:color w:val="auto"/>
                <w:spacing w:val="-16"/>
                <w:kern w:val="21"/>
                <w:szCs w:val="21"/>
              </w:rPr>
              <w:t>以新带老削减量</w:t>
            </w:r>
          </w:p>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16"/>
                <w:kern w:val="21"/>
                <w:szCs w:val="21"/>
              </w:rPr>
            </w:pPr>
            <w:r>
              <w:rPr>
                <w:rFonts w:ascii="Times New Roman"/>
                <w:snapToGrid w:val="0"/>
                <w:color w:val="auto"/>
                <w:spacing w:val="-16"/>
                <w:kern w:val="21"/>
                <w:szCs w:val="21"/>
              </w:rPr>
              <w:t>（新建项目不填）</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kern w:val="2"/>
                <w:szCs w:val="21"/>
              </w:rPr>
              <w:t>⑤</w:t>
            </w:r>
            <w:r>
              <w:rPr>
                <w:rFonts w:ascii="Times New Roman"/>
                <w:snapToGrid w:val="0"/>
                <w:color w:val="auto"/>
                <w:spacing w:val="-16"/>
                <w:kern w:val="21"/>
                <w:szCs w:val="21"/>
              </w:rPr>
              <w:fldChar w:fldCharType="end"/>
            </w:r>
          </w:p>
        </w:tc>
        <w:tc>
          <w:tcPr>
            <w:tcW w:w="1537" w:type="dxa"/>
            <w:noWrap w:val="0"/>
            <w:tcMar>
              <w:left w:w="28" w:type="dxa"/>
              <w:right w:w="28" w:type="dxa"/>
            </w:tcMar>
            <w:vAlign w:val="center"/>
          </w:tcPr>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16"/>
                <w:kern w:val="21"/>
                <w:szCs w:val="21"/>
              </w:rPr>
            </w:pPr>
            <w:r>
              <w:rPr>
                <w:rFonts w:ascii="Times New Roman"/>
                <w:snapToGrid w:val="0"/>
                <w:color w:val="auto"/>
                <w:spacing w:val="-16"/>
                <w:kern w:val="21"/>
                <w:szCs w:val="21"/>
              </w:rPr>
              <w:t>本项目建成后</w:t>
            </w:r>
          </w:p>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16"/>
                <w:kern w:val="21"/>
                <w:szCs w:val="21"/>
              </w:rPr>
            </w:pPr>
            <w:r>
              <w:rPr>
                <w:rFonts w:ascii="Times New Roman"/>
                <w:snapToGrid w:val="0"/>
                <w:color w:val="auto"/>
                <w:spacing w:val="-16"/>
                <w:kern w:val="21"/>
                <w:szCs w:val="21"/>
              </w:rPr>
              <w:t>全厂排放量（固体废物产生量）</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kern w:val="2"/>
                <w:szCs w:val="21"/>
              </w:rPr>
              <w:t>⑥</w:t>
            </w:r>
            <w:r>
              <w:rPr>
                <w:rFonts w:ascii="Times New Roman"/>
                <w:snapToGrid w:val="0"/>
                <w:color w:val="auto"/>
                <w:spacing w:val="-16"/>
                <w:kern w:val="21"/>
                <w:szCs w:val="21"/>
              </w:rPr>
              <w:fldChar w:fldCharType="end"/>
            </w:r>
          </w:p>
        </w:tc>
        <w:tc>
          <w:tcPr>
            <w:tcW w:w="1479" w:type="dxa"/>
            <w:noWrap w:val="0"/>
            <w:tcMar>
              <w:left w:w="28" w:type="dxa"/>
              <w:right w:w="28" w:type="dxa"/>
            </w:tcMar>
            <w:vAlign w:val="center"/>
          </w:tcPr>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t>变化量</w:t>
            </w:r>
          </w:p>
          <w:p>
            <w:pPr>
              <w:pStyle w:val="10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firstLine="0" w:firstLineChars="0"/>
              <w:textAlignment w:val="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kern w:val="2"/>
                <w:szCs w:val="21"/>
              </w:rPr>
              <w:t>⑦</w:t>
            </w:r>
            <w:r>
              <w:rPr>
                <w:rFonts w:ascii="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restart"/>
            <w:noWrap w:val="0"/>
            <w:vAlign w:val="center"/>
          </w:tcPr>
          <w:p>
            <w:pPr>
              <w:pStyle w:val="101"/>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894" w:type="dxa"/>
            <w:noWrap w:val="0"/>
            <w:vAlign w:val="center"/>
          </w:tcPr>
          <w:p>
            <w:pPr>
              <w:pStyle w:val="157"/>
              <w:spacing w:before="0"/>
              <w:ind w:left="0" w:leftChars="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b w:val="0"/>
                <w:bCs/>
                <w:color w:val="auto"/>
                <w:szCs w:val="21"/>
                <w:lang w:val="en-US" w:eastAsia="zh-CN"/>
              </w:rPr>
              <w:t>颗粒物</w:t>
            </w:r>
          </w:p>
        </w:tc>
        <w:tc>
          <w:tcPr>
            <w:tcW w:w="1400" w:type="dxa"/>
            <w:noWrap w:val="0"/>
            <w:vAlign w:val="center"/>
          </w:tcPr>
          <w:p>
            <w:pPr>
              <w:jc w:val="center"/>
              <w:rPr>
                <w:rFonts w:hint="eastAsia" w:ascii="Times New Roman" w:hAnsi="Times New Roman" w:eastAsia="宋体" w:cs="Times New Roman"/>
                <w:color w:val="auto"/>
                <w:kern w:val="2"/>
                <w:sz w:val="21"/>
                <w:szCs w:val="24"/>
                <w:lang w:val="en-US" w:eastAsia="zh-CN" w:bidi="ar-SA"/>
              </w:rPr>
            </w:pPr>
          </w:p>
        </w:tc>
        <w:tc>
          <w:tcPr>
            <w:tcW w:w="1100" w:type="dxa"/>
            <w:noWrap w:val="0"/>
            <w:vAlign w:val="center"/>
          </w:tcPr>
          <w:p>
            <w:pPr>
              <w:widowControl/>
              <w:jc w:val="center"/>
              <w:textAlignment w:val="center"/>
              <w:rPr>
                <w:rFonts w:hint="eastAsia" w:ascii="Times New Roman" w:hAnsi="Times New Roman" w:eastAsia="宋体" w:cs="Times New Roman"/>
                <w:color w:val="auto"/>
                <w:kern w:val="2"/>
                <w:sz w:val="21"/>
                <w:szCs w:val="24"/>
                <w:lang w:val="en-US" w:eastAsia="zh-CN" w:bidi="ar-SA"/>
              </w:rPr>
            </w:pPr>
          </w:p>
        </w:tc>
        <w:tc>
          <w:tcPr>
            <w:tcW w:w="1701" w:type="dxa"/>
            <w:noWrap w:val="0"/>
            <w:vAlign w:val="center"/>
          </w:tcPr>
          <w:p>
            <w:pPr>
              <w:pStyle w:val="101"/>
              <w:spacing w:beforeLines="0" w:afterLines="0" w:line="240" w:lineRule="auto"/>
              <w:rPr>
                <w:rFonts w:hint="eastAsia" w:ascii="Times New Roman" w:hAnsi="Times New Roman" w:eastAsia="宋体" w:cs="Times New Roman"/>
                <w:color w:val="auto"/>
                <w:kern w:val="2"/>
                <w:sz w:val="21"/>
                <w:szCs w:val="24"/>
                <w:lang w:val="en-US" w:eastAsia="zh-CN" w:bidi="ar-SA"/>
              </w:rPr>
            </w:pPr>
          </w:p>
        </w:tc>
        <w:tc>
          <w:tcPr>
            <w:tcW w:w="1559" w:type="dxa"/>
            <w:noWrap w:val="0"/>
            <w:vAlign w:val="center"/>
          </w:tcPr>
          <w:p>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0.1706</w:t>
            </w:r>
            <w:r>
              <w:rPr>
                <w:color w:val="auto"/>
                <w:szCs w:val="21"/>
              </w:rPr>
              <w:t>t/a</w:t>
            </w:r>
          </w:p>
        </w:tc>
        <w:tc>
          <w:tcPr>
            <w:tcW w:w="1530" w:type="dxa"/>
            <w:noWrap w:val="0"/>
            <w:vAlign w:val="center"/>
          </w:tcPr>
          <w:p>
            <w:pPr>
              <w:pStyle w:val="101"/>
              <w:spacing w:beforeLines="0" w:afterLines="0" w:line="240" w:lineRule="auto"/>
              <w:rPr>
                <w:rFonts w:hint="eastAsia" w:ascii="Times New Roman" w:hAnsi="Times New Roman" w:eastAsia="宋体" w:cs="Times New Roman"/>
                <w:color w:val="auto"/>
                <w:kern w:val="2"/>
                <w:sz w:val="21"/>
                <w:szCs w:val="24"/>
                <w:lang w:val="en-US" w:eastAsia="zh-CN" w:bidi="ar-SA"/>
              </w:rPr>
            </w:pPr>
          </w:p>
        </w:tc>
        <w:tc>
          <w:tcPr>
            <w:tcW w:w="1537" w:type="dxa"/>
            <w:noWrap w:val="0"/>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0.1706</w:t>
            </w:r>
            <w:r>
              <w:rPr>
                <w:color w:val="auto"/>
                <w:szCs w:val="21"/>
              </w:rPr>
              <w:t>t/a</w:t>
            </w:r>
          </w:p>
        </w:tc>
        <w:tc>
          <w:tcPr>
            <w:tcW w:w="1479" w:type="dxa"/>
            <w:noWrap w:val="0"/>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2"/>
                <w:sz w:val="21"/>
                <w:szCs w:val="24"/>
                <w:lang w:val="en-US" w:eastAsia="zh-CN" w:bidi="ar-SA"/>
              </w:rPr>
              <w:t>0.1706</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continue"/>
            <w:noWrap w:val="0"/>
            <w:vAlign w:val="center"/>
          </w:tcPr>
          <w:p>
            <w:pPr>
              <w:pStyle w:val="101"/>
              <w:spacing w:beforeLines="0" w:afterLines="0" w:line="240" w:lineRule="auto"/>
              <w:rPr>
                <w:rFonts w:hint="eastAsia" w:hAnsi="宋体" w:cs="宋体"/>
                <w:snapToGrid w:val="0"/>
                <w:color w:val="auto"/>
                <w:kern w:val="21"/>
                <w:szCs w:val="21"/>
              </w:rPr>
            </w:pPr>
          </w:p>
        </w:tc>
        <w:tc>
          <w:tcPr>
            <w:tcW w:w="1894" w:type="dxa"/>
            <w:noWrap w:val="0"/>
            <w:vAlign w:val="center"/>
          </w:tcPr>
          <w:p>
            <w:pPr>
              <w:pStyle w:val="157"/>
              <w:spacing w:before="0"/>
              <w:ind w:left="0" w:leftChars="0"/>
              <w:rPr>
                <w:rFonts w:hint="eastAsia"/>
                <w:color w:val="auto"/>
                <w:szCs w:val="21"/>
                <w:lang w:val="en-US" w:eastAsia="zh-CN"/>
              </w:rPr>
            </w:pPr>
            <w:r>
              <w:rPr>
                <w:rFonts w:hint="eastAsia" w:ascii="Times New Roman" w:hAnsi="Times New Roman" w:eastAsia="宋体" w:cs="Times New Roman"/>
                <w:b w:val="0"/>
                <w:bCs/>
                <w:color w:val="auto"/>
                <w:szCs w:val="21"/>
                <w:lang w:val="en-US" w:eastAsia="zh-CN"/>
              </w:rPr>
              <w:t>二氧化硫</w:t>
            </w:r>
          </w:p>
        </w:tc>
        <w:tc>
          <w:tcPr>
            <w:tcW w:w="1400" w:type="dxa"/>
            <w:noWrap w:val="0"/>
            <w:vAlign w:val="center"/>
          </w:tcPr>
          <w:p>
            <w:pPr>
              <w:jc w:val="center"/>
              <w:rPr>
                <w:rFonts w:hint="eastAsia"/>
                <w:color w:val="auto"/>
                <w:szCs w:val="21"/>
              </w:rPr>
            </w:pPr>
          </w:p>
        </w:tc>
        <w:tc>
          <w:tcPr>
            <w:tcW w:w="1100" w:type="dxa"/>
            <w:noWrap w:val="0"/>
            <w:vAlign w:val="center"/>
          </w:tcPr>
          <w:p>
            <w:pPr>
              <w:widowControl/>
              <w:jc w:val="center"/>
              <w:textAlignment w:val="center"/>
              <w:rPr>
                <w:rFonts w:hint="eastAsia" w:eastAsia="宋体"/>
                <w:snapToGrid w:val="0"/>
                <w:color w:val="auto"/>
                <w:kern w:val="21"/>
                <w:szCs w:val="21"/>
                <w:lang w:val="en-US" w:eastAsia="zh-CN"/>
              </w:rPr>
            </w:pPr>
          </w:p>
        </w:tc>
        <w:tc>
          <w:tcPr>
            <w:tcW w:w="1701" w:type="dxa"/>
            <w:noWrap w:val="0"/>
            <w:vAlign w:val="center"/>
          </w:tcPr>
          <w:p>
            <w:pPr>
              <w:pStyle w:val="101"/>
              <w:spacing w:beforeLines="0" w:afterLines="0" w:line="240" w:lineRule="auto"/>
              <w:rPr>
                <w:rFonts w:ascii="Times New Roman"/>
                <w:snapToGrid w:val="0"/>
                <w:color w:val="auto"/>
                <w:kern w:val="21"/>
                <w:szCs w:val="21"/>
              </w:rPr>
            </w:pPr>
          </w:p>
        </w:tc>
        <w:tc>
          <w:tcPr>
            <w:tcW w:w="1559" w:type="dxa"/>
            <w:noWrap w:val="0"/>
            <w:vAlign w:val="center"/>
          </w:tcPr>
          <w:p>
            <w:pPr>
              <w:adjustRightInd w:val="0"/>
              <w:snapToGrid w:val="0"/>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3.8322</w:t>
            </w:r>
            <w:r>
              <w:rPr>
                <w:color w:val="auto"/>
                <w:szCs w:val="21"/>
              </w:rPr>
              <w:t>t/a</w:t>
            </w:r>
          </w:p>
        </w:tc>
        <w:tc>
          <w:tcPr>
            <w:tcW w:w="1530" w:type="dxa"/>
            <w:noWrap w:val="0"/>
            <w:vAlign w:val="center"/>
          </w:tcPr>
          <w:p>
            <w:pPr>
              <w:pStyle w:val="101"/>
              <w:spacing w:beforeLines="0" w:afterLines="0" w:line="240" w:lineRule="auto"/>
              <w:rPr>
                <w:rFonts w:ascii="Times New Roman"/>
                <w:b/>
                <w:snapToGrid w:val="0"/>
                <w:color w:val="auto"/>
                <w:kern w:val="21"/>
                <w:szCs w:val="21"/>
              </w:rPr>
            </w:pPr>
          </w:p>
        </w:tc>
        <w:tc>
          <w:tcPr>
            <w:tcW w:w="1537" w:type="dxa"/>
            <w:noWrap w:val="0"/>
            <w:vAlign w:val="center"/>
          </w:tcPr>
          <w:p>
            <w:pPr>
              <w:adjustRightInd w:val="0"/>
              <w:snapToGrid w:val="0"/>
              <w:jc w:val="center"/>
              <w:rPr>
                <w:rFonts w:hint="eastAsia"/>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3.8322</w:t>
            </w:r>
            <w:r>
              <w:rPr>
                <w:color w:val="auto"/>
                <w:szCs w:val="21"/>
              </w:rPr>
              <w:t>t/a</w:t>
            </w:r>
          </w:p>
        </w:tc>
        <w:tc>
          <w:tcPr>
            <w:tcW w:w="1479" w:type="dxa"/>
            <w:noWrap w:val="0"/>
            <w:vAlign w:val="center"/>
          </w:tcPr>
          <w:p>
            <w:pPr>
              <w:adjustRightInd w:val="0"/>
              <w:snapToGrid w:val="0"/>
              <w:jc w:val="center"/>
              <w:rPr>
                <w:color w:val="auto"/>
                <w:szCs w:val="21"/>
              </w:rPr>
            </w:pPr>
            <w:r>
              <w:rPr>
                <w:rFonts w:hint="eastAsia" w:ascii="Times New Roman" w:hAnsi="Times New Roman" w:eastAsia="宋体" w:cs="Times New Roman"/>
                <w:color w:val="auto"/>
                <w:kern w:val="0"/>
                <w:szCs w:val="21"/>
                <w:lang w:val="en-US" w:eastAsia="zh-CN" w:bidi="ar"/>
              </w:rPr>
              <w:t>+3.8322</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continue"/>
            <w:noWrap w:val="0"/>
            <w:vAlign w:val="center"/>
          </w:tcPr>
          <w:p>
            <w:pPr>
              <w:pStyle w:val="101"/>
              <w:spacing w:beforeLines="0" w:afterLines="0" w:line="240" w:lineRule="auto"/>
              <w:rPr>
                <w:rFonts w:hint="eastAsia" w:hAnsi="宋体" w:cs="宋体"/>
                <w:snapToGrid w:val="0"/>
                <w:color w:val="auto"/>
                <w:kern w:val="21"/>
                <w:szCs w:val="21"/>
              </w:rPr>
            </w:pPr>
          </w:p>
        </w:tc>
        <w:tc>
          <w:tcPr>
            <w:tcW w:w="1894" w:type="dxa"/>
            <w:noWrap w:val="0"/>
            <w:vAlign w:val="center"/>
          </w:tcPr>
          <w:p>
            <w:pPr>
              <w:pStyle w:val="157"/>
              <w:spacing w:before="0"/>
              <w:ind w:left="0" w:leftChars="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color w:val="auto"/>
                <w:szCs w:val="21"/>
                <w:lang w:val="en-US" w:eastAsia="zh-CN"/>
              </w:rPr>
              <w:t>氮氧化物</w:t>
            </w:r>
          </w:p>
        </w:tc>
        <w:tc>
          <w:tcPr>
            <w:tcW w:w="1400" w:type="dxa"/>
            <w:noWrap w:val="0"/>
            <w:vAlign w:val="center"/>
          </w:tcPr>
          <w:p>
            <w:pPr>
              <w:jc w:val="center"/>
              <w:rPr>
                <w:rFonts w:hint="eastAsia"/>
                <w:color w:val="auto"/>
                <w:szCs w:val="21"/>
              </w:rPr>
            </w:pPr>
          </w:p>
        </w:tc>
        <w:tc>
          <w:tcPr>
            <w:tcW w:w="1100" w:type="dxa"/>
            <w:noWrap w:val="0"/>
            <w:vAlign w:val="center"/>
          </w:tcPr>
          <w:p>
            <w:pPr>
              <w:widowControl/>
              <w:jc w:val="center"/>
              <w:textAlignment w:val="center"/>
              <w:rPr>
                <w:rFonts w:hint="eastAsia" w:eastAsia="宋体"/>
                <w:snapToGrid w:val="0"/>
                <w:color w:val="auto"/>
                <w:kern w:val="21"/>
                <w:szCs w:val="21"/>
                <w:lang w:val="en-US" w:eastAsia="zh-CN"/>
              </w:rPr>
            </w:pPr>
          </w:p>
        </w:tc>
        <w:tc>
          <w:tcPr>
            <w:tcW w:w="1701" w:type="dxa"/>
            <w:noWrap w:val="0"/>
            <w:vAlign w:val="center"/>
          </w:tcPr>
          <w:p>
            <w:pPr>
              <w:pStyle w:val="101"/>
              <w:spacing w:beforeLines="0" w:afterLines="0" w:line="240" w:lineRule="auto"/>
              <w:rPr>
                <w:rFonts w:ascii="Times New Roman"/>
                <w:snapToGrid w:val="0"/>
                <w:color w:val="auto"/>
                <w:kern w:val="21"/>
                <w:szCs w:val="21"/>
              </w:rPr>
            </w:pPr>
          </w:p>
        </w:tc>
        <w:tc>
          <w:tcPr>
            <w:tcW w:w="1559" w:type="dxa"/>
            <w:noWrap w:val="0"/>
            <w:vAlign w:val="center"/>
          </w:tcPr>
          <w:p>
            <w:pPr>
              <w:widowControl/>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0.1568</w:t>
            </w:r>
            <w:r>
              <w:rPr>
                <w:color w:val="auto"/>
                <w:szCs w:val="21"/>
              </w:rPr>
              <w:t>t/a</w:t>
            </w:r>
          </w:p>
        </w:tc>
        <w:tc>
          <w:tcPr>
            <w:tcW w:w="1530" w:type="dxa"/>
            <w:noWrap w:val="0"/>
            <w:vAlign w:val="center"/>
          </w:tcPr>
          <w:p>
            <w:pPr>
              <w:widowControl/>
              <w:jc w:val="center"/>
              <w:rPr>
                <w:rFonts w:hint="eastAsia" w:ascii="Times New Roman" w:hAnsi="Times New Roman" w:eastAsia="宋体" w:cs="Times New Roman"/>
                <w:color w:val="auto"/>
                <w:lang w:val="en-US" w:eastAsia="zh-CN"/>
              </w:rPr>
            </w:pPr>
          </w:p>
        </w:tc>
        <w:tc>
          <w:tcPr>
            <w:tcW w:w="1537" w:type="dxa"/>
            <w:noWrap w:val="0"/>
            <w:vAlign w:val="center"/>
          </w:tcPr>
          <w:p>
            <w:pPr>
              <w:widowControl/>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0.1568</w:t>
            </w:r>
            <w:r>
              <w:rPr>
                <w:color w:val="auto"/>
                <w:szCs w:val="21"/>
              </w:rPr>
              <w:t>t/a</w:t>
            </w:r>
          </w:p>
        </w:tc>
        <w:tc>
          <w:tcPr>
            <w:tcW w:w="1479" w:type="dxa"/>
            <w:noWrap w:val="0"/>
            <w:vAlign w:val="center"/>
          </w:tcPr>
          <w:p>
            <w:pPr>
              <w:widowControl/>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lang w:val="en-US" w:eastAsia="zh-CN"/>
              </w:rPr>
              <w:t>0.1568</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restart"/>
            <w:noWrap w:val="0"/>
            <w:vAlign w:val="center"/>
          </w:tcPr>
          <w:p>
            <w:pPr>
              <w:pStyle w:val="101"/>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废水</w:t>
            </w:r>
          </w:p>
        </w:tc>
        <w:tc>
          <w:tcPr>
            <w:tcW w:w="1894" w:type="dxa"/>
            <w:noWrap w:val="0"/>
            <w:vAlign w:val="center"/>
          </w:tcPr>
          <w:p>
            <w:pPr>
              <w:pStyle w:val="141"/>
              <w:adjustRightInd w:val="0"/>
              <w:snapToGrid w:val="0"/>
              <w:spacing w:line="240" w:lineRule="auto"/>
              <w:ind w:firstLine="0" w:firstLineChars="0"/>
              <w:jc w:val="center"/>
              <w:rPr>
                <w:rFonts w:hint="eastAsia" w:hAnsi="宋体"/>
                <w:color w:val="auto"/>
                <w:sz w:val="21"/>
                <w:szCs w:val="21"/>
              </w:rPr>
            </w:pPr>
            <w:r>
              <w:rPr>
                <w:color w:val="auto"/>
                <w:sz w:val="21"/>
                <w:szCs w:val="21"/>
              </w:rPr>
              <w:t>废水量</w:t>
            </w:r>
          </w:p>
        </w:tc>
        <w:tc>
          <w:tcPr>
            <w:tcW w:w="1400" w:type="dxa"/>
            <w:noWrap w:val="0"/>
            <w:vAlign w:val="center"/>
          </w:tcPr>
          <w:p>
            <w:pPr>
              <w:pStyle w:val="165"/>
              <w:rPr>
                <w:snapToGrid w:val="0"/>
                <w:color w:val="auto"/>
                <w:kern w:val="21"/>
                <w:szCs w:val="21"/>
              </w:rPr>
            </w:pPr>
          </w:p>
        </w:tc>
        <w:tc>
          <w:tcPr>
            <w:tcW w:w="1100" w:type="dxa"/>
            <w:noWrap w:val="0"/>
            <w:vAlign w:val="center"/>
          </w:tcPr>
          <w:p>
            <w:pPr>
              <w:widowControl/>
              <w:jc w:val="center"/>
              <w:textAlignment w:val="center"/>
              <w:rPr>
                <w:snapToGrid w:val="0"/>
                <w:color w:val="auto"/>
                <w:kern w:val="21"/>
                <w:szCs w:val="21"/>
              </w:rPr>
            </w:pPr>
          </w:p>
        </w:tc>
        <w:tc>
          <w:tcPr>
            <w:tcW w:w="1701" w:type="dxa"/>
            <w:noWrap w:val="0"/>
            <w:vAlign w:val="center"/>
          </w:tcPr>
          <w:p>
            <w:pPr>
              <w:widowControl/>
              <w:jc w:val="center"/>
              <w:textAlignment w:val="center"/>
              <w:rPr>
                <w:color w:val="auto"/>
                <w:szCs w:val="21"/>
              </w:rPr>
            </w:pPr>
          </w:p>
        </w:tc>
        <w:tc>
          <w:tcPr>
            <w:tcW w:w="1559" w:type="dxa"/>
            <w:noWrap w:val="0"/>
            <w:vAlign w:val="center"/>
          </w:tcPr>
          <w:p>
            <w:pPr>
              <w:jc w:val="center"/>
              <w:rPr>
                <w:rFonts w:hint="default" w:eastAsia="宋体"/>
                <w:b w:val="0"/>
                <w:bCs w:val="0"/>
                <w:snapToGrid w:val="0"/>
                <w:color w:val="auto"/>
                <w:kern w:val="21"/>
                <w:szCs w:val="21"/>
                <w:lang w:val="en-US" w:eastAsia="zh-CN"/>
              </w:rPr>
            </w:pPr>
            <w:r>
              <w:rPr>
                <w:rFonts w:hint="eastAsia"/>
                <w:bCs/>
                <w:color w:val="auto"/>
                <w:sz w:val="21"/>
                <w:szCs w:val="21"/>
                <w:lang w:val="en-US" w:eastAsia="zh-CN"/>
              </w:rPr>
              <w:t>456.8</w:t>
            </w:r>
            <w:r>
              <w:rPr>
                <w:rFonts w:hint="eastAsia"/>
                <w:b w:val="0"/>
                <w:bCs w:val="0"/>
                <w:snapToGrid w:val="0"/>
                <w:color w:val="auto"/>
                <w:kern w:val="21"/>
                <w:szCs w:val="21"/>
                <w:lang w:val="en-US" w:eastAsia="zh-CN"/>
              </w:rPr>
              <w:t>m</w:t>
            </w:r>
            <w:r>
              <w:rPr>
                <w:rFonts w:hint="eastAsia"/>
                <w:b w:val="0"/>
                <w:bCs w:val="0"/>
                <w:snapToGrid w:val="0"/>
                <w:color w:val="auto"/>
                <w:kern w:val="21"/>
                <w:szCs w:val="21"/>
                <w:vertAlign w:val="superscript"/>
                <w:lang w:val="en-US" w:eastAsia="zh-CN"/>
              </w:rPr>
              <w:t>3</w:t>
            </w:r>
            <w:r>
              <w:rPr>
                <w:rFonts w:hint="eastAsia"/>
                <w:b w:val="0"/>
                <w:bCs w:val="0"/>
                <w:snapToGrid w:val="0"/>
                <w:color w:val="auto"/>
                <w:kern w:val="21"/>
                <w:szCs w:val="21"/>
                <w:lang w:val="en-US" w:eastAsia="zh-CN"/>
              </w:rPr>
              <w:t>/a</w:t>
            </w:r>
          </w:p>
        </w:tc>
        <w:tc>
          <w:tcPr>
            <w:tcW w:w="1530" w:type="dxa"/>
            <w:noWrap w:val="0"/>
            <w:vAlign w:val="center"/>
          </w:tcPr>
          <w:p>
            <w:pPr>
              <w:pStyle w:val="101"/>
              <w:spacing w:beforeLines="0" w:afterLines="0" w:line="240" w:lineRule="auto"/>
              <w:rPr>
                <w:rFonts w:hAnsi="宋体" w:cs="宋体"/>
                <w:b/>
                <w:snapToGrid w:val="0"/>
                <w:color w:val="auto"/>
                <w:kern w:val="21"/>
                <w:szCs w:val="21"/>
              </w:rPr>
            </w:pPr>
          </w:p>
        </w:tc>
        <w:tc>
          <w:tcPr>
            <w:tcW w:w="1537" w:type="dxa"/>
            <w:noWrap w:val="0"/>
            <w:vAlign w:val="center"/>
          </w:tcPr>
          <w:p>
            <w:pPr>
              <w:jc w:val="center"/>
              <w:rPr>
                <w:rFonts w:hAnsi="宋体" w:cs="宋体"/>
                <w:b/>
                <w:snapToGrid w:val="0"/>
                <w:color w:val="auto"/>
                <w:kern w:val="21"/>
                <w:szCs w:val="21"/>
              </w:rPr>
            </w:pPr>
            <w:r>
              <w:rPr>
                <w:rFonts w:hint="eastAsia"/>
                <w:bCs/>
                <w:color w:val="auto"/>
                <w:sz w:val="21"/>
                <w:szCs w:val="21"/>
                <w:lang w:val="en-US" w:eastAsia="zh-CN"/>
              </w:rPr>
              <w:t>456.8</w:t>
            </w:r>
            <w:r>
              <w:rPr>
                <w:rFonts w:hint="eastAsia"/>
                <w:b w:val="0"/>
                <w:bCs w:val="0"/>
                <w:snapToGrid w:val="0"/>
                <w:color w:val="auto"/>
                <w:kern w:val="21"/>
                <w:szCs w:val="21"/>
                <w:lang w:val="en-US" w:eastAsia="zh-CN"/>
              </w:rPr>
              <w:t>m</w:t>
            </w:r>
            <w:r>
              <w:rPr>
                <w:rFonts w:hint="eastAsia"/>
                <w:b w:val="0"/>
                <w:bCs w:val="0"/>
                <w:snapToGrid w:val="0"/>
                <w:color w:val="auto"/>
                <w:kern w:val="21"/>
                <w:szCs w:val="21"/>
                <w:vertAlign w:val="superscript"/>
                <w:lang w:val="en-US" w:eastAsia="zh-CN"/>
              </w:rPr>
              <w:t>3</w:t>
            </w:r>
            <w:r>
              <w:rPr>
                <w:rFonts w:hint="eastAsia"/>
                <w:b w:val="0"/>
                <w:bCs w:val="0"/>
                <w:snapToGrid w:val="0"/>
                <w:color w:val="auto"/>
                <w:kern w:val="21"/>
                <w:szCs w:val="21"/>
                <w:lang w:val="en-US" w:eastAsia="zh-CN"/>
              </w:rPr>
              <w:t>/a</w:t>
            </w:r>
          </w:p>
        </w:tc>
        <w:tc>
          <w:tcPr>
            <w:tcW w:w="1479" w:type="dxa"/>
            <w:noWrap w:val="0"/>
            <w:vAlign w:val="center"/>
          </w:tcPr>
          <w:p>
            <w:pPr>
              <w:jc w:val="center"/>
              <w:rPr>
                <w:snapToGrid w:val="0"/>
                <w:color w:val="auto"/>
                <w:kern w:val="21"/>
                <w:szCs w:val="21"/>
              </w:rPr>
            </w:pPr>
            <w:r>
              <w:rPr>
                <w:rFonts w:hint="eastAsia" w:ascii="Times New Roman" w:hAnsi="Times New Roman" w:eastAsia="宋体" w:cs="Times New Roman"/>
                <w:color w:val="auto"/>
                <w:kern w:val="0"/>
                <w:szCs w:val="21"/>
                <w:lang w:val="en-US" w:eastAsia="zh-CN" w:bidi="ar"/>
              </w:rPr>
              <w:t>+</w:t>
            </w:r>
            <w:r>
              <w:rPr>
                <w:rFonts w:hint="eastAsia"/>
                <w:bCs/>
                <w:color w:val="auto"/>
                <w:sz w:val="21"/>
                <w:szCs w:val="21"/>
                <w:lang w:val="en-US" w:eastAsia="zh-CN"/>
              </w:rPr>
              <w:t>456.8</w:t>
            </w:r>
            <w:r>
              <w:rPr>
                <w:rFonts w:hint="eastAsia"/>
                <w:b w:val="0"/>
                <w:bCs w:val="0"/>
                <w:snapToGrid w:val="0"/>
                <w:color w:val="auto"/>
                <w:kern w:val="21"/>
                <w:szCs w:val="21"/>
                <w:lang w:val="en-US" w:eastAsia="zh-CN"/>
              </w:rPr>
              <w:t>m</w:t>
            </w:r>
            <w:r>
              <w:rPr>
                <w:rFonts w:hint="eastAsia"/>
                <w:b w:val="0"/>
                <w:bCs w:val="0"/>
                <w:snapToGrid w:val="0"/>
                <w:color w:val="auto"/>
                <w:kern w:val="21"/>
                <w:szCs w:val="21"/>
                <w:vertAlign w:val="superscript"/>
                <w:lang w:val="en-US" w:eastAsia="zh-CN"/>
              </w:rPr>
              <w:t>3</w:t>
            </w:r>
            <w:r>
              <w:rPr>
                <w:rFonts w:hint="eastAsia"/>
                <w:b w:val="0"/>
                <w:bCs w:val="0"/>
                <w:snapToGrid w:val="0"/>
                <w:color w:val="auto"/>
                <w:kern w:val="21"/>
                <w:szCs w:val="21"/>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continue"/>
            <w:noWrap w:val="0"/>
            <w:vAlign w:val="center"/>
          </w:tcPr>
          <w:p>
            <w:pPr>
              <w:pStyle w:val="101"/>
              <w:spacing w:beforeLines="0" w:afterLines="0" w:line="240" w:lineRule="auto"/>
              <w:rPr>
                <w:rFonts w:hint="eastAsia" w:hAnsi="宋体" w:cs="宋体"/>
                <w:snapToGrid w:val="0"/>
                <w:color w:val="auto"/>
                <w:kern w:val="21"/>
                <w:szCs w:val="21"/>
              </w:rPr>
            </w:pPr>
          </w:p>
        </w:tc>
        <w:tc>
          <w:tcPr>
            <w:tcW w:w="1894" w:type="dxa"/>
            <w:noWrap w:val="0"/>
            <w:vAlign w:val="center"/>
          </w:tcPr>
          <w:p>
            <w:pPr>
              <w:jc w:val="center"/>
              <w:rPr>
                <w:rFonts w:hAnsi="宋体"/>
                <w:color w:val="auto"/>
                <w:sz w:val="21"/>
                <w:szCs w:val="21"/>
              </w:rPr>
            </w:pPr>
            <w:r>
              <w:rPr>
                <w:rFonts w:hint="eastAsia" w:ascii="Times New Roman" w:hAnsi="Times New Roman" w:eastAsia="宋体" w:cs="Times New Roman"/>
                <w:color w:val="auto"/>
                <w:sz w:val="21"/>
                <w:szCs w:val="21"/>
                <w:lang w:val="en-US" w:eastAsia="zh-CN"/>
              </w:rPr>
              <w:t>COD</w:t>
            </w:r>
          </w:p>
        </w:tc>
        <w:tc>
          <w:tcPr>
            <w:tcW w:w="1400" w:type="dxa"/>
            <w:noWrap w:val="0"/>
            <w:vAlign w:val="center"/>
          </w:tcPr>
          <w:p>
            <w:pPr>
              <w:pStyle w:val="165"/>
              <w:rPr>
                <w:snapToGrid w:val="0"/>
                <w:color w:val="auto"/>
                <w:kern w:val="21"/>
                <w:szCs w:val="21"/>
              </w:rPr>
            </w:pPr>
          </w:p>
        </w:tc>
        <w:tc>
          <w:tcPr>
            <w:tcW w:w="1100" w:type="dxa"/>
            <w:noWrap w:val="0"/>
            <w:vAlign w:val="center"/>
          </w:tcPr>
          <w:p>
            <w:pPr>
              <w:pStyle w:val="165"/>
              <w:rPr>
                <w:snapToGrid w:val="0"/>
                <w:color w:val="auto"/>
                <w:kern w:val="21"/>
                <w:szCs w:val="21"/>
              </w:rPr>
            </w:pPr>
          </w:p>
        </w:tc>
        <w:tc>
          <w:tcPr>
            <w:tcW w:w="1701" w:type="dxa"/>
            <w:noWrap w:val="0"/>
            <w:vAlign w:val="center"/>
          </w:tcPr>
          <w:p>
            <w:pPr>
              <w:widowControl/>
              <w:jc w:val="center"/>
              <w:textAlignment w:val="center"/>
              <w:rPr>
                <w:color w:val="auto"/>
                <w:szCs w:val="21"/>
              </w:rPr>
            </w:pPr>
          </w:p>
        </w:tc>
        <w:tc>
          <w:tcPr>
            <w:tcW w:w="1559" w:type="dxa"/>
            <w:noWrap w:val="0"/>
            <w:vAlign w:val="center"/>
          </w:tcPr>
          <w:p>
            <w:pPr>
              <w:jc w:val="center"/>
              <w:rPr>
                <w:b/>
                <w:snapToGrid w:val="0"/>
                <w:color w:val="auto"/>
                <w:kern w:val="21"/>
                <w:szCs w:val="21"/>
              </w:rPr>
            </w:pPr>
            <w:r>
              <w:rPr>
                <w:rFonts w:hint="eastAsia"/>
                <w:color w:val="auto"/>
                <w:sz w:val="21"/>
                <w:szCs w:val="21"/>
                <w:lang w:val="en-US" w:eastAsia="zh-CN"/>
              </w:rPr>
              <w:t>0.2284</w:t>
            </w:r>
            <w:r>
              <w:rPr>
                <w:color w:val="auto"/>
                <w:szCs w:val="21"/>
              </w:rPr>
              <w:t>t/a</w:t>
            </w:r>
          </w:p>
        </w:tc>
        <w:tc>
          <w:tcPr>
            <w:tcW w:w="1530" w:type="dxa"/>
            <w:noWrap w:val="0"/>
            <w:vAlign w:val="center"/>
          </w:tcPr>
          <w:p>
            <w:pPr>
              <w:pStyle w:val="101"/>
              <w:spacing w:beforeLines="0" w:afterLines="0" w:line="240" w:lineRule="auto"/>
              <w:rPr>
                <w:rFonts w:hAnsi="宋体" w:cs="宋体"/>
                <w:b/>
                <w:snapToGrid w:val="0"/>
                <w:color w:val="auto"/>
                <w:kern w:val="21"/>
                <w:szCs w:val="21"/>
              </w:rPr>
            </w:pPr>
          </w:p>
        </w:tc>
        <w:tc>
          <w:tcPr>
            <w:tcW w:w="1537" w:type="dxa"/>
            <w:noWrap w:val="0"/>
            <w:vAlign w:val="center"/>
          </w:tcPr>
          <w:p>
            <w:pPr>
              <w:jc w:val="center"/>
              <w:rPr>
                <w:rFonts w:hAnsi="宋体" w:cs="宋体"/>
                <w:b/>
                <w:snapToGrid w:val="0"/>
                <w:color w:val="auto"/>
                <w:kern w:val="21"/>
                <w:szCs w:val="21"/>
              </w:rPr>
            </w:pPr>
            <w:r>
              <w:rPr>
                <w:rFonts w:hint="eastAsia"/>
                <w:color w:val="auto"/>
                <w:sz w:val="21"/>
                <w:szCs w:val="21"/>
                <w:lang w:val="en-US" w:eastAsia="zh-CN"/>
              </w:rPr>
              <w:t>0.2284</w:t>
            </w:r>
            <w:r>
              <w:rPr>
                <w:color w:val="auto"/>
                <w:szCs w:val="21"/>
              </w:rPr>
              <w:t>t/a</w:t>
            </w:r>
          </w:p>
        </w:tc>
        <w:tc>
          <w:tcPr>
            <w:tcW w:w="1479" w:type="dxa"/>
            <w:noWrap w:val="0"/>
            <w:vAlign w:val="center"/>
          </w:tcPr>
          <w:p>
            <w:pPr>
              <w:jc w:val="center"/>
              <w:rPr>
                <w:snapToGrid w:val="0"/>
                <w:color w:val="auto"/>
                <w:kern w:val="21"/>
                <w:szCs w:val="21"/>
              </w:rPr>
            </w:pPr>
            <w:r>
              <w:rPr>
                <w:rFonts w:hint="eastAsia" w:ascii="Times New Roman" w:hAnsi="Times New Roman" w:eastAsia="宋体" w:cs="Times New Roman"/>
                <w:color w:val="auto"/>
                <w:kern w:val="0"/>
                <w:szCs w:val="21"/>
                <w:lang w:val="en-US" w:eastAsia="zh-CN" w:bidi="ar"/>
              </w:rPr>
              <w:t>+</w:t>
            </w:r>
            <w:r>
              <w:rPr>
                <w:rFonts w:hint="eastAsia"/>
                <w:color w:val="auto"/>
                <w:sz w:val="21"/>
                <w:szCs w:val="21"/>
                <w:lang w:val="en-US" w:eastAsia="zh-CN"/>
              </w:rPr>
              <w:t>0.2284</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continue"/>
            <w:noWrap w:val="0"/>
            <w:vAlign w:val="center"/>
          </w:tcPr>
          <w:p>
            <w:pPr>
              <w:pStyle w:val="101"/>
              <w:spacing w:beforeLines="0" w:afterLines="0" w:line="240" w:lineRule="auto"/>
              <w:rPr>
                <w:rFonts w:hint="eastAsia" w:hAnsi="宋体" w:cs="宋体"/>
                <w:snapToGrid w:val="0"/>
                <w:color w:val="auto"/>
                <w:kern w:val="21"/>
                <w:szCs w:val="21"/>
              </w:rPr>
            </w:pPr>
          </w:p>
        </w:tc>
        <w:tc>
          <w:tcPr>
            <w:tcW w:w="1894" w:type="dxa"/>
            <w:noWrap w:val="0"/>
            <w:vAlign w:val="center"/>
          </w:tcPr>
          <w:p>
            <w:pPr>
              <w:jc w:val="center"/>
              <w:rPr>
                <w:rFonts w:hint="eastAsia"/>
                <w:bCs/>
                <w:snapToGrid w:val="0"/>
                <w:color w:val="auto"/>
                <w:kern w:val="21"/>
                <w:sz w:val="21"/>
                <w:szCs w:val="21"/>
              </w:rPr>
            </w:pPr>
            <w:r>
              <w:rPr>
                <w:rFonts w:hint="default" w:ascii="Times New Roman" w:hAnsi="Times New Roman" w:eastAsia="宋体" w:cs="Times New Roman"/>
                <w:color w:val="auto"/>
                <w:sz w:val="21"/>
                <w:szCs w:val="21"/>
                <w:lang w:val="en-US" w:eastAsia="zh-CN"/>
              </w:rPr>
              <w:t>氨氮</w:t>
            </w:r>
          </w:p>
        </w:tc>
        <w:tc>
          <w:tcPr>
            <w:tcW w:w="1400" w:type="dxa"/>
            <w:noWrap w:val="0"/>
            <w:vAlign w:val="center"/>
          </w:tcPr>
          <w:p>
            <w:pPr>
              <w:pStyle w:val="110"/>
              <w:spacing w:after="0"/>
              <w:ind w:left="0" w:leftChars="0" w:firstLine="0" w:firstLineChars="0"/>
              <w:jc w:val="center"/>
              <w:rPr>
                <w:snapToGrid w:val="0"/>
                <w:color w:val="auto"/>
                <w:kern w:val="21"/>
                <w:sz w:val="21"/>
                <w:szCs w:val="21"/>
              </w:rPr>
            </w:pPr>
          </w:p>
        </w:tc>
        <w:tc>
          <w:tcPr>
            <w:tcW w:w="1100" w:type="dxa"/>
            <w:noWrap w:val="0"/>
            <w:vAlign w:val="center"/>
          </w:tcPr>
          <w:p>
            <w:pPr>
              <w:pStyle w:val="165"/>
              <w:rPr>
                <w:snapToGrid w:val="0"/>
                <w:color w:val="auto"/>
                <w:kern w:val="21"/>
                <w:szCs w:val="21"/>
              </w:rPr>
            </w:pPr>
          </w:p>
        </w:tc>
        <w:tc>
          <w:tcPr>
            <w:tcW w:w="1701" w:type="dxa"/>
            <w:noWrap w:val="0"/>
            <w:vAlign w:val="center"/>
          </w:tcPr>
          <w:p>
            <w:pPr>
              <w:widowControl/>
              <w:jc w:val="center"/>
              <w:textAlignment w:val="center"/>
              <w:rPr>
                <w:color w:val="auto"/>
                <w:szCs w:val="21"/>
              </w:rPr>
            </w:pPr>
          </w:p>
        </w:tc>
        <w:tc>
          <w:tcPr>
            <w:tcW w:w="1559" w:type="dxa"/>
            <w:noWrap w:val="0"/>
            <w:vAlign w:val="center"/>
          </w:tcPr>
          <w:p>
            <w:pPr>
              <w:jc w:val="center"/>
              <w:rPr>
                <w:rFonts w:hint="eastAsia"/>
                <w:color w:val="auto"/>
                <w:szCs w:val="21"/>
              </w:rPr>
            </w:pPr>
            <w:r>
              <w:rPr>
                <w:rFonts w:hint="eastAsia"/>
                <w:color w:val="auto"/>
                <w:sz w:val="21"/>
                <w:szCs w:val="21"/>
                <w:lang w:val="en-US" w:eastAsia="zh-CN"/>
              </w:rPr>
              <w:t>0.0206</w:t>
            </w:r>
            <w:r>
              <w:rPr>
                <w:color w:val="auto"/>
                <w:szCs w:val="21"/>
              </w:rPr>
              <w:t>t/a</w:t>
            </w:r>
          </w:p>
        </w:tc>
        <w:tc>
          <w:tcPr>
            <w:tcW w:w="1530" w:type="dxa"/>
            <w:noWrap w:val="0"/>
            <w:vAlign w:val="center"/>
          </w:tcPr>
          <w:p>
            <w:pPr>
              <w:pStyle w:val="101"/>
              <w:spacing w:beforeLines="0" w:afterLines="0" w:line="240" w:lineRule="auto"/>
              <w:rPr>
                <w:rFonts w:hAnsi="宋体" w:cs="宋体"/>
                <w:b/>
                <w:snapToGrid w:val="0"/>
                <w:color w:val="auto"/>
                <w:kern w:val="21"/>
                <w:szCs w:val="21"/>
              </w:rPr>
            </w:pPr>
          </w:p>
        </w:tc>
        <w:tc>
          <w:tcPr>
            <w:tcW w:w="1537" w:type="dxa"/>
            <w:noWrap w:val="0"/>
            <w:vAlign w:val="center"/>
          </w:tcPr>
          <w:p>
            <w:pPr>
              <w:jc w:val="center"/>
              <w:rPr>
                <w:rFonts w:hint="eastAsia"/>
                <w:color w:val="auto"/>
                <w:szCs w:val="21"/>
              </w:rPr>
            </w:pPr>
            <w:r>
              <w:rPr>
                <w:rFonts w:hint="eastAsia"/>
                <w:color w:val="auto"/>
                <w:sz w:val="21"/>
                <w:szCs w:val="21"/>
                <w:lang w:val="en-US" w:eastAsia="zh-CN"/>
              </w:rPr>
              <w:t>0.0206</w:t>
            </w:r>
            <w:r>
              <w:rPr>
                <w:color w:val="auto"/>
                <w:szCs w:val="21"/>
              </w:rPr>
              <w:t>t/a</w:t>
            </w:r>
          </w:p>
        </w:tc>
        <w:tc>
          <w:tcPr>
            <w:tcW w:w="1479" w:type="dxa"/>
            <w:noWrap w:val="0"/>
            <w:vAlign w:val="center"/>
          </w:tcPr>
          <w:p>
            <w:pPr>
              <w:jc w:val="center"/>
              <w:rPr>
                <w:color w:val="auto"/>
                <w:szCs w:val="21"/>
              </w:rPr>
            </w:pPr>
            <w:r>
              <w:rPr>
                <w:rFonts w:hint="eastAsia" w:ascii="Times New Roman" w:hAnsi="Times New Roman" w:eastAsia="宋体" w:cs="Times New Roman"/>
                <w:color w:val="auto"/>
                <w:kern w:val="0"/>
                <w:szCs w:val="21"/>
                <w:lang w:val="en-US" w:eastAsia="zh-CN" w:bidi="ar"/>
              </w:rPr>
              <w:t>+</w:t>
            </w:r>
            <w:r>
              <w:rPr>
                <w:rFonts w:hint="eastAsia"/>
                <w:color w:val="auto"/>
                <w:sz w:val="21"/>
                <w:szCs w:val="21"/>
                <w:lang w:val="en-US" w:eastAsia="zh-CN"/>
              </w:rPr>
              <w:t>0.0206</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continue"/>
            <w:noWrap w:val="0"/>
            <w:vAlign w:val="center"/>
          </w:tcPr>
          <w:p>
            <w:pPr>
              <w:pStyle w:val="101"/>
              <w:spacing w:beforeLines="0" w:afterLines="0" w:line="240" w:lineRule="auto"/>
              <w:rPr>
                <w:rFonts w:hint="eastAsia" w:hAnsi="宋体" w:cs="宋体"/>
                <w:snapToGrid w:val="0"/>
                <w:color w:val="auto"/>
                <w:kern w:val="21"/>
                <w:szCs w:val="21"/>
              </w:rPr>
            </w:pPr>
          </w:p>
        </w:tc>
        <w:tc>
          <w:tcPr>
            <w:tcW w:w="1894" w:type="dxa"/>
            <w:noWrap w:val="0"/>
            <w:vAlign w:val="center"/>
          </w:tcPr>
          <w:p>
            <w:pPr>
              <w:jc w:val="center"/>
              <w:rPr>
                <w:rFonts w:hAnsi="宋体"/>
                <w:color w:val="auto"/>
                <w:sz w:val="21"/>
                <w:szCs w:val="21"/>
              </w:rPr>
            </w:pPr>
            <w:r>
              <w:rPr>
                <w:rFonts w:hint="default" w:ascii="Times New Roman" w:hAnsi="Times New Roman" w:eastAsia="宋体" w:cs="Times New Roman"/>
                <w:color w:val="auto"/>
                <w:sz w:val="21"/>
                <w:szCs w:val="21"/>
                <w:lang w:val="en-US" w:eastAsia="zh-CN"/>
              </w:rPr>
              <w:t>总磷</w:t>
            </w:r>
          </w:p>
        </w:tc>
        <w:tc>
          <w:tcPr>
            <w:tcW w:w="1400" w:type="dxa"/>
            <w:noWrap w:val="0"/>
            <w:vAlign w:val="center"/>
          </w:tcPr>
          <w:p>
            <w:pPr>
              <w:pStyle w:val="110"/>
              <w:spacing w:after="0"/>
              <w:ind w:left="0" w:leftChars="0" w:firstLine="0" w:firstLineChars="0"/>
              <w:jc w:val="center"/>
              <w:rPr>
                <w:snapToGrid w:val="0"/>
                <w:color w:val="auto"/>
                <w:kern w:val="21"/>
                <w:sz w:val="21"/>
                <w:szCs w:val="21"/>
              </w:rPr>
            </w:pPr>
          </w:p>
        </w:tc>
        <w:tc>
          <w:tcPr>
            <w:tcW w:w="1100" w:type="dxa"/>
            <w:noWrap w:val="0"/>
            <w:vAlign w:val="center"/>
          </w:tcPr>
          <w:p>
            <w:pPr>
              <w:pStyle w:val="165"/>
              <w:rPr>
                <w:snapToGrid w:val="0"/>
                <w:color w:val="auto"/>
                <w:kern w:val="21"/>
                <w:szCs w:val="21"/>
              </w:rPr>
            </w:pPr>
          </w:p>
        </w:tc>
        <w:tc>
          <w:tcPr>
            <w:tcW w:w="1701" w:type="dxa"/>
            <w:noWrap w:val="0"/>
            <w:vAlign w:val="center"/>
          </w:tcPr>
          <w:p>
            <w:pPr>
              <w:widowControl/>
              <w:jc w:val="center"/>
              <w:textAlignment w:val="center"/>
              <w:rPr>
                <w:color w:val="auto"/>
                <w:szCs w:val="21"/>
              </w:rPr>
            </w:pPr>
          </w:p>
        </w:tc>
        <w:tc>
          <w:tcPr>
            <w:tcW w:w="1559" w:type="dxa"/>
            <w:noWrap w:val="0"/>
            <w:vAlign w:val="center"/>
          </w:tcPr>
          <w:p>
            <w:pPr>
              <w:jc w:val="center"/>
              <w:rPr>
                <w:b/>
                <w:snapToGrid w:val="0"/>
                <w:color w:val="auto"/>
                <w:kern w:val="21"/>
                <w:szCs w:val="21"/>
              </w:rPr>
            </w:pPr>
            <w:r>
              <w:rPr>
                <w:rFonts w:hint="eastAsia"/>
                <w:color w:val="auto"/>
                <w:sz w:val="21"/>
                <w:szCs w:val="21"/>
                <w:lang w:val="en-US" w:eastAsia="zh-CN"/>
              </w:rPr>
              <w:t>0.0037</w:t>
            </w:r>
            <w:r>
              <w:rPr>
                <w:color w:val="auto"/>
                <w:szCs w:val="21"/>
              </w:rPr>
              <w:t>t/a</w:t>
            </w:r>
          </w:p>
        </w:tc>
        <w:tc>
          <w:tcPr>
            <w:tcW w:w="1530" w:type="dxa"/>
            <w:noWrap w:val="0"/>
            <w:vAlign w:val="center"/>
          </w:tcPr>
          <w:p>
            <w:pPr>
              <w:pStyle w:val="101"/>
              <w:spacing w:beforeLines="0" w:afterLines="0" w:line="240" w:lineRule="auto"/>
              <w:rPr>
                <w:rFonts w:hAnsi="宋体" w:cs="宋体"/>
                <w:b/>
                <w:snapToGrid w:val="0"/>
                <w:color w:val="auto"/>
                <w:kern w:val="21"/>
                <w:szCs w:val="21"/>
              </w:rPr>
            </w:pPr>
          </w:p>
        </w:tc>
        <w:tc>
          <w:tcPr>
            <w:tcW w:w="1537" w:type="dxa"/>
            <w:noWrap w:val="0"/>
            <w:vAlign w:val="center"/>
          </w:tcPr>
          <w:p>
            <w:pPr>
              <w:jc w:val="center"/>
              <w:rPr>
                <w:rFonts w:hAnsi="宋体" w:cs="宋体"/>
                <w:b/>
                <w:snapToGrid w:val="0"/>
                <w:color w:val="auto"/>
                <w:kern w:val="21"/>
                <w:szCs w:val="21"/>
              </w:rPr>
            </w:pPr>
            <w:r>
              <w:rPr>
                <w:rFonts w:hint="eastAsia"/>
                <w:color w:val="auto"/>
                <w:sz w:val="21"/>
                <w:szCs w:val="21"/>
                <w:lang w:val="en-US" w:eastAsia="zh-CN"/>
              </w:rPr>
              <w:t>0.0037</w:t>
            </w:r>
            <w:r>
              <w:rPr>
                <w:color w:val="auto"/>
                <w:szCs w:val="21"/>
              </w:rPr>
              <w:t>t/a</w:t>
            </w:r>
          </w:p>
        </w:tc>
        <w:tc>
          <w:tcPr>
            <w:tcW w:w="1479" w:type="dxa"/>
            <w:noWrap w:val="0"/>
            <w:vAlign w:val="center"/>
          </w:tcPr>
          <w:p>
            <w:pPr>
              <w:jc w:val="center"/>
              <w:rPr>
                <w:snapToGrid w:val="0"/>
                <w:color w:val="auto"/>
                <w:kern w:val="21"/>
                <w:szCs w:val="21"/>
              </w:rPr>
            </w:pPr>
            <w:r>
              <w:rPr>
                <w:rFonts w:hint="eastAsia" w:ascii="Times New Roman" w:hAnsi="Times New Roman" w:eastAsia="宋体" w:cs="Times New Roman"/>
                <w:color w:val="auto"/>
                <w:kern w:val="0"/>
                <w:szCs w:val="21"/>
                <w:lang w:val="en-US" w:eastAsia="zh-CN" w:bidi="ar"/>
              </w:rPr>
              <w:t>+</w:t>
            </w:r>
            <w:r>
              <w:rPr>
                <w:rFonts w:hint="eastAsia"/>
                <w:color w:val="auto"/>
                <w:sz w:val="21"/>
                <w:szCs w:val="21"/>
                <w:lang w:val="en-US" w:eastAsia="zh-CN"/>
              </w:rPr>
              <w:t>0.0037</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noWrap w:val="0"/>
            <w:vAlign w:val="center"/>
          </w:tcPr>
          <w:p>
            <w:pPr>
              <w:pStyle w:val="101"/>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生活垃圾</w:t>
            </w:r>
          </w:p>
        </w:tc>
        <w:tc>
          <w:tcPr>
            <w:tcW w:w="1894" w:type="dxa"/>
            <w:noWrap w:val="0"/>
            <w:vAlign w:val="center"/>
          </w:tcPr>
          <w:p>
            <w:pPr>
              <w:pStyle w:val="157"/>
              <w:spacing w:before="0"/>
              <w:ind w:left="0"/>
              <w:rPr>
                <w:rFonts w:hint="eastAsia"/>
                <w:color w:val="auto"/>
                <w:szCs w:val="21"/>
              </w:rPr>
            </w:pPr>
            <w:r>
              <w:rPr>
                <w:rFonts w:ascii="Times New Roman" w:hAnsi="Times New Roman" w:eastAsia="宋体" w:cs="Times New Roman"/>
                <w:color w:val="auto"/>
                <w:szCs w:val="21"/>
                <w:lang w:val="en-US"/>
              </w:rPr>
              <w:t>生活垃圾</w:t>
            </w:r>
          </w:p>
        </w:tc>
        <w:tc>
          <w:tcPr>
            <w:tcW w:w="1400" w:type="dxa"/>
            <w:noWrap w:val="0"/>
            <w:vAlign w:val="center"/>
          </w:tcPr>
          <w:p>
            <w:pPr>
              <w:pStyle w:val="165"/>
              <w:rPr>
                <w:rFonts w:hint="eastAsia" w:ascii="宋体" w:hAnsi="宋体"/>
                <w:color w:val="auto"/>
                <w:szCs w:val="21"/>
              </w:rPr>
            </w:pPr>
          </w:p>
        </w:tc>
        <w:tc>
          <w:tcPr>
            <w:tcW w:w="1100" w:type="dxa"/>
            <w:noWrap w:val="0"/>
            <w:vAlign w:val="center"/>
          </w:tcPr>
          <w:p>
            <w:pPr>
              <w:widowControl/>
              <w:jc w:val="center"/>
              <w:textAlignment w:val="center"/>
              <w:rPr>
                <w:snapToGrid w:val="0"/>
                <w:color w:val="auto"/>
                <w:kern w:val="21"/>
                <w:szCs w:val="21"/>
              </w:rPr>
            </w:pPr>
          </w:p>
        </w:tc>
        <w:tc>
          <w:tcPr>
            <w:tcW w:w="1701" w:type="dxa"/>
            <w:noWrap w:val="0"/>
            <w:vAlign w:val="center"/>
          </w:tcPr>
          <w:p>
            <w:pPr>
              <w:pStyle w:val="97"/>
              <w:spacing w:line="240" w:lineRule="auto"/>
              <w:ind w:left="0" w:right="0" w:firstLine="0"/>
              <w:jc w:val="center"/>
              <w:rPr>
                <w:rFonts w:ascii="Times New Roman" w:hAnsi="Times New Roman"/>
                <w:color w:val="auto"/>
                <w:kern w:val="2"/>
                <w:sz w:val="21"/>
                <w:szCs w:val="21"/>
              </w:rPr>
            </w:pPr>
          </w:p>
        </w:tc>
        <w:tc>
          <w:tcPr>
            <w:tcW w:w="1559" w:type="dxa"/>
            <w:noWrap w:val="0"/>
            <w:vAlign w:val="center"/>
          </w:tcPr>
          <w:p>
            <w:pPr>
              <w:jc w:val="center"/>
              <w:rPr>
                <w:snapToGrid w:val="0"/>
                <w:color w:val="auto"/>
                <w:kern w:val="21"/>
                <w:szCs w:val="21"/>
              </w:rPr>
            </w:pPr>
            <w:r>
              <w:rPr>
                <w:rFonts w:hint="eastAsia"/>
                <w:color w:val="auto"/>
                <w:szCs w:val="21"/>
                <w:lang w:val="en-US" w:eastAsia="zh-CN"/>
              </w:rPr>
              <w:t>1.65</w:t>
            </w:r>
            <w:r>
              <w:rPr>
                <w:color w:val="auto"/>
                <w:szCs w:val="21"/>
              </w:rPr>
              <w:t>t/a</w:t>
            </w:r>
          </w:p>
        </w:tc>
        <w:tc>
          <w:tcPr>
            <w:tcW w:w="1530" w:type="dxa"/>
            <w:noWrap w:val="0"/>
            <w:vAlign w:val="center"/>
          </w:tcPr>
          <w:p>
            <w:pPr>
              <w:pStyle w:val="101"/>
              <w:spacing w:beforeLines="0" w:afterLines="0" w:line="240" w:lineRule="auto"/>
              <w:rPr>
                <w:rFonts w:hAnsi="宋体" w:cs="宋体"/>
                <w:snapToGrid w:val="0"/>
                <w:color w:val="auto"/>
                <w:kern w:val="21"/>
                <w:szCs w:val="21"/>
              </w:rPr>
            </w:pPr>
          </w:p>
        </w:tc>
        <w:tc>
          <w:tcPr>
            <w:tcW w:w="1537" w:type="dxa"/>
            <w:noWrap w:val="0"/>
            <w:vAlign w:val="center"/>
          </w:tcPr>
          <w:p>
            <w:pPr>
              <w:jc w:val="center"/>
              <w:rPr>
                <w:rFonts w:cs="宋体"/>
                <w:snapToGrid w:val="0"/>
                <w:color w:val="auto"/>
                <w:kern w:val="21"/>
                <w:szCs w:val="21"/>
              </w:rPr>
            </w:pPr>
            <w:r>
              <w:rPr>
                <w:rFonts w:hint="eastAsia"/>
                <w:color w:val="auto"/>
                <w:szCs w:val="21"/>
                <w:lang w:val="en-US" w:eastAsia="zh-CN"/>
              </w:rPr>
              <w:t>1.65</w:t>
            </w:r>
            <w:r>
              <w:rPr>
                <w:color w:val="auto"/>
                <w:szCs w:val="21"/>
              </w:rPr>
              <w:t>t/a</w:t>
            </w:r>
          </w:p>
        </w:tc>
        <w:tc>
          <w:tcPr>
            <w:tcW w:w="1479" w:type="dxa"/>
            <w:noWrap w:val="0"/>
            <w:vAlign w:val="center"/>
          </w:tcPr>
          <w:p>
            <w:pPr>
              <w:jc w:val="center"/>
              <w:rPr>
                <w:snapToGrid w:val="0"/>
                <w:color w:val="auto"/>
                <w:kern w:val="21"/>
                <w:szCs w:val="21"/>
              </w:rPr>
            </w:pPr>
            <w:r>
              <w:rPr>
                <w:rFonts w:hint="eastAsia" w:ascii="Times New Roman" w:hAnsi="Times New Roman" w:eastAsia="宋体" w:cs="Times New Roman"/>
                <w:color w:val="auto"/>
                <w:kern w:val="0"/>
                <w:szCs w:val="21"/>
                <w:lang w:val="en-US" w:eastAsia="zh-CN" w:bidi="ar"/>
              </w:rPr>
              <w:t>+</w:t>
            </w:r>
            <w:r>
              <w:rPr>
                <w:rFonts w:hint="eastAsia" w:eastAsia="宋体"/>
                <w:color w:val="auto"/>
                <w:szCs w:val="21"/>
                <w:lang w:val="en-US" w:eastAsia="zh-CN"/>
              </w:rPr>
              <w:t>1.65</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restart"/>
            <w:noWrap w:val="0"/>
            <w:vAlign w:val="center"/>
          </w:tcPr>
          <w:p>
            <w:pPr>
              <w:pStyle w:val="101"/>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一般固废</w:t>
            </w:r>
          </w:p>
        </w:tc>
        <w:tc>
          <w:tcPr>
            <w:tcW w:w="1894" w:type="dxa"/>
            <w:noWrap w:val="0"/>
            <w:vAlign w:val="center"/>
          </w:tcPr>
          <w:p>
            <w:pPr>
              <w:pStyle w:val="157"/>
              <w:spacing w:before="0"/>
              <w:ind w:left="0" w:leftChars="0"/>
              <w:rPr>
                <w:color w:val="auto"/>
                <w:szCs w:val="21"/>
              </w:rPr>
            </w:pPr>
            <w:r>
              <w:rPr>
                <w:rFonts w:ascii="Times New Roman" w:hAnsi="Times New Roman" w:eastAsia="宋体" w:cs="Times New Roman"/>
                <w:color w:val="auto"/>
                <w:szCs w:val="21"/>
                <w:lang w:val="en-US"/>
              </w:rPr>
              <w:t>未</w:t>
            </w:r>
            <w:r>
              <w:rPr>
                <w:rFonts w:ascii="Times New Roman" w:hAnsi="Times New Roman" w:eastAsia="宋体" w:cs="Times New Roman"/>
                <w:color w:val="auto"/>
                <w:szCs w:val="21"/>
              </w:rPr>
              <w:t>沾染具有危险特性物质的废包装材料</w:t>
            </w:r>
          </w:p>
        </w:tc>
        <w:tc>
          <w:tcPr>
            <w:tcW w:w="1400" w:type="dxa"/>
            <w:noWrap w:val="0"/>
            <w:vAlign w:val="center"/>
          </w:tcPr>
          <w:p>
            <w:pPr>
              <w:pStyle w:val="165"/>
              <w:rPr>
                <w:rFonts w:hint="eastAsia" w:ascii="宋体" w:hAnsi="宋体"/>
                <w:color w:val="auto"/>
                <w:szCs w:val="21"/>
              </w:rPr>
            </w:pPr>
          </w:p>
        </w:tc>
        <w:tc>
          <w:tcPr>
            <w:tcW w:w="1100" w:type="dxa"/>
            <w:noWrap w:val="0"/>
            <w:vAlign w:val="center"/>
          </w:tcPr>
          <w:p>
            <w:pPr>
              <w:widowControl/>
              <w:jc w:val="center"/>
              <w:textAlignment w:val="center"/>
              <w:rPr>
                <w:snapToGrid w:val="0"/>
                <w:color w:val="auto"/>
                <w:kern w:val="21"/>
                <w:szCs w:val="21"/>
              </w:rPr>
            </w:pPr>
          </w:p>
        </w:tc>
        <w:tc>
          <w:tcPr>
            <w:tcW w:w="1701" w:type="dxa"/>
            <w:noWrap w:val="0"/>
            <w:vAlign w:val="center"/>
          </w:tcPr>
          <w:p>
            <w:pPr>
              <w:pStyle w:val="97"/>
              <w:spacing w:line="240" w:lineRule="auto"/>
              <w:ind w:left="0" w:right="0" w:firstLine="0"/>
              <w:jc w:val="center"/>
              <w:rPr>
                <w:rFonts w:ascii="Times New Roman" w:hAnsi="Times New Roman"/>
                <w:snapToGrid w:val="0"/>
                <w:color w:val="auto"/>
                <w:kern w:val="21"/>
                <w:sz w:val="21"/>
                <w:szCs w:val="21"/>
              </w:rPr>
            </w:pPr>
          </w:p>
        </w:tc>
        <w:tc>
          <w:tcPr>
            <w:tcW w:w="1559" w:type="dxa"/>
            <w:noWrap w:val="0"/>
            <w:vAlign w:val="center"/>
          </w:tcPr>
          <w:p>
            <w:pPr>
              <w:adjustRightInd w:val="0"/>
              <w:snapToGrid w:val="0"/>
              <w:jc w:val="center"/>
              <w:rPr>
                <w:rFonts w:hint="default" w:ascii="Times New Roman" w:hAnsi="Times New Roman" w:cs="Times New Roman"/>
                <w:snapToGrid w:val="0"/>
                <w:color w:val="auto"/>
                <w:kern w:val="21"/>
                <w:sz w:val="21"/>
                <w:szCs w:val="21"/>
              </w:rPr>
            </w:pPr>
            <w:r>
              <w:rPr>
                <w:rFonts w:hint="default" w:ascii="Times New Roman" w:hAnsi="Times New Roman" w:cs="Times New Roman"/>
                <w:color w:val="auto"/>
                <w:sz w:val="21"/>
                <w:szCs w:val="21"/>
                <w:lang w:bidi="zh-CN"/>
              </w:rPr>
              <w:t>0.1</w:t>
            </w:r>
            <w:r>
              <w:rPr>
                <w:rFonts w:hint="default" w:ascii="Times New Roman" w:hAnsi="Times New Roman" w:cs="Times New Roman"/>
                <w:color w:val="auto"/>
                <w:sz w:val="21"/>
                <w:szCs w:val="21"/>
              </w:rPr>
              <w:t>t/a</w:t>
            </w:r>
          </w:p>
        </w:tc>
        <w:tc>
          <w:tcPr>
            <w:tcW w:w="1530" w:type="dxa"/>
            <w:noWrap w:val="0"/>
            <w:vAlign w:val="center"/>
          </w:tcPr>
          <w:p>
            <w:pPr>
              <w:pStyle w:val="101"/>
              <w:spacing w:beforeLines="0" w:afterLines="0" w:line="240" w:lineRule="auto"/>
              <w:rPr>
                <w:rFonts w:hAnsi="宋体" w:cs="宋体"/>
                <w:snapToGrid w:val="0"/>
                <w:color w:val="auto"/>
                <w:kern w:val="21"/>
                <w:szCs w:val="21"/>
              </w:rPr>
            </w:pPr>
          </w:p>
        </w:tc>
        <w:tc>
          <w:tcPr>
            <w:tcW w:w="1537" w:type="dxa"/>
            <w:noWrap w:val="0"/>
            <w:vAlign w:val="center"/>
          </w:tcPr>
          <w:p>
            <w:pPr>
              <w:adjustRightInd w:val="0"/>
              <w:snapToGrid w:val="0"/>
              <w:jc w:val="center"/>
              <w:rPr>
                <w:rFonts w:cs="宋体"/>
                <w:snapToGrid w:val="0"/>
                <w:color w:val="auto"/>
                <w:kern w:val="21"/>
                <w:szCs w:val="21"/>
              </w:rPr>
            </w:pPr>
            <w:r>
              <w:rPr>
                <w:color w:val="auto"/>
                <w:szCs w:val="21"/>
                <w:lang w:bidi="zh-CN"/>
              </w:rPr>
              <w:t>0.1</w:t>
            </w:r>
            <w:r>
              <w:rPr>
                <w:color w:val="auto"/>
                <w:szCs w:val="21"/>
              </w:rPr>
              <w:t>t/a</w:t>
            </w:r>
          </w:p>
        </w:tc>
        <w:tc>
          <w:tcPr>
            <w:tcW w:w="1479" w:type="dxa"/>
            <w:noWrap w:val="0"/>
            <w:vAlign w:val="center"/>
          </w:tcPr>
          <w:p>
            <w:pPr>
              <w:adjustRightInd w:val="0"/>
              <w:snapToGrid w:val="0"/>
              <w:jc w:val="center"/>
              <w:rPr>
                <w:snapToGrid w:val="0"/>
                <w:color w:val="auto"/>
                <w:kern w:val="21"/>
                <w:szCs w:val="21"/>
              </w:rPr>
            </w:pPr>
            <w:r>
              <w:rPr>
                <w:rFonts w:hint="eastAsia" w:ascii="Times New Roman" w:hAnsi="Times New Roman" w:eastAsia="宋体" w:cs="Times New Roman"/>
                <w:color w:val="auto"/>
                <w:kern w:val="0"/>
                <w:szCs w:val="21"/>
                <w:lang w:val="en-US" w:eastAsia="zh-CN" w:bidi="ar"/>
              </w:rPr>
              <w:t>+</w:t>
            </w:r>
            <w:r>
              <w:rPr>
                <w:color w:val="auto"/>
                <w:szCs w:val="21"/>
                <w:lang w:bidi="zh-CN"/>
              </w:rPr>
              <w:t>0.1</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continue"/>
            <w:noWrap w:val="0"/>
            <w:vAlign w:val="center"/>
          </w:tcPr>
          <w:p>
            <w:pPr>
              <w:pStyle w:val="101"/>
              <w:spacing w:beforeLines="0" w:afterLines="0" w:line="240" w:lineRule="auto"/>
              <w:rPr>
                <w:rFonts w:hint="eastAsia" w:hAnsi="宋体" w:cs="宋体"/>
                <w:snapToGrid w:val="0"/>
                <w:color w:val="auto"/>
                <w:kern w:val="21"/>
                <w:szCs w:val="21"/>
              </w:rPr>
            </w:pPr>
          </w:p>
        </w:tc>
        <w:tc>
          <w:tcPr>
            <w:tcW w:w="1894" w:type="dxa"/>
            <w:noWrap w:val="0"/>
            <w:vAlign w:val="center"/>
          </w:tcPr>
          <w:p>
            <w:pPr>
              <w:pStyle w:val="157"/>
              <w:spacing w:before="0"/>
              <w:ind w:left="0" w:leftChars="0"/>
              <w:rPr>
                <w:rFonts w:ascii="Times New Roman" w:hAnsi="Times New Roman" w:eastAsia="宋体" w:cs="Times New Roman"/>
                <w:color w:val="auto"/>
                <w:szCs w:val="21"/>
                <w:lang w:val="en-US"/>
              </w:rPr>
            </w:pPr>
            <w:r>
              <w:rPr>
                <w:rFonts w:hint="eastAsia" w:ascii="Times New Roman" w:hAnsi="Times New Roman" w:eastAsia="宋体" w:cs="Times New Roman"/>
                <w:color w:val="auto"/>
                <w:kern w:val="2"/>
                <w:sz w:val="21"/>
                <w:szCs w:val="21"/>
                <w:lang w:val="zh-CN" w:eastAsia="zh-CN" w:bidi="zh-CN"/>
              </w:rPr>
              <w:t>磁性杂质物</w:t>
            </w:r>
          </w:p>
        </w:tc>
        <w:tc>
          <w:tcPr>
            <w:tcW w:w="1400" w:type="dxa"/>
            <w:noWrap w:val="0"/>
            <w:vAlign w:val="center"/>
          </w:tcPr>
          <w:p>
            <w:pPr>
              <w:pStyle w:val="165"/>
              <w:rPr>
                <w:rFonts w:hint="eastAsia" w:ascii="宋体" w:hAnsi="宋体"/>
                <w:color w:val="auto"/>
                <w:szCs w:val="21"/>
              </w:rPr>
            </w:pPr>
          </w:p>
        </w:tc>
        <w:tc>
          <w:tcPr>
            <w:tcW w:w="1100" w:type="dxa"/>
            <w:noWrap w:val="0"/>
            <w:vAlign w:val="center"/>
          </w:tcPr>
          <w:p>
            <w:pPr>
              <w:widowControl/>
              <w:jc w:val="center"/>
              <w:textAlignment w:val="center"/>
              <w:rPr>
                <w:snapToGrid w:val="0"/>
                <w:color w:val="auto"/>
                <w:kern w:val="21"/>
                <w:szCs w:val="21"/>
              </w:rPr>
            </w:pPr>
          </w:p>
        </w:tc>
        <w:tc>
          <w:tcPr>
            <w:tcW w:w="1701" w:type="dxa"/>
            <w:noWrap w:val="0"/>
            <w:vAlign w:val="center"/>
          </w:tcPr>
          <w:p>
            <w:pPr>
              <w:pStyle w:val="97"/>
              <w:spacing w:line="240" w:lineRule="auto"/>
              <w:ind w:left="0" w:right="0" w:firstLine="0"/>
              <w:jc w:val="center"/>
              <w:rPr>
                <w:rFonts w:ascii="Times New Roman" w:hAnsi="Times New Roman"/>
                <w:snapToGrid w:val="0"/>
                <w:color w:val="auto"/>
                <w:kern w:val="21"/>
                <w:sz w:val="21"/>
                <w:szCs w:val="21"/>
              </w:rPr>
            </w:pPr>
          </w:p>
        </w:tc>
        <w:tc>
          <w:tcPr>
            <w:tcW w:w="1559" w:type="dxa"/>
            <w:noWrap w:val="0"/>
            <w:vAlign w:val="center"/>
          </w:tcPr>
          <w:p>
            <w:pPr>
              <w:pStyle w:val="97"/>
              <w:spacing w:line="240" w:lineRule="auto"/>
              <w:ind w:left="0" w:leftChars="0" w:right="0" w:rightChars="0" w:firstLine="0" w:firstLineChars="0"/>
              <w:jc w:val="center"/>
              <w:rPr>
                <w:rFonts w:hint="default" w:ascii="Times New Roman" w:hAnsi="Times New Roman" w:cs="Times New Roman"/>
                <w:color w:val="auto"/>
                <w:sz w:val="21"/>
                <w:szCs w:val="21"/>
                <w:lang w:bidi="zh-CN"/>
              </w:rPr>
            </w:pPr>
            <w:r>
              <w:rPr>
                <w:rFonts w:hint="eastAsia" w:ascii="Times New Roman" w:hAnsi="Times New Roman" w:eastAsia="宋体" w:cs="Times New Roman"/>
                <w:color w:val="auto"/>
                <w:sz w:val="21"/>
                <w:szCs w:val="21"/>
                <w:lang w:val="en-US" w:eastAsia="zh-CN"/>
              </w:rPr>
              <w:t>0.762</w:t>
            </w:r>
            <w:r>
              <w:rPr>
                <w:rFonts w:hint="default" w:ascii="Times New Roman" w:hAnsi="Times New Roman" w:cs="Times New Roman"/>
                <w:color w:val="auto"/>
                <w:sz w:val="21"/>
                <w:szCs w:val="21"/>
              </w:rPr>
              <w:t>t/a</w:t>
            </w:r>
          </w:p>
        </w:tc>
        <w:tc>
          <w:tcPr>
            <w:tcW w:w="1530" w:type="dxa"/>
            <w:noWrap w:val="0"/>
            <w:vAlign w:val="center"/>
          </w:tcPr>
          <w:p>
            <w:pPr>
              <w:pStyle w:val="101"/>
              <w:spacing w:beforeLines="0" w:afterLines="0" w:line="240" w:lineRule="auto"/>
              <w:rPr>
                <w:rFonts w:hAnsi="宋体" w:cs="宋体"/>
                <w:snapToGrid w:val="0"/>
                <w:color w:val="auto"/>
                <w:kern w:val="21"/>
                <w:szCs w:val="21"/>
              </w:rPr>
            </w:pPr>
          </w:p>
        </w:tc>
        <w:tc>
          <w:tcPr>
            <w:tcW w:w="1537" w:type="dxa"/>
            <w:noWrap w:val="0"/>
            <w:vAlign w:val="center"/>
          </w:tcPr>
          <w:p>
            <w:pPr>
              <w:pStyle w:val="97"/>
              <w:spacing w:line="240" w:lineRule="auto"/>
              <w:ind w:left="0" w:leftChars="0" w:right="0" w:rightChars="0" w:firstLine="0" w:firstLineChars="0"/>
              <w:jc w:val="center"/>
              <w:rPr>
                <w:color w:val="auto"/>
                <w:szCs w:val="21"/>
                <w:lang w:bidi="zh-CN"/>
              </w:rPr>
            </w:pPr>
            <w:r>
              <w:rPr>
                <w:rFonts w:hint="eastAsia" w:ascii="Times New Roman" w:hAnsi="Times New Roman" w:eastAsia="宋体" w:cs="Times New Roman"/>
                <w:color w:val="auto"/>
                <w:sz w:val="21"/>
                <w:szCs w:val="21"/>
                <w:lang w:val="en-US" w:eastAsia="zh-CN"/>
              </w:rPr>
              <w:t>0.762</w:t>
            </w:r>
            <w:r>
              <w:rPr>
                <w:rFonts w:hint="default" w:ascii="Times New Roman" w:hAnsi="Times New Roman" w:cs="Times New Roman"/>
                <w:color w:val="auto"/>
                <w:sz w:val="21"/>
                <w:szCs w:val="21"/>
              </w:rPr>
              <w:t>t/a</w:t>
            </w:r>
          </w:p>
        </w:tc>
        <w:tc>
          <w:tcPr>
            <w:tcW w:w="1479" w:type="dxa"/>
            <w:noWrap w:val="0"/>
            <w:vAlign w:val="center"/>
          </w:tcPr>
          <w:p>
            <w:pPr>
              <w:pStyle w:val="97"/>
              <w:spacing w:line="240" w:lineRule="auto"/>
              <w:ind w:left="0" w:leftChars="0" w:right="0" w:rightChars="0" w:firstLine="0" w:firstLineChars="0"/>
              <w:jc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sz w:val="21"/>
                <w:szCs w:val="21"/>
                <w:lang w:val="en-US" w:eastAsia="zh-CN"/>
              </w:rPr>
              <w:t>0.762</w:t>
            </w:r>
            <w:r>
              <w:rPr>
                <w:rFonts w:hint="default" w:ascii="Times New Roman" w:hAnsi="Times New Roman"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continue"/>
            <w:noWrap w:val="0"/>
            <w:vAlign w:val="center"/>
          </w:tcPr>
          <w:p>
            <w:pPr>
              <w:pStyle w:val="101"/>
              <w:spacing w:beforeLines="0" w:afterLines="0" w:line="240" w:lineRule="auto"/>
              <w:rPr>
                <w:rFonts w:hint="eastAsia" w:hAnsi="宋体" w:cs="宋体"/>
                <w:snapToGrid w:val="0"/>
                <w:color w:val="auto"/>
                <w:kern w:val="21"/>
                <w:szCs w:val="21"/>
              </w:rPr>
            </w:pPr>
          </w:p>
        </w:tc>
        <w:tc>
          <w:tcPr>
            <w:tcW w:w="1894" w:type="dxa"/>
            <w:noWrap w:val="0"/>
            <w:vAlign w:val="center"/>
          </w:tcPr>
          <w:p>
            <w:pPr>
              <w:pStyle w:val="157"/>
              <w:spacing w:before="0"/>
              <w:ind w:left="0" w:leftChars="0"/>
              <w:rPr>
                <w:rFonts w:ascii="Times New Roman" w:hAnsi="Times New Roman" w:eastAsia="宋体" w:cs="Times New Roman"/>
                <w:color w:val="auto"/>
                <w:szCs w:val="21"/>
                <w:lang w:val="en-US"/>
              </w:rPr>
            </w:pPr>
            <w:r>
              <w:rPr>
                <w:rFonts w:hint="eastAsia" w:ascii="Times New Roman" w:hAnsi="Times New Roman" w:eastAsia="宋体" w:cs="Times New Roman"/>
                <w:color w:val="auto"/>
                <w:kern w:val="2"/>
                <w:sz w:val="21"/>
                <w:szCs w:val="21"/>
                <w:lang w:val="en-US" w:eastAsia="zh-CN" w:bidi="zh-CN"/>
              </w:rPr>
              <w:t>布袋除尘器收集粉尘</w:t>
            </w:r>
          </w:p>
        </w:tc>
        <w:tc>
          <w:tcPr>
            <w:tcW w:w="1400" w:type="dxa"/>
            <w:noWrap w:val="0"/>
            <w:vAlign w:val="center"/>
          </w:tcPr>
          <w:p>
            <w:pPr>
              <w:pStyle w:val="165"/>
              <w:rPr>
                <w:rFonts w:hint="eastAsia" w:ascii="宋体" w:hAnsi="宋体"/>
                <w:color w:val="auto"/>
                <w:szCs w:val="21"/>
              </w:rPr>
            </w:pPr>
          </w:p>
        </w:tc>
        <w:tc>
          <w:tcPr>
            <w:tcW w:w="1100" w:type="dxa"/>
            <w:noWrap w:val="0"/>
            <w:vAlign w:val="center"/>
          </w:tcPr>
          <w:p>
            <w:pPr>
              <w:widowControl/>
              <w:jc w:val="center"/>
              <w:textAlignment w:val="center"/>
              <w:rPr>
                <w:snapToGrid w:val="0"/>
                <w:color w:val="auto"/>
                <w:kern w:val="21"/>
                <w:szCs w:val="21"/>
              </w:rPr>
            </w:pPr>
          </w:p>
        </w:tc>
        <w:tc>
          <w:tcPr>
            <w:tcW w:w="1701" w:type="dxa"/>
            <w:noWrap w:val="0"/>
            <w:vAlign w:val="center"/>
          </w:tcPr>
          <w:p>
            <w:pPr>
              <w:pStyle w:val="97"/>
              <w:spacing w:line="240" w:lineRule="auto"/>
              <w:ind w:left="0" w:right="0" w:firstLine="0"/>
              <w:jc w:val="center"/>
              <w:rPr>
                <w:rFonts w:ascii="Times New Roman" w:hAnsi="Times New Roman"/>
                <w:snapToGrid w:val="0"/>
                <w:color w:val="auto"/>
                <w:kern w:val="21"/>
                <w:sz w:val="21"/>
                <w:szCs w:val="21"/>
              </w:rPr>
            </w:pPr>
          </w:p>
        </w:tc>
        <w:tc>
          <w:tcPr>
            <w:tcW w:w="1559" w:type="dxa"/>
            <w:noWrap w:val="0"/>
            <w:vAlign w:val="center"/>
          </w:tcPr>
          <w:p>
            <w:pPr>
              <w:pStyle w:val="97"/>
              <w:spacing w:line="240" w:lineRule="auto"/>
              <w:ind w:left="0" w:leftChars="0" w:right="0" w:rightChars="0" w:firstLine="0" w:firstLineChars="0"/>
              <w:jc w:val="center"/>
              <w:rPr>
                <w:rFonts w:hint="default" w:ascii="Times New Roman" w:hAnsi="Times New Roman" w:cs="Times New Roman"/>
                <w:color w:val="auto"/>
                <w:sz w:val="21"/>
                <w:szCs w:val="21"/>
                <w:lang w:bidi="zh-CN"/>
              </w:rPr>
            </w:pPr>
            <w:r>
              <w:rPr>
                <w:rFonts w:hint="eastAsia" w:ascii="Times New Roman" w:hAnsi="Times New Roman" w:eastAsia="宋体" w:cs="Times New Roman"/>
                <w:color w:val="auto"/>
                <w:sz w:val="21"/>
                <w:szCs w:val="21"/>
                <w:lang w:val="en-US" w:eastAsia="zh-CN"/>
              </w:rPr>
              <w:t>2.4071</w:t>
            </w:r>
            <w:r>
              <w:rPr>
                <w:rFonts w:hint="default" w:ascii="Times New Roman" w:hAnsi="Times New Roman" w:cs="Times New Roman"/>
                <w:color w:val="auto"/>
                <w:sz w:val="21"/>
                <w:szCs w:val="21"/>
              </w:rPr>
              <w:t>t/a</w:t>
            </w:r>
          </w:p>
        </w:tc>
        <w:tc>
          <w:tcPr>
            <w:tcW w:w="1530" w:type="dxa"/>
            <w:noWrap w:val="0"/>
            <w:vAlign w:val="center"/>
          </w:tcPr>
          <w:p>
            <w:pPr>
              <w:pStyle w:val="101"/>
              <w:spacing w:beforeLines="0" w:afterLines="0" w:line="240" w:lineRule="auto"/>
              <w:rPr>
                <w:rFonts w:hAnsi="宋体" w:cs="宋体"/>
                <w:snapToGrid w:val="0"/>
                <w:color w:val="auto"/>
                <w:kern w:val="21"/>
                <w:szCs w:val="21"/>
              </w:rPr>
            </w:pPr>
          </w:p>
        </w:tc>
        <w:tc>
          <w:tcPr>
            <w:tcW w:w="1537" w:type="dxa"/>
            <w:noWrap w:val="0"/>
            <w:vAlign w:val="center"/>
          </w:tcPr>
          <w:p>
            <w:pPr>
              <w:pStyle w:val="97"/>
              <w:spacing w:line="240" w:lineRule="auto"/>
              <w:ind w:left="0" w:leftChars="0" w:right="0" w:rightChars="0" w:firstLine="0" w:firstLineChars="0"/>
              <w:jc w:val="center"/>
              <w:rPr>
                <w:color w:val="auto"/>
                <w:szCs w:val="21"/>
                <w:lang w:bidi="zh-CN"/>
              </w:rPr>
            </w:pPr>
            <w:r>
              <w:rPr>
                <w:rFonts w:hint="eastAsia" w:ascii="Times New Roman" w:hAnsi="Times New Roman" w:eastAsia="宋体" w:cs="Times New Roman"/>
                <w:color w:val="auto"/>
                <w:sz w:val="21"/>
                <w:szCs w:val="21"/>
                <w:lang w:val="en-US" w:eastAsia="zh-CN"/>
              </w:rPr>
              <w:t>2.4071</w:t>
            </w:r>
            <w:r>
              <w:rPr>
                <w:rFonts w:hint="default" w:ascii="Times New Roman" w:hAnsi="Times New Roman" w:cs="Times New Roman"/>
                <w:color w:val="auto"/>
                <w:sz w:val="21"/>
                <w:szCs w:val="21"/>
              </w:rPr>
              <w:t>t/a</w:t>
            </w:r>
          </w:p>
        </w:tc>
        <w:tc>
          <w:tcPr>
            <w:tcW w:w="1479" w:type="dxa"/>
            <w:noWrap w:val="0"/>
            <w:vAlign w:val="center"/>
          </w:tcPr>
          <w:p>
            <w:pPr>
              <w:pStyle w:val="97"/>
              <w:spacing w:line="240" w:lineRule="auto"/>
              <w:ind w:left="0" w:leftChars="0" w:right="0" w:rightChars="0" w:firstLine="0" w:firstLineChars="0"/>
              <w:jc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sz w:val="21"/>
                <w:szCs w:val="21"/>
                <w:lang w:val="en-US" w:eastAsia="zh-CN"/>
              </w:rPr>
              <w:t>2.4071</w:t>
            </w:r>
            <w:r>
              <w:rPr>
                <w:rFonts w:hint="default" w:ascii="Times New Roman" w:hAnsi="Times New Roman"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continue"/>
            <w:noWrap w:val="0"/>
            <w:vAlign w:val="center"/>
          </w:tcPr>
          <w:p>
            <w:pPr>
              <w:pStyle w:val="101"/>
              <w:spacing w:beforeLines="0" w:afterLines="0" w:line="240" w:lineRule="auto"/>
              <w:rPr>
                <w:rFonts w:hint="eastAsia" w:hAnsi="宋体" w:cs="宋体"/>
                <w:snapToGrid w:val="0"/>
                <w:color w:val="auto"/>
                <w:kern w:val="21"/>
                <w:szCs w:val="21"/>
              </w:rPr>
            </w:pPr>
          </w:p>
        </w:tc>
        <w:tc>
          <w:tcPr>
            <w:tcW w:w="1894" w:type="dxa"/>
            <w:noWrap w:val="0"/>
            <w:vAlign w:val="center"/>
          </w:tcPr>
          <w:p>
            <w:pPr>
              <w:pStyle w:val="157"/>
              <w:spacing w:before="0"/>
              <w:ind w:left="0" w:leftChars="0"/>
              <w:rPr>
                <w:rFonts w:ascii="Times New Roman" w:hAnsi="Times New Roman" w:eastAsia="宋体" w:cs="Times New Roman"/>
                <w:color w:val="auto"/>
                <w:szCs w:val="21"/>
                <w:lang w:val="en-US"/>
              </w:rPr>
            </w:pPr>
            <w:r>
              <w:rPr>
                <w:rFonts w:hint="eastAsia" w:ascii="Times New Roman" w:hAnsi="Times New Roman" w:eastAsia="宋体" w:cs="Times New Roman"/>
                <w:color w:val="auto"/>
                <w:kern w:val="2"/>
                <w:sz w:val="21"/>
                <w:szCs w:val="21"/>
                <w:lang w:val="en-US" w:eastAsia="zh-CN" w:bidi="zh-CN"/>
              </w:rPr>
              <w:t>废边角料</w:t>
            </w:r>
          </w:p>
        </w:tc>
        <w:tc>
          <w:tcPr>
            <w:tcW w:w="1400" w:type="dxa"/>
            <w:noWrap w:val="0"/>
            <w:vAlign w:val="center"/>
          </w:tcPr>
          <w:p>
            <w:pPr>
              <w:pStyle w:val="165"/>
              <w:rPr>
                <w:rFonts w:hint="eastAsia" w:ascii="宋体" w:hAnsi="宋体"/>
                <w:color w:val="auto"/>
                <w:szCs w:val="21"/>
              </w:rPr>
            </w:pPr>
          </w:p>
        </w:tc>
        <w:tc>
          <w:tcPr>
            <w:tcW w:w="1100" w:type="dxa"/>
            <w:noWrap w:val="0"/>
            <w:vAlign w:val="center"/>
          </w:tcPr>
          <w:p>
            <w:pPr>
              <w:widowControl/>
              <w:jc w:val="center"/>
              <w:textAlignment w:val="center"/>
              <w:rPr>
                <w:snapToGrid w:val="0"/>
                <w:color w:val="auto"/>
                <w:kern w:val="21"/>
                <w:szCs w:val="21"/>
              </w:rPr>
            </w:pPr>
          </w:p>
        </w:tc>
        <w:tc>
          <w:tcPr>
            <w:tcW w:w="1701" w:type="dxa"/>
            <w:noWrap w:val="0"/>
            <w:vAlign w:val="center"/>
          </w:tcPr>
          <w:p>
            <w:pPr>
              <w:pStyle w:val="97"/>
              <w:spacing w:line="240" w:lineRule="auto"/>
              <w:ind w:left="0" w:right="0" w:firstLine="0"/>
              <w:jc w:val="center"/>
              <w:rPr>
                <w:rFonts w:ascii="Times New Roman" w:hAnsi="Times New Roman"/>
                <w:snapToGrid w:val="0"/>
                <w:color w:val="auto"/>
                <w:kern w:val="21"/>
                <w:sz w:val="21"/>
                <w:szCs w:val="21"/>
              </w:rPr>
            </w:pPr>
          </w:p>
        </w:tc>
        <w:tc>
          <w:tcPr>
            <w:tcW w:w="1559" w:type="dxa"/>
            <w:noWrap w:val="0"/>
            <w:vAlign w:val="center"/>
          </w:tcPr>
          <w:p>
            <w:pPr>
              <w:pStyle w:val="97"/>
              <w:spacing w:line="240" w:lineRule="auto"/>
              <w:ind w:left="0" w:leftChars="0" w:right="0" w:rightChars="0" w:firstLine="0" w:firstLineChars="0"/>
              <w:jc w:val="center"/>
              <w:rPr>
                <w:color w:val="auto"/>
                <w:szCs w:val="21"/>
                <w:lang w:bidi="zh-CN"/>
              </w:rPr>
            </w:pPr>
            <w:r>
              <w:rPr>
                <w:rFonts w:hint="eastAsia" w:ascii="Times New Roman" w:hAnsi="Times New Roman" w:eastAsia="宋体" w:cs="Times New Roman"/>
                <w:color w:val="auto"/>
                <w:kern w:val="2"/>
                <w:sz w:val="21"/>
                <w:szCs w:val="21"/>
                <w:lang w:val="en-US" w:eastAsia="zh-CN" w:bidi="zh-CN"/>
              </w:rPr>
              <w:t>1.1932</w:t>
            </w:r>
            <w:r>
              <w:rPr>
                <w:rFonts w:hint="default" w:ascii="Times New Roman" w:hAnsi="Times New Roman" w:cs="Times New Roman"/>
                <w:color w:val="auto"/>
                <w:sz w:val="21"/>
                <w:szCs w:val="21"/>
              </w:rPr>
              <w:t>t/a</w:t>
            </w:r>
          </w:p>
        </w:tc>
        <w:tc>
          <w:tcPr>
            <w:tcW w:w="1530" w:type="dxa"/>
            <w:noWrap w:val="0"/>
            <w:vAlign w:val="center"/>
          </w:tcPr>
          <w:p>
            <w:pPr>
              <w:pStyle w:val="101"/>
              <w:spacing w:beforeLines="0" w:afterLines="0" w:line="240" w:lineRule="auto"/>
              <w:rPr>
                <w:rFonts w:hAnsi="宋体" w:cs="宋体"/>
                <w:snapToGrid w:val="0"/>
                <w:color w:val="auto"/>
                <w:kern w:val="21"/>
                <w:szCs w:val="21"/>
              </w:rPr>
            </w:pPr>
          </w:p>
        </w:tc>
        <w:tc>
          <w:tcPr>
            <w:tcW w:w="1537" w:type="dxa"/>
            <w:noWrap w:val="0"/>
            <w:vAlign w:val="center"/>
          </w:tcPr>
          <w:p>
            <w:pPr>
              <w:pStyle w:val="97"/>
              <w:spacing w:line="240" w:lineRule="auto"/>
              <w:ind w:left="0" w:leftChars="0" w:right="0" w:rightChars="0" w:firstLine="0" w:firstLineChars="0"/>
              <w:jc w:val="center"/>
              <w:rPr>
                <w:color w:val="auto"/>
                <w:szCs w:val="21"/>
                <w:lang w:bidi="zh-CN"/>
              </w:rPr>
            </w:pPr>
            <w:r>
              <w:rPr>
                <w:rFonts w:hint="eastAsia" w:ascii="Times New Roman" w:hAnsi="Times New Roman" w:eastAsia="宋体" w:cs="Times New Roman"/>
                <w:color w:val="auto"/>
                <w:kern w:val="2"/>
                <w:sz w:val="21"/>
                <w:szCs w:val="21"/>
                <w:lang w:val="en-US" w:eastAsia="zh-CN" w:bidi="zh-CN"/>
              </w:rPr>
              <w:t>1.1932</w:t>
            </w:r>
            <w:r>
              <w:rPr>
                <w:rFonts w:hint="default" w:ascii="Times New Roman" w:hAnsi="Times New Roman" w:cs="Times New Roman"/>
                <w:color w:val="auto"/>
                <w:sz w:val="21"/>
                <w:szCs w:val="21"/>
              </w:rPr>
              <w:t>t/a</w:t>
            </w:r>
          </w:p>
        </w:tc>
        <w:tc>
          <w:tcPr>
            <w:tcW w:w="1479" w:type="dxa"/>
            <w:noWrap w:val="0"/>
            <w:vAlign w:val="center"/>
          </w:tcPr>
          <w:p>
            <w:pPr>
              <w:pStyle w:val="97"/>
              <w:spacing w:line="240" w:lineRule="auto"/>
              <w:ind w:left="0" w:leftChars="0" w:right="0" w:rightChars="0" w:firstLine="0" w:firstLineChars="0"/>
              <w:jc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w:t>
            </w:r>
            <w:r>
              <w:rPr>
                <w:rFonts w:hint="eastAsia" w:ascii="Times New Roman" w:hAnsi="Times New Roman" w:eastAsia="宋体" w:cs="Times New Roman"/>
                <w:color w:val="auto"/>
                <w:kern w:val="2"/>
                <w:sz w:val="21"/>
                <w:szCs w:val="21"/>
                <w:lang w:val="en-US" w:eastAsia="zh-CN" w:bidi="zh-CN"/>
              </w:rPr>
              <w:t>1.1932</w:t>
            </w:r>
            <w:r>
              <w:rPr>
                <w:rFonts w:hint="default" w:ascii="Times New Roman" w:hAnsi="Times New Roman"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restart"/>
            <w:noWrap w:val="0"/>
            <w:vAlign w:val="center"/>
          </w:tcPr>
          <w:p>
            <w:pPr>
              <w:pStyle w:val="101"/>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危险废物</w:t>
            </w:r>
          </w:p>
        </w:tc>
        <w:tc>
          <w:tcPr>
            <w:tcW w:w="1894" w:type="dxa"/>
            <w:noWrap w:val="0"/>
            <w:vAlign w:val="center"/>
          </w:tcPr>
          <w:p>
            <w:pPr>
              <w:topLinePunct/>
              <w:contextualSpacing/>
              <w:jc w:val="center"/>
              <w:rPr>
                <w:rFonts w:hint="eastAsia" w:ascii="宋体" w:hAnsi="宋体"/>
                <w:color w:val="auto"/>
                <w:szCs w:val="21"/>
              </w:rPr>
            </w:pPr>
            <w:r>
              <w:rPr>
                <w:rFonts w:hint="eastAsia" w:ascii="Times New Roman" w:hAnsi="Times New Roman" w:eastAsia="宋体" w:cs="Times New Roman"/>
                <w:color w:val="auto"/>
                <w:sz w:val="21"/>
                <w:szCs w:val="21"/>
                <w:lang w:val="en-US" w:eastAsia="zh-CN" w:bidi="zh-CN"/>
              </w:rPr>
              <w:t>废机油/废机油桶</w:t>
            </w:r>
          </w:p>
        </w:tc>
        <w:tc>
          <w:tcPr>
            <w:tcW w:w="1400" w:type="dxa"/>
            <w:noWrap w:val="0"/>
            <w:vAlign w:val="center"/>
          </w:tcPr>
          <w:p>
            <w:pPr>
              <w:pStyle w:val="165"/>
              <w:rPr>
                <w:rFonts w:hint="eastAsia" w:ascii="宋体" w:hAnsi="宋体"/>
                <w:color w:val="auto"/>
                <w:szCs w:val="21"/>
              </w:rPr>
            </w:pPr>
          </w:p>
        </w:tc>
        <w:tc>
          <w:tcPr>
            <w:tcW w:w="1100" w:type="dxa"/>
            <w:noWrap w:val="0"/>
            <w:vAlign w:val="center"/>
          </w:tcPr>
          <w:p>
            <w:pPr>
              <w:widowControl/>
              <w:jc w:val="center"/>
              <w:textAlignment w:val="center"/>
              <w:rPr>
                <w:snapToGrid w:val="0"/>
                <w:color w:val="auto"/>
                <w:kern w:val="21"/>
                <w:szCs w:val="21"/>
              </w:rPr>
            </w:pPr>
          </w:p>
        </w:tc>
        <w:tc>
          <w:tcPr>
            <w:tcW w:w="1701" w:type="dxa"/>
            <w:noWrap w:val="0"/>
            <w:vAlign w:val="center"/>
          </w:tcPr>
          <w:p>
            <w:pPr>
              <w:topLinePunct/>
              <w:contextualSpacing/>
              <w:jc w:val="center"/>
              <w:rPr>
                <w:snapToGrid w:val="0"/>
                <w:color w:val="auto"/>
                <w:kern w:val="21"/>
                <w:szCs w:val="21"/>
              </w:rPr>
            </w:pPr>
          </w:p>
        </w:tc>
        <w:tc>
          <w:tcPr>
            <w:tcW w:w="1559" w:type="dxa"/>
            <w:noWrap w:val="0"/>
            <w:vAlign w:val="center"/>
          </w:tcPr>
          <w:p>
            <w:pPr>
              <w:topLinePunct/>
              <w:contextualSpacing/>
              <w:jc w:val="center"/>
              <w:rPr>
                <w:b/>
                <w:color w:val="auto"/>
                <w:szCs w:val="21"/>
              </w:rPr>
            </w:pPr>
            <w:r>
              <w:rPr>
                <w:rFonts w:hint="default" w:ascii="Times New Roman" w:hAnsi="Times New Roman" w:cs="Times New Roman"/>
                <w:color w:val="auto"/>
                <w:sz w:val="21"/>
                <w:szCs w:val="21"/>
                <w:lang w:val="en-US" w:eastAsia="zh-CN"/>
              </w:rPr>
              <w:t>0.03</w:t>
            </w:r>
            <w:r>
              <w:rPr>
                <w:rFonts w:hint="default" w:ascii="Times New Roman" w:hAnsi="Times New Roman" w:cs="Times New Roman"/>
                <w:color w:val="auto"/>
                <w:sz w:val="21"/>
                <w:szCs w:val="21"/>
              </w:rPr>
              <w:t>t/a</w:t>
            </w:r>
          </w:p>
        </w:tc>
        <w:tc>
          <w:tcPr>
            <w:tcW w:w="1530" w:type="dxa"/>
            <w:noWrap w:val="0"/>
            <w:vAlign w:val="center"/>
          </w:tcPr>
          <w:p>
            <w:pPr>
              <w:pStyle w:val="101"/>
              <w:spacing w:beforeLines="0" w:afterLines="0" w:line="240" w:lineRule="auto"/>
              <w:ind w:left="422" w:leftChars="0" w:hanging="422" w:hangingChars="200"/>
              <w:rPr>
                <w:rFonts w:hAnsi="宋体" w:cs="宋体"/>
                <w:b/>
                <w:snapToGrid w:val="0"/>
                <w:color w:val="auto"/>
                <w:kern w:val="21"/>
                <w:szCs w:val="21"/>
              </w:rPr>
            </w:pPr>
          </w:p>
        </w:tc>
        <w:tc>
          <w:tcPr>
            <w:tcW w:w="1537" w:type="dxa"/>
            <w:noWrap w:val="0"/>
            <w:vAlign w:val="center"/>
          </w:tcPr>
          <w:p>
            <w:pPr>
              <w:topLinePunct/>
              <w:contextualSpacing/>
              <w:jc w:val="center"/>
              <w:rPr>
                <w:rFonts w:hint="eastAsia" w:ascii="宋体" w:hAnsi="宋体"/>
                <w:b/>
                <w:color w:val="auto"/>
                <w:szCs w:val="21"/>
              </w:rPr>
            </w:pPr>
            <w:r>
              <w:rPr>
                <w:rFonts w:hint="default" w:ascii="Times New Roman" w:hAnsi="Times New Roman" w:cs="Times New Roman"/>
                <w:color w:val="auto"/>
                <w:sz w:val="21"/>
                <w:szCs w:val="21"/>
                <w:lang w:val="en-US" w:eastAsia="zh-CN"/>
              </w:rPr>
              <w:t>0.03</w:t>
            </w:r>
            <w:r>
              <w:rPr>
                <w:rFonts w:hint="default" w:ascii="Times New Roman" w:hAnsi="Times New Roman" w:cs="Times New Roman"/>
                <w:color w:val="auto"/>
                <w:sz w:val="21"/>
                <w:szCs w:val="21"/>
              </w:rPr>
              <w:t>t/a</w:t>
            </w:r>
          </w:p>
        </w:tc>
        <w:tc>
          <w:tcPr>
            <w:tcW w:w="1479" w:type="dxa"/>
            <w:noWrap w:val="0"/>
            <w:vAlign w:val="center"/>
          </w:tcPr>
          <w:p>
            <w:pPr>
              <w:topLinePunct/>
              <w:contextualSpacing/>
              <w:jc w:val="center"/>
              <w:rPr>
                <w:snapToGrid w:val="0"/>
                <w:color w:val="auto"/>
                <w:kern w:val="21"/>
                <w:szCs w:val="21"/>
              </w:rPr>
            </w:pPr>
            <w:r>
              <w:rPr>
                <w:rFonts w:hint="eastAsia" w:ascii="Times New Roman" w:hAnsi="Times New Roman" w:eastAsia="宋体" w:cs="Times New Roman"/>
                <w:color w:val="auto"/>
                <w:kern w:val="0"/>
                <w:szCs w:val="21"/>
                <w:lang w:val="en-US" w:eastAsia="zh-CN" w:bidi="ar"/>
              </w:rPr>
              <w:t>+</w:t>
            </w:r>
            <w:r>
              <w:rPr>
                <w:rFonts w:hint="default" w:ascii="Times New Roman" w:hAnsi="Times New Roman" w:cs="Times New Roman"/>
                <w:color w:val="auto"/>
                <w:sz w:val="21"/>
                <w:szCs w:val="21"/>
                <w:lang w:val="en-US" w:eastAsia="zh-CN"/>
              </w:rPr>
              <w:t>0.03</w:t>
            </w:r>
            <w:r>
              <w:rPr>
                <w:rFonts w:hint="default" w:ascii="Times New Roman" w:hAnsi="Times New Roman"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88" w:type="dxa"/>
            <w:vMerge w:val="continue"/>
            <w:noWrap w:val="0"/>
            <w:vAlign w:val="center"/>
          </w:tcPr>
          <w:p>
            <w:pPr>
              <w:pStyle w:val="101"/>
              <w:spacing w:beforeLines="0" w:afterLines="0" w:line="240" w:lineRule="auto"/>
              <w:rPr>
                <w:rFonts w:hint="eastAsia" w:hAnsi="宋体" w:cs="宋体"/>
                <w:snapToGrid w:val="0"/>
                <w:color w:val="auto"/>
                <w:kern w:val="21"/>
                <w:szCs w:val="21"/>
              </w:rPr>
            </w:pPr>
          </w:p>
        </w:tc>
        <w:tc>
          <w:tcPr>
            <w:tcW w:w="1894" w:type="dxa"/>
            <w:noWrap w:val="0"/>
            <w:vAlign w:val="center"/>
          </w:tcPr>
          <w:p>
            <w:pPr>
              <w:topLinePunct/>
              <w:contextualSpacing/>
              <w:jc w:val="center"/>
              <w:rPr>
                <w:rFonts w:ascii="宋体" w:hAnsi="宋体" w:eastAsia="宋体"/>
                <w:color w:val="auto"/>
                <w:szCs w:val="21"/>
                <w:lang w:val="en-US"/>
              </w:rPr>
            </w:pPr>
            <w:r>
              <w:rPr>
                <w:rFonts w:hint="eastAsia" w:ascii="Times New Roman" w:hAnsi="Times New Roman" w:eastAsia="宋体" w:cs="Times New Roman"/>
                <w:color w:val="auto"/>
                <w:sz w:val="21"/>
                <w:szCs w:val="21"/>
                <w:lang w:val="en-US" w:eastAsia="zh-CN" w:bidi="zh-CN"/>
              </w:rPr>
              <w:t>废含油手套及抹布</w:t>
            </w:r>
          </w:p>
        </w:tc>
        <w:tc>
          <w:tcPr>
            <w:tcW w:w="1400" w:type="dxa"/>
            <w:noWrap w:val="0"/>
            <w:vAlign w:val="center"/>
          </w:tcPr>
          <w:p>
            <w:pPr>
              <w:jc w:val="center"/>
              <w:rPr>
                <w:rFonts w:hint="eastAsia" w:ascii="宋体" w:hAnsi="宋体"/>
                <w:color w:val="auto"/>
                <w:szCs w:val="21"/>
              </w:rPr>
            </w:pPr>
          </w:p>
        </w:tc>
        <w:tc>
          <w:tcPr>
            <w:tcW w:w="1100" w:type="dxa"/>
            <w:noWrap w:val="0"/>
            <w:vAlign w:val="center"/>
          </w:tcPr>
          <w:p>
            <w:pPr>
              <w:widowControl/>
              <w:jc w:val="center"/>
              <w:textAlignment w:val="center"/>
              <w:rPr>
                <w:snapToGrid w:val="0"/>
                <w:color w:val="auto"/>
                <w:kern w:val="21"/>
                <w:szCs w:val="21"/>
              </w:rPr>
            </w:pPr>
          </w:p>
        </w:tc>
        <w:tc>
          <w:tcPr>
            <w:tcW w:w="1701" w:type="dxa"/>
            <w:noWrap w:val="0"/>
            <w:vAlign w:val="center"/>
          </w:tcPr>
          <w:p>
            <w:pPr>
              <w:topLinePunct/>
              <w:contextualSpacing/>
              <w:jc w:val="center"/>
              <w:rPr>
                <w:snapToGrid w:val="0"/>
                <w:color w:val="auto"/>
                <w:kern w:val="21"/>
                <w:szCs w:val="21"/>
              </w:rPr>
            </w:pPr>
          </w:p>
        </w:tc>
        <w:tc>
          <w:tcPr>
            <w:tcW w:w="1559" w:type="dxa"/>
            <w:noWrap w:val="0"/>
            <w:vAlign w:val="center"/>
          </w:tcPr>
          <w:p>
            <w:pPr>
              <w:topLinePunct/>
              <w:contextualSpacing/>
              <w:jc w:val="center"/>
              <w:rPr>
                <w:b/>
                <w:color w:val="auto"/>
                <w:szCs w:val="21"/>
              </w:rPr>
            </w:pPr>
            <w:r>
              <w:rPr>
                <w:rFonts w:hint="default" w:ascii="Times New Roman" w:hAnsi="Times New Roman" w:cs="Times New Roman"/>
                <w:color w:val="auto"/>
                <w:kern w:val="0"/>
                <w:sz w:val="21"/>
                <w:szCs w:val="21"/>
                <w:lang w:val="en-US" w:eastAsia="zh-CN" w:bidi="ar"/>
              </w:rPr>
              <w:t>0.001</w:t>
            </w:r>
            <w:r>
              <w:rPr>
                <w:rFonts w:hint="default" w:ascii="Times New Roman" w:hAnsi="Times New Roman" w:cs="Times New Roman"/>
                <w:color w:val="auto"/>
                <w:sz w:val="21"/>
                <w:szCs w:val="21"/>
              </w:rPr>
              <w:t>t/a</w:t>
            </w:r>
          </w:p>
        </w:tc>
        <w:tc>
          <w:tcPr>
            <w:tcW w:w="1530" w:type="dxa"/>
            <w:noWrap w:val="0"/>
            <w:vAlign w:val="center"/>
          </w:tcPr>
          <w:p>
            <w:pPr>
              <w:pStyle w:val="101"/>
              <w:spacing w:beforeLines="0" w:afterLines="0" w:line="240" w:lineRule="auto"/>
              <w:ind w:left="422" w:leftChars="0" w:hanging="422" w:hangingChars="200"/>
              <w:rPr>
                <w:rFonts w:hAnsi="宋体" w:cs="宋体"/>
                <w:b/>
                <w:snapToGrid w:val="0"/>
                <w:color w:val="auto"/>
                <w:kern w:val="21"/>
                <w:szCs w:val="21"/>
              </w:rPr>
            </w:pPr>
          </w:p>
        </w:tc>
        <w:tc>
          <w:tcPr>
            <w:tcW w:w="1537" w:type="dxa"/>
            <w:noWrap w:val="0"/>
            <w:vAlign w:val="center"/>
          </w:tcPr>
          <w:p>
            <w:pPr>
              <w:topLinePunct/>
              <w:contextualSpacing/>
              <w:jc w:val="center"/>
              <w:rPr>
                <w:rFonts w:hint="eastAsia" w:ascii="宋体" w:hAnsi="宋体"/>
                <w:b/>
                <w:color w:val="auto"/>
                <w:szCs w:val="21"/>
              </w:rPr>
            </w:pPr>
            <w:r>
              <w:rPr>
                <w:rFonts w:hint="default" w:ascii="Times New Roman" w:hAnsi="Times New Roman" w:cs="Times New Roman"/>
                <w:color w:val="auto"/>
                <w:kern w:val="0"/>
                <w:sz w:val="21"/>
                <w:szCs w:val="21"/>
                <w:lang w:val="en-US" w:eastAsia="zh-CN" w:bidi="ar"/>
              </w:rPr>
              <w:t>0.001</w:t>
            </w:r>
            <w:r>
              <w:rPr>
                <w:rFonts w:hint="default" w:ascii="Times New Roman" w:hAnsi="Times New Roman" w:cs="Times New Roman"/>
                <w:color w:val="auto"/>
                <w:sz w:val="21"/>
                <w:szCs w:val="21"/>
              </w:rPr>
              <w:t>t/a</w:t>
            </w:r>
          </w:p>
        </w:tc>
        <w:tc>
          <w:tcPr>
            <w:tcW w:w="1479" w:type="dxa"/>
            <w:noWrap w:val="0"/>
            <w:vAlign w:val="center"/>
          </w:tcPr>
          <w:p>
            <w:pPr>
              <w:topLinePunct/>
              <w:contextualSpacing/>
              <w:jc w:val="center"/>
              <w:rPr>
                <w:snapToGrid w:val="0"/>
                <w:color w:val="auto"/>
                <w:kern w:val="21"/>
                <w:szCs w:val="21"/>
              </w:rPr>
            </w:pPr>
            <w:r>
              <w:rPr>
                <w:rFonts w:hint="eastAsia" w:ascii="Times New Roman" w:hAnsi="Times New Roman" w:eastAsia="宋体" w:cs="Times New Roman"/>
                <w:color w:val="auto"/>
                <w:kern w:val="0"/>
                <w:szCs w:val="21"/>
                <w:lang w:val="en-US" w:eastAsia="zh-CN" w:bidi="ar"/>
              </w:rPr>
              <w:t>+</w:t>
            </w:r>
            <w:r>
              <w:rPr>
                <w:rFonts w:hint="default" w:ascii="Times New Roman" w:hAnsi="Times New Roman" w:cs="Times New Roman"/>
                <w:color w:val="auto"/>
                <w:kern w:val="0"/>
                <w:sz w:val="21"/>
                <w:szCs w:val="21"/>
                <w:lang w:val="en-US" w:eastAsia="zh-CN" w:bidi="ar"/>
              </w:rPr>
              <w:t>0.001</w:t>
            </w:r>
            <w:r>
              <w:rPr>
                <w:rFonts w:hint="default" w:ascii="Times New Roman" w:hAnsi="Times New Roman" w:cs="Times New Roman"/>
                <w:color w:val="auto"/>
                <w:sz w:val="21"/>
                <w:szCs w:val="21"/>
              </w:rPr>
              <w:t>t/a</w:t>
            </w:r>
          </w:p>
        </w:tc>
      </w:tr>
    </w:tbl>
    <w:p>
      <w:pPr>
        <w:pStyle w:val="101"/>
        <w:spacing w:before="249" w:beforeLines="80" w:after="31"/>
        <w:jc w:val="left"/>
        <w:rPr>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7" w:type="first"/>
      <w:footerReference r:id="rId6" w:type="default"/>
      <w:pgSz w:w="16838" w:h="11906" w:orient="landscape"/>
      <w:pgMar w:top="1800" w:right="1440" w:bottom="1800" w:left="144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00"/>
    <w:family w:val="modern"/>
    <w:pitch w:val="default"/>
    <w:sig w:usb0="00000000" w:usb1="00000000" w:usb2="00000000" w:usb3="00000000" w:csb0="00040000" w:csb1="00000000"/>
  </w:font>
  <w:font w:name="Consolas">
    <w:panose1 w:val="020B0609020204030204"/>
    <w:charset w:val="00"/>
    <w:family w:val="modern"/>
    <w:pitch w:val="default"/>
    <w:sig w:usb0="E00006FF" w:usb1="0000FCFF" w:usb2="00000001" w:usb3="00000000" w:csb0="6000019F" w:csb1="DFD70000"/>
  </w:font>
  <w:font w:name="Georgia">
    <w:panose1 w:val="02040502050405020303"/>
    <w:charset w:val="00"/>
    <w:family w:val="roman"/>
    <w:pitch w:val="default"/>
    <w:sig w:usb0="00000287" w:usb1="00000000"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TimesNewRoman">
    <w:altName w:val="Segoe Print"/>
    <w:panose1 w:val="00000000000000000000"/>
    <w:charset w:val="00"/>
    <w:family w:val="roman"/>
    <w:pitch w:val="default"/>
    <w:sig w:usb0="00000000" w:usb1="00000000" w:usb2="00000000" w:usb3="00000000" w:csb0="00000001" w:csb1="00000000"/>
  </w:font>
  <w:font w:name="Arial Unicode MS">
    <w:altName w:val="Arial"/>
    <w:panose1 w:val="020B0604020202020204"/>
    <w:charset w:val="00"/>
    <w:family w:val="swiss"/>
    <w:pitch w:val="default"/>
    <w:sig w:usb0="00000000" w:usb1="00000000" w:usb2="0000003F" w:usb3="00000000" w:csb0="603F01FF" w:csb1="FFFF0000"/>
  </w:font>
  <w:font w:name="MHei-Medium">
    <w:altName w:val="Segoe Print"/>
    <w:panose1 w:val="00000000000000000000"/>
    <w:charset w:val="00"/>
    <w:family w:val="auto"/>
    <w:pitch w:val="default"/>
    <w:sig w:usb0="00000000" w:usb1="00000000" w:usb2="00000010" w:usb3="00000000" w:csb0="0010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Wingdings 2">
    <w:altName w:val="Wingdings"/>
    <w:panose1 w:val="05020102010507070707"/>
    <w:charset w:val="00"/>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1"/>
      </w:rPr>
    </w:pPr>
    <w:r>
      <w:fldChar w:fldCharType="begin"/>
    </w:r>
    <w:r>
      <w:rPr>
        <w:rStyle w:val="41"/>
      </w:rPr>
      <w:instrText xml:space="preserve">PAGE  </w:instrTex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96</w:t>
                          </w:r>
                          <w:r>
                            <w:rPr>
                              <w:sz w:val="21"/>
                              <w:szCs w:val="21"/>
                            </w:rPr>
                            <w:fldChar w:fldCharType="end"/>
                          </w:r>
                        </w:p>
                      </w:txbxContent>
                    </wps:txbx>
                    <wps:bodyPr wrap="none" lIns="0" tIns="0" rIns="0" bIns="0" upright="0">
                      <a:spAutoFit/>
                    </wps:bodyPr>
                  </wps:wsp>
                </a:graphicData>
              </a:graphic>
            </wp:anchor>
          </w:drawing>
        </mc:Choice>
        <mc:Fallback>
          <w:pict>
            <v:shape id="文本框 103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DWxMErIB&#10;AABPAwAADgAAAAAAAAABACAAAAAeAQAAZHJzL2Uyb0RvYy54bWxQSwUGAAAAAAYABgBZAQAAQgUA&#10;AAAA&#10;">
              <v:fill on="f" focussize="0,0"/>
              <v:stroke on="f"/>
              <v:imagedata o:title=""/>
              <o:lock v:ext="edit" aspectratio="f"/>
              <v:textbox inset="0mm,0mm,0mm,0mm" style="mso-fit-shape-to-text:t;">
                <w:txbxContent>
                  <w:p>
                    <w:pPr>
                      <w:pStyle w:val="2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96</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0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137</w:t>
                          </w:r>
                          <w:r>
                            <w:rPr>
                              <w:sz w:val="21"/>
                              <w:szCs w:val="21"/>
                            </w:rPr>
                            <w:fldChar w:fldCharType="end"/>
                          </w:r>
                        </w:p>
                      </w:txbxContent>
                    </wps:txbx>
                    <wps:bodyPr wrap="none" lIns="0" tIns="0" rIns="0" bIns="0" upright="0">
                      <a:spAutoFit/>
                    </wps:bodyPr>
                  </wps:wsp>
                </a:graphicData>
              </a:graphic>
            </wp:anchor>
          </w:drawing>
        </mc:Choice>
        <mc:Fallback>
          <w:pict>
            <v:shape id="文本框 103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Mdh16Sz&#10;AQAATwMAAA4AAAAAAAAAAQAgAAAAHgEAAGRycy9lMm9Eb2MueG1sUEsFBgAAAAAGAAYAWQEAAEMF&#10;AAAAAA==&#10;">
              <v:fill on="f" focussize="0,0"/>
              <v:stroke on="f"/>
              <v:imagedata o:title=""/>
              <o:lock v:ext="edit" aspectratio="f"/>
              <v:textbox inset="0mm,0mm,0mm,0mm" style="mso-fit-shape-to-text:t;">
                <w:txbxContent>
                  <w:p>
                    <w:pPr>
                      <w:pStyle w:val="2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137</w:t>
                    </w:r>
                    <w:r>
                      <w:rP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136</w:t>
                          </w:r>
                          <w:r>
                            <w:rPr>
                              <w:sz w:val="21"/>
                              <w:szCs w:val="21"/>
                            </w:rPr>
                            <w:fldChar w:fldCharType="end"/>
                          </w:r>
                        </w:p>
                      </w:txbxContent>
                    </wps:txbx>
                    <wps:bodyPr wrap="none" lIns="0" tIns="0" rIns="0" bIns="0" upright="0">
                      <a:spAutoFit/>
                    </wps:bodyPr>
                  </wps:wsp>
                </a:graphicData>
              </a:graphic>
            </wp:anchor>
          </w:drawing>
        </mc:Choice>
        <mc:Fallback>
          <w:pict>
            <v:shape id="文本框 104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S7/w0sQEA&#10;AE8DAAAOAAAAAAAAAAEAIAAAAB4BAABkcnMvZTJvRG9jLnhtbFBLBQYAAAAABgAGAFkBAABBBQAA&#10;AAA=&#10;">
              <v:fill on="f" focussize="0,0"/>
              <v:stroke on="f"/>
              <v:imagedata o:title=""/>
              <o:lock v:ext="edit" aspectratio="f"/>
              <v:textbox inset="0mm,0mm,0mm,0mm" style="mso-fit-shape-to-text:t;">
                <w:txbxContent>
                  <w:p>
                    <w:pPr>
                      <w:pStyle w:val="2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136</w:t>
                    </w:r>
                    <w:r>
                      <w:rPr>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6690D0C"/>
    <w:multiLevelType w:val="singleLevel"/>
    <w:tmpl w:val="F6690D0C"/>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1">
    <w:nsid w:val="48F2F729"/>
    <w:multiLevelType w:val="singleLevel"/>
    <w:tmpl w:val="48F2F729"/>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hjOGM5NDdlNWQxYmZlOGE5OTI1YTdhZDJjMjBkNzAifQ=="/>
  </w:docVars>
  <w:rsids>
    <w:rsidRoot w:val="00172A27"/>
    <w:rsid w:val="0000017E"/>
    <w:rsid w:val="00000C8A"/>
    <w:rsid w:val="00000DF2"/>
    <w:rsid w:val="00001FA1"/>
    <w:rsid w:val="000060B3"/>
    <w:rsid w:val="00006E6D"/>
    <w:rsid w:val="0000732A"/>
    <w:rsid w:val="00007AE6"/>
    <w:rsid w:val="000115BA"/>
    <w:rsid w:val="00014512"/>
    <w:rsid w:val="000154B9"/>
    <w:rsid w:val="00020E20"/>
    <w:rsid w:val="000219C2"/>
    <w:rsid w:val="00021C7D"/>
    <w:rsid w:val="0002280F"/>
    <w:rsid w:val="00022F6D"/>
    <w:rsid w:val="0002495F"/>
    <w:rsid w:val="00026F0F"/>
    <w:rsid w:val="000301E2"/>
    <w:rsid w:val="00031AE4"/>
    <w:rsid w:val="00031BFD"/>
    <w:rsid w:val="0003215E"/>
    <w:rsid w:val="000325F1"/>
    <w:rsid w:val="000339F2"/>
    <w:rsid w:val="00034B33"/>
    <w:rsid w:val="000371FC"/>
    <w:rsid w:val="00040E67"/>
    <w:rsid w:val="00041E3A"/>
    <w:rsid w:val="00042604"/>
    <w:rsid w:val="000426EC"/>
    <w:rsid w:val="0004364B"/>
    <w:rsid w:val="00044F4C"/>
    <w:rsid w:val="000457AF"/>
    <w:rsid w:val="00047D47"/>
    <w:rsid w:val="00047D9D"/>
    <w:rsid w:val="000522A6"/>
    <w:rsid w:val="00052FB8"/>
    <w:rsid w:val="0005422D"/>
    <w:rsid w:val="0005435F"/>
    <w:rsid w:val="000559C4"/>
    <w:rsid w:val="00060008"/>
    <w:rsid w:val="00060A2B"/>
    <w:rsid w:val="00061A10"/>
    <w:rsid w:val="00061B1F"/>
    <w:rsid w:val="000620AD"/>
    <w:rsid w:val="00070114"/>
    <w:rsid w:val="00072A2E"/>
    <w:rsid w:val="00072B67"/>
    <w:rsid w:val="00073225"/>
    <w:rsid w:val="000733C4"/>
    <w:rsid w:val="00074783"/>
    <w:rsid w:val="00074B1F"/>
    <w:rsid w:val="0007520B"/>
    <w:rsid w:val="00075626"/>
    <w:rsid w:val="000768BC"/>
    <w:rsid w:val="00077228"/>
    <w:rsid w:val="00080128"/>
    <w:rsid w:val="0008070B"/>
    <w:rsid w:val="000810AC"/>
    <w:rsid w:val="00081A02"/>
    <w:rsid w:val="00082231"/>
    <w:rsid w:val="000823D6"/>
    <w:rsid w:val="00083808"/>
    <w:rsid w:val="00090DC1"/>
    <w:rsid w:val="00091863"/>
    <w:rsid w:val="00092D38"/>
    <w:rsid w:val="0009377B"/>
    <w:rsid w:val="00093A69"/>
    <w:rsid w:val="00093E60"/>
    <w:rsid w:val="00093F24"/>
    <w:rsid w:val="00096E15"/>
    <w:rsid w:val="000A046C"/>
    <w:rsid w:val="000A0B3E"/>
    <w:rsid w:val="000A1061"/>
    <w:rsid w:val="000A1E71"/>
    <w:rsid w:val="000A20C9"/>
    <w:rsid w:val="000A3336"/>
    <w:rsid w:val="000A4272"/>
    <w:rsid w:val="000B058F"/>
    <w:rsid w:val="000B1ACD"/>
    <w:rsid w:val="000B2F6D"/>
    <w:rsid w:val="000B38ED"/>
    <w:rsid w:val="000B4467"/>
    <w:rsid w:val="000B4DB9"/>
    <w:rsid w:val="000B5DB4"/>
    <w:rsid w:val="000B74C9"/>
    <w:rsid w:val="000C09AC"/>
    <w:rsid w:val="000C0F8D"/>
    <w:rsid w:val="000C2BE4"/>
    <w:rsid w:val="000C5727"/>
    <w:rsid w:val="000C767F"/>
    <w:rsid w:val="000D07FA"/>
    <w:rsid w:val="000D317E"/>
    <w:rsid w:val="000D380D"/>
    <w:rsid w:val="000D383F"/>
    <w:rsid w:val="000D3D7F"/>
    <w:rsid w:val="000D519C"/>
    <w:rsid w:val="000D5558"/>
    <w:rsid w:val="000D59EE"/>
    <w:rsid w:val="000D5A44"/>
    <w:rsid w:val="000E3DB0"/>
    <w:rsid w:val="000E3ED2"/>
    <w:rsid w:val="000F213A"/>
    <w:rsid w:val="000F7E1F"/>
    <w:rsid w:val="00101A64"/>
    <w:rsid w:val="00105E09"/>
    <w:rsid w:val="0010755C"/>
    <w:rsid w:val="00107A3E"/>
    <w:rsid w:val="0011014A"/>
    <w:rsid w:val="0011044E"/>
    <w:rsid w:val="001111E6"/>
    <w:rsid w:val="00113CC4"/>
    <w:rsid w:val="00114BCA"/>
    <w:rsid w:val="00115066"/>
    <w:rsid w:val="0011564F"/>
    <w:rsid w:val="00122336"/>
    <w:rsid w:val="00123963"/>
    <w:rsid w:val="00124176"/>
    <w:rsid w:val="00124501"/>
    <w:rsid w:val="00124636"/>
    <w:rsid w:val="001257EB"/>
    <w:rsid w:val="001271AF"/>
    <w:rsid w:val="0012727C"/>
    <w:rsid w:val="001304B2"/>
    <w:rsid w:val="0013157C"/>
    <w:rsid w:val="00131F42"/>
    <w:rsid w:val="00132A96"/>
    <w:rsid w:val="001335C1"/>
    <w:rsid w:val="001335D3"/>
    <w:rsid w:val="00134385"/>
    <w:rsid w:val="00134C4A"/>
    <w:rsid w:val="00134F21"/>
    <w:rsid w:val="001357F1"/>
    <w:rsid w:val="00137083"/>
    <w:rsid w:val="001370E4"/>
    <w:rsid w:val="00137D44"/>
    <w:rsid w:val="00140FA8"/>
    <w:rsid w:val="00142FEB"/>
    <w:rsid w:val="001431D0"/>
    <w:rsid w:val="00143A2D"/>
    <w:rsid w:val="00144664"/>
    <w:rsid w:val="0014467C"/>
    <w:rsid w:val="00144F0C"/>
    <w:rsid w:val="00145A41"/>
    <w:rsid w:val="00145D12"/>
    <w:rsid w:val="00145EA2"/>
    <w:rsid w:val="00147C9E"/>
    <w:rsid w:val="00151675"/>
    <w:rsid w:val="00152963"/>
    <w:rsid w:val="00152BA9"/>
    <w:rsid w:val="001570FF"/>
    <w:rsid w:val="00157435"/>
    <w:rsid w:val="001575F3"/>
    <w:rsid w:val="0016201B"/>
    <w:rsid w:val="00162105"/>
    <w:rsid w:val="00164F83"/>
    <w:rsid w:val="0017504D"/>
    <w:rsid w:val="0017671A"/>
    <w:rsid w:val="00176AB9"/>
    <w:rsid w:val="00177422"/>
    <w:rsid w:val="001838FA"/>
    <w:rsid w:val="00184590"/>
    <w:rsid w:val="001870D1"/>
    <w:rsid w:val="0018781E"/>
    <w:rsid w:val="00187D01"/>
    <w:rsid w:val="0019262D"/>
    <w:rsid w:val="001938DB"/>
    <w:rsid w:val="00194E1E"/>
    <w:rsid w:val="00196C9D"/>
    <w:rsid w:val="00197B3E"/>
    <w:rsid w:val="00197F29"/>
    <w:rsid w:val="001A1458"/>
    <w:rsid w:val="001A1673"/>
    <w:rsid w:val="001A1B35"/>
    <w:rsid w:val="001A48A2"/>
    <w:rsid w:val="001A6855"/>
    <w:rsid w:val="001A68A2"/>
    <w:rsid w:val="001A6F61"/>
    <w:rsid w:val="001B200C"/>
    <w:rsid w:val="001B36B2"/>
    <w:rsid w:val="001B4715"/>
    <w:rsid w:val="001B4C2F"/>
    <w:rsid w:val="001B6B20"/>
    <w:rsid w:val="001B6D8A"/>
    <w:rsid w:val="001B6E17"/>
    <w:rsid w:val="001B6EED"/>
    <w:rsid w:val="001B72B8"/>
    <w:rsid w:val="001B73A0"/>
    <w:rsid w:val="001B7CD3"/>
    <w:rsid w:val="001B7F15"/>
    <w:rsid w:val="001B7F79"/>
    <w:rsid w:val="001C292F"/>
    <w:rsid w:val="001C4E6F"/>
    <w:rsid w:val="001C4F1B"/>
    <w:rsid w:val="001C54FA"/>
    <w:rsid w:val="001C69B3"/>
    <w:rsid w:val="001D22E8"/>
    <w:rsid w:val="001D36F4"/>
    <w:rsid w:val="001D5093"/>
    <w:rsid w:val="001D5595"/>
    <w:rsid w:val="001D5F43"/>
    <w:rsid w:val="001D646E"/>
    <w:rsid w:val="001D7874"/>
    <w:rsid w:val="001D7F22"/>
    <w:rsid w:val="001E0FD8"/>
    <w:rsid w:val="001E3A7A"/>
    <w:rsid w:val="001F0F17"/>
    <w:rsid w:val="001F3347"/>
    <w:rsid w:val="001F69E4"/>
    <w:rsid w:val="001F6DCC"/>
    <w:rsid w:val="001F717F"/>
    <w:rsid w:val="00201A2A"/>
    <w:rsid w:val="00203341"/>
    <w:rsid w:val="00210C9E"/>
    <w:rsid w:val="0021144C"/>
    <w:rsid w:val="0021185D"/>
    <w:rsid w:val="00211939"/>
    <w:rsid w:val="002125B4"/>
    <w:rsid w:val="00212DF4"/>
    <w:rsid w:val="002155B8"/>
    <w:rsid w:val="00216D97"/>
    <w:rsid w:val="0021794E"/>
    <w:rsid w:val="00217A9E"/>
    <w:rsid w:val="00221921"/>
    <w:rsid w:val="00222CAA"/>
    <w:rsid w:val="0022418C"/>
    <w:rsid w:val="00224839"/>
    <w:rsid w:val="002249B2"/>
    <w:rsid w:val="00226574"/>
    <w:rsid w:val="002278EC"/>
    <w:rsid w:val="0023019F"/>
    <w:rsid w:val="0023280E"/>
    <w:rsid w:val="0023302C"/>
    <w:rsid w:val="0023535E"/>
    <w:rsid w:val="002359DA"/>
    <w:rsid w:val="002361FB"/>
    <w:rsid w:val="0023741A"/>
    <w:rsid w:val="002377D1"/>
    <w:rsid w:val="0024023B"/>
    <w:rsid w:val="00240310"/>
    <w:rsid w:val="002423D1"/>
    <w:rsid w:val="0024399D"/>
    <w:rsid w:val="00245E44"/>
    <w:rsid w:val="002471B3"/>
    <w:rsid w:val="0024797F"/>
    <w:rsid w:val="002506BC"/>
    <w:rsid w:val="00250E8C"/>
    <w:rsid w:val="0025184E"/>
    <w:rsid w:val="00254345"/>
    <w:rsid w:val="002552D3"/>
    <w:rsid w:val="0025643A"/>
    <w:rsid w:val="002577FC"/>
    <w:rsid w:val="00260E40"/>
    <w:rsid w:val="00261633"/>
    <w:rsid w:val="00261F0C"/>
    <w:rsid w:val="00261F8C"/>
    <w:rsid w:val="00264557"/>
    <w:rsid w:val="00270675"/>
    <w:rsid w:val="00270D6D"/>
    <w:rsid w:val="00272437"/>
    <w:rsid w:val="00276DAD"/>
    <w:rsid w:val="00276F78"/>
    <w:rsid w:val="002805AB"/>
    <w:rsid w:val="00280A89"/>
    <w:rsid w:val="00280E42"/>
    <w:rsid w:val="00283829"/>
    <w:rsid w:val="00283DA3"/>
    <w:rsid w:val="00284204"/>
    <w:rsid w:val="002846DD"/>
    <w:rsid w:val="00286D11"/>
    <w:rsid w:val="002913CD"/>
    <w:rsid w:val="00291773"/>
    <w:rsid w:val="00293DEE"/>
    <w:rsid w:val="002954E6"/>
    <w:rsid w:val="0029573E"/>
    <w:rsid w:val="002A0343"/>
    <w:rsid w:val="002A0AE1"/>
    <w:rsid w:val="002A168C"/>
    <w:rsid w:val="002A26B1"/>
    <w:rsid w:val="002A3DC7"/>
    <w:rsid w:val="002A4297"/>
    <w:rsid w:val="002A4A36"/>
    <w:rsid w:val="002A535E"/>
    <w:rsid w:val="002A6CE3"/>
    <w:rsid w:val="002A6F14"/>
    <w:rsid w:val="002A7062"/>
    <w:rsid w:val="002B0757"/>
    <w:rsid w:val="002B49E2"/>
    <w:rsid w:val="002B5B7E"/>
    <w:rsid w:val="002B6670"/>
    <w:rsid w:val="002B702D"/>
    <w:rsid w:val="002B7B00"/>
    <w:rsid w:val="002B7C44"/>
    <w:rsid w:val="002C2B17"/>
    <w:rsid w:val="002C2D9D"/>
    <w:rsid w:val="002C3529"/>
    <w:rsid w:val="002C353C"/>
    <w:rsid w:val="002C362D"/>
    <w:rsid w:val="002C3BCD"/>
    <w:rsid w:val="002C409C"/>
    <w:rsid w:val="002C4D54"/>
    <w:rsid w:val="002C4E40"/>
    <w:rsid w:val="002C5B56"/>
    <w:rsid w:val="002C5E72"/>
    <w:rsid w:val="002C7C5C"/>
    <w:rsid w:val="002D0AB8"/>
    <w:rsid w:val="002D0AFB"/>
    <w:rsid w:val="002D206E"/>
    <w:rsid w:val="002D2722"/>
    <w:rsid w:val="002D2997"/>
    <w:rsid w:val="002D31BB"/>
    <w:rsid w:val="002D371C"/>
    <w:rsid w:val="002D3DD0"/>
    <w:rsid w:val="002D46FC"/>
    <w:rsid w:val="002D65FA"/>
    <w:rsid w:val="002D6895"/>
    <w:rsid w:val="002E1F3A"/>
    <w:rsid w:val="002E298A"/>
    <w:rsid w:val="002E3FEA"/>
    <w:rsid w:val="002E437D"/>
    <w:rsid w:val="002E601B"/>
    <w:rsid w:val="002E6AE5"/>
    <w:rsid w:val="002F039C"/>
    <w:rsid w:val="002F64FA"/>
    <w:rsid w:val="00300626"/>
    <w:rsid w:val="00301210"/>
    <w:rsid w:val="00301978"/>
    <w:rsid w:val="00302780"/>
    <w:rsid w:val="0030332C"/>
    <w:rsid w:val="00304C1A"/>
    <w:rsid w:val="003051C2"/>
    <w:rsid w:val="0030555A"/>
    <w:rsid w:val="00311164"/>
    <w:rsid w:val="00311ABF"/>
    <w:rsid w:val="00312097"/>
    <w:rsid w:val="00312296"/>
    <w:rsid w:val="00314F0E"/>
    <w:rsid w:val="0031528C"/>
    <w:rsid w:val="00316541"/>
    <w:rsid w:val="003176F1"/>
    <w:rsid w:val="003203F5"/>
    <w:rsid w:val="00320D01"/>
    <w:rsid w:val="00320F38"/>
    <w:rsid w:val="0032136D"/>
    <w:rsid w:val="00321D8E"/>
    <w:rsid w:val="003231AD"/>
    <w:rsid w:val="00323203"/>
    <w:rsid w:val="00323886"/>
    <w:rsid w:val="0032448B"/>
    <w:rsid w:val="00325928"/>
    <w:rsid w:val="00325DCA"/>
    <w:rsid w:val="003262E9"/>
    <w:rsid w:val="00332863"/>
    <w:rsid w:val="0033684D"/>
    <w:rsid w:val="00337B42"/>
    <w:rsid w:val="00340CDF"/>
    <w:rsid w:val="00341B42"/>
    <w:rsid w:val="0034348F"/>
    <w:rsid w:val="003449A2"/>
    <w:rsid w:val="00344E4E"/>
    <w:rsid w:val="00346766"/>
    <w:rsid w:val="00347DA4"/>
    <w:rsid w:val="003512F5"/>
    <w:rsid w:val="00352CBF"/>
    <w:rsid w:val="003531A3"/>
    <w:rsid w:val="003545E8"/>
    <w:rsid w:val="003560C4"/>
    <w:rsid w:val="00356653"/>
    <w:rsid w:val="0035723A"/>
    <w:rsid w:val="0035743F"/>
    <w:rsid w:val="00357BE2"/>
    <w:rsid w:val="0036170C"/>
    <w:rsid w:val="003618FF"/>
    <w:rsid w:val="0036342D"/>
    <w:rsid w:val="003636E2"/>
    <w:rsid w:val="00364FFA"/>
    <w:rsid w:val="00366E0F"/>
    <w:rsid w:val="0037192F"/>
    <w:rsid w:val="00371D30"/>
    <w:rsid w:val="00371F5C"/>
    <w:rsid w:val="003726E3"/>
    <w:rsid w:val="00372B22"/>
    <w:rsid w:val="00373B44"/>
    <w:rsid w:val="00376B09"/>
    <w:rsid w:val="00381498"/>
    <w:rsid w:val="00381A72"/>
    <w:rsid w:val="00381F21"/>
    <w:rsid w:val="00384676"/>
    <w:rsid w:val="003848C8"/>
    <w:rsid w:val="003852B1"/>
    <w:rsid w:val="00390425"/>
    <w:rsid w:val="00390857"/>
    <w:rsid w:val="00391F16"/>
    <w:rsid w:val="0039217C"/>
    <w:rsid w:val="00392F5F"/>
    <w:rsid w:val="00394712"/>
    <w:rsid w:val="0039562C"/>
    <w:rsid w:val="0039725C"/>
    <w:rsid w:val="003A2003"/>
    <w:rsid w:val="003A3AFB"/>
    <w:rsid w:val="003A4BF3"/>
    <w:rsid w:val="003A5E7A"/>
    <w:rsid w:val="003B1651"/>
    <w:rsid w:val="003B1CDA"/>
    <w:rsid w:val="003B2CE8"/>
    <w:rsid w:val="003B3C2A"/>
    <w:rsid w:val="003B420D"/>
    <w:rsid w:val="003B6F08"/>
    <w:rsid w:val="003B723B"/>
    <w:rsid w:val="003C3378"/>
    <w:rsid w:val="003C3B80"/>
    <w:rsid w:val="003C472C"/>
    <w:rsid w:val="003C6C16"/>
    <w:rsid w:val="003C6D9E"/>
    <w:rsid w:val="003D3156"/>
    <w:rsid w:val="003D481A"/>
    <w:rsid w:val="003D49F6"/>
    <w:rsid w:val="003D617C"/>
    <w:rsid w:val="003D794D"/>
    <w:rsid w:val="003E2364"/>
    <w:rsid w:val="003E3058"/>
    <w:rsid w:val="003E6234"/>
    <w:rsid w:val="003E76A9"/>
    <w:rsid w:val="003E7A3D"/>
    <w:rsid w:val="003E7D56"/>
    <w:rsid w:val="003F00FF"/>
    <w:rsid w:val="003F03C9"/>
    <w:rsid w:val="003F0809"/>
    <w:rsid w:val="003F0FB6"/>
    <w:rsid w:val="003F28B9"/>
    <w:rsid w:val="003F6A8C"/>
    <w:rsid w:val="003F755C"/>
    <w:rsid w:val="00406EFC"/>
    <w:rsid w:val="00406F01"/>
    <w:rsid w:val="00407BB1"/>
    <w:rsid w:val="004130D3"/>
    <w:rsid w:val="00413C02"/>
    <w:rsid w:val="00414E9B"/>
    <w:rsid w:val="00415ECE"/>
    <w:rsid w:val="00416D50"/>
    <w:rsid w:val="00416FD5"/>
    <w:rsid w:val="00417772"/>
    <w:rsid w:val="00420E6A"/>
    <w:rsid w:val="00421752"/>
    <w:rsid w:val="00421844"/>
    <w:rsid w:val="00424334"/>
    <w:rsid w:val="00424A88"/>
    <w:rsid w:val="00424E4E"/>
    <w:rsid w:val="00425A9E"/>
    <w:rsid w:val="00425B09"/>
    <w:rsid w:val="00425F54"/>
    <w:rsid w:val="00426D6B"/>
    <w:rsid w:val="004309A0"/>
    <w:rsid w:val="00431E6C"/>
    <w:rsid w:val="004337FE"/>
    <w:rsid w:val="00433CE7"/>
    <w:rsid w:val="004342DB"/>
    <w:rsid w:val="00435533"/>
    <w:rsid w:val="00440326"/>
    <w:rsid w:val="00441AF8"/>
    <w:rsid w:val="004444A8"/>
    <w:rsid w:val="00450BE1"/>
    <w:rsid w:val="00451CDD"/>
    <w:rsid w:val="00452738"/>
    <w:rsid w:val="00454AFA"/>
    <w:rsid w:val="00455CCF"/>
    <w:rsid w:val="00456091"/>
    <w:rsid w:val="0045642D"/>
    <w:rsid w:val="0046280F"/>
    <w:rsid w:val="004632B0"/>
    <w:rsid w:val="0046409F"/>
    <w:rsid w:val="004661FA"/>
    <w:rsid w:val="00466321"/>
    <w:rsid w:val="0047110B"/>
    <w:rsid w:val="00471BFC"/>
    <w:rsid w:val="00472AF1"/>
    <w:rsid w:val="0047690D"/>
    <w:rsid w:val="004773F9"/>
    <w:rsid w:val="00480B82"/>
    <w:rsid w:val="004824A0"/>
    <w:rsid w:val="00484B9B"/>
    <w:rsid w:val="004855F6"/>
    <w:rsid w:val="0048661E"/>
    <w:rsid w:val="00486F52"/>
    <w:rsid w:val="00487BEE"/>
    <w:rsid w:val="00490735"/>
    <w:rsid w:val="00493B34"/>
    <w:rsid w:val="00494483"/>
    <w:rsid w:val="00494617"/>
    <w:rsid w:val="00494670"/>
    <w:rsid w:val="0049545C"/>
    <w:rsid w:val="00495C37"/>
    <w:rsid w:val="00495F86"/>
    <w:rsid w:val="004A081B"/>
    <w:rsid w:val="004A3722"/>
    <w:rsid w:val="004A3823"/>
    <w:rsid w:val="004A384A"/>
    <w:rsid w:val="004A55D2"/>
    <w:rsid w:val="004A6919"/>
    <w:rsid w:val="004B05DA"/>
    <w:rsid w:val="004B1F2E"/>
    <w:rsid w:val="004B3106"/>
    <w:rsid w:val="004B35B2"/>
    <w:rsid w:val="004B52C8"/>
    <w:rsid w:val="004B5C4F"/>
    <w:rsid w:val="004B6E15"/>
    <w:rsid w:val="004C09B2"/>
    <w:rsid w:val="004C1E31"/>
    <w:rsid w:val="004C213A"/>
    <w:rsid w:val="004C51D0"/>
    <w:rsid w:val="004D0B9C"/>
    <w:rsid w:val="004D1EDC"/>
    <w:rsid w:val="004D21A1"/>
    <w:rsid w:val="004D2AAE"/>
    <w:rsid w:val="004D49DC"/>
    <w:rsid w:val="004D4F22"/>
    <w:rsid w:val="004D6D15"/>
    <w:rsid w:val="004E0D6B"/>
    <w:rsid w:val="004E1FC4"/>
    <w:rsid w:val="004E279F"/>
    <w:rsid w:val="004E27B1"/>
    <w:rsid w:val="004E2AB5"/>
    <w:rsid w:val="004E3FEA"/>
    <w:rsid w:val="004E4F1E"/>
    <w:rsid w:val="004E512A"/>
    <w:rsid w:val="004E544F"/>
    <w:rsid w:val="004E5562"/>
    <w:rsid w:val="004E6946"/>
    <w:rsid w:val="004F0563"/>
    <w:rsid w:val="004F1068"/>
    <w:rsid w:val="004F1AD8"/>
    <w:rsid w:val="004F2D2E"/>
    <w:rsid w:val="004F753C"/>
    <w:rsid w:val="005031A4"/>
    <w:rsid w:val="005039CB"/>
    <w:rsid w:val="005054BC"/>
    <w:rsid w:val="0050558F"/>
    <w:rsid w:val="00506286"/>
    <w:rsid w:val="00506A93"/>
    <w:rsid w:val="00506F94"/>
    <w:rsid w:val="00510813"/>
    <w:rsid w:val="00510C32"/>
    <w:rsid w:val="00511990"/>
    <w:rsid w:val="00511DE0"/>
    <w:rsid w:val="005142AB"/>
    <w:rsid w:val="00514870"/>
    <w:rsid w:val="00514B9B"/>
    <w:rsid w:val="0051622C"/>
    <w:rsid w:val="00517880"/>
    <w:rsid w:val="00517F02"/>
    <w:rsid w:val="00521C58"/>
    <w:rsid w:val="00522A81"/>
    <w:rsid w:val="00523D06"/>
    <w:rsid w:val="00524303"/>
    <w:rsid w:val="005258A2"/>
    <w:rsid w:val="00530398"/>
    <w:rsid w:val="0053257C"/>
    <w:rsid w:val="00532A2D"/>
    <w:rsid w:val="0053317E"/>
    <w:rsid w:val="00534041"/>
    <w:rsid w:val="005344AB"/>
    <w:rsid w:val="005401AE"/>
    <w:rsid w:val="00542E07"/>
    <w:rsid w:val="00544A8A"/>
    <w:rsid w:val="00545424"/>
    <w:rsid w:val="00546FF5"/>
    <w:rsid w:val="00547F62"/>
    <w:rsid w:val="005500D9"/>
    <w:rsid w:val="00551595"/>
    <w:rsid w:val="00551835"/>
    <w:rsid w:val="005548C8"/>
    <w:rsid w:val="00554A7B"/>
    <w:rsid w:val="0055572C"/>
    <w:rsid w:val="005563D3"/>
    <w:rsid w:val="005573A8"/>
    <w:rsid w:val="0056106A"/>
    <w:rsid w:val="005625D4"/>
    <w:rsid w:val="005664DE"/>
    <w:rsid w:val="00567765"/>
    <w:rsid w:val="005720AE"/>
    <w:rsid w:val="005727CF"/>
    <w:rsid w:val="00574843"/>
    <w:rsid w:val="00580CEC"/>
    <w:rsid w:val="00590F72"/>
    <w:rsid w:val="00594D77"/>
    <w:rsid w:val="005955A7"/>
    <w:rsid w:val="00595646"/>
    <w:rsid w:val="005969E4"/>
    <w:rsid w:val="0059725F"/>
    <w:rsid w:val="005A06B7"/>
    <w:rsid w:val="005A1759"/>
    <w:rsid w:val="005A383B"/>
    <w:rsid w:val="005A40BD"/>
    <w:rsid w:val="005A51C5"/>
    <w:rsid w:val="005A5404"/>
    <w:rsid w:val="005A5E42"/>
    <w:rsid w:val="005A68A7"/>
    <w:rsid w:val="005A71D4"/>
    <w:rsid w:val="005A7A49"/>
    <w:rsid w:val="005A7F7D"/>
    <w:rsid w:val="005B04E7"/>
    <w:rsid w:val="005B09BE"/>
    <w:rsid w:val="005B122C"/>
    <w:rsid w:val="005B1441"/>
    <w:rsid w:val="005B2517"/>
    <w:rsid w:val="005B2F91"/>
    <w:rsid w:val="005B33EA"/>
    <w:rsid w:val="005C1C85"/>
    <w:rsid w:val="005C1E97"/>
    <w:rsid w:val="005C22A4"/>
    <w:rsid w:val="005C460D"/>
    <w:rsid w:val="005C5031"/>
    <w:rsid w:val="005C7C7F"/>
    <w:rsid w:val="005D0589"/>
    <w:rsid w:val="005D20E2"/>
    <w:rsid w:val="005D2C8D"/>
    <w:rsid w:val="005D34B9"/>
    <w:rsid w:val="005D36AB"/>
    <w:rsid w:val="005D4197"/>
    <w:rsid w:val="005D6B3C"/>
    <w:rsid w:val="005D7D5D"/>
    <w:rsid w:val="005E05CE"/>
    <w:rsid w:val="005E2B31"/>
    <w:rsid w:val="005E36CA"/>
    <w:rsid w:val="005E668E"/>
    <w:rsid w:val="005E72FD"/>
    <w:rsid w:val="005F1B9A"/>
    <w:rsid w:val="005F5956"/>
    <w:rsid w:val="005F5A11"/>
    <w:rsid w:val="005F69E2"/>
    <w:rsid w:val="005F73BC"/>
    <w:rsid w:val="006011DE"/>
    <w:rsid w:val="006030A7"/>
    <w:rsid w:val="0060429B"/>
    <w:rsid w:val="00604B3F"/>
    <w:rsid w:val="00605949"/>
    <w:rsid w:val="006104E9"/>
    <w:rsid w:val="00614620"/>
    <w:rsid w:val="0061514D"/>
    <w:rsid w:val="00616659"/>
    <w:rsid w:val="006172A3"/>
    <w:rsid w:val="00617CC3"/>
    <w:rsid w:val="00621126"/>
    <w:rsid w:val="00622717"/>
    <w:rsid w:val="00623B2F"/>
    <w:rsid w:val="00625F4A"/>
    <w:rsid w:val="00627365"/>
    <w:rsid w:val="006312F6"/>
    <w:rsid w:val="006360B0"/>
    <w:rsid w:val="0063668D"/>
    <w:rsid w:val="00637031"/>
    <w:rsid w:val="006377A6"/>
    <w:rsid w:val="00637A3D"/>
    <w:rsid w:val="006411EF"/>
    <w:rsid w:val="00644BEC"/>
    <w:rsid w:val="00645BD6"/>
    <w:rsid w:val="00645E9E"/>
    <w:rsid w:val="00652A29"/>
    <w:rsid w:val="00653839"/>
    <w:rsid w:val="006549CD"/>
    <w:rsid w:val="00657C0E"/>
    <w:rsid w:val="006626D4"/>
    <w:rsid w:val="00663219"/>
    <w:rsid w:val="006663E6"/>
    <w:rsid w:val="00667337"/>
    <w:rsid w:val="00667397"/>
    <w:rsid w:val="0067057F"/>
    <w:rsid w:val="00671CC4"/>
    <w:rsid w:val="00672525"/>
    <w:rsid w:val="00673F29"/>
    <w:rsid w:val="006748B8"/>
    <w:rsid w:val="00674E04"/>
    <w:rsid w:val="006751ED"/>
    <w:rsid w:val="00676D33"/>
    <w:rsid w:val="00676E7B"/>
    <w:rsid w:val="006775C3"/>
    <w:rsid w:val="00677FF0"/>
    <w:rsid w:val="006801F0"/>
    <w:rsid w:val="00681BC9"/>
    <w:rsid w:val="00683268"/>
    <w:rsid w:val="00684D24"/>
    <w:rsid w:val="006866B4"/>
    <w:rsid w:val="00686F0E"/>
    <w:rsid w:val="006875FE"/>
    <w:rsid w:val="00690540"/>
    <w:rsid w:val="00690616"/>
    <w:rsid w:val="00691344"/>
    <w:rsid w:val="00691D94"/>
    <w:rsid w:val="0069238C"/>
    <w:rsid w:val="006927EC"/>
    <w:rsid w:val="0069290A"/>
    <w:rsid w:val="006947C3"/>
    <w:rsid w:val="00695795"/>
    <w:rsid w:val="00696197"/>
    <w:rsid w:val="0069775A"/>
    <w:rsid w:val="00697813"/>
    <w:rsid w:val="006A206D"/>
    <w:rsid w:val="006A243D"/>
    <w:rsid w:val="006A3EE8"/>
    <w:rsid w:val="006A72BF"/>
    <w:rsid w:val="006A7FB5"/>
    <w:rsid w:val="006B033E"/>
    <w:rsid w:val="006B03F2"/>
    <w:rsid w:val="006B26BD"/>
    <w:rsid w:val="006B3094"/>
    <w:rsid w:val="006B37DC"/>
    <w:rsid w:val="006B4F68"/>
    <w:rsid w:val="006C0592"/>
    <w:rsid w:val="006C1AD1"/>
    <w:rsid w:val="006C272E"/>
    <w:rsid w:val="006C28D5"/>
    <w:rsid w:val="006C5479"/>
    <w:rsid w:val="006D1002"/>
    <w:rsid w:val="006D13B5"/>
    <w:rsid w:val="006D184D"/>
    <w:rsid w:val="006D1ECA"/>
    <w:rsid w:val="006D34F4"/>
    <w:rsid w:val="006D3CE1"/>
    <w:rsid w:val="006D3FE8"/>
    <w:rsid w:val="006D4D79"/>
    <w:rsid w:val="006D4DDD"/>
    <w:rsid w:val="006D6C6C"/>
    <w:rsid w:val="006D6FD2"/>
    <w:rsid w:val="006E009C"/>
    <w:rsid w:val="006E12FF"/>
    <w:rsid w:val="006E2604"/>
    <w:rsid w:val="006E30A2"/>
    <w:rsid w:val="006E4643"/>
    <w:rsid w:val="006E5170"/>
    <w:rsid w:val="006E536A"/>
    <w:rsid w:val="006E607E"/>
    <w:rsid w:val="006E6EEA"/>
    <w:rsid w:val="006E79D4"/>
    <w:rsid w:val="006E7B78"/>
    <w:rsid w:val="006F0DF9"/>
    <w:rsid w:val="006F16B2"/>
    <w:rsid w:val="006F1E23"/>
    <w:rsid w:val="006F2B95"/>
    <w:rsid w:val="006F3171"/>
    <w:rsid w:val="006F3248"/>
    <w:rsid w:val="006F4CCE"/>
    <w:rsid w:val="006F5069"/>
    <w:rsid w:val="006F62E0"/>
    <w:rsid w:val="006F7E54"/>
    <w:rsid w:val="00702380"/>
    <w:rsid w:val="0070279A"/>
    <w:rsid w:val="00706883"/>
    <w:rsid w:val="00706C5D"/>
    <w:rsid w:val="00713FA2"/>
    <w:rsid w:val="00714414"/>
    <w:rsid w:val="00714C47"/>
    <w:rsid w:val="007164D6"/>
    <w:rsid w:val="00717460"/>
    <w:rsid w:val="00721780"/>
    <w:rsid w:val="00721E1D"/>
    <w:rsid w:val="00721FA6"/>
    <w:rsid w:val="0072577E"/>
    <w:rsid w:val="00725932"/>
    <w:rsid w:val="00727CA0"/>
    <w:rsid w:val="00727D26"/>
    <w:rsid w:val="0073118B"/>
    <w:rsid w:val="00731962"/>
    <w:rsid w:val="00731CF6"/>
    <w:rsid w:val="0073290D"/>
    <w:rsid w:val="00732922"/>
    <w:rsid w:val="00737231"/>
    <w:rsid w:val="007401C6"/>
    <w:rsid w:val="00740669"/>
    <w:rsid w:val="00742AD0"/>
    <w:rsid w:val="00744ABA"/>
    <w:rsid w:val="00745D49"/>
    <w:rsid w:val="00746466"/>
    <w:rsid w:val="0075162E"/>
    <w:rsid w:val="00753EB4"/>
    <w:rsid w:val="00754034"/>
    <w:rsid w:val="00754476"/>
    <w:rsid w:val="00755190"/>
    <w:rsid w:val="007553C9"/>
    <w:rsid w:val="00755834"/>
    <w:rsid w:val="00756556"/>
    <w:rsid w:val="007601F4"/>
    <w:rsid w:val="00760C1D"/>
    <w:rsid w:val="0076165A"/>
    <w:rsid w:val="007618C4"/>
    <w:rsid w:val="00763662"/>
    <w:rsid w:val="0076421C"/>
    <w:rsid w:val="00765618"/>
    <w:rsid w:val="00766C33"/>
    <w:rsid w:val="00767980"/>
    <w:rsid w:val="00770141"/>
    <w:rsid w:val="00770B19"/>
    <w:rsid w:val="0077422D"/>
    <w:rsid w:val="00774355"/>
    <w:rsid w:val="0077463F"/>
    <w:rsid w:val="007746F2"/>
    <w:rsid w:val="00775150"/>
    <w:rsid w:val="00775D8A"/>
    <w:rsid w:val="00776AB2"/>
    <w:rsid w:val="00777FC9"/>
    <w:rsid w:val="007819E8"/>
    <w:rsid w:val="007825CC"/>
    <w:rsid w:val="00782605"/>
    <w:rsid w:val="007833E0"/>
    <w:rsid w:val="007836EA"/>
    <w:rsid w:val="00784CDA"/>
    <w:rsid w:val="007850C4"/>
    <w:rsid w:val="00785265"/>
    <w:rsid w:val="0078641C"/>
    <w:rsid w:val="00787C11"/>
    <w:rsid w:val="007906C4"/>
    <w:rsid w:val="007929A9"/>
    <w:rsid w:val="007940EA"/>
    <w:rsid w:val="00795216"/>
    <w:rsid w:val="007967E8"/>
    <w:rsid w:val="007A0769"/>
    <w:rsid w:val="007A0F92"/>
    <w:rsid w:val="007A1F74"/>
    <w:rsid w:val="007A2170"/>
    <w:rsid w:val="007A22BF"/>
    <w:rsid w:val="007A2A1F"/>
    <w:rsid w:val="007A3323"/>
    <w:rsid w:val="007A39F0"/>
    <w:rsid w:val="007A4229"/>
    <w:rsid w:val="007B32A3"/>
    <w:rsid w:val="007B6E33"/>
    <w:rsid w:val="007B7235"/>
    <w:rsid w:val="007B72B8"/>
    <w:rsid w:val="007B7A58"/>
    <w:rsid w:val="007C06B5"/>
    <w:rsid w:val="007C140F"/>
    <w:rsid w:val="007C21B5"/>
    <w:rsid w:val="007C30D6"/>
    <w:rsid w:val="007C3BCF"/>
    <w:rsid w:val="007C3BE1"/>
    <w:rsid w:val="007C3D87"/>
    <w:rsid w:val="007C44B5"/>
    <w:rsid w:val="007C7BEA"/>
    <w:rsid w:val="007C7D4D"/>
    <w:rsid w:val="007D07CB"/>
    <w:rsid w:val="007D09CE"/>
    <w:rsid w:val="007D3A7A"/>
    <w:rsid w:val="007D49BC"/>
    <w:rsid w:val="007D4A95"/>
    <w:rsid w:val="007D580C"/>
    <w:rsid w:val="007D7CC8"/>
    <w:rsid w:val="007D7DE8"/>
    <w:rsid w:val="007E4553"/>
    <w:rsid w:val="007E4BD2"/>
    <w:rsid w:val="007E5FB8"/>
    <w:rsid w:val="007F0E53"/>
    <w:rsid w:val="007F1151"/>
    <w:rsid w:val="007F3CCC"/>
    <w:rsid w:val="007F42FF"/>
    <w:rsid w:val="007F5A87"/>
    <w:rsid w:val="007F6500"/>
    <w:rsid w:val="007F72D8"/>
    <w:rsid w:val="007F74D6"/>
    <w:rsid w:val="00801393"/>
    <w:rsid w:val="008023CB"/>
    <w:rsid w:val="00802DBB"/>
    <w:rsid w:val="00802F88"/>
    <w:rsid w:val="008040C0"/>
    <w:rsid w:val="00804EC4"/>
    <w:rsid w:val="00806233"/>
    <w:rsid w:val="00807444"/>
    <w:rsid w:val="0081237C"/>
    <w:rsid w:val="0081293E"/>
    <w:rsid w:val="00813494"/>
    <w:rsid w:val="0081368D"/>
    <w:rsid w:val="00814FCC"/>
    <w:rsid w:val="00815465"/>
    <w:rsid w:val="008156CE"/>
    <w:rsid w:val="008178B3"/>
    <w:rsid w:val="00817B6F"/>
    <w:rsid w:val="00817E9A"/>
    <w:rsid w:val="00817F38"/>
    <w:rsid w:val="00821508"/>
    <w:rsid w:val="0082246A"/>
    <w:rsid w:val="00827F95"/>
    <w:rsid w:val="008306BD"/>
    <w:rsid w:val="00830B2A"/>
    <w:rsid w:val="00830B68"/>
    <w:rsid w:val="008311F4"/>
    <w:rsid w:val="00831A80"/>
    <w:rsid w:val="008320F1"/>
    <w:rsid w:val="00832127"/>
    <w:rsid w:val="00832888"/>
    <w:rsid w:val="00833543"/>
    <w:rsid w:val="00833743"/>
    <w:rsid w:val="008340A4"/>
    <w:rsid w:val="008379B3"/>
    <w:rsid w:val="00840006"/>
    <w:rsid w:val="008413B9"/>
    <w:rsid w:val="00846B97"/>
    <w:rsid w:val="00851A33"/>
    <w:rsid w:val="00852063"/>
    <w:rsid w:val="00853067"/>
    <w:rsid w:val="008538E1"/>
    <w:rsid w:val="0085628E"/>
    <w:rsid w:val="0086014A"/>
    <w:rsid w:val="00860B39"/>
    <w:rsid w:val="00862AE6"/>
    <w:rsid w:val="00865FE5"/>
    <w:rsid w:val="00866379"/>
    <w:rsid w:val="0087001B"/>
    <w:rsid w:val="0087135F"/>
    <w:rsid w:val="0087218F"/>
    <w:rsid w:val="00872D94"/>
    <w:rsid w:val="00874300"/>
    <w:rsid w:val="00876706"/>
    <w:rsid w:val="008773BC"/>
    <w:rsid w:val="00877F4D"/>
    <w:rsid w:val="00877F99"/>
    <w:rsid w:val="00880364"/>
    <w:rsid w:val="0088221E"/>
    <w:rsid w:val="008826C1"/>
    <w:rsid w:val="008829A5"/>
    <w:rsid w:val="00882EF3"/>
    <w:rsid w:val="00884C89"/>
    <w:rsid w:val="00885A64"/>
    <w:rsid w:val="00891592"/>
    <w:rsid w:val="008915DD"/>
    <w:rsid w:val="008918D7"/>
    <w:rsid w:val="00891E9E"/>
    <w:rsid w:val="0089331F"/>
    <w:rsid w:val="0089602C"/>
    <w:rsid w:val="00897319"/>
    <w:rsid w:val="008A0161"/>
    <w:rsid w:val="008A2F68"/>
    <w:rsid w:val="008A3726"/>
    <w:rsid w:val="008A3A77"/>
    <w:rsid w:val="008A715B"/>
    <w:rsid w:val="008A78D5"/>
    <w:rsid w:val="008B158F"/>
    <w:rsid w:val="008B1E5F"/>
    <w:rsid w:val="008B26C8"/>
    <w:rsid w:val="008B29FC"/>
    <w:rsid w:val="008B42E2"/>
    <w:rsid w:val="008B478D"/>
    <w:rsid w:val="008B4FA6"/>
    <w:rsid w:val="008B5282"/>
    <w:rsid w:val="008B7C17"/>
    <w:rsid w:val="008C2D01"/>
    <w:rsid w:val="008C40E6"/>
    <w:rsid w:val="008D0A2C"/>
    <w:rsid w:val="008D0F7A"/>
    <w:rsid w:val="008D226F"/>
    <w:rsid w:val="008D2922"/>
    <w:rsid w:val="008D3667"/>
    <w:rsid w:val="008D68E4"/>
    <w:rsid w:val="008D7321"/>
    <w:rsid w:val="008E0506"/>
    <w:rsid w:val="008E0CFF"/>
    <w:rsid w:val="008E38A3"/>
    <w:rsid w:val="008E5D6B"/>
    <w:rsid w:val="008E67F2"/>
    <w:rsid w:val="008E76F0"/>
    <w:rsid w:val="008F03E1"/>
    <w:rsid w:val="008F15FE"/>
    <w:rsid w:val="008F1B62"/>
    <w:rsid w:val="008F1B7B"/>
    <w:rsid w:val="008F27F3"/>
    <w:rsid w:val="008F2D29"/>
    <w:rsid w:val="008F33CE"/>
    <w:rsid w:val="008F3B57"/>
    <w:rsid w:val="008F5187"/>
    <w:rsid w:val="008F535E"/>
    <w:rsid w:val="008F56D7"/>
    <w:rsid w:val="008F5FB6"/>
    <w:rsid w:val="008F60D8"/>
    <w:rsid w:val="008F67FA"/>
    <w:rsid w:val="008F681E"/>
    <w:rsid w:val="008F6A28"/>
    <w:rsid w:val="008F6AEB"/>
    <w:rsid w:val="008F6C45"/>
    <w:rsid w:val="008F75E2"/>
    <w:rsid w:val="008F7A1F"/>
    <w:rsid w:val="00901A53"/>
    <w:rsid w:val="009023C9"/>
    <w:rsid w:val="00902727"/>
    <w:rsid w:val="0090312B"/>
    <w:rsid w:val="00903994"/>
    <w:rsid w:val="009043DC"/>
    <w:rsid w:val="00904503"/>
    <w:rsid w:val="009050F1"/>
    <w:rsid w:val="00905CE6"/>
    <w:rsid w:val="00906147"/>
    <w:rsid w:val="00911E51"/>
    <w:rsid w:val="00912F3D"/>
    <w:rsid w:val="0091736D"/>
    <w:rsid w:val="00920A3E"/>
    <w:rsid w:val="0092106E"/>
    <w:rsid w:val="00923DC8"/>
    <w:rsid w:val="009240EB"/>
    <w:rsid w:val="00926B83"/>
    <w:rsid w:val="00927E7F"/>
    <w:rsid w:val="0093037A"/>
    <w:rsid w:val="00931321"/>
    <w:rsid w:val="00933FB1"/>
    <w:rsid w:val="00937D30"/>
    <w:rsid w:val="0094154D"/>
    <w:rsid w:val="00941B98"/>
    <w:rsid w:val="00941E61"/>
    <w:rsid w:val="00942344"/>
    <w:rsid w:val="00942AD5"/>
    <w:rsid w:val="00945AB6"/>
    <w:rsid w:val="00945E8E"/>
    <w:rsid w:val="009468E6"/>
    <w:rsid w:val="00951014"/>
    <w:rsid w:val="0095128B"/>
    <w:rsid w:val="0095155F"/>
    <w:rsid w:val="009539CD"/>
    <w:rsid w:val="00953A1D"/>
    <w:rsid w:val="00954429"/>
    <w:rsid w:val="0095590C"/>
    <w:rsid w:val="009563CE"/>
    <w:rsid w:val="009566F4"/>
    <w:rsid w:val="00957102"/>
    <w:rsid w:val="009605F4"/>
    <w:rsid w:val="009610EC"/>
    <w:rsid w:val="00961EB0"/>
    <w:rsid w:val="00962E0B"/>
    <w:rsid w:val="0096304E"/>
    <w:rsid w:val="00963DF4"/>
    <w:rsid w:val="00964BAD"/>
    <w:rsid w:val="009651FA"/>
    <w:rsid w:val="009652DA"/>
    <w:rsid w:val="009654B4"/>
    <w:rsid w:val="00965E46"/>
    <w:rsid w:val="00967F6E"/>
    <w:rsid w:val="00971B0C"/>
    <w:rsid w:val="00972C9F"/>
    <w:rsid w:val="00973C73"/>
    <w:rsid w:val="00974543"/>
    <w:rsid w:val="0097594C"/>
    <w:rsid w:val="00976328"/>
    <w:rsid w:val="0097680D"/>
    <w:rsid w:val="00977C06"/>
    <w:rsid w:val="00977C5D"/>
    <w:rsid w:val="00981DD6"/>
    <w:rsid w:val="00982438"/>
    <w:rsid w:val="00982E92"/>
    <w:rsid w:val="00983941"/>
    <w:rsid w:val="0098404C"/>
    <w:rsid w:val="00985283"/>
    <w:rsid w:val="009900C9"/>
    <w:rsid w:val="009923DF"/>
    <w:rsid w:val="00994267"/>
    <w:rsid w:val="00995975"/>
    <w:rsid w:val="00995992"/>
    <w:rsid w:val="009978EC"/>
    <w:rsid w:val="009A03E5"/>
    <w:rsid w:val="009A0F3B"/>
    <w:rsid w:val="009A1BB4"/>
    <w:rsid w:val="009A2628"/>
    <w:rsid w:val="009A3200"/>
    <w:rsid w:val="009A43D7"/>
    <w:rsid w:val="009A75F1"/>
    <w:rsid w:val="009A7D31"/>
    <w:rsid w:val="009A7FC8"/>
    <w:rsid w:val="009B0897"/>
    <w:rsid w:val="009B1EBF"/>
    <w:rsid w:val="009B2D66"/>
    <w:rsid w:val="009B4AEC"/>
    <w:rsid w:val="009B625E"/>
    <w:rsid w:val="009B6A4B"/>
    <w:rsid w:val="009B70DF"/>
    <w:rsid w:val="009B7BD9"/>
    <w:rsid w:val="009C1DF2"/>
    <w:rsid w:val="009C22AD"/>
    <w:rsid w:val="009C6052"/>
    <w:rsid w:val="009C7DD5"/>
    <w:rsid w:val="009D01F9"/>
    <w:rsid w:val="009D0D51"/>
    <w:rsid w:val="009D3E4D"/>
    <w:rsid w:val="009D5A28"/>
    <w:rsid w:val="009D5B18"/>
    <w:rsid w:val="009D5E21"/>
    <w:rsid w:val="009D5E4A"/>
    <w:rsid w:val="009D67E5"/>
    <w:rsid w:val="009D7C36"/>
    <w:rsid w:val="009E13C4"/>
    <w:rsid w:val="009E1969"/>
    <w:rsid w:val="009E227D"/>
    <w:rsid w:val="009E34C6"/>
    <w:rsid w:val="009E5019"/>
    <w:rsid w:val="009E5E7B"/>
    <w:rsid w:val="009E6E14"/>
    <w:rsid w:val="009E7821"/>
    <w:rsid w:val="009F0817"/>
    <w:rsid w:val="009F1874"/>
    <w:rsid w:val="009F4C21"/>
    <w:rsid w:val="009F7CA0"/>
    <w:rsid w:val="00A00325"/>
    <w:rsid w:val="00A01F03"/>
    <w:rsid w:val="00A03BCE"/>
    <w:rsid w:val="00A03ED7"/>
    <w:rsid w:val="00A04F1B"/>
    <w:rsid w:val="00A0501B"/>
    <w:rsid w:val="00A057E1"/>
    <w:rsid w:val="00A114A4"/>
    <w:rsid w:val="00A14947"/>
    <w:rsid w:val="00A14D55"/>
    <w:rsid w:val="00A16188"/>
    <w:rsid w:val="00A164BB"/>
    <w:rsid w:val="00A168B5"/>
    <w:rsid w:val="00A2134E"/>
    <w:rsid w:val="00A22FDB"/>
    <w:rsid w:val="00A2512E"/>
    <w:rsid w:val="00A3186A"/>
    <w:rsid w:val="00A31DCF"/>
    <w:rsid w:val="00A3254A"/>
    <w:rsid w:val="00A32A83"/>
    <w:rsid w:val="00A336CF"/>
    <w:rsid w:val="00A35A23"/>
    <w:rsid w:val="00A35BCC"/>
    <w:rsid w:val="00A363FD"/>
    <w:rsid w:val="00A367CA"/>
    <w:rsid w:val="00A368DB"/>
    <w:rsid w:val="00A3735D"/>
    <w:rsid w:val="00A411D2"/>
    <w:rsid w:val="00A423AA"/>
    <w:rsid w:val="00A439D6"/>
    <w:rsid w:val="00A44D72"/>
    <w:rsid w:val="00A51CC7"/>
    <w:rsid w:val="00A52052"/>
    <w:rsid w:val="00A529BE"/>
    <w:rsid w:val="00A53279"/>
    <w:rsid w:val="00A53A6B"/>
    <w:rsid w:val="00A53EC6"/>
    <w:rsid w:val="00A55810"/>
    <w:rsid w:val="00A55C0F"/>
    <w:rsid w:val="00A56140"/>
    <w:rsid w:val="00A5781D"/>
    <w:rsid w:val="00A62E32"/>
    <w:rsid w:val="00A63D75"/>
    <w:rsid w:val="00A65428"/>
    <w:rsid w:val="00A71D45"/>
    <w:rsid w:val="00A74DA8"/>
    <w:rsid w:val="00A77D56"/>
    <w:rsid w:val="00A77F3E"/>
    <w:rsid w:val="00A82E51"/>
    <w:rsid w:val="00A83BF9"/>
    <w:rsid w:val="00A85035"/>
    <w:rsid w:val="00A851F5"/>
    <w:rsid w:val="00A855AB"/>
    <w:rsid w:val="00A86233"/>
    <w:rsid w:val="00A8713F"/>
    <w:rsid w:val="00A87DD7"/>
    <w:rsid w:val="00A90655"/>
    <w:rsid w:val="00A90BA1"/>
    <w:rsid w:val="00A9187B"/>
    <w:rsid w:val="00A92730"/>
    <w:rsid w:val="00A92ACB"/>
    <w:rsid w:val="00A92EAE"/>
    <w:rsid w:val="00A930B0"/>
    <w:rsid w:val="00A955EE"/>
    <w:rsid w:val="00A961CA"/>
    <w:rsid w:val="00A96E36"/>
    <w:rsid w:val="00A970DC"/>
    <w:rsid w:val="00A97246"/>
    <w:rsid w:val="00A97A9A"/>
    <w:rsid w:val="00AA0671"/>
    <w:rsid w:val="00AA0DBB"/>
    <w:rsid w:val="00AA0FAE"/>
    <w:rsid w:val="00AA2531"/>
    <w:rsid w:val="00AA4990"/>
    <w:rsid w:val="00AA51AD"/>
    <w:rsid w:val="00AA5A3F"/>
    <w:rsid w:val="00AA7B16"/>
    <w:rsid w:val="00AB12AD"/>
    <w:rsid w:val="00AB16CA"/>
    <w:rsid w:val="00AB1E09"/>
    <w:rsid w:val="00AB4058"/>
    <w:rsid w:val="00AB470F"/>
    <w:rsid w:val="00AB5330"/>
    <w:rsid w:val="00AB56BE"/>
    <w:rsid w:val="00AB60FF"/>
    <w:rsid w:val="00AB6CBA"/>
    <w:rsid w:val="00AB7747"/>
    <w:rsid w:val="00AC14CE"/>
    <w:rsid w:val="00AC1600"/>
    <w:rsid w:val="00AC2A56"/>
    <w:rsid w:val="00AC444B"/>
    <w:rsid w:val="00AC70C9"/>
    <w:rsid w:val="00AD055E"/>
    <w:rsid w:val="00AD24E2"/>
    <w:rsid w:val="00AD3B77"/>
    <w:rsid w:val="00AD437E"/>
    <w:rsid w:val="00AD4547"/>
    <w:rsid w:val="00AD47A7"/>
    <w:rsid w:val="00AD6669"/>
    <w:rsid w:val="00AD69C6"/>
    <w:rsid w:val="00AD722B"/>
    <w:rsid w:val="00AD7826"/>
    <w:rsid w:val="00AE196F"/>
    <w:rsid w:val="00AE5A37"/>
    <w:rsid w:val="00AE69DB"/>
    <w:rsid w:val="00AF04D7"/>
    <w:rsid w:val="00AF0CBF"/>
    <w:rsid w:val="00AF257F"/>
    <w:rsid w:val="00AF33CF"/>
    <w:rsid w:val="00AF4D50"/>
    <w:rsid w:val="00AF6179"/>
    <w:rsid w:val="00B0009B"/>
    <w:rsid w:val="00B01C88"/>
    <w:rsid w:val="00B0390D"/>
    <w:rsid w:val="00B06469"/>
    <w:rsid w:val="00B06825"/>
    <w:rsid w:val="00B07CEC"/>
    <w:rsid w:val="00B10747"/>
    <w:rsid w:val="00B1295A"/>
    <w:rsid w:val="00B13BE4"/>
    <w:rsid w:val="00B13BFD"/>
    <w:rsid w:val="00B142DB"/>
    <w:rsid w:val="00B159B4"/>
    <w:rsid w:val="00B15BDC"/>
    <w:rsid w:val="00B16E68"/>
    <w:rsid w:val="00B17067"/>
    <w:rsid w:val="00B17187"/>
    <w:rsid w:val="00B20A45"/>
    <w:rsid w:val="00B22C5C"/>
    <w:rsid w:val="00B240CF"/>
    <w:rsid w:val="00B24A7D"/>
    <w:rsid w:val="00B24F30"/>
    <w:rsid w:val="00B25988"/>
    <w:rsid w:val="00B269D0"/>
    <w:rsid w:val="00B274F2"/>
    <w:rsid w:val="00B3033F"/>
    <w:rsid w:val="00B31ABF"/>
    <w:rsid w:val="00B33BE3"/>
    <w:rsid w:val="00B40810"/>
    <w:rsid w:val="00B47C34"/>
    <w:rsid w:val="00B5017D"/>
    <w:rsid w:val="00B50B6F"/>
    <w:rsid w:val="00B516D8"/>
    <w:rsid w:val="00B51F16"/>
    <w:rsid w:val="00B52DA5"/>
    <w:rsid w:val="00B53B5D"/>
    <w:rsid w:val="00B53E84"/>
    <w:rsid w:val="00B547D9"/>
    <w:rsid w:val="00B55210"/>
    <w:rsid w:val="00B5616D"/>
    <w:rsid w:val="00B57446"/>
    <w:rsid w:val="00B57C41"/>
    <w:rsid w:val="00B6055E"/>
    <w:rsid w:val="00B61F59"/>
    <w:rsid w:val="00B6317D"/>
    <w:rsid w:val="00B65036"/>
    <w:rsid w:val="00B65190"/>
    <w:rsid w:val="00B659FE"/>
    <w:rsid w:val="00B66AC2"/>
    <w:rsid w:val="00B67593"/>
    <w:rsid w:val="00B7187A"/>
    <w:rsid w:val="00B72278"/>
    <w:rsid w:val="00B72B26"/>
    <w:rsid w:val="00B73D6E"/>
    <w:rsid w:val="00B76C70"/>
    <w:rsid w:val="00B76E55"/>
    <w:rsid w:val="00B7723F"/>
    <w:rsid w:val="00B77E8D"/>
    <w:rsid w:val="00B80534"/>
    <w:rsid w:val="00B823B4"/>
    <w:rsid w:val="00B83A97"/>
    <w:rsid w:val="00B8433C"/>
    <w:rsid w:val="00B85742"/>
    <w:rsid w:val="00B8657A"/>
    <w:rsid w:val="00B87491"/>
    <w:rsid w:val="00B87A35"/>
    <w:rsid w:val="00B92210"/>
    <w:rsid w:val="00B93377"/>
    <w:rsid w:val="00B97030"/>
    <w:rsid w:val="00BA11CF"/>
    <w:rsid w:val="00BA29E9"/>
    <w:rsid w:val="00BA2B8B"/>
    <w:rsid w:val="00BA3170"/>
    <w:rsid w:val="00BA7142"/>
    <w:rsid w:val="00BB0A0E"/>
    <w:rsid w:val="00BB2171"/>
    <w:rsid w:val="00BB237C"/>
    <w:rsid w:val="00BB3880"/>
    <w:rsid w:val="00BB41A3"/>
    <w:rsid w:val="00BC03DA"/>
    <w:rsid w:val="00BC0F45"/>
    <w:rsid w:val="00BC260D"/>
    <w:rsid w:val="00BC32DC"/>
    <w:rsid w:val="00BC35B6"/>
    <w:rsid w:val="00BC440E"/>
    <w:rsid w:val="00BC507B"/>
    <w:rsid w:val="00BC58CD"/>
    <w:rsid w:val="00BC739D"/>
    <w:rsid w:val="00BC7DC3"/>
    <w:rsid w:val="00BD0EFE"/>
    <w:rsid w:val="00BD1B51"/>
    <w:rsid w:val="00BD2176"/>
    <w:rsid w:val="00BD2FA2"/>
    <w:rsid w:val="00BD3684"/>
    <w:rsid w:val="00BD3A91"/>
    <w:rsid w:val="00BD4056"/>
    <w:rsid w:val="00BD4596"/>
    <w:rsid w:val="00BD5636"/>
    <w:rsid w:val="00BE1405"/>
    <w:rsid w:val="00BE2EEC"/>
    <w:rsid w:val="00BE312D"/>
    <w:rsid w:val="00BE377B"/>
    <w:rsid w:val="00BE4601"/>
    <w:rsid w:val="00BE65C9"/>
    <w:rsid w:val="00BE6EDC"/>
    <w:rsid w:val="00BE7DFA"/>
    <w:rsid w:val="00BE7FC1"/>
    <w:rsid w:val="00BF196A"/>
    <w:rsid w:val="00BF1C20"/>
    <w:rsid w:val="00BF412F"/>
    <w:rsid w:val="00BF480B"/>
    <w:rsid w:val="00BF535B"/>
    <w:rsid w:val="00BF6407"/>
    <w:rsid w:val="00BF7A1A"/>
    <w:rsid w:val="00C03B17"/>
    <w:rsid w:val="00C04498"/>
    <w:rsid w:val="00C0678D"/>
    <w:rsid w:val="00C10578"/>
    <w:rsid w:val="00C10BDC"/>
    <w:rsid w:val="00C10ECE"/>
    <w:rsid w:val="00C12BB8"/>
    <w:rsid w:val="00C13033"/>
    <w:rsid w:val="00C135BC"/>
    <w:rsid w:val="00C15C95"/>
    <w:rsid w:val="00C16CA8"/>
    <w:rsid w:val="00C24BB7"/>
    <w:rsid w:val="00C25019"/>
    <w:rsid w:val="00C2519C"/>
    <w:rsid w:val="00C2596A"/>
    <w:rsid w:val="00C271B9"/>
    <w:rsid w:val="00C27537"/>
    <w:rsid w:val="00C3171C"/>
    <w:rsid w:val="00C32044"/>
    <w:rsid w:val="00C328FE"/>
    <w:rsid w:val="00C32BB6"/>
    <w:rsid w:val="00C3325C"/>
    <w:rsid w:val="00C33507"/>
    <w:rsid w:val="00C42598"/>
    <w:rsid w:val="00C42FF0"/>
    <w:rsid w:val="00C4409D"/>
    <w:rsid w:val="00C44E72"/>
    <w:rsid w:val="00C45A06"/>
    <w:rsid w:val="00C45D40"/>
    <w:rsid w:val="00C47187"/>
    <w:rsid w:val="00C47E5B"/>
    <w:rsid w:val="00C55D62"/>
    <w:rsid w:val="00C61CA0"/>
    <w:rsid w:val="00C61E4B"/>
    <w:rsid w:val="00C64BFF"/>
    <w:rsid w:val="00C66826"/>
    <w:rsid w:val="00C7005E"/>
    <w:rsid w:val="00C702A9"/>
    <w:rsid w:val="00C7033C"/>
    <w:rsid w:val="00C704E9"/>
    <w:rsid w:val="00C7151B"/>
    <w:rsid w:val="00C763C9"/>
    <w:rsid w:val="00C77E8F"/>
    <w:rsid w:val="00C80057"/>
    <w:rsid w:val="00C807CC"/>
    <w:rsid w:val="00C82070"/>
    <w:rsid w:val="00C821B6"/>
    <w:rsid w:val="00C82232"/>
    <w:rsid w:val="00C8260B"/>
    <w:rsid w:val="00C82913"/>
    <w:rsid w:val="00C8544C"/>
    <w:rsid w:val="00C85B08"/>
    <w:rsid w:val="00C905B7"/>
    <w:rsid w:val="00C916C2"/>
    <w:rsid w:val="00C92856"/>
    <w:rsid w:val="00C9331E"/>
    <w:rsid w:val="00C93CC7"/>
    <w:rsid w:val="00C949D6"/>
    <w:rsid w:val="00C972B1"/>
    <w:rsid w:val="00C979C5"/>
    <w:rsid w:val="00CA00FA"/>
    <w:rsid w:val="00CA0B3A"/>
    <w:rsid w:val="00CA2CCE"/>
    <w:rsid w:val="00CA3590"/>
    <w:rsid w:val="00CA3DCF"/>
    <w:rsid w:val="00CA43FD"/>
    <w:rsid w:val="00CA4A2F"/>
    <w:rsid w:val="00CA5217"/>
    <w:rsid w:val="00CA6921"/>
    <w:rsid w:val="00CA7EF8"/>
    <w:rsid w:val="00CA7F30"/>
    <w:rsid w:val="00CB0206"/>
    <w:rsid w:val="00CB2125"/>
    <w:rsid w:val="00CB3B30"/>
    <w:rsid w:val="00CC003D"/>
    <w:rsid w:val="00CC3E4D"/>
    <w:rsid w:val="00CC489B"/>
    <w:rsid w:val="00CC49C3"/>
    <w:rsid w:val="00CC59B1"/>
    <w:rsid w:val="00CD0626"/>
    <w:rsid w:val="00CD0A2A"/>
    <w:rsid w:val="00CD20E3"/>
    <w:rsid w:val="00CD2BCD"/>
    <w:rsid w:val="00CD35AF"/>
    <w:rsid w:val="00CD3A4C"/>
    <w:rsid w:val="00CD68AD"/>
    <w:rsid w:val="00CE10E9"/>
    <w:rsid w:val="00CE15CE"/>
    <w:rsid w:val="00CE28CB"/>
    <w:rsid w:val="00CE2910"/>
    <w:rsid w:val="00CE4931"/>
    <w:rsid w:val="00CE5393"/>
    <w:rsid w:val="00CE7A13"/>
    <w:rsid w:val="00CF0596"/>
    <w:rsid w:val="00CF0A95"/>
    <w:rsid w:val="00CF245F"/>
    <w:rsid w:val="00CF36BE"/>
    <w:rsid w:val="00CF41A9"/>
    <w:rsid w:val="00CF5452"/>
    <w:rsid w:val="00CF6000"/>
    <w:rsid w:val="00CF6218"/>
    <w:rsid w:val="00D003F3"/>
    <w:rsid w:val="00D00865"/>
    <w:rsid w:val="00D01089"/>
    <w:rsid w:val="00D0364F"/>
    <w:rsid w:val="00D03920"/>
    <w:rsid w:val="00D03BBD"/>
    <w:rsid w:val="00D04518"/>
    <w:rsid w:val="00D05364"/>
    <w:rsid w:val="00D06136"/>
    <w:rsid w:val="00D06834"/>
    <w:rsid w:val="00D103F5"/>
    <w:rsid w:val="00D14BC3"/>
    <w:rsid w:val="00D154D2"/>
    <w:rsid w:val="00D1642A"/>
    <w:rsid w:val="00D1656A"/>
    <w:rsid w:val="00D170CA"/>
    <w:rsid w:val="00D20D61"/>
    <w:rsid w:val="00D2398D"/>
    <w:rsid w:val="00D2626E"/>
    <w:rsid w:val="00D26EE3"/>
    <w:rsid w:val="00D27235"/>
    <w:rsid w:val="00D2727F"/>
    <w:rsid w:val="00D308ED"/>
    <w:rsid w:val="00D33C20"/>
    <w:rsid w:val="00D33DA0"/>
    <w:rsid w:val="00D36D86"/>
    <w:rsid w:val="00D37EE3"/>
    <w:rsid w:val="00D40B10"/>
    <w:rsid w:val="00D428AA"/>
    <w:rsid w:val="00D44CC4"/>
    <w:rsid w:val="00D46A38"/>
    <w:rsid w:val="00D4734D"/>
    <w:rsid w:val="00D47941"/>
    <w:rsid w:val="00D50A34"/>
    <w:rsid w:val="00D52D36"/>
    <w:rsid w:val="00D53EFA"/>
    <w:rsid w:val="00D55167"/>
    <w:rsid w:val="00D56F37"/>
    <w:rsid w:val="00D604AB"/>
    <w:rsid w:val="00D60836"/>
    <w:rsid w:val="00D63EE5"/>
    <w:rsid w:val="00D64433"/>
    <w:rsid w:val="00D67D20"/>
    <w:rsid w:val="00D67E57"/>
    <w:rsid w:val="00D7094A"/>
    <w:rsid w:val="00D71F2E"/>
    <w:rsid w:val="00D73716"/>
    <w:rsid w:val="00D73912"/>
    <w:rsid w:val="00D80CBD"/>
    <w:rsid w:val="00D85D7E"/>
    <w:rsid w:val="00D861E5"/>
    <w:rsid w:val="00D91DE9"/>
    <w:rsid w:val="00D943D9"/>
    <w:rsid w:val="00D94A7C"/>
    <w:rsid w:val="00D95896"/>
    <w:rsid w:val="00D95A41"/>
    <w:rsid w:val="00DA1E7D"/>
    <w:rsid w:val="00DA2231"/>
    <w:rsid w:val="00DA22C6"/>
    <w:rsid w:val="00DA2336"/>
    <w:rsid w:val="00DA381E"/>
    <w:rsid w:val="00DA3E89"/>
    <w:rsid w:val="00DA40FA"/>
    <w:rsid w:val="00DA5DB4"/>
    <w:rsid w:val="00DA60D8"/>
    <w:rsid w:val="00DB2577"/>
    <w:rsid w:val="00DB2983"/>
    <w:rsid w:val="00DB2C17"/>
    <w:rsid w:val="00DB3AC9"/>
    <w:rsid w:val="00DB6859"/>
    <w:rsid w:val="00DC1257"/>
    <w:rsid w:val="00DC18F3"/>
    <w:rsid w:val="00DC3DC0"/>
    <w:rsid w:val="00DC3E49"/>
    <w:rsid w:val="00DC5B2B"/>
    <w:rsid w:val="00DC5C45"/>
    <w:rsid w:val="00DD15F4"/>
    <w:rsid w:val="00DD1ABC"/>
    <w:rsid w:val="00DD2C61"/>
    <w:rsid w:val="00DD318D"/>
    <w:rsid w:val="00DD3257"/>
    <w:rsid w:val="00DD403D"/>
    <w:rsid w:val="00DD7433"/>
    <w:rsid w:val="00DE2FD2"/>
    <w:rsid w:val="00DE3CBF"/>
    <w:rsid w:val="00DE49C3"/>
    <w:rsid w:val="00DF162F"/>
    <w:rsid w:val="00DF2E12"/>
    <w:rsid w:val="00DF38CF"/>
    <w:rsid w:val="00DF4B1B"/>
    <w:rsid w:val="00DF4C0E"/>
    <w:rsid w:val="00DF514A"/>
    <w:rsid w:val="00DF6612"/>
    <w:rsid w:val="00DF6690"/>
    <w:rsid w:val="00DF6804"/>
    <w:rsid w:val="00E0008D"/>
    <w:rsid w:val="00E002BD"/>
    <w:rsid w:val="00E006A5"/>
    <w:rsid w:val="00E00A35"/>
    <w:rsid w:val="00E00D9B"/>
    <w:rsid w:val="00E0358D"/>
    <w:rsid w:val="00E04323"/>
    <w:rsid w:val="00E04FF1"/>
    <w:rsid w:val="00E066C7"/>
    <w:rsid w:val="00E070A2"/>
    <w:rsid w:val="00E1374B"/>
    <w:rsid w:val="00E137CE"/>
    <w:rsid w:val="00E14484"/>
    <w:rsid w:val="00E16016"/>
    <w:rsid w:val="00E21CED"/>
    <w:rsid w:val="00E2229C"/>
    <w:rsid w:val="00E229CB"/>
    <w:rsid w:val="00E232EC"/>
    <w:rsid w:val="00E24313"/>
    <w:rsid w:val="00E2656A"/>
    <w:rsid w:val="00E277B7"/>
    <w:rsid w:val="00E32421"/>
    <w:rsid w:val="00E32A12"/>
    <w:rsid w:val="00E339DB"/>
    <w:rsid w:val="00E3467A"/>
    <w:rsid w:val="00E34A57"/>
    <w:rsid w:val="00E36655"/>
    <w:rsid w:val="00E412D0"/>
    <w:rsid w:val="00E4533A"/>
    <w:rsid w:val="00E473B8"/>
    <w:rsid w:val="00E5033F"/>
    <w:rsid w:val="00E50F37"/>
    <w:rsid w:val="00E528A7"/>
    <w:rsid w:val="00E55DDA"/>
    <w:rsid w:val="00E56322"/>
    <w:rsid w:val="00E56995"/>
    <w:rsid w:val="00E5765D"/>
    <w:rsid w:val="00E60551"/>
    <w:rsid w:val="00E6063C"/>
    <w:rsid w:val="00E60982"/>
    <w:rsid w:val="00E620A6"/>
    <w:rsid w:val="00E62869"/>
    <w:rsid w:val="00E62C62"/>
    <w:rsid w:val="00E62D61"/>
    <w:rsid w:val="00E6388A"/>
    <w:rsid w:val="00E64662"/>
    <w:rsid w:val="00E654C1"/>
    <w:rsid w:val="00E65D97"/>
    <w:rsid w:val="00E662A3"/>
    <w:rsid w:val="00E675B8"/>
    <w:rsid w:val="00E72A5A"/>
    <w:rsid w:val="00E73354"/>
    <w:rsid w:val="00E74436"/>
    <w:rsid w:val="00E77732"/>
    <w:rsid w:val="00E82F47"/>
    <w:rsid w:val="00E8487A"/>
    <w:rsid w:val="00E84DF6"/>
    <w:rsid w:val="00E858FC"/>
    <w:rsid w:val="00E85E2E"/>
    <w:rsid w:val="00E90882"/>
    <w:rsid w:val="00E91C9C"/>
    <w:rsid w:val="00E9242D"/>
    <w:rsid w:val="00E94281"/>
    <w:rsid w:val="00E96C77"/>
    <w:rsid w:val="00EA0D90"/>
    <w:rsid w:val="00EA306E"/>
    <w:rsid w:val="00EA3C16"/>
    <w:rsid w:val="00EA3F27"/>
    <w:rsid w:val="00EA47A9"/>
    <w:rsid w:val="00EA6133"/>
    <w:rsid w:val="00EA749C"/>
    <w:rsid w:val="00EA78B3"/>
    <w:rsid w:val="00EA7E23"/>
    <w:rsid w:val="00EB0B57"/>
    <w:rsid w:val="00EB352D"/>
    <w:rsid w:val="00EB4873"/>
    <w:rsid w:val="00EB5255"/>
    <w:rsid w:val="00EB5C47"/>
    <w:rsid w:val="00EC0BB6"/>
    <w:rsid w:val="00EC34EB"/>
    <w:rsid w:val="00EC3CDA"/>
    <w:rsid w:val="00EC467B"/>
    <w:rsid w:val="00ED0221"/>
    <w:rsid w:val="00ED0639"/>
    <w:rsid w:val="00ED06D6"/>
    <w:rsid w:val="00ED12F0"/>
    <w:rsid w:val="00ED513A"/>
    <w:rsid w:val="00ED53AA"/>
    <w:rsid w:val="00ED6DEB"/>
    <w:rsid w:val="00EE0BE6"/>
    <w:rsid w:val="00EE1F99"/>
    <w:rsid w:val="00EE2643"/>
    <w:rsid w:val="00EE2EFE"/>
    <w:rsid w:val="00EE3D48"/>
    <w:rsid w:val="00EF04FD"/>
    <w:rsid w:val="00EF2561"/>
    <w:rsid w:val="00EF26D3"/>
    <w:rsid w:val="00EF4755"/>
    <w:rsid w:val="00EF48B7"/>
    <w:rsid w:val="00EF5E1D"/>
    <w:rsid w:val="00EF60FE"/>
    <w:rsid w:val="00EF7135"/>
    <w:rsid w:val="00F003CE"/>
    <w:rsid w:val="00F01848"/>
    <w:rsid w:val="00F023D2"/>
    <w:rsid w:val="00F02428"/>
    <w:rsid w:val="00F027DB"/>
    <w:rsid w:val="00F03E5E"/>
    <w:rsid w:val="00F04834"/>
    <w:rsid w:val="00F048E8"/>
    <w:rsid w:val="00F05A7C"/>
    <w:rsid w:val="00F11A5E"/>
    <w:rsid w:val="00F1272F"/>
    <w:rsid w:val="00F13C78"/>
    <w:rsid w:val="00F14A7A"/>
    <w:rsid w:val="00F14F42"/>
    <w:rsid w:val="00F15F0F"/>
    <w:rsid w:val="00F210E1"/>
    <w:rsid w:val="00F22985"/>
    <w:rsid w:val="00F244AD"/>
    <w:rsid w:val="00F25514"/>
    <w:rsid w:val="00F26B5A"/>
    <w:rsid w:val="00F314DE"/>
    <w:rsid w:val="00F3383E"/>
    <w:rsid w:val="00F3506C"/>
    <w:rsid w:val="00F3615B"/>
    <w:rsid w:val="00F361C1"/>
    <w:rsid w:val="00F4014B"/>
    <w:rsid w:val="00F40F46"/>
    <w:rsid w:val="00F425F1"/>
    <w:rsid w:val="00F44669"/>
    <w:rsid w:val="00F465A7"/>
    <w:rsid w:val="00F50B7C"/>
    <w:rsid w:val="00F550E6"/>
    <w:rsid w:val="00F60149"/>
    <w:rsid w:val="00F60D96"/>
    <w:rsid w:val="00F63832"/>
    <w:rsid w:val="00F63E41"/>
    <w:rsid w:val="00F64DAB"/>
    <w:rsid w:val="00F70545"/>
    <w:rsid w:val="00F71186"/>
    <w:rsid w:val="00F7141B"/>
    <w:rsid w:val="00F7152A"/>
    <w:rsid w:val="00F7154E"/>
    <w:rsid w:val="00F71948"/>
    <w:rsid w:val="00F71D02"/>
    <w:rsid w:val="00F74345"/>
    <w:rsid w:val="00F76972"/>
    <w:rsid w:val="00F76D7A"/>
    <w:rsid w:val="00F80A0A"/>
    <w:rsid w:val="00F81689"/>
    <w:rsid w:val="00F82B19"/>
    <w:rsid w:val="00F82D2F"/>
    <w:rsid w:val="00F91E2E"/>
    <w:rsid w:val="00F9212D"/>
    <w:rsid w:val="00F92AB3"/>
    <w:rsid w:val="00F944D4"/>
    <w:rsid w:val="00F951AA"/>
    <w:rsid w:val="00F965DA"/>
    <w:rsid w:val="00FA0927"/>
    <w:rsid w:val="00FA1008"/>
    <w:rsid w:val="00FA2348"/>
    <w:rsid w:val="00FA2832"/>
    <w:rsid w:val="00FA406A"/>
    <w:rsid w:val="00FA4592"/>
    <w:rsid w:val="00FA70E1"/>
    <w:rsid w:val="00FA7E8F"/>
    <w:rsid w:val="00FB091F"/>
    <w:rsid w:val="00FB3DB8"/>
    <w:rsid w:val="00FB461F"/>
    <w:rsid w:val="00FB503A"/>
    <w:rsid w:val="00FB516C"/>
    <w:rsid w:val="00FB5762"/>
    <w:rsid w:val="00FB5EE9"/>
    <w:rsid w:val="00FC37A6"/>
    <w:rsid w:val="00FC4487"/>
    <w:rsid w:val="00FC52EC"/>
    <w:rsid w:val="00FC5826"/>
    <w:rsid w:val="00FC645B"/>
    <w:rsid w:val="00FC7F28"/>
    <w:rsid w:val="00FD0236"/>
    <w:rsid w:val="00FD0CAE"/>
    <w:rsid w:val="00FD1472"/>
    <w:rsid w:val="00FD18F4"/>
    <w:rsid w:val="00FD1B46"/>
    <w:rsid w:val="00FD2919"/>
    <w:rsid w:val="00FD4E8C"/>
    <w:rsid w:val="00FD4F27"/>
    <w:rsid w:val="00FD54DB"/>
    <w:rsid w:val="00FD619F"/>
    <w:rsid w:val="00FE116E"/>
    <w:rsid w:val="00FE22BD"/>
    <w:rsid w:val="00FE2F64"/>
    <w:rsid w:val="00FE67AA"/>
    <w:rsid w:val="00FE6993"/>
    <w:rsid w:val="00FE74BC"/>
    <w:rsid w:val="00FF4FD6"/>
    <w:rsid w:val="00FF5764"/>
    <w:rsid w:val="00FF72EF"/>
    <w:rsid w:val="01290F7E"/>
    <w:rsid w:val="012F64AF"/>
    <w:rsid w:val="015C0CCE"/>
    <w:rsid w:val="015D1E09"/>
    <w:rsid w:val="01671279"/>
    <w:rsid w:val="01672749"/>
    <w:rsid w:val="01B546E3"/>
    <w:rsid w:val="01FF08BE"/>
    <w:rsid w:val="0200357B"/>
    <w:rsid w:val="020B4AD3"/>
    <w:rsid w:val="024937CF"/>
    <w:rsid w:val="0252745F"/>
    <w:rsid w:val="0253666C"/>
    <w:rsid w:val="02697903"/>
    <w:rsid w:val="02741748"/>
    <w:rsid w:val="028D6880"/>
    <w:rsid w:val="02D667EA"/>
    <w:rsid w:val="02F96569"/>
    <w:rsid w:val="032064E7"/>
    <w:rsid w:val="033F4AED"/>
    <w:rsid w:val="036A54F0"/>
    <w:rsid w:val="036F6340"/>
    <w:rsid w:val="037D4B32"/>
    <w:rsid w:val="03965FF6"/>
    <w:rsid w:val="03C1119A"/>
    <w:rsid w:val="03EA7B21"/>
    <w:rsid w:val="040D2A0C"/>
    <w:rsid w:val="040E5982"/>
    <w:rsid w:val="041F729D"/>
    <w:rsid w:val="043E08AE"/>
    <w:rsid w:val="044E50E7"/>
    <w:rsid w:val="04602092"/>
    <w:rsid w:val="048D121D"/>
    <w:rsid w:val="048D6A44"/>
    <w:rsid w:val="04E41376"/>
    <w:rsid w:val="04F50009"/>
    <w:rsid w:val="05017C52"/>
    <w:rsid w:val="057F0D93"/>
    <w:rsid w:val="05810AF2"/>
    <w:rsid w:val="05A47918"/>
    <w:rsid w:val="05B13578"/>
    <w:rsid w:val="05C14459"/>
    <w:rsid w:val="05C32E40"/>
    <w:rsid w:val="05DD246D"/>
    <w:rsid w:val="05F83EAE"/>
    <w:rsid w:val="063E7D85"/>
    <w:rsid w:val="07293586"/>
    <w:rsid w:val="07295285"/>
    <w:rsid w:val="07390D14"/>
    <w:rsid w:val="07392980"/>
    <w:rsid w:val="07636392"/>
    <w:rsid w:val="07770C56"/>
    <w:rsid w:val="077A44FF"/>
    <w:rsid w:val="07972AF0"/>
    <w:rsid w:val="07C82CD3"/>
    <w:rsid w:val="07CF7687"/>
    <w:rsid w:val="07E92CA1"/>
    <w:rsid w:val="08A655E9"/>
    <w:rsid w:val="08B351E7"/>
    <w:rsid w:val="08B364F3"/>
    <w:rsid w:val="08C82EA2"/>
    <w:rsid w:val="08E33F70"/>
    <w:rsid w:val="08E458C1"/>
    <w:rsid w:val="08F92258"/>
    <w:rsid w:val="092217DD"/>
    <w:rsid w:val="093A7294"/>
    <w:rsid w:val="093D3B2C"/>
    <w:rsid w:val="0955779F"/>
    <w:rsid w:val="09670057"/>
    <w:rsid w:val="098807F5"/>
    <w:rsid w:val="09A42048"/>
    <w:rsid w:val="09A81071"/>
    <w:rsid w:val="09B62632"/>
    <w:rsid w:val="09FA61EC"/>
    <w:rsid w:val="0A034A78"/>
    <w:rsid w:val="0A263993"/>
    <w:rsid w:val="0A2D3AC2"/>
    <w:rsid w:val="0A364D86"/>
    <w:rsid w:val="0A523FA1"/>
    <w:rsid w:val="0A7D79F8"/>
    <w:rsid w:val="0A986EF5"/>
    <w:rsid w:val="0A9877F2"/>
    <w:rsid w:val="0AA755DF"/>
    <w:rsid w:val="0AB93FF5"/>
    <w:rsid w:val="0AC0235E"/>
    <w:rsid w:val="0B00275A"/>
    <w:rsid w:val="0B120D44"/>
    <w:rsid w:val="0B6B3300"/>
    <w:rsid w:val="0BB31C0A"/>
    <w:rsid w:val="0BB329C6"/>
    <w:rsid w:val="0BD27BF6"/>
    <w:rsid w:val="0BDE1821"/>
    <w:rsid w:val="0C014F72"/>
    <w:rsid w:val="0C182814"/>
    <w:rsid w:val="0C1B106A"/>
    <w:rsid w:val="0C3B3C7D"/>
    <w:rsid w:val="0C617A16"/>
    <w:rsid w:val="0CAB2EAE"/>
    <w:rsid w:val="0CF10D82"/>
    <w:rsid w:val="0D2A02D4"/>
    <w:rsid w:val="0D31059E"/>
    <w:rsid w:val="0D500C64"/>
    <w:rsid w:val="0D621C7D"/>
    <w:rsid w:val="0D8F7E6E"/>
    <w:rsid w:val="0DB13E81"/>
    <w:rsid w:val="0DB203C0"/>
    <w:rsid w:val="0DD5751D"/>
    <w:rsid w:val="0DE13CE3"/>
    <w:rsid w:val="0DE819AF"/>
    <w:rsid w:val="0E131188"/>
    <w:rsid w:val="0E5103D6"/>
    <w:rsid w:val="0E73034D"/>
    <w:rsid w:val="0E810D79"/>
    <w:rsid w:val="0E8C08CD"/>
    <w:rsid w:val="0E912B65"/>
    <w:rsid w:val="0E9C0543"/>
    <w:rsid w:val="0EA877B2"/>
    <w:rsid w:val="0EAF7690"/>
    <w:rsid w:val="0EFE25B1"/>
    <w:rsid w:val="0F0E5742"/>
    <w:rsid w:val="0F13775A"/>
    <w:rsid w:val="0F5272D6"/>
    <w:rsid w:val="0F5F45FE"/>
    <w:rsid w:val="0F6308A2"/>
    <w:rsid w:val="0F992723"/>
    <w:rsid w:val="0F9941B8"/>
    <w:rsid w:val="0F9A112B"/>
    <w:rsid w:val="0FBF511A"/>
    <w:rsid w:val="0FD50B50"/>
    <w:rsid w:val="0FF63A23"/>
    <w:rsid w:val="100658E9"/>
    <w:rsid w:val="100862E9"/>
    <w:rsid w:val="100E540E"/>
    <w:rsid w:val="106616A3"/>
    <w:rsid w:val="106D2F64"/>
    <w:rsid w:val="107D4A05"/>
    <w:rsid w:val="10B63710"/>
    <w:rsid w:val="10CB0E18"/>
    <w:rsid w:val="10DE77F2"/>
    <w:rsid w:val="10F10820"/>
    <w:rsid w:val="111939D9"/>
    <w:rsid w:val="111C2F7A"/>
    <w:rsid w:val="114D1CA3"/>
    <w:rsid w:val="11665CA1"/>
    <w:rsid w:val="11757790"/>
    <w:rsid w:val="11A20E5E"/>
    <w:rsid w:val="11C804E9"/>
    <w:rsid w:val="11F23424"/>
    <w:rsid w:val="11F254F3"/>
    <w:rsid w:val="126454BE"/>
    <w:rsid w:val="126525D9"/>
    <w:rsid w:val="12AD766B"/>
    <w:rsid w:val="12DE5A77"/>
    <w:rsid w:val="137815F7"/>
    <w:rsid w:val="13951726"/>
    <w:rsid w:val="139843D0"/>
    <w:rsid w:val="139A37BE"/>
    <w:rsid w:val="139E05B0"/>
    <w:rsid w:val="13ED52C0"/>
    <w:rsid w:val="13F171DB"/>
    <w:rsid w:val="14065249"/>
    <w:rsid w:val="14330C65"/>
    <w:rsid w:val="14396509"/>
    <w:rsid w:val="1440056B"/>
    <w:rsid w:val="144E758D"/>
    <w:rsid w:val="1460047D"/>
    <w:rsid w:val="14A01CDD"/>
    <w:rsid w:val="14A27BA2"/>
    <w:rsid w:val="14DD2C3C"/>
    <w:rsid w:val="14E05AD6"/>
    <w:rsid w:val="15191670"/>
    <w:rsid w:val="151D57D2"/>
    <w:rsid w:val="153A4346"/>
    <w:rsid w:val="154A1737"/>
    <w:rsid w:val="15520875"/>
    <w:rsid w:val="157A3CDB"/>
    <w:rsid w:val="15912B8B"/>
    <w:rsid w:val="15D43E5C"/>
    <w:rsid w:val="15ED6EB7"/>
    <w:rsid w:val="15EF0F55"/>
    <w:rsid w:val="16087E1D"/>
    <w:rsid w:val="161C660D"/>
    <w:rsid w:val="16445E6D"/>
    <w:rsid w:val="16514381"/>
    <w:rsid w:val="16557185"/>
    <w:rsid w:val="16A57A4A"/>
    <w:rsid w:val="16B07A73"/>
    <w:rsid w:val="16BB4A7C"/>
    <w:rsid w:val="16BE59A3"/>
    <w:rsid w:val="16FC0BD6"/>
    <w:rsid w:val="170D692B"/>
    <w:rsid w:val="170E37C6"/>
    <w:rsid w:val="17530964"/>
    <w:rsid w:val="17533177"/>
    <w:rsid w:val="175F2F43"/>
    <w:rsid w:val="17701D14"/>
    <w:rsid w:val="17735226"/>
    <w:rsid w:val="177929C6"/>
    <w:rsid w:val="17793F96"/>
    <w:rsid w:val="177B3957"/>
    <w:rsid w:val="17904C09"/>
    <w:rsid w:val="17AE0461"/>
    <w:rsid w:val="17AF1790"/>
    <w:rsid w:val="17BB0135"/>
    <w:rsid w:val="17DE3E23"/>
    <w:rsid w:val="17F07A3E"/>
    <w:rsid w:val="182E1AAC"/>
    <w:rsid w:val="18540AC3"/>
    <w:rsid w:val="188D365A"/>
    <w:rsid w:val="189D21E0"/>
    <w:rsid w:val="189F624C"/>
    <w:rsid w:val="18B1165A"/>
    <w:rsid w:val="18BA0209"/>
    <w:rsid w:val="18C354F3"/>
    <w:rsid w:val="18D10DED"/>
    <w:rsid w:val="18F3507E"/>
    <w:rsid w:val="18F558C8"/>
    <w:rsid w:val="19033B41"/>
    <w:rsid w:val="191C3457"/>
    <w:rsid w:val="1921046B"/>
    <w:rsid w:val="19A70A24"/>
    <w:rsid w:val="19CD62F7"/>
    <w:rsid w:val="19EC5FEA"/>
    <w:rsid w:val="1A0A10E3"/>
    <w:rsid w:val="1A13247F"/>
    <w:rsid w:val="1A1664B7"/>
    <w:rsid w:val="1A1C66C0"/>
    <w:rsid w:val="1A42393B"/>
    <w:rsid w:val="1A757DFE"/>
    <w:rsid w:val="1A7E38C5"/>
    <w:rsid w:val="1A932A7A"/>
    <w:rsid w:val="1AAD45DE"/>
    <w:rsid w:val="1ABC0621"/>
    <w:rsid w:val="1B046F80"/>
    <w:rsid w:val="1B2B0E96"/>
    <w:rsid w:val="1B3267B5"/>
    <w:rsid w:val="1B40161D"/>
    <w:rsid w:val="1B441859"/>
    <w:rsid w:val="1B6606B1"/>
    <w:rsid w:val="1B99052C"/>
    <w:rsid w:val="1BCC5522"/>
    <w:rsid w:val="1BEF4851"/>
    <w:rsid w:val="1C0375D0"/>
    <w:rsid w:val="1C0A168B"/>
    <w:rsid w:val="1C422BD3"/>
    <w:rsid w:val="1C513506"/>
    <w:rsid w:val="1C5E7925"/>
    <w:rsid w:val="1C677224"/>
    <w:rsid w:val="1C831C57"/>
    <w:rsid w:val="1CFD070F"/>
    <w:rsid w:val="1D335751"/>
    <w:rsid w:val="1D5F6196"/>
    <w:rsid w:val="1D6132A5"/>
    <w:rsid w:val="1D7A362D"/>
    <w:rsid w:val="1D8E56D5"/>
    <w:rsid w:val="1D9751A0"/>
    <w:rsid w:val="1D9D7EAF"/>
    <w:rsid w:val="1DA96272"/>
    <w:rsid w:val="1DBA6110"/>
    <w:rsid w:val="1DED4B55"/>
    <w:rsid w:val="1E144C5D"/>
    <w:rsid w:val="1E3B0C05"/>
    <w:rsid w:val="1E7A43DA"/>
    <w:rsid w:val="1E7D0355"/>
    <w:rsid w:val="1EB728F0"/>
    <w:rsid w:val="1EB87933"/>
    <w:rsid w:val="1EDE1D1D"/>
    <w:rsid w:val="1EF65EF6"/>
    <w:rsid w:val="1EFF1F60"/>
    <w:rsid w:val="1F115D97"/>
    <w:rsid w:val="1F191FD1"/>
    <w:rsid w:val="1F5044C9"/>
    <w:rsid w:val="1F555E36"/>
    <w:rsid w:val="1F600879"/>
    <w:rsid w:val="1F6F15F5"/>
    <w:rsid w:val="1F751511"/>
    <w:rsid w:val="1FAD5A2A"/>
    <w:rsid w:val="1FC2105A"/>
    <w:rsid w:val="1FC33566"/>
    <w:rsid w:val="1FE7539E"/>
    <w:rsid w:val="1FF24D0E"/>
    <w:rsid w:val="202D056F"/>
    <w:rsid w:val="20666E3D"/>
    <w:rsid w:val="20671BE0"/>
    <w:rsid w:val="207D067D"/>
    <w:rsid w:val="2083459D"/>
    <w:rsid w:val="20873D31"/>
    <w:rsid w:val="20963CB8"/>
    <w:rsid w:val="20A16929"/>
    <w:rsid w:val="20A81A1B"/>
    <w:rsid w:val="20B07FB6"/>
    <w:rsid w:val="20B646FB"/>
    <w:rsid w:val="20BA2150"/>
    <w:rsid w:val="20BC7B42"/>
    <w:rsid w:val="20C279F7"/>
    <w:rsid w:val="20C3135F"/>
    <w:rsid w:val="213B74B1"/>
    <w:rsid w:val="213F1DD6"/>
    <w:rsid w:val="21575C5E"/>
    <w:rsid w:val="215A2310"/>
    <w:rsid w:val="21A50C98"/>
    <w:rsid w:val="21DE318A"/>
    <w:rsid w:val="21EF5B80"/>
    <w:rsid w:val="21F02DB0"/>
    <w:rsid w:val="221059F1"/>
    <w:rsid w:val="22576990"/>
    <w:rsid w:val="2261581A"/>
    <w:rsid w:val="22754048"/>
    <w:rsid w:val="22817341"/>
    <w:rsid w:val="22A23C77"/>
    <w:rsid w:val="22D32637"/>
    <w:rsid w:val="22EE4B4D"/>
    <w:rsid w:val="22F47480"/>
    <w:rsid w:val="231F25A2"/>
    <w:rsid w:val="23363471"/>
    <w:rsid w:val="23383F4A"/>
    <w:rsid w:val="234A1BDF"/>
    <w:rsid w:val="235C0EFE"/>
    <w:rsid w:val="23B411B8"/>
    <w:rsid w:val="23DA6AE5"/>
    <w:rsid w:val="23DE1C48"/>
    <w:rsid w:val="240210CD"/>
    <w:rsid w:val="2432072C"/>
    <w:rsid w:val="245067DF"/>
    <w:rsid w:val="248A6A26"/>
    <w:rsid w:val="248F6BD1"/>
    <w:rsid w:val="249F690E"/>
    <w:rsid w:val="24B22DC1"/>
    <w:rsid w:val="24BF09F7"/>
    <w:rsid w:val="24D8573B"/>
    <w:rsid w:val="24DB4537"/>
    <w:rsid w:val="24E90729"/>
    <w:rsid w:val="24F14774"/>
    <w:rsid w:val="2505546D"/>
    <w:rsid w:val="252D53FE"/>
    <w:rsid w:val="255408D2"/>
    <w:rsid w:val="2568615B"/>
    <w:rsid w:val="25D4308A"/>
    <w:rsid w:val="25D82A88"/>
    <w:rsid w:val="25EC2D81"/>
    <w:rsid w:val="2604726A"/>
    <w:rsid w:val="26066D6F"/>
    <w:rsid w:val="266779AC"/>
    <w:rsid w:val="26842B98"/>
    <w:rsid w:val="268514E2"/>
    <w:rsid w:val="268F7943"/>
    <w:rsid w:val="269B67B8"/>
    <w:rsid w:val="26A63F7D"/>
    <w:rsid w:val="27457FB1"/>
    <w:rsid w:val="277057A2"/>
    <w:rsid w:val="27734588"/>
    <w:rsid w:val="27B01D65"/>
    <w:rsid w:val="27B83025"/>
    <w:rsid w:val="27CB4D6A"/>
    <w:rsid w:val="27D71A3A"/>
    <w:rsid w:val="27EA1FC8"/>
    <w:rsid w:val="27EF33D0"/>
    <w:rsid w:val="27FE25AF"/>
    <w:rsid w:val="281F292D"/>
    <w:rsid w:val="28350FEF"/>
    <w:rsid w:val="284B61B7"/>
    <w:rsid w:val="2889678A"/>
    <w:rsid w:val="28F17F8F"/>
    <w:rsid w:val="29206EB8"/>
    <w:rsid w:val="292A103D"/>
    <w:rsid w:val="295037D3"/>
    <w:rsid w:val="29595666"/>
    <w:rsid w:val="295F4405"/>
    <w:rsid w:val="29874881"/>
    <w:rsid w:val="29CB37F2"/>
    <w:rsid w:val="29DA4220"/>
    <w:rsid w:val="29E325E0"/>
    <w:rsid w:val="2A35689E"/>
    <w:rsid w:val="2A452503"/>
    <w:rsid w:val="2A5C7555"/>
    <w:rsid w:val="2AA61208"/>
    <w:rsid w:val="2AAA57E8"/>
    <w:rsid w:val="2AC51402"/>
    <w:rsid w:val="2AD00351"/>
    <w:rsid w:val="2B272E1B"/>
    <w:rsid w:val="2B396377"/>
    <w:rsid w:val="2B413784"/>
    <w:rsid w:val="2B97522E"/>
    <w:rsid w:val="2BA936A8"/>
    <w:rsid w:val="2BB64B92"/>
    <w:rsid w:val="2BE530C8"/>
    <w:rsid w:val="2BF33D8C"/>
    <w:rsid w:val="2C0B1EB7"/>
    <w:rsid w:val="2C1C6ADE"/>
    <w:rsid w:val="2C2247D8"/>
    <w:rsid w:val="2C315A5A"/>
    <w:rsid w:val="2C3331C5"/>
    <w:rsid w:val="2C4B1C25"/>
    <w:rsid w:val="2C586430"/>
    <w:rsid w:val="2C947DC8"/>
    <w:rsid w:val="2C9C496E"/>
    <w:rsid w:val="2CAA3CD3"/>
    <w:rsid w:val="2CB154E8"/>
    <w:rsid w:val="2CBD2174"/>
    <w:rsid w:val="2CCB57DB"/>
    <w:rsid w:val="2CEA3982"/>
    <w:rsid w:val="2CF061F0"/>
    <w:rsid w:val="2D0871C7"/>
    <w:rsid w:val="2D0A2DF0"/>
    <w:rsid w:val="2D2A393B"/>
    <w:rsid w:val="2D38559D"/>
    <w:rsid w:val="2D3E3E66"/>
    <w:rsid w:val="2D684463"/>
    <w:rsid w:val="2D697EB6"/>
    <w:rsid w:val="2D6C7E59"/>
    <w:rsid w:val="2D6D3AD4"/>
    <w:rsid w:val="2D9E56F5"/>
    <w:rsid w:val="2D9F18C3"/>
    <w:rsid w:val="2DA91ED4"/>
    <w:rsid w:val="2DCC1189"/>
    <w:rsid w:val="2DD461B9"/>
    <w:rsid w:val="2DDB38D0"/>
    <w:rsid w:val="2DDC43B7"/>
    <w:rsid w:val="2DF24234"/>
    <w:rsid w:val="2E036C6A"/>
    <w:rsid w:val="2E667F96"/>
    <w:rsid w:val="2E8226AB"/>
    <w:rsid w:val="2EB007A0"/>
    <w:rsid w:val="2EC13E2B"/>
    <w:rsid w:val="2EFC4E63"/>
    <w:rsid w:val="2F140AC5"/>
    <w:rsid w:val="2F2F2529"/>
    <w:rsid w:val="2F537CDC"/>
    <w:rsid w:val="2F8D6403"/>
    <w:rsid w:val="2FCB549A"/>
    <w:rsid w:val="2FD065E6"/>
    <w:rsid w:val="2FD96870"/>
    <w:rsid w:val="301E60F9"/>
    <w:rsid w:val="30580BC9"/>
    <w:rsid w:val="30A15BFD"/>
    <w:rsid w:val="30DC319E"/>
    <w:rsid w:val="30DD0CC4"/>
    <w:rsid w:val="31046251"/>
    <w:rsid w:val="310F2AB4"/>
    <w:rsid w:val="311E2ED7"/>
    <w:rsid w:val="315619EE"/>
    <w:rsid w:val="31581960"/>
    <w:rsid w:val="315C449C"/>
    <w:rsid w:val="31916CF9"/>
    <w:rsid w:val="31B82709"/>
    <w:rsid w:val="31D05482"/>
    <w:rsid w:val="31DB3BF6"/>
    <w:rsid w:val="32400B34"/>
    <w:rsid w:val="3243392C"/>
    <w:rsid w:val="32717BBE"/>
    <w:rsid w:val="32810A47"/>
    <w:rsid w:val="328A4EAF"/>
    <w:rsid w:val="329E6876"/>
    <w:rsid w:val="329F02DD"/>
    <w:rsid w:val="32AA11FF"/>
    <w:rsid w:val="32AC2BC2"/>
    <w:rsid w:val="32E2123F"/>
    <w:rsid w:val="32E77BD8"/>
    <w:rsid w:val="32EB2364"/>
    <w:rsid w:val="32F00525"/>
    <w:rsid w:val="32F708AC"/>
    <w:rsid w:val="33184235"/>
    <w:rsid w:val="333015F2"/>
    <w:rsid w:val="334B6320"/>
    <w:rsid w:val="33D934D4"/>
    <w:rsid w:val="33E458BE"/>
    <w:rsid w:val="33FE2F6A"/>
    <w:rsid w:val="340E07E5"/>
    <w:rsid w:val="34235BF7"/>
    <w:rsid w:val="34261109"/>
    <w:rsid w:val="34343D5E"/>
    <w:rsid w:val="347D07F4"/>
    <w:rsid w:val="34A264AC"/>
    <w:rsid w:val="34CC3529"/>
    <w:rsid w:val="34D21170"/>
    <w:rsid w:val="350F0DA6"/>
    <w:rsid w:val="35175346"/>
    <w:rsid w:val="353C24BC"/>
    <w:rsid w:val="35886798"/>
    <w:rsid w:val="358C5FA8"/>
    <w:rsid w:val="35947304"/>
    <w:rsid w:val="359803A6"/>
    <w:rsid w:val="35B743E1"/>
    <w:rsid w:val="35C15DF1"/>
    <w:rsid w:val="35C828C9"/>
    <w:rsid w:val="35DA58D3"/>
    <w:rsid w:val="35ED0FD2"/>
    <w:rsid w:val="35FB3C0A"/>
    <w:rsid w:val="36074A7F"/>
    <w:rsid w:val="360F36CE"/>
    <w:rsid w:val="36444BAC"/>
    <w:rsid w:val="36580B74"/>
    <w:rsid w:val="365F173F"/>
    <w:rsid w:val="368D0D38"/>
    <w:rsid w:val="36904A63"/>
    <w:rsid w:val="36923549"/>
    <w:rsid w:val="36A858D0"/>
    <w:rsid w:val="36B75FBF"/>
    <w:rsid w:val="36B77C11"/>
    <w:rsid w:val="36BD0C45"/>
    <w:rsid w:val="36DD574A"/>
    <w:rsid w:val="36E777D2"/>
    <w:rsid w:val="36FC5244"/>
    <w:rsid w:val="370E711A"/>
    <w:rsid w:val="374B6987"/>
    <w:rsid w:val="37E00298"/>
    <w:rsid w:val="37EF542F"/>
    <w:rsid w:val="37F27B04"/>
    <w:rsid w:val="37F75ABB"/>
    <w:rsid w:val="37F8679B"/>
    <w:rsid w:val="381031E5"/>
    <w:rsid w:val="3825367C"/>
    <w:rsid w:val="3843491C"/>
    <w:rsid w:val="384F5E57"/>
    <w:rsid w:val="38504C00"/>
    <w:rsid w:val="385447AC"/>
    <w:rsid w:val="38635F53"/>
    <w:rsid w:val="38837862"/>
    <w:rsid w:val="388B4D30"/>
    <w:rsid w:val="38B302F9"/>
    <w:rsid w:val="38BE4B56"/>
    <w:rsid w:val="38CE5AC2"/>
    <w:rsid w:val="38D73A1B"/>
    <w:rsid w:val="38E95597"/>
    <w:rsid w:val="38EF76F6"/>
    <w:rsid w:val="38F12CD3"/>
    <w:rsid w:val="38F94775"/>
    <w:rsid w:val="391E7723"/>
    <w:rsid w:val="392971ED"/>
    <w:rsid w:val="39322FCA"/>
    <w:rsid w:val="39325651"/>
    <w:rsid w:val="3945426D"/>
    <w:rsid w:val="395D0216"/>
    <w:rsid w:val="396B3311"/>
    <w:rsid w:val="398B45DB"/>
    <w:rsid w:val="399346E2"/>
    <w:rsid w:val="39F913A9"/>
    <w:rsid w:val="3A310679"/>
    <w:rsid w:val="3A7A3235"/>
    <w:rsid w:val="3A846E52"/>
    <w:rsid w:val="3A872856"/>
    <w:rsid w:val="3AC4024D"/>
    <w:rsid w:val="3ACE2CB1"/>
    <w:rsid w:val="3AD23FA0"/>
    <w:rsid w:val="3AE50EA1"/>
    <w:rsid w:val="3B244DB2"/>
    <w:rsid w:val="3B3242AD"/>
    <w:rsid w:val="3B3763D1"/>
    <w:rsid w:val="3B5636E7"/>
    <w:rsid w:val="3B6224F2"/>
    <w:rsid w:val="3B6E45CE"/>
    <w:rsid w:val="3B783A2C"/>
    <w:rsid w:val="3B87776B"/>
    <w:rsid w:val="3C2F6E1E"/>
    <w:rsid w:val="3C4446E2"/>
    <w:rsid w:val="3C4F64BA"/>
    <w:rsid w:val="3CDA245A"/>
    <w:rsid w:val="3CE80DE0"/>
    <w:rsid w:val="3CE92652"/>
    <w:rsid w:val="3CEC6CB4"/>
    <w:rsid w:val="3D030443"/>
    <w:rsid w:val="3D1D1714"/>
    <w:rsid w:val="3D1E06B7"/>
    <w:rsid w:val="3D355E21"/>
    <w:rsid w:val="3D530214"/>
    <w:rsid w:val="3D8449A1"/>
    <w:rsid w:val="3D9F525E"/>
    <w:rsid w:val="3DA3692C"/>
    <w:rsid w:val="3DCD0529"/>
    <w:rsid w:val="3DE91912"/>
    <w:rsid w:val="3E051344"/>
    <w:rsid w:val="3E08524E"/>
    <w:rsid w:val="3E186EA5"/>
    <w:rsid w:val="3E6B2899"/>
    <w:rsid w:val="3E6D73F2"/>
    <w:rsid w:val="3EB244ED"/>
    <w:rsid w:val="3EDA0523"/>
    <w:rsid w:val="3EDA1A29"/>
    <w:rsid w:val="3EDA3C9C"/>
    <w:rsid w:val="3F0802B3"/>
    <w:rsid w:val="3F090B68"/>
    <w:rsid w:val="3F2B4CD2"/>
    <w:rsid w:val="3F2F4815"/>
    <w:rsid w:val="3F42070F"/>
    <w:rsid w:val="3F8E59EF"/>
    <w:rsid w:val="3F9625DF"/>
    <w:rsid w:val="3F996322"/>
    <w:rsid w:val="3FAF4426"/>
    <w:rsid w:val="3FB52739"/>
    <w:rsid w:val="401A141D"/>
    <w:rsid w:val="402051A2"/>
    <w:rsid w:val="40493C57"/>
    <w:rsid w:val="4059131B"/>
    <w:rsid w:val="406C726E"/>
    <w:rsid w:val="407A6407"/>
    <w:rsid w:val="40D214C1"/>
    <w:rsid w:val="40D75C12"/>
    <w:rsid w:val="40F976DA"/>
    <w:rsid w:val="410127AD"/>
    <w:rsid w:val="41013F36"/>
    <w:rsid w:val="41117512"/>
    <w:rsid w:val="414E1F1F"/>
    <w:rsid w:val="414F2656"/>
    <w:rsid w:val="41566D3D"/>
    <w:rsid w:val="415B3C6B"/>
    <w:rsid w:val="41790B61"/>
    <w:rsid w:val="41957D0D"/>
    <w:rsid w:val="41C5338D"/>
    <w:rsid w:val="41EC567D"/>
    <w:rsid w:val="41F8770C"/>
    <w:rsid w:val="4200449D"/>
    <w:rsid w:val="42175930"/>
    <w:rsid w:val="42240EB8"/>
    <w:rsid w:val="422A16F7"/>
    <w:rsid w:val="423A3BCC"/>
    <w:rsid w:val="423A41C8"/>
    <w:rsid w:val="42446DF5"/>
    <w:rsid w:val="424E57D2"/>
    <w:rsid w:val="426374B7"/>
    <w:rsid w:val="4275168E"/>
    <w:rsid w:val="428242AC"/>
    <w:rsid w:val="428F6352"/>
    <w:rsid w:val="42B26C49"/>
    <w:rsid w:val="42ED77EC"/>
    <w:rsid w:val="42F269FC"/>
    <w:rsid w:val="42FE2CD1"/>
    <w:rsid w:val="43011885"/>
    <w:rsid w:val="43160791"/>
    <w:rsid w:val="432D1E6B"/>
    <w:rsid w:val="433A6FE6"/>
    <w:rsid w:val="43480868"/>
    <w:rsid w:val="4350713C"/>
    <w:rsid w:val="435D1690"/>
    <w:rsid w:val="4361773B"/>
    <w:rsid w:val="436653E0"/>
    <w:rsid w:val="4392273B"/>
    <w:rsid w:val="43A80371"/>
    <w:rsid w:val="43C4431A"/>
    <w:rsid w:val="43E25763"/>
    <w:rsid w:val="44077841"/>
    <w:rsid w:val="44333F20"/>
    <w:rsid w:val="4468247C"/>
    <w:rsid w:val="44A574B1"/>
    <w:rsid w:val="44B951CC"/>
    <w:rsid w:val="44C31B7B"/>
    <w:rsid w:val="44CD14E0"/>
    <w:rsid w:val="44E57BAF"/>
    <w:rsid w:val="44F20B0B"/>
    <w:rsid w:val="45190AE6"/>
    <w:rsid w:val="452B5B50"/>
    <w:rsid w:val="452E5F4C"/>
    <w:rsid w:val="45455C8B"/>
    <w:rsid w:val="45482A1D"/>
    <w:rsid w:val="45612018"/>
    <w:rsid w:val="457253C6"/>
    <w:rsid w:val="457F7322"/>
    <w:rsid w:val="4585575A"/>
    <w:rsid w:val="458946E9"/>
    <w:rsid w:val="459C2FFA"/>
    <w:rsid w:val="45A47C0E"/>
    <w:rsid w:val="45A64707"/>
    <w:rsid w:val="45A87A78"/>
    <w:rsid w:val="45CB3111"/>
    <w:rsid w:val="45D61170"/>
    <w:rsid w:val="45EC39D9"/>
    <w:rsid w:val="45F77EA3"/>
    <w:rsid w:val="460857E5"/>
    <w:rsid w:val="461E4FAF"/>
    <w:rsid w:val="46577FD6"/>
    <w:rsid w:val="46B42A0C"/>
    <w:rsid w:val="46BB7E19"/>
    <w:rsid w:val="46CF2729"/>
    <w:rsid w:val="46D955A7"/>
    <w:rsid w:val="46EE37D3"/>
    <w:rsid w:val="47133957"/>
    <w:rsid w:val="47473D8F"/>
    <w:rsid w:val="474C41ED"/>
    <w:rsid w:val="47556086"/>
    <w:rsid w:val="47596A34"/>
    <w:rsid w:val="47794E4B"/>
    <w:rsid w:val="47862AE7"/>
    <w:rsid w:val="478C311E"/>
    <w:rsid w:val="47951575"/>
    <w:rsid w:val="479E0D55"/>
    <w:rsid w:val="47A07E0C"/>
    <w:rsid w:val="47B108CC"/>
    <w:rsid w:val="47C143F4"/>
    <w:rsid w:val="482F4D7B"/>
    <w:rsid w:val="4845532B"/>
    <w:rsid w:val="484D4341"/>
    <w:rsid w:val="4870272E"/>
    <w:rsid w:val="489C2860"/>
    <w:rsid w:val="48B6475B"/>
    <w:rsid w:val="48D5710C"/>
    <w:rsid w:val="49085817"/>
    <w:rsid w:val="4909308E"/>
    <w:rsid w:val="49121C49"/>
    <w:rsid w:val="492158E8"/>
    <w:rsid w:val="49803AD6"/>
    <w:rsid w:val="499C7517"/>
    <w:rsid w:val="49B63049"/>
    <w:rsid w:val="49B9156A"/>
    <w:rsid w:val="49DA2068"/>
    <w:rsid w:val="49DC7715"/>
    <w:rsid w:val="4A023139"/>
    <w:rsid w:val="4A7B576F"/>
    <w:rsid w:val="4AA4638B"/>
    <w:rsid w:val="4AF561A9"/>
    <w:rsid w:val="4AF611C9"/>
    <w:rsid w:val="4B177979"/>
    <w:rsid w:val="4BA20F16"/>
    <w:rsid w:val="4BAB3A41"/>
    <w:rsid w:val="4BC842FF"/>
    <w:rsid w:val="4BDC48A9"/>
    <w:rsid w:val="4BDF3654"/>
    <w:rsid w:val="4BEB208F"/>
    <w:rsid w:val="4BED62F4"/>
    <w:rsid w:val="4C1705E5"/>
    <w:rsid w:val="4C351783"/>
    <w:rsid w:val="4C426C89"/>
    <w:rsid w:val="4C43085E"/>
    <w:rsid w:val="4C4A0649"/>
    <w:rsid w:val="4C7E5ECA"/>
    <w:rsid w:val="4C876AA5"/>
    <w:rsid w:val="4CC748AA"/>
    <w:rsid w:val="4CC75342"/>
    <w:rsid w:val="4CE26E45"/>
    <w:rsid w:val="4D0C3B8C"/>
    <w:rsid w:val="4D0E00FB"/>
    <w:rsid w:val="4D176606"/>
    <w:rsid w:val="4D1B0752"/>
    <w:rsid w:val="4D4C21EC"/>
    <w:rsid w:val="4D670DD4"/>
    <w:rsid w:val="4D6C25E8"/>
    <w:rsid w:val="4D884289"/>
    <w:rsid w:val="4D8D585A"/>
    <w:rsid w:val="4DBB3C40"/>
    <w:rsid w:val="4DC62DB4"/>
    <w:rsid w:val="4DE25ACF"/>
    <w:rsid w:val="4DEC4FB0"/>
    <w:rsid w:val="4DFA480C"/>
    <w:rsid w:val="4E034757"/>
    <w:rsid w:val="4E075D8A"/>
    <w:rsid w:val="4E3046D1"/>
    <w:rsid w:val="4E4A1E41"/>
    <w:rsid w:val="4E6525CD"/>
    <w:rsid w:val="4E6B0EA9"/>
    <w:rsid w:val="4E6B29BF"/>
    <w:rsid w:val="4EB64BD7"/>
    <w:rsid w:val="4EC00FAD"/>
    <w:rsid w:val="4EC6407D"/>
    <w:rsid w:val="4F543C96"/>
    <w:rsid w:val="4F610EAE"/>
    <w:rsid w:val="4F626994"/>
    <w:rsid w:val="4F9843DC"/>
    <w:rsid w:val="4FC55F19"/>
    <w:rsid w:val="4FC62A8C"/>
    <w:rsid w:val="4FCE693F"/>
    <w:rsid w:val="4FDD4CD3"/>
    <w:rsid w:val="4FE20F0D"/>
    <w:rsid w:val="4FE51552"/>
    <w:rsid w:val="4FEE214E"/>
    <w:rsid w:val="4FFE56A9"/>
    <w:rsid w:val="501778F7"/>
    <w:rsid w:val="50234908"/>
    <w:rsid w:val="502467EF"/>
    <w:rsid w:val="50504C4B"/>
    <w:rsid w:val="505109FA"/>
    <w:rsid w:val="50524D46"/>
    <w:rsid w:val="509C6E7C"/>
    <w:rsid w:val="50E82185"/>
    <w:rsid w:val="5162104E"/>
    <w:rsid w:val="516D30D3"/>
    <w:rsid w:val="518A4C88"/>
    <w:rsid w:val="519759CE"/>
    <w:rsid w:val="51D07D5D"/>
    <w:rsid w:val="51DE2BE6"/>
    <w:rsid w:val="52171E30"/>
    <w:rsid w:val="52435FBD"/>
    <w:rsid w:val="5247460D"/>
    <w:rsid w:val="5247554A"/>
    <w:rsid w:val="52522159"/>
    <w:rsid w:val="52641C79"/>
    <w:rsid w:val="52A631B4"/>
    <w:rsid w:val="52A64F62"/>
    <w:rsid w:val="52B01055"/>
    <w:rsid w:val="52CF6267"/>
    <w:rsid w:val="52D804ED"/>
    <w:rsid w:val="52E643E3"/>
    <w:rsid w:val="5320130A"/>
    <w:rsid w:val="533F74F3"/>
    <w:rsid w:val="53A039CC"/>
    <w:rsid w:val="53A1505A"/>
    <w:rsid w:val="53C04BD2"/>
    <w:rsid w:val="53FE0359"/>
    <w:rsid w:val="54055774"/>
    <w:rsid w:val="54063E08"/>
    <w:rsid w:val="54240834"/>
    <w:rsid w:val="54271C7C"/>
    <w:rsid w:val="543437E8"/>
    <w:rsid w:val="54A379AB"/>
    <w:rsid w:val="54B430BC"/>
    <w:rsid w:val="54B62036"/>
    <w:rsid w:val="54F73313"/>
    <w:rsid w:val="54F80955"/>
    <w:rsid w:val="55092EF4"/>
    <w:rsid w:val="55253DA2"/>
    <w:rsid w:val="555170A7"/>
    <w:rsid w:val="555662EF"/>
    <w:rsid w:val="556A6BFD"/>
    <w:rsid w:val="557004B2"/>
    <w:rsid w:val="5587536D"/>
    <w:rsid w:val="559551F7"/>
    <w:rsid w:val="559B174B"/>
    <w:rsid w:val="55B04D09"/>
    <w:rsid w:val="55CE0CF4"/>
    <w:rsid w:val="55DC09CA"/>
    <w:rsid w:val="56085FD8"/>
    <w:rsid w:val="56154D57"/>
    <w:rsid w:val="56233FEA"/>
    <w:rsid w:val="5638698C"/>
    <w:rsid w:val="56622B57"/>
    <w:rsid w:val="566A43F2"/>
    <w:rsid w:val="567D77DA"/>
    <w:rsid w:val="568D2B1D"/>
    <w:rsid w:val="56B22A9C"/>
    <w:rsid w:val="56CE64A5"/>
    <w:rsid w:val="56D55286"/>
    <w:rsid w:val="56DB79FF"/>
    <w:rsid w:val="57265675"/>
    <w:rsid w:val="572D77F1"/>
    <w:rsid w:val="574D4B88"/>
    <w:rsid w:val="575546F8"/>
    <w:rsid w:val="5763774A"/>
    <w:rsid w:val="57793FDE"/>
    <w:rsid w:val="57B72A76"/>
    <w:rsid w:val="57C3426C"/>
    <w:rsid w:val="57CE1F93"/>
    <w:rsid w:val="57E2517A"/>
    <w:rsid w:val="57E2671C"/>
    <w:rsid w:val="57FB4E78"/>
    <w:rsid w:val="5803005A"/>
    <w:rsid w:val="581804D1"/>
    <w:rsid w:val="582543F2"/>
    <w:rsid w:val="58566C0F"/>
    <w:rsid w:val="588743D1"/>
    <w:rsid w:val="5887701A"/>
    <w:rsid w:val="588A61EE"/>
    <w:rsid w:val="58B8154B"/>
    <w:rsid w:val="58C9056F"/>
    <w:rsid w:val="58CA5ABD"/>
    <w:rsid w:val="58D21842"/>
    <w:rsid w:val="58E4647C"/>
    <w:rsid w:val="590C6FA2"/>
    <w:rsid w:val="59182D00"/>
    <w:rsid w:val="591A7E3E"/>
    <w:rsid w:val="591C41D0"/>
    <w:rsid w:val="59277DF8"/>
    <w:rsid w:val="594855F7"/>
    <w:rsid w:val="594E2A1D"/>
    <w:rsid w:val="59A21A68"/>
    <w:rsid w:val="59B204B6"/>
    <w:rsid w:val="59B461B6"/>
    <w:rsid w:val="59C0439F"/>
    <w:rsid w:val="59D42ABB"/>
    <w:rsid w:val="59DD02E1"/>
    <w:rsid w:val="59E144EF"/>
    <w:rsid w:val="5A171CFA"/>
    <w:rsid w:val="5A310504"/>
    <w:rsid w:val="5A420BA5"/>
    <w:rsid w:val="5A70032F"/>
    <w:rsid w:val="5AAF0554"/>
    <w:rsid w:val="5AB2050F"/>
    <w:rsid w:val="5ABE2233"/>
    <w:rsid w:val="5AFC1709"/>
    <w:rsid w:val="5B0D2022"/>
    <w:rsid w:val="5B134EC3"/>
    <w:rsid w:val="5B1D655E"/>
    <w:rsid w:val="5B4926A2"/>
    <w:rsid w:val="5B956ECD"/>
    <w:rsid w:val="5BB9330A"/>
    <w:rsid w:val="5BB95D06"/>
    <w:rsid w:val="5BDF5D95"/>
    <w:rsid w:val="5BEB56DE"/>
    <w:rsid w:val="5BF556C9"/>
    <w:rsid w:val="5BFE7528"/>
    <w:rsid w:val="5C1D0043"/>
    <w:rsid w:val="5C251B03"/>
    <w:rsid w:val="5C3A6E47"/>
    <w:rsid w:val="5C827774"/>
    <w:rsid w:val="5CA70254"/>
    <w:rsid w:val="5CD74668"/>
    <w:rsid w:val="5D217A2A"/>
    <w:rsid w:val="5D2B44E7"/>
    <w:rsid w:val="5D31534A"/>
    <w:rsid w:val="5D371329"/>
    <w:rsid w:val="5D3D0739"/>
    <w:rsid w:val="5D6F2B20"/>
    <w:rsid w:val="5DD47200"/>
    <w:rsid w:val="5DD97295"/>
    <w:rsid w:val="5DD97CA7"/>
    <w:rsid w:val="5E0C56D5"/>
    <w:rsid w:val="5E2467F1"/>
    <w:rsid w:val="5E387AB3"/>
    <w:rsid w:val="5E952B0D"/>
    <w:rsid w:val="5EBC1C9C"/>
    <w:rsid w:val="5ECB3707"/>
    <w:rsid w:val="5F0C2943"/>
    <w:rsid w:val="5F166EB9"/>
    <w:rsid w:val="5F1A2B43"/>
    <w:rsid w:val="5F2C14DF"/>
    <w:rsid w:val="5F3715C2"/>
    <w:rsid w:val="5F452814"/>
    <w:rsid w:val="5F4932CA"/>
    <w:rsid w:val="5F527307"/>
    <w:rsid w:val="5F5811B0"/>
    <w:rsid w:val="5F663436"/>
    <w:rsid w:val="5F6D308F"/>
    <w:rsid w:val="5F7447D6"/>
    <w:rsid w:val="5F9D3F04"/>
    <w:rsid w:val="5FA43192"/>
    <w:rsid w:val="5FAF7FBC"/>
    <w:rsid w:val="5FB837BB"/>
    <w:rsid w:val="60160B29"/>
    <w:rsid w:val="601A353E"/>
    <w:rsid w:val="602C1B17"/>
    <w:rsid w:val="605562D9"/>
    <w:rsid w:val="60736A8B"/>
    <w:rsid w:val="608D42AE"/>
    <w:rsid w:val="60CC405A"/>
    <w:rsid w:val="60DD09F9"/>
    <w:rsid w:val="60E43825"/>
    <w:rsid w:val="60E90B1B"/>
    <w:rsid w:val="60E94998"/>
    <w:rsid w:val="610926E1"/>
    <w:rsid w:val="61133D50"/>
    <w:rsid w:val="613F5EF9"/>
    <w:rsid w:val="61514DC4"/>
    <w:rsid w:val="61803052"/>
    <w:rsid w:val="61945ECF"/>
    <w:rsid w:val="61A44D62"/>
    <w:rsid w:val="61A54264"/>
    <w:rsid w:val="61DF4AC1"/>
    <w:rsid w:val="61E215D8"/>
    <w:rsid w:val="62123806"/>
    <w:rsid w:val="62150DF8"/>
    <w:rsid w:val="621B3775"/>
    <w:rsid w:val="621D79FB"/>
    <w:rsid w:val="623342AD"/>
    <w:rsid w:val="62364782"/>
    <w:rsid w:val="623C1231"/>
    <w:rsid w:val="626D0F69"/>
    <w:rsid w:val="62AC3ECF"/>
    <w:rsid w:val="62CA4D9C"/>
    <w:rsid w:val="62E94879"/>
    <w:rsid w:val="630F5AF5"/>
    <w:rsid w:val="633001C0"/>
    <w:rsid w:val="6334433F"/>
    <w:rsid w:val="634110F5"/>
    <w:rsid w:val="637970C3"/>
    <w:rsid w:val="6394356A"/>
    <w:rsid w:val="63C5277C"/>
    <w:rsid w:val="63C61B2C"/>
    <w:rsid w:val="63D40BE9"/>
    <w:rsid w:val="64102431"/>
    <w:rsid w:val="64171538"/>
    <w:rsid w:val="641E6213"/>
    <w:rsid w:val="643477F7"/>
    <w:rsid w:val="643E038C"/>
    <w:rsid w:val="645D4B95"/>
    <w:rsid w:val="64981C1F"/>
    <w:rsid w:val="64A5243A"/>
    <w:rsid w:val="64AC465A"/>
    <w:rsid w:val="64B03E01"/>
    <w:rsid w:val="64EE6A20"/>
    <w:rsid w:val="64F531DE"/>
    <w:rsid w:val="6511287D"/>
    <w:rsid w:val="652C579B"/>
    <w:rsid w:val="65300744"/>
    <w:rsid w:val="65373578"/>
    <w:rsid w:val="65431134"/>
    <w:rsid w:val="657A414A"/>
    <w:rsid w:val="65834036"/>
    <w:rsid w:val="65BC26DE"/>
    <w:rsid w:val="65C92F03"/>
    <w:rsid w:val="65EF191D"/>
    <w:rsid w:val="66061C70"/>
    <w:rsid w:val="660D4685"/>
    <w:rsid w:val="663630E5"/>
    <w:rsid w:val="663F18D6"/>
    <w:rsid w:val="663F3F7D"/>
    <w:rsid w:val="666920D7"/>
    <w:rsid w:val="66900198"/>
    <w:rsid w:val="669A1193"/>
    <w:rsid w:val="66A7402D"/>
    <w:rsid w:val="66CD2666"/>
    <w:rsid w:val="66DE7B96"/>
    <w:rsid w:val="66FD780E"/>
    <w:rsid w:val="670562A3"/>
    <w:rsid w:val="671F124A"/>
    <w:rsid w:val="672F727F"/>
    <w:rsid w:val="67517C6C"/>
    <w:rsid w:val="676905E0"/>
    <w:rsid w:val="67712913"/>
    <w:rsid w:val="677A33C6"/>
    <w:rsid w:val="67853036"/>
    <w:rsid w:val="67AE3EBD"/>
    <w:rsid w:val="67C03A66"/>
    <w:rsid w:val="67D4369E"/>
    <w:rsid w:val="67E561D1"/>
    <w:rsid w:val="67F51E74"/>
    <w:rsid w:val="681D0FA2"/>
    <w:rsid w:val="681E616B"/>
    <w:rsid w:val="681F6961"/>
    <w:rsid w:val="68610A2F"/>
    <w:rsid w:val="68805514"/>
    <w:rsid w:val="688E3358"/>
    <w:rsid w:val="68AA7E13"/>
    <w:rsid w:val="69227097"/>
    <w:rsid w:val="69316E2F"/>
    <w:rsid w:val="693F352A"/>
    <w:rsid w:val="69462109"/>
    <w:rsid w:val="694E2071"/>
    <w:rsid w:val="696279DD"/>
    <w:rsid w:val="69766163"/>
    <w:rsid w:val="697A3B33"/>
    <w:rsid w:val="69807ED2"/>
    <w:rsid w:val="69BA15C7"/>
    <w:rsid w:val="69D44760"/>
    <w:rsid w:val="69E94088"/>
    <w:rsid w:val="69EA63BC"/>
    <w:rsid w:val="6A520EC7"/>
    <w:rsid w:val="6A5613D4"/>
    <w:rsid w:val="6A9B7A0F"/>
    <w:rsid w:val="6AC16A1E"/>
    <w:rsid w:val="6AF87E20"/>
    <w:rsid w:val="6B2A23E5"/>
    <w:rsid w:val="6B322639"/>
    <w:rsid w:val="6B6E72A2"/>
    <w:rsid w:val="6B9C508D"/>
    <w:rsid w:val="6BD719F4"/>
    <w:rsid w:val="6BDD0AD0"/>
    <w:rsid w:val="6C1B3E73"/>
    <w:rsid w:val="6C3D250C"/>
    <w:rsid w:val="6C636C38"/>
    <w:rsid w:val="6C6536A3"/>
    <w:rsid w:val="6C663340"/>
    <w:rsid w:val="6C824456"/>
    <w:rsid w:val="6CC16FAD"/>
    <w:rsid w:val="6CD464BB"/>
    <w:rsid w:val="6CDE381E"/>
    <w:rsid w:val="6CF36A4E"/>
    <w:rsid w:val="6D045A68"/>
    <w:rsid w:val="6D1600DA"/>
    <w:rsid w:val="6D286848"/>
    <w:rsid w:val="6D312A80"/>
    <w:rsid w:val="6D61642F"/>
    <w:rsid w:val="6DB34098"/>
    <w:rsid w:val="6DB545B6"/>
    <w:rsid w:val="6DDC56B7"/>
    <w:rsid w:val="6DE02FB4"/>
    <w:rsid w:val="6E186969"/>
    <w:rsid w:val="6E3363A6"/>
    <w:rsid w:val="6E514CED"/>
    <w:rsid w:val="6E7168F0"/>
    <w:rsid w:val="6E7970C4"/>
    <w:rsid w:val="6E807F32"/>
    <w:rsid w:val="6EA12D56"/>
    <w:rsid w:val="6EB563D5"/>
    <w:rsid w:val="6EBE595D"/>
    <w:rsid w:val="6EC73A65"/>
    <w:rsid w:val="6EC82428"/>
    <w:rsid w:val="6ED92677"/>
    <w:rsid w:val="6ED97F76"/>
    <w:rsid w:val="6EE3336E"/>
    <w:rsid w:val="6EE63C6A"/>
    <w:rsid w:val="6EF56033"/>
    <w:rsid w:val="6EF975D9"/>
    <w:rsid w:val="6F225983"/>
    <w:rsid w:val="6F5E7E62"/>
    <w:rsid w:val="6F6F043D"/>
    <w:rsid w:val="6F9A4790"/>
    <w:rsid w:val="6FBA7053"/>
    <w:rsid w:val="6FC0545D"/>
    <w:rsid w:val="6FD26F3F"/>
    <w:rsid w:val="6FFC5590"/>
    <w:rsid w:val="700F3710"/>
    <w:rsid w:val="70253512"/>
    <w:rsid w:val="70331DA0"/>
    <w:rsid w:val="70381EE1"/>
    <w:rsid w:val="705859F7"/>
    <w:rsid w:val="70634B65"/>
    <w:rsid w:val="706D1DD0"/>
    <w:rsid w:val="706E0796"/>
    <w:rsid w:val="70856B87"/>
    <w:rsid w:val="70A43FDB"/>
    <w:rsid w:val="70D13A09"/>
    <w:rsid w:val="70D527EE"/>
    <w:rsid w:val="71042DFA"/>
    <w:rsid w:val="711D41EA"/>
    <w:rsid w:val="7148594E"/>
    <w:rsid w:val="71555F10"/>
    <w:rsid w:val="715B5300"/>
    <w:rsid w:val="715C73AA"/>
    <w:rsid w:val="71D27F8A"/>
    <w:rsid w:val="71EC0957"/>
    <w:rsid w:val="72222A9D"/>
    <w:rsid w:val="72275320"/>
    <w:rsid w:val="7245480B"/>
    <w:rsid w:val="72553024"/>
    <w:rsid w:val="726A345E"/>
    <w:rsid w:val="7290460F"/>
    <w:rsid w:val="72A51B36"/>
    <w:rsid w:val="72D34529"/>
    <w:rsid w:val="72FA0D7E"/>
    <w:rsid w:val="73122968"/>
    <w:rsid w:val="731F5D5E"/>
    <w:rsid w:val="73474BF1"/>
    <w:rsid w:val="735F625E"/>
    <w:rsid w:val="736976A8"/>
    <w:rsid w:val="739410AD"/>
    <w:rsid w:val="73945379"/>
    <w:rsid w:val="73BF3510"/>
    <w:rsid w:val="73C51AD5"/>
    <w:rsid w:val="73C60B68"/>
    <w:rsid w:val="73D41E76"/>
    <w:rsid w:val="73D81974"/>
    <w:rsid w:val="73D8EB16"/>
    <w:rsid w:val="73F109CE"/>
    <w:rsid w:val="740173B2"/>
    <w:rsid w:val="741E793C"/>
    <w:rsid w:val="74211AE8"/>
    <w:rsid w:val="743A6A56"/>
    <w:rsid w:val="74582108"/>
    <w:rsid w:val="745E3944"/>
    <w:rsid w:val="7460142D"/>
    <w:rsid w:val="7466476D"/>
    <w:rsid w:val="747F6656"/>
    <w:rsid w:val="74AE507D"/>
    <w:rsid w:val="74B31E29"/>
    <w:rsid w:val="74D47F23"/>
    <w:rsid w:val="74F74EB6"/>
    <w:rsid w:val="75077BA9"/>
    <w:rsid w:val="75104791"/>
    <w:rsid w:val="752D1AEF"/>
    <w:rsid w:val="75526419"/>
    <w:rsid w:val="755903C7"/>
    <w:rsid w:val="75664452"/>
    <w:rsid w:val="757721E5"/>
    <w:rsid w:val="7579787F"/>
    <w:rsid w:val="75BD1113"/>
    <w:rsid w:val="7616113E"/>
    <w:rsid w:val="761C05C8"/>
    <w:rsid w:val="7635099D"/>
    <w:rsid w:val="764B6E85"/>
    <w:rsid w:val="768B7631"/>
    <w:rsid w:val="76C70DDE"/>
    <w:rsid w:val="76CB5848"/>
    <w:rsid w:val="7706409E"/>
    <w:rsid w:val="771818A4"/>
    <w:rsid w:val="77752582"/>
    <w:rsid w:val="77762421"/>
    <w:rsid w:val="77812953"/>
    <w:rsid w:val="779136EF"/>
    <w:rsid w:val="77B56B1F"/>
    <w:rsid w:val="77B65AFF"/>
    <w:rsid w:val="77D25D2E"/>
    <w:rsid w:val="77FC724F"/>
    <w:rsid w:val="780B12CE"/>
    <w:rsid w:val="780F09F4"/>
    <w:rsid w:val="784D6E6B"/>
    <w:rsid w:val="789D2327"/>
    <w:rsid w:val="789E4CAA"/>
    <w:rsid w:val="78A05E2C"/>
    <w:rsid w:val="78A90480"/>
    <w:rsid w:val="78B4425E"/>
    <w:rsid w:val="78C338C8"/>
    <w:rsid w:val="78F80068"/>
    <w:rsid w:val="79001BA3"/>
    <w:rsid w:val="79057184"/>
    <w:rsid w:val="790F2910"/>
    <w:rsid w:val="791A4093"/>
    <w:rsid w:val="792A60E5"/>
    <w:rsid w:val="79330A4E"/>
    <w:rsid w:val="799D0C3F"/>
    <w:rsid w:val="79BB4445"/>
    <w:rsid w:val="79F03EF8"/>
    <w:rsid w:val="7A364017"/>
    <w:rsid w:val="7A394E46"/>
    <w:rsid w:val="7A573AD7"/>
    <w:rsid w:val="7A5C3FD5"/>
    <w:rsid w:val="7A6701F6"/>
    <w:rsid w:val="7A8265E1"/>
    <w:rsid w:val="7A8772A3"/>
    <w:rsid w:val="7A8C22DE"/>
    <w:rsid w:val="7A922302"/>
    <w:rsid w:val="7A933520"/>
    <w:rsid w:val="7AA5597C"/>
    <w:rsid w:val="7AC7048B"/>
    <w:rsid w:val="7ACA3634"/>
    <w:rsid w:val="7ACE2955"/>
    <w:rsid w:val="7AD87F09"/>
    <w:rsid w:val="7AE62DF6"/>
    <w:rsid w:val="7AEB5C18"/>
    <w:rsid w:val="7AF6674C"/>
    <w:rsid w:val="7B06756E"/>
    <w:rsid w:val="7B0D7C61"/>
    <w:rsid w:val="7B686D42"/>
    <w:rsid w:val="7B841746"/>
    <w:rsid w:val="7BB221D7"/>
    <w:rsid w:val="7C0A662A"/>
    <w:rsid w:val="7C16076A"/>
    <w:rsid w:val="7C201DB9"/>
    <w:rsid w:val="7C29438A"/>
    <w:rsid w:val="7C5735B8"/>
    <w:rsid w:val="7C5807CC"/>
    <w:rsid w:val="7C607DC2"/>
    <w:rsid w:val="7C62024B"/>
    <w:rsid w:val="7C6C5AC7"/>
    <w:rsid w:val="7C714109"/>
    <w:rsid w:val="7C875CE4"/>
    <w:rsid w:val="7CC25607"/>
    <w:rsid w:val="7CC6544B"/>
    <w:rsid w:val="7CF6426C"/>
    <w:rsid w:val="7CFD384D"/>
    <w:rsid w:val="7D010932"/>
    <w:rsid w:val="7D0239FF"/>
    <w:rsid w:val="7D3743F0"/>
    <w:rsid w:val="7D493466"/>
    <w:rsid w:val="7D5E40CD"/>
    <w:rsid w:val="7D802572"/>
    <w:rsid w:val="7DBF48B1"/>
    <w:rsid w:val="7DCD56F2"/>
    <w:rsid w:val="7DCD6B2C"/>
    <w:rsid w:val="7E1D2318"/>
    <w:rsid w:val="7E392375"/>
    <w:rsid w:val="7E5F6B48"/>
    <w:rsid w:val="7E663DA0"/>
    <w:rsid w:val="7E704464"/>
    <w:rsid w:val="7EA273DA"/>
    <w:rsid w:val="7EA41700"/>
    <w:rsid w:val="7EAF557B"/>
    <w:rsid w:val="7EC61674"/>
    <w:rsid w:val="7EC74BD0"/>
    <w:rsid w:val="7EFF74BD"/>
    <w:rsid w:val="7F001CE7"/>
    <w:rsid w:val="7F0A0B33"/>
    <w:rsid w:val="7F235E7D"/>
    <w:rsid w:val="7F397F7C"/>
    <w:rsid w:val="7F594F87"/>
    <w:rsid w:val="7F82628B"/>
    <w:rsid w:val="7FA207DC"/>
    <w:rsid w:val="7FA33988"/>
    <w:rsid w:val="7FB27CDF"/>
    <w:rsid w:val="7FCE14D1"/>
    <w:rsid w:val="7FDF0A2A"/>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99"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3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8"/>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9"/>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character" w:default="1" w:styleId="39">
    <w:name w:val="Default Paragraph Font"/>
    <w:semiHidden/>
    <w:qFormat/>
    <w:uiPriority w:val="0"/>
  </w:style>
  <w:style w:type="table" w:default="1" w:styleId="36">
    <w:name w:val="Normal Table"/>
    <w:semiHidden/>
    <w:qFormat/>
    <w:uiPriority w:val="0"/>
    <w:tblPr>
      <w:tblLayout w:type="fixed"/>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caption"/>
    <w:basedOn w:val="1"/>
    <w:next w:val="1"/>
    <w:link w:val="55"/>
    <w:qFormat/>
    <w:uiPriority w:val="0"/>
    <w:pPr>
      <w:spacing w:line="360" w:lineRule="auto"/>
      <w:jc w:val="center"/>
    </w:pPr>
    <w:rPr>
      <w:b/>
      <w:color w:val="0000FF"/>
      <w:kern w:val="2"/>
      <w:sz w:val="24"/>
      <w:szCs w:val="24"/>
      <w:lang w:val="en-US" w:eastAsia="zh-CN" w:bidi="ar-SA"/>
    </w:rPr>
  </w:style>
  <w:style w:type="paragraph" w:styleId="8">
    <w:name w:val="toa heading"/>
    <w:basedOn w:val="1"/>
    <w:next w:val="1"/>
    <w:qFormat/>
    <w:uiPriority w:val="99"/>
    <w:pPr>
      <w:spacing w:before="120" w:line="360" w:lineRule="auto"/>
      <w:ind w:firstLine="200" w:firstLineChars="200"/>
      <w:jc w:val="left"/>
    </w:pPr>
    <w:rPr>
      <w:rFonts w:ascii="Arial" w:hAnsi="Arial" w:cs="Arial"/>
      <w:sz w:val="24"/>
    </w:rPr>
  </w:style>
  <w:style w:type="paragraph" w:styleId="9">
    <w:name w:val="annotation text"/>
    <w:basedOn w:val="1"/>
    <w:link w:val="56"/>
    <w:qFormat/>
    <w:uiPriority w:val="0"/>
    <w:pPr>
      <w:jc w:val="left"/>
    </w:pPr>
    <w:rPr>
      <w:kern w:val="0"/>
      <w:sz w:val="24"/>
      <w:szCs w:val="20"/>
    </w:rPr>
  </w:style>
  <w:style w:type="paragraph" w:styleId="10">
    <w:name w:val="Salutation"/>
    <w:basedOn w:val="1"/>
    <w:next w:val="1"/>
    <w:unhideWhenUsed/>
    <w:qFormat/>
    <w:uiPriority w:val="99"/>
    <w:rPr>
      <w:rFonts w:ascii="Calibri" w:hAnsi="Calibri"/>
    </w:rPr>
  </w:style>
  <w:style w:type="paragraph" w:styleId="11">
    <w:name w:val="Body Text"/>
    <w:basedOn w:val="1"/>
    <w:link w:val="57"/>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58"/>
    <w:qFormat/>
    <w:uiPriority w:val="0"/>
    <w:pPr>
      <w:spacing w:after="120"/>
      <w:ind w:left="420" w:leftChars="200"/>
    </w:pPr>
    <w:rPr>
      <w:kern w:val="0"/>
      <w:sz w:val="24"/>
      <w:szCs w:val="20"/>
    </w:rPr>
  </w:style>
  <w:style w:type="paragraph" w:customStyle="1" w:styleId="13">
    <w:name w:val="报告"/>
    <w:basedOn w:val="1"/>
    <w:link w:val="59"/>
    <w:qFormat/>
    <w:uiPriority w:val="0"/>
    <w:pPr>
      <w:autoSpaceDE w:val="0"/>
      <w:autoSpaceDN w:val="0"/>
      <w:adjustRightInd w:val="0"/>
      <w:spacing w:line="360" w:lineRule="auto"/>
      <w:ind w:firstLine="505"/>
      <w:jc w:val="left"/>
      <w:textAlignment w:val="baseline"/>
    </w:pPr>
    <w:rPr>
      <w:kern w:val="0"/>
      <w:sz w:val="24"/>
      <w:szCs w:val="20"/>
    </w:rPr>
  </w:style>
  <w:style w:type="paragraph" w:styleId="14">
    <w:name w:val="Block Text"/>
    <w:basedOn w:val="1"/>
    <w:qFormat/>
    <w:uiPriority w:val="0"/>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15">
    <w:name w:val="toc 3"/>
    <w:basedOn w:val="1"/>
    <w:next w:val="1"/>
    <w:unhideWhenUsed/>
    <w:qFormat/>
    <w:uiPriority w:val="39"/>
    <w:pPr>
      <w:ind w:left="840" w:leftChars="400"/>
    </w:pPr>
    <w:rPr>
      <w:rFonts w:ascii="Calibri" w:hAnsi="Calibri"/>
      <w:szCs w:val="22"/>
    </w:rPr>
  </w:style>
  <w:style w:type="paragraph" w:styleId="16">
    <w:name w:val="Plain Text"/>
    <w:basedOn w:val="1"/>
    <w:next w:val="17"/>
    <w:link w:val="60"/>
    <w:qFormat/>
    <w:uiPriority w:val="0"/>
    <w:rPr>
      <w:rFonts w:ascii="宋体" w:hAnsi="Courier New"/>
      <w:color w:val="0000FF"/>
      <w:szCs w:val="20"/>
    </w:rPr>
  </w:style>
  <w:style w:type="paragraph" w:styleId="17">
    <w:name w:val="toc 1"/>
    <w:basedOn w:val="1"/>
    <w:next w:val="1"/>
    <w:unhideWhenUsed/>
    <w:qFormat/>
    <w:uiPriority w:val="39"/>
    <w:rPr>
      <w:rFonts w:ascii="Calibri" w:hAnsi="Calibri"/>
      <w:szCs w:val="22"/>
    </w:rPr>
  </w:style>
  <w:style w:type="paragraph" w:styleId="18">
    <w:name w:val="List Bullet 5"/>
    <w:basedOn w:val="1"/>
    <w:qFormat/>
    <w:uiPriority w:val="0"/>
    <w:pPr>
      <w:numPr>
        <w:ilvl w:val="0"/>
        <w:numId w:val="1"/>
      </w:numPr>
    </w:pPr>
  </w:style>
  <w:style w:type="paragraph" w:styleId="19">
    <w:name w:val="Date"/>
    <w:basedOn w:val="1"/>
    <w:next w:val="1"/>
    <w:link w:val="61"/>
    <w:qFormat/>
    <w:uiPriority w:val="99"/>
    <w:pPr>
      <w:ind w:left="100" w:leftChars="2500"/>
    </w:pPr>
    <w:rPr>
      <w:kern w:val="0"/>
      <w:sz w:val="24"/>
      <w:szCs w:val="20"/>
    </w:rPr>
  </w:style>
  <w:style w:type="paragraph" w:styleId="20">
    <w:name w:val="Body Text Indent 2"/>
    <w:basedOn w:val="1"/>
    <w:next w:val="21"/>
    <w:link w:val="62"/>
    <w:qFormat/>
    <w:uiPriority w:val="0"/>
    <w:pPr>
      <w:spacing w:after="120" w:line="480" w:lineRule="auto"/>
      <w:ind w:left="420" w:leftChars="200"/>
    </w:pPr>
  </w:style>
  <w:style w:type="paragraph" w:customStyle="1" w:styleId="21">
    <w:name w:val="简单回函地址"/>
    <w:basedOn w:val="1"/>
    <w:next w:val="22"/>
    <w:qFormat/>
    <w:uiPriority w:val="99"/>
    <w:pPr>
      <w:adjustRightInd w:val="0"/>
      <w:snapToGrid w:val="0"/>
      <w:spacing w:line="360" w:lineRule="auto"/>
      <w:ind w:left="200" w:leftChars="200"/>
      <w:jc w:val="left"/>
    </w:pPr>
    <w:rPr>
      <w:rFonts w:eastAsia="楷体_GB2312"/>
      <w:sz w:val="32"/>
      <w:szCs w:val="20"/>
    </w:rPr>
  </w:style>
  <w:style w:type="paragraph" w:customStyle="1" w:styleId="22">
    <w:name w:val="正文2"/>
    <w:basedOn w:val="1"/>
    <w:qFormat/>
    <w:uiPriority w:val="0"/>
    <w:pPr>
      <w:spacing w:line="360" w:lineRule="auto"/>
      <w:ind w:firstLine="200" w:firstLineChars="200"/>
    </w:pPr>
    <w:rPr>
      <w:sz w:val="24"/>
    </w:rPr>
  </w:style>
  <w:style w:type="paragraph" w:styleId="23">
    <w:name w:val="Balloon Text"/>
    <w:basedOn w:val="1"/>
    <w:link w:val="63"/>
    <w:semiHidden/>
    <w:qFormat/>
    <w:uiPriority w:val="99"/>
    <w:rPr>
      <w:kern w:val="0"/>
      <w:sz w:val="18"/>
      <w:szCs w:val="20"/>
    </w:rPr>
  </w:style>
  <w:style w:type="paragraph" w:styleId="24">
    <w:name w:val="footer"/>
    <w:basedOn w:val="1"/>
    <w:link w:val="64"/>
    <w:qFormat/>
    <w:uiPriority w:val="99"/>
    <w:pPr>
      <w:tabs>
        <w:tab w:val="center" w:pos="4153"/>
        <w:tab w:val="right" w:pos="8306"/>
      </w:tabs>
      <w:snapToGrid w:val="0"/>
      <w:jc w:val="left"/>
    </w:pPr>
    <w:rPr>
      <w:kern w:val="0"/>
      <w:sz w:val="18"/>
      <w:szCs w:val="20"/>
    </w:rPr>
  </w:style>
  <w:style w:type="paragraph" w:styleId="25">
    <w:name w:val="header"/>
    <w:basedOn w:val="1"/>
    <w:link w:val="65"/>
    <w:qFormat/>
    <w:uiPriority w:val="99"/>
    <w:pPr>
      <w:pBdr>
        <w:bottom w:val="single" w:color="auto" w:sz="6" w:space="1"/>
      </w:pBdr>
      <w:tabs>
        <w:tab w:val="center" w:pos="4153"/>
        <w:tab w:val="right" w:pos="8306"/>
      </w:tabs>
      <w:snapToGrid w:val="0"/>
      <w:jc w:val="center"/>
    </w:pPr>
    <w:rPr>
      <w:kern w:val="0"/>
      <w:sz w:val="18"/>
      <w:szCs w:val="20"/>
    </w:rPr>
  </w:style>
  <w:style w:type="paragraph" w:styleId="26">
    <w:name w:val="index heading"/>
    <w:basedOn w:val="1"/>
    <w:next w:val="27"/>
    <w:qFormat/>
    <w:uiPriority w:val="0"/>
    <w:rPr>
      <w:szCs w:val="20"/>
    </w:rPr>
  </w:style>
  <w:style w:type="paragraph" w:styleId="27">
    <w:name w:val="index 1"/>
    <w:basedOn w:val="1"/>
    <w:next w:val="1"/>
    <w:qFormat/>
    <w:uiPriority w:val="0"/>
    <w:pPr>
      <w:spacing w:line="320" w:lineRule="exact"/>
      <w:jc w:val="center"/>
    </w:pPr>
    <w:rPr>
      <w:color w:val="000000"/>
      <w:szCs w:val="21"/>
    </w:rPr>
  </w:style>
  <w:style w:type="paragraph" w:styleId="28">
    <w:name w:val="List"/>
    <w:basedOn w:val="1"/>
    <w:qFormat/>
    <w:uiPriority w:val="0"/>
    <w:pPr>
      <w:ind w:left="200" w:hanging="200" w:hangingChars="200"/>
    </w:pPr>
    <w:rPr>
      <w:szCs w:val="20"/>
    </w:rPr>
  </w:style>
  <w:style w:type="paragraph" w:styleId="29">
    <w:name w:val="table of figures"/>
    <w:basedOn w:val="1"/>
    <w:next w:val="1"/>
    <w:semiHidden/>
    <w:qFormat/>
    <w:uiPriority w:val="0"/>
    <w:pPr>
      <w:ind w:left="840" w:leftChars="200" w:hanging="420" w:hangingChars="200"/>
    </w:pPr>
  </w:style>
  <w:style w:type="paragraph" w:styleId="30">
    <w:name w:val="toc 2"/>
    <w:basedOn w:val="1"/>
    <w:next w:val="1"/>
    <w:unhideWhenUsed/>
    <w:qFormat/>
    <w:uiPriority w:val="39"/>
    <w:pPr>
      <w:ind w:left="420" w:leftChars="200"/>
    </w:pPr>
    <w:rPr>
      <w:rFonts w:ascii="Calibri" w:hAnsi="Calibri"/>
      <w:szCs w:val="22"/>
    </w:rPr>
  </w:style>
  <w:style w:type="paragraph" w:styleId="31">
    <w:name w:val="Body Text 2"/>
    <w:basedOn w:val="1"/>
    <w:unhideWhenUsed/>
    <w:qFormat/>
    <w:uiPriority w:val="99"/>
    <w:pPr>
      <w:spacing w:after="120" w:line="480" w:lineRule="auto"/>
    </w:pPr>
  </w:style>
  <w:style w:type="paragraph" w:styleId="32">
    <w:name w:val="Normal (Web)"/>
    <w:basedOn w:val="1"/>
    <w:link w:val="66"/>
    <w:qFormat/>
    <w:uiPriority w:val="0"/>
    <w:pPr>
      <w:widowControl/>
      <w:spacing w:before="100" w:beforeAutospacing="1" w:after="100" w:afterAutospacing="1"/>
      <w:jc w:val="left"/>
    </w:pPr>
    <w:rPr>
      <w:rFonts w:ascii="宋体" w:hAnsi="宋体"/>
      <w:kern w:val="0"/>
      <w:sz w:val="24"/>
      <w:szCs w:val="20"/>
    </w:rPr>
  </w:style>
  <w:style w:type="paragraph" w:styleId="33">
    <w:name w:val="annotation subject"/>
    <w:basedOn w:val="9"/>
    <w:next w:val="9"/>
    <w:link w:val="67"/>
    <w:semiHidden/>
    <w:qFormat/>
    <w:uiPriority w:val="99"/>
    <w:rPr>
      <w:b/>
      <w:kern w:val="2"/>
    </w:rPr>
  </w:style>
  <w:style w:type="paragraph" w:styleId="34">
    <w:name w:val="Body Text First Indent"/>
    <w:basedOn w:val="11"/>
    <w:next w:val="1"/>
    <w:qFormat/>
    <w:uiPriority w:val="99"/>
    <w:pPr>
      <w:spacing w:after="120"/>
      <w:ind w:firstLine="420" w:firstLineChars="100"/>
    </w:pPr>
    <w:rPr>
      <w:rFonts w:eastAsia="宋体"/>
      <w:sz w:val="21"/>
    </w:rPr>
  </w:style>
  <w:style w:type="paragraph" w:styleId="35">
    <w:name w:val="Body Text First Indent 2"/>
    <w:basedOn w:val="1"/>
    <w:next w:val="1"/>
    <w:unhideWhenUsed/>
    <w:qFormat/>
    <w:uiPriority w:val="99"/>
    <w:pPr>
      <w:ind w:firstLine="420" w:firstLineChars="200"/>
    </w:pPr>
    <w:rPr>
      <w:kern w:val="2"/>
      <w:sz w:val="21"/>
    </w:rPr>
  </w:style>
  <w:style w:type="table" w:styleId="37">
    <w:name w:val="Table Grid"/>
    <w:basedOn w:val="36"/>
    <w:qFormat/>
    <w:uiPriority w:val="3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8">
    <w:name w:val="Table Theme"/>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0">
    <w:name w:val="Strong"/>
    <w:basedOn w:val="39"/>
    <w:qFormat/>
    <w:uiPriority w:val="0"/>
    <w:rPr>
      <w:b/>
      <w:sz w:val="24"/>
      <w:szCs w:val="24"/>
    </w:rPr>
  </w:style>
  <w:style w:type="character" w:styleId="41">
    <w:name w:val="page number"/>
    <w:qFormat/>
    <w:uiPriority w:val="0"/>
  </w:style>
  <w:style w:type="character" w:styleId="42">
    <w:name w:val="FollowedHyperlink"/>
    <w:qFormat/>
    <w:uiPriority w:val="0"/>
    <w:rPr>
      <w:color w:val="666666"/>
      <w:u w:val="none"/>
    </w:rPr>
  </w:style>
  <w:style w:type="character" w:styleId="43">
    <w:name w:val="Emphasis"/>
    <w:qFormat/>
    <w:uiPriority w:val="20"/>
    <w:rPr>
      <w:i/>
      <w:iCs/>
    </w:rPr>
  </w:style>
  <w:style w:type="character" w:styleId="44">
    <w:name w:val="HTML Definition"/>
    <w:qFormat/>
    <w:uiPriority w:val="0"/>
    <w:rPr>
      <w:i/>
      <w:iCs/>
    </w:rPr>
  </w:style>
  <w:style w:type="character" w:styleId="45">
    <w:name w:val="HTML Variable"/>
    <w:qFormat/>
    <w:uiPriority w:val="0"/>
  </w:style>
  <w:style w:type="character" w:styleId="46">
    <w:name w:val="Hyperlink"/>
    <w:unhideWhenUsed/>
    <w:qFormat/>
    <w:uiPriority w:val="99"/>
    <w:rPr>
      <w:color w:val="666666"/>
      <w:u w:val="none"/>
    </w:rPr>
  </w:style>
  <w:style w:type="character" w:styleId="47">
    <w:name w:val="HTML Code"/>
    <w:qFormat/>
    <w:uiPriority w:val="0"/>
    <w:rPr>
      <w:rFonts w:hint="default" w:ascii="Consolas" w:hAnsi="Consolas" w:eastAsia="Consolas" w:cs="Consolas"/>
      <w:sz w:val="21"/>
      <w:szCs w:val="21"/>
    </w:rPr>
  </w:style>
  <w:style w:type="character" w:styleId="48">
    <w:name w:val="annotation reference"/>
    <w:qFormat/>
    <w:uiPriority w:val="0"/>
    <w:rPr>
      <w:sz w:val="21"/>
    </w:rPr>
  </w:style>
  <w:style w:type="character" w:styleId="49">
    <w:name w:val="HTML Cite"/>
    <w:qFormat/>
    <w:uiPriority w:val="0"/>
    <w:rPr>
      <w:sz w:val="24"/>
      <w:szCs w:val="24"/>
    </w:rPr>
  </w:style>
  <w:style w:type="character" w:styleId="50">
    <w:name w:val="HTML Keyboard"/>
    <w:qFormat/>
    <w:uiPriority w:val="0"/>
    <w:rPr>
      <w:rFonts w:ascii="Consolas" w:hAnsi="Consolas" w:eastAsia="Consolas" w:cs="Consolas"/>
      <w:sz w:val="21"/>
      <w:szCs w:val="21"/>
    </w:rPr>
  </w:style>
  <w:style w:type="character" w:styleId="51">
    <w:name w:val="HTML Sample"/>
    <w:qFormat/>
    <w:uiPriority w:val="0"/>
    <w:rPr>
      <w:rFonts w:hint="default" w:ascii="Consolas" w:hAnsi="Consolas" w:eastAsia="Consolas" w:cs="Consolas"/>
      <w:sz w:val="21"/>
      <w:szCs w:val="21"/>
    </w:rPr>
  </w:style>
  <w:style w:type="character" w:customStyle="1" w:styleId="52">
    <w:name w:val="标题 1 Char"/>
    <w:link w:val="2"/>
    <w:qFormat/>
    <w:uiPriority w:val="0"/>
    <w:rPr>
      <w:rFonts w:eastAsia="黑体"/>
      <w:b/>
      <w:bCs/>
      <w:color w:val="000000"/>
      <w:kern w:val="44"/>
      <w:sz w:val="30"/>
      <w:szCs w:val="30"/>
    </w:rPr>
  </w:style>
  <w:style w:type="character" w:customStyle="1" w:styleId="53">
    <w:name w:val="标题 2 Char1"/>
    <w:link w:val="3"/>
    <w:qFormat/>
    <w:uiPriority w:val="0"/>
    <w:rPr>
      <w:rFonts w:ascii="Arial" w:hAnsi="Arial" w:eastAsia="黑体"/>
      <w:b/>
      <w:bCs/>
      <w:sz w:val="32"/>
      <w:szCs w:val="32"/>
    </w:rPr>
  </w:style>
  <w:style w:type="character" w:customStyle="1" w:styleId="54">
    <w:name w:val="标题 3 Char"/>
    <w:link w:val="4"/>
    <w:qFormat/>
    <w:uiPriority w:val="0"/>
    <w:rPr>
      <w:b/>
      <w:bCs/>
      <w:kern w:val="2"/>
      <w:sz w:val="32"/>
      <w:szCs w:val="32"/>
    </w:rPr>
  </w:style>
  <w:style w:type="character" w:customStyle="1" w:styleId="55">
    <w:name w:val="题注 Char"/>
    <w:link w:val="7"/>
    <w:qFormat/>
    <w:uiPriority w:val="0"/>
    <w:rPr>
      <w:b/>
      <w:color w:val="0000FF"/>
      <w:kern w:val="2"/>
      <w:sz w:val="24"/>
      <w:szCs w:val="24"/>
      <w:lang w:val="en-US" w:eastAsia="zh-CN" w:bidi="ar-SA"/>
    </w:rPr>
  </w:style>
  <w:style w:type="character" w:customStyle="1" w:styleId="56">
    <w:name w:val="批注文字 Char"/>
    <w:link w:val="9"/>
    <w:qFormat/>
    <w:uiPriority w:val="0"/>
    <w:rPr>
      <w:rFonts w:ascii="Times New Roman" w:hAnsi="Times New Roman" w:eastAsia="宋体"/>
      <w:sz w:val="24"/>
    </w:rPr>
  </w:style>
  <w:style w:type="character" w:customStyle="1" w:styleId="57">
    <w:name w:val="正文文本 Char"/>
    <w:basedOn w:val="39"/>
    <w:link w:val="11"/>
    <w:qFormat/>
    <w:uiPriority w:val="0"/>
    <w:rPr>
      <w:sz w:val="18"/>
    </w:rPr>
  </w:style>
  <w:style w:type="character" w:customStyle="1" w:styleId="58">
    <w:name w:val="正文文本缩进 Char"/>
    <w:link w:val="12"/>
    <w:semiHidden/>
    <w:qFormat/>
    <w:uiPriority w:val="0"/>
    <w:rPr>
      <w:rFonts w:ascii="Times New Roman" w:hAnsi="Times New Roman" w:eastAsia="宋体"/>
      <w:sz w:val="24"/>
    </w:rPr>
  </w:style>
  <w:style w:type="character" w:customStyle="1" w:styleId="59">
    <w:name w:val="报告 Char"/>
    <w:link w:val="13"/>
    <w:qFormat/>
    <w:uiPriority w:val="0"/>
    <w:rPr>
      <w:sz w:val="24"/>
    </w:rPr>
  </w:style>
  <w:style w:type="character" w:customStyle="1" w:styleId="60">
    <w:name w:val="纯文本 Char1"/>
    <w:link w:val="16"/>
    <w:qFormat/>
    <w:uiPriority w:val="0"/>
    <w:rPr>
      <w:rFonts w:ascii="宋体" w:hAnsi="Courier New"/>
      <w:color w:val="0000FF"/>
      <w:kern w:val="2"/>
      <w:sz w:val="21"/>
    </w:rPr>
  </w:style>
  <w:style w:type="character" w:customStyle="1" w:styleId="61">
    <w:name w:val="日期 Char"/>
    <w:link w:val="19"/>
    <w:qFormat/>
    <w:uiPriority w:val="99"/>
    <w:rPr>
      <w:rFonts w:ascii="Times New Roman" w:hAnsi="Times New Roman" w:eastAsia="宋体"/>
      <w:sz w:val="24"/>
    </w:rPr>
  </w:style>
  <w:style w:type="character" w:customStyle="1" w:styleId="62">
    <w:name w:val="正文文本缩进 2 Char"/>
    <w:link w:val="20"/>
    <w:qFormat/>
    <w:uiPriority w:val="0"/>
    <w:rPr>
      <w:kern w:val="2"/>
      <w:sz w:val="21"/>
      <w:szCs w:val="24"/>
    </w:rPr>
  </w:style>
  <w:style w:type="character" w:customStyle="1" w:styleId="63">
    <w:name w:val="批注框文本 Char"/>
    <w:link w:val="23"/>
    <w:semiHidden/>
    <w:qFormat/>
    <w:uiPriority w:val="99"/>
    <w:rPr>
      <w:rFonts w:ascii="Times New Roman" w:hAnsi="Times New Roman" w:eastAsia="宋体"/>
      <w:sz w:val="18"/>
    </w:rPr>
  </w:style>
  <w:style w:type="character" w:customStyle="1" w:styleId="64">
    <w:name w:val="页脚 Char"/>
    <w:link w:val="24"/>
    <w:qFormat/>
    <w:uiPriority w:val="99"/>
    <w:rPr>
      <w:sz w:val="18"/>
    </w:rPr>
  </w:style>
  <w:style w:type="character" w:customStyle="1" w:styleId="65">
    <w:name w:val="页眉 Char"/>
    <w:link w:val="25"/>
    <w:qFormat/>
    <w:uiPriority w:val="99"/>
    <w:rPr>
      <w:sz w:val="18"/>
    </w:rPr>
  </w:style>
  <w:style w:type="character" w:customStyle="1" w:styleId="66">
    <w:name w:val="普通(网站) Char"/>
    <w:link w:val="32"/>
    <w:qFormat/>
    <w:uiPriority w:val="0"/>
    <w:rPr>
      <w:rFonts w:ascii="宋体" w:hAnsi="宋体" w:eastAsia="宋体"/>
      <w:sz w:val="24"/>
    </w:rPr>
  </w:style>
  <w:style w:type="character" w:customStyle="1" w:styleId="67">
    <w:name w:val="批注主题 Char"/>
    <w:link w:val="33"/>
    <w:semiHidden/>
    <w:qFormat/>
    <w:uiPriority w:val="99"/>
    <w:rPr>
      <w:rFonts w:ascii="Times New Roman" w:hAnsi="Times New Roman" w:eastAsia="宋体"/>
      <w:b/>
      <w:kern w:val="2"/>
      <w:sz w:val="24"/>
    </w:rPr>
  </w:style>
  <w:style w:type="character" w:customStyle="1" w:styleId="68">
    <w:name w:val="标题 2 Char"/>
    <w:link w:val="3"/>
    <w:qFormat/>
    <w:uiPriority w:val="0"/>
    <w:rPr>
      <w:rFonts w:ascii="Cambria" w:hAnsi="Cambria" w:eastAsia="宋体" w:cs="Times New Roman"/>
      <w:b/>
      <w:bCs/>
      <w:kern w:val="2"/>
      <w:sz w:val="32"/>
      <w:szCs w:val="32"/>
    </w:rPr>
  </w:style>
  <w:style w:type="character" w:customStyle="1" w:styleId="69">
    <w:name w:val="标题 3 字符"/>
    <w:link w:val="4"/>
    <w:qFormat/>
    <w:uiPriority w:val="0"/>
    <w:rPr>
      <w:b/>
      <w:sz w:val="32"/>
    </w:rPr>
  </w:style>
  <w:style w:type="character" w:customStyle="1" w:styleId="70">
    <w:name w:val="zw1"/>
    <w:qFormat/>
    <w:uiPriority w:val="0"/>
    <w:rPr>
      <w:rFonts w:hint="eastAsia" w:ascii="宋体" w:hAnsi="宋体" w:eastAsia="宋体"/>
      <w:sz w:val="22"/>
      <w:szCs w:val="22"/>
    </w:rPr>
  </w:style>
  <w:style w:type="character" w:customStyle="1" w:styleId="71">
    <w:name w:val="15"/>
    <w:qFormat/>
    <w:uiPriority w:val="0"/>
    <w:rPr>
      <w:rFonts w:hint="default" w:ascii="Times New Roman" w:hAnsi="Times New Roman" w:cs="Times New Roman"/>
      <w:sz w:val="21"/>
      <w:szCs w:val="21"/>
    </w:rPr>
  </w:style>
  <w:style w:type="character" w:customStyle="1" w:styleId="72">
    <w:name w:val="表格内容 Char"/>
    <w:link w:val="73"/>
    <w:qFormat/>
    <w:uiPriority w:val="0"/>
    <w:rPr>
      <w:kern w:val="2"/>
      <w:sz w:val="21"/>
      <w:szCs w:val="21"/>
      <w:lang w:val="en-US" w:eastAsia="zh-CN" w:bidi="ar-SA"/>
    </w:rPr>
  </w:style>
  <w:style w:type="paragraph" w:customStyle="1" w:styleId="73">
    <w:name w:val="表格内容"/>
    <w:basedOn w:val="74"/>
    <w:link w:val="72"/>
    <w:qFormat/>
    <w:uiPriority w:val="0"/>
    <w:pPr>
      <w:widowControl w:val="0"/>
      <w:spacing w:line="360" w:lineRule="exact"/>
      <w:jc w:val="center"/>
    </w:pPr>
    <w:rPr>
      <w:kern w:val="2"/>
      <w:sz w:val="21"/>
      <w:szCs w:val="21"/>
      <w:lang w:val="en-US" w:eastAsia="zh-CN" w:bidi="ar-SA"/>
    </w:rPr>
  </w:style>
  <w:style w:type="paragraph" w:customStyle="1" w:styleId="74">
    <w:name w:val="表格标题"/>
    <w:basedOn w:val="7"/>
    <w:next w:val="73"/>
    <w:qFormat/>
    <w:uiPriority w:val="0"/>
    <w:pPr>
      <w:snapToGrid w:val="0"/>
      <w:spacing w:line="276" w:lineRule="auto"/>
      <w:ind w:firstLine="0"/>
      <w:jc w:val="center"/>
      <w:textAlignment w:val="baseline"/>
    </w:pPr>
    <w:rPr>
      <w:rFonts w:ascii="Times New Roman" w:hAnsi="Times New Roman"/>
      <w:szCs w:val="24"/>
    </w:rPr>
  </w:style>
  <w:style w:type="character" w:customStyle="1" w:styleId="75">
    <w:name w:val="图表名称 Char"/>
    <w:link w:val="76"/>
    <w:qFormat/>
    <w:uiPriority w:val="0"/>
    <w:rPr>
      <w:rFonts w:eastAsia="黑体"/>
      <w:kern w:val="2"/>
      <w:sz w:val="24"/>
      <w:szCs w:val="24"/>
    </w:rPr>
  </w:style>
  <w:style w:type="paragraph" w:customStyle="1" w:styleId="76">
    <w:name w:val="图表名称"/>
    <w:basedOn w:val="1"/>
    <w:next w:val="1"/>
    <w:link w:val="75"/>
    <w:qFormat/>
    <w:uiPriority w:val="0"/>
    <w:pPr>
      <w:widowControl/>
      <w:spacing w:beforeLines="25" w:afterLines="25" w:line="360" w:lineRule="auto"/>
      <w:jc w:val="center"/>
    </w:pPr>
    <w:rPr>
      <w:rFonts w:eastAsia="黑体"/>
      <w:sz w:val="24"/>
    </w:rPr>
  </w:style>
  <w:style w:type="character" w:customStyle="1" w:styleId="77">
    <w:name w:val="fontstyle01"/>
    <w:qFormat/>
    <w:uiPriority w:val="0"/>
    <w:rPr>
      <w:rFonts w:hint="eastAsia" w:ascii="宋体" w:hAnsi="宋体" w:eastAsia="宋体"/>
      <w:color w:val="000000"/>
      <w:sz w:val="24"/>
      <w:szCs w:val="24"/>
    </w:rPr>
  </w:style>
  <w:style w:type="character" w:customStyle="1" w:styleId="78">
    <w:name w:val="xgid"/>
    <w:qFormat/>
    <w:uiPriority w:val="0"/>
    <w:rPr>
      <w:vanish/>
    </w:rPr>
  </w:style>
  <w:style w:type="character" w:customStyle="1" w:styleId="79">
    <w:name w:val="正文文本 (2) + Georgia"/>
    <w:unhideWhenUsed/>
    <w:qFormat/>
    <w:uiPriority w:val="99"/>
    <w:rPr>
      <w:rFonts w:hint="default" w:ascii="Georgia"/>
      <w:sz w:val="22"/>
      <w:lang w:val="en-US" w:eastAsia="en-US"/>
    </w:rPr>
  </w:style>
  <w:style w:type="character" w:customStyle="1" w:styleId="80">
    <w:name w:val="批注文字 字符"/>
    <w:semiHidden/>
    <w:qFormat/>
    <w:uiPriority w:val="0"/>
    <w:rPr>
      <w:rFonts w:ascii="宋体" w:hAnsi="宋体"/>
      <w:color w:val="0000FF"/>
      <w:kern w:val="2"/>
      <w:sz w:val="24"/>
      <w:szCs w:val="24"/>
    </w:rPr>
  </w:style>
  <w:style w:type="character" w:customStyle="1" w:styleId="81">
    <w:name w:val="日期 字符"/>
    <w:semiHidden/>
    <w:qFormat/>
    <w:uiPriority w:val="0"/>
    <w:rPr>
      <w:rFonts w:ascii="Times New Roman" w:hAnsi="Times New Roman" w:eastAsia="宋体"/>
      <w:sz w:val="24"/>
    </w:rPr>
  </w:style>
  <w:style w:type="character" w:customStyle="1" w:styleId="82">
    <w:name w:val="正文文本 (7) Exact"/>
    <w:unhideWhenUsed/>
    <w:qFormat/>
    <w:uiPriority w:val="99"/>
    <w:rPr>
      <w:rFonts w:hint="default" w:ascii="黑体"/>
      <w:sz w:val="21"/>
    </w:rPr>
  </w:style>
  <w:style w:type="character" w:customStyle="1" w:styleId="83">
    <w:name w:val="font21"/>
    <w:qFormat/>
    <w:uiPriority w:val="0"/>
    <w:rPr>
      <w:rFonts w:hint="eastAsia" w:ascii="宋体" w:hAnsi="宋体" w:eastAsia="宋体" w:cs="宋体"/>
      <w:color w:val="000000"/>
      <w:sz w:val="20"/>
      <w:szCs w:val="20"/>
      <w:u w:val="none"/>
    </w:rPr>
  </w:style>
  <w:style w:type="character" w:customStyle="1" w:styleId="84">
    <w:name w:val="font31"/>
    <w:qFormat/>
    <w:uiPriority w:val="0"/>
    <w:rPr>
      <w:rFonts w:hint="eastAsia" w:ascii="宋体" w:hAnsi="宋体" w:eastAsia="宋体" w:cs="宋体"/>
      <w:color w:val="000000"/>
      <w:sz w:val="20"/>
      <w:szCs w:val="20"/>
      <w:u w:val="none"/>
    </w:rPr>
  </w:style>
  <w:style w:type="character" w:customStyle="1" w:styleId="85">
    <w:name w:val="样式 样式 正文文本 (2)1 + 宋体 黑色 + Times New Roman Char"/>
    <w:link w:val="86"/>
    <w:unhideWhenUsed/>
    <w:qFormat/>
    <w:uiPriority w:val="99"/>
    <w:rPr>
      <w:rFonts w:ascii="宋体" w:hAnsi="宋体"/>
      <w:color w:val="000000"/>
      <w:kern w:val="0"/>
      <w:sz w:val="22"/>
      <w:szCs w:val="20"/>
    </w:rPr>
  </w:style>
  <w:style w:type="paragraph" w:customStyle="1" w:styleId="86">
    <w:name w:val="样式 样式 正文文本 (2)1 + 宋体 黑色 + Times New Roman"/>
    <w:basedOn w:val="1"/>
    <w:link w:val="85"/>
    <w:unhideWhenUsed/>
    <w:qFormat/>
    <w:uiPriority w:val="99"/>
    <w:pPr>
      <w:shd w:val="clear" w:color="auto" w:fill="FFFFFF"/>
      <w:spacing w:line="360" w:lineRule="auto"/>
      <w:ind w:firstLine="200" w:firstLineChars="200"/>
      <w:jc w:val="left"/>
    </w:pPr>
    <w:rPr>
      <w:rFonts w:ascii="宋体" w:hAnsi="宋体"/>
      <w:color w:val="000000"/>
      <w:kern w:val="0"/>
      <w:sz w:val="22"/>
      <w:szCs w:val="20"/>
    </w:rPr>
  </w:style>
  <w:style w:type="character" w:customStyle="1" w:styleId="87">
    <w:name w:val="正文文本 字符2"/>
    <w:qFormat/>
    <w:uiPriority w:val="0"/>
    <w:rPr>
      <w:sz w:val="18"/>
    </w:rPr>
  </w:style>
  <w:style w:type="character" w:customStyle="1" w:styleId="88">
    <w:name w:val="fontstyle21"/>
    <w:qFormat/>
    <w:uiPriority w:val="0"/>
    <w:rPr>
      <w:rFonts w:hint="default" w:ascii="Times New Roman" w:hAnsi="Times New Roman" w:cs="Times New Roman"/>
      <w:color w:val="000000"/>
      <w:sz w:val="24"/>
      <w:szCs w:val="24"/>
    </w:rPr>
  </w:style>
  <w:style w:type="character" w:customStyle="1" w:styleId="89">
    <w:name w:val="正文文本 字符1"/>
    <w:semiHidden/>
    <w:qFormat/>
    <w:uiPriority w:val="0"/>
    <w:rPr>
      <w:rFonts w:ascii="Times New Roman" w:hAnsi="Times New Roman" w:eastAsia="宋体"/>
      <w:sz w:val="24"/>
    </w:rPr>
  </w:style>
  <w:style w:type="character" w:customStyle="1" w:styleId="90">
    <w:name w:val="纯文本 Char"/>
    <w:qFormat/>
    <w:uiPriority w:val="99"/>
    <w:rPr>
      <w:rFonts w:ascii="宋体" w:hAnsi="Courier New" w:cs="Courier New"/>
      <w:kern w:val="2"/>
      <w:sz w:val="21"/>
      <w:szCs w:val="21"/>
    </w:rPr>
  </w:style>
  <w:style w:type="character" w:customStyle="1" w:styleId="91">
    <w:name w:val="description"/>
    <w:qFormat/>
    <w:uiPriority w:val="0"/>
  </w:style>
  <w:style w:type="character" w:customStyle="1" w:styleId="92">
    <w:name w:val="页脚 字符"/>
    <w:qFormat/>
    <w:uiPriority w:val="99"/>
  </w:style>
  <w:style w:type="character" w:customStyle="1" w:styleId="93">
    <w:name w:val="无间隔 Char"/>
    <w:link w:val="94"/>
    <w:qFormat/>
    <w:uiPriority w:val="1"/>
    <w:rPr>
      <w:rFonts w:ascii="Calibri" w:hAnsi="Calibri"/>
      <w:sz w:val="22"/>
      <w:szCs w:val="22"/>
      <w:lang w:bidi="ar-SA"/>
    </w:rPr>
  </w:style>
  <w:style w:type="paragraph" w:styleId="94">
    <w:name w:val="No Spacing"/>
    <w:next w:val="95"/>
    <w:link w:val="93"/>
    <w:qFormat/>
    <w:uiPriority w:val="1"/>
    <w:rPr>
      <w:rFonts w:ascii="Calibri" w:hAnsi="Calibri" w:eastAsia="宋体" w:cs="Times New Roman"/>
      <w:sz w:val="22"/>
      <w:szCs w:val="22"/>
      <w:lang w:val="en-US" w:eastAsia="zh-CN" w:bidi="ar-SA"/>
    </w:rPr>
  </w:style>
  <w:style w:type="paragraph" w:customStyle="1" w:styleId="95">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character" w:customStyle="1" w:styleId="96">
    <w:name w:val="报告表正文 Char"/>
    <w:link w:val="97"/>
    <w:qFormat/>
    <w:uiPriority w:val="0"/>
    <w:rPr>
      <w:rFonts w:ascii="宋体" w:hAnsi="宋体"/>
      <w:color w:val="0000FF"/>
      <w:sz w:val="24"/>
    </w:rPr>
  </w:style>
  <w:style w:type="paragraph" w:customStyle="1" w:styleId="97">
    <w:name w:val="报告表正文"/>
    <w:basedOn w:val="1"/>
    <w:link w:val="96"/>
    <w:qFormat/>
    <w:uiPriority w:val="0"/>
    <w:pPr>
      <w:adjustRightInd w:val="0"/>
      <w:spacing w:line="312" w:lineRule="auto"/>
      <w:ind w:left="113" w:right="113" w:firstLine="482"/>
      <w:jc w:val="left"/>
      <w:textAlignment w:val="baseline"/>
    </w:pPr>
    <w:rPr>
      <w:rFonts w:ascii="宋体" w:hAnsi="宋体"/>
      <w:color w:val="0000FF"/>
      <w:kern w:val="0"/>
      <w:sz w:val="24"/>
      <w:szCs w:val="20"/>
    </w:rPr>
  </w:style>
  <w:style w:type="character" w:customStyle="1" w:styleId="98">
    <w:name w:val="font01"/>
    <w:qFormat/>
    <w:uiPriority w:val="0"/>
    <w:rPr>
      <w:rFonts w:hint="eastAsia" w:ascii="宋体" w:hAnsi="宋体" w:eastAsia="宋体" w:cs="宋体"/>
      <w:color w:val="000000"/>
      <w:sz w:val="22"/>
      <w:szCs w:val="22"/>
      <w:u w:val="none"/>
    </w:rPr>
  </w:style>
  <w:style w:type="character" w:customStyle="1" w:styleId="99">
    <w:name w:val="bsharetext"/>
    <w:qFormat/>
    <w:uiPriority w:val="0"/>
  </w:style>
  <w:style w:type="character" w:customStyle="1" w:styleId="100">
    <w:name w:val="表格 Char"/>
    <w:link w:val="101"/>
    <w:qFormat/>
    <w:uiPriority w:val="0"/>
    <w:rPr>
      <w:rFonts w:ascii="宋体"/>
      <w:sz w:val="21"/>
    </w:rPr>
  </w:style>
  <w:style w:type="paragraph" w:customStyle="1" w:styleId="101">
    <w:name w:val="表格"/>
    <w:basedOn w:val="28"/>
    <w:next w:val="1"/>
    <w:link w:val="100"/>
    <w:qFormat/>
    <w:uiPriority w:val="0"/>
    <w:pPr>
      <w:adjustRightInd w:val="0"/>
      <w:snapToGrid w:val="0"/>
      <w:spacing w:beforeLines="10" w:afterLines="10" w:line="259" w:lineRule="auto"/>
      <w:jc w:val="center"/>
    </w:pPr>
    <w:rPr>
      <w:rFonts w:ascii="宋体"/>
      <w:kern w:val="0"/>
      <w:szCs w:val="20"/>
    </w:rPr>
  </w:style>
  <w:style w:type="character" w:customStyle="1" w:styleId="102">
    <w:name w:val="批注文字 字符1"/>
    <w:semiHidden/>
    <w:qFormat/>
    <w:uiPriority w:val="0"/>
    <w:rPr>
      <w:rFonts w:ascii="Times New Roman" w:hAnsi="Times New Roman" w:eastAsia="宋体"/>
      <w:sz w:val="24"/>
    </w:rPr>
  </w:style>
  <w:style w:type="character" w:customStyle="1" w:styleId="103">
    <w:name w:val="报告表格 Char"/>
    <w:link w:val="104"/>
    <w:qFormat/>
    <w:uiPriority w:val="0"/>
    <w:rPr>
      <w:rFonts w:ascii="宋体" w:hAnsi="宋体"/>
      <w:color w:val="0000FF"/>
      <w:sz w:val="21"/>
    </w:rPr>
  </w:style>
  <w:style w:type="paragraph" w:customStyle="1" w:styleId="104">
    <w:name w:val="报告表格"/>
    <w:basedOn w:val="1"/>
    <w:link w:val="103"/>
    <w:qFormat/>
    <w:uiPriority w:val="0"/>
    <w:pPr>
      <w:autoSpaceDE w:val="0"/>
      <w:autoSpaceDN w:val="0"/>
      <w:adjustRightInd w:val="0"/>
      <w:spacing w:before="40" w:after="40"/>
      <w:jc w:val="center"/>
      <w:textAlignment w:val="bottom"/>
    </w:pPr>
    <w:rPr>
      <w:rFonts w:ascii="宋体" w:hAnsi="宋体"/>
      <w:color w:val="0000FF"/>
      <w:kern w:val="0"/>
      <w:szCs w:val="20"/>
    </w:rPr>
  </w:style>
  <w:style w:type="character" w:customStyle="1" w:styleId="105">
    <w:name w:val="item-color-black1"/>
    <w:qFormat/>
    <w:uiPriority w:val="0"/>
    <w:rPr>
      <w:color w:val="141414"/>
    </w:rPr>
  </w:style>
  <w:style w:type="character" w:customStyle="1" w:styleId="106">
    <w:name w:val="font11"/>
    <w:qFormat/>
    <w:uiPriority w:val="0"/>
    <w:rPr>
      <w:rFonts w:ascii="宋体" w:hAnsi="宋体" w:eastAsia="宋体" w:cs="宋体"/>
      <w:color w:val="000000"/>
      <w:sz w:val="22"/>
      <w:szCs w:val="22"/>
      <w:u w:val="none"/>
    </w:rPr>
  </w:style>
  <w:style w:type="paragraph" w:customStyle="1" w:styleId="107">
    <w:name w:val="表格文字"/>
    <w:basedOn w:val="1"/>
    <w:qFormat/>
    <w:uiPriority w:val="0"/>
    <w:pPr>
      <w:jc w:val="center"/>
    </w:pPr>
    <w:rPr>
      <w:rFonts w:ascii="仿宋_GB2312" w:hAnsi="Arial Black" w:eastAsia="仿宋_GB2312"/>
      <w:kern w:val="44"/>
      <w:sz w:val="24"/>
      <w:szCs w:val="20"/>
    </w:rPr>
  </w:style>
  <w:style w:type="paragraph" w:customStyle="1" w:styleId="108">
    <w:name w:val="样式 报告表正文 + 首行缩进:  2 字符 行距: 1.5 倍行距"/>
    <w:basedOn w:val="97"/>
    <w:qFormat/>
    <w:uiPriority w:val="0"/>
    <w:pPr>
      <w:adjustRightInd w:val="0"/>
      <w:spacing w:line="360" w:lineRule="auto"/>
      <w:ind w:left="113" w:right="113" w:firstLine="480" w:firstLineChars="200"/>
    </w:pPr>
    <w:rPr>
      <w:kern w:val="0"/>
      <w:sz w:val="24"/>
    </w:rPr>
  </w:style>
  <w:style w:type="paragraph" w:customStyle="1" w:styleId="109">
    <w:name w:val="标准正文"/>
    <w:basedOn w:val="1"/>
    <w:qFormat/>
    <w:uiPriority w:val="0"/>
    <w:pPr>
      <w:keepNext/>
      <w:keepLines/>
      <w:snapToGrid w:val="0"/>
      <w:spacing w:beforeLines="50" w:afterLines="50" w:line="360" w:lineRule="auto"/>
      <w:ind w:firstLine="200" w:firstLineChars="200"/>
    </w:pPr>
    <w:rPr>
      <w:rFonts w:ascii="Times New Roman" w:hAnsi="Times New Roman" w:cs="Times New Roman"/>
      <w:kern w:val="0"/>
      <w:sz w:val="24"/>
      <w:szCs w:val="24"/>
    </w:rPr>
  </w:style>
  <w:style w:type="paragraph" w:customStyle="1" w:styleId="110">
    <w:name w:val="正文首行缩进 21"/>
    <w:basedOn w:val="12"/>
    <w:next w:val="1"/>
    <w:qFormat/>
    <w:uiPriority w:val="0"/>
    <w:pPr>
      <w:ind w:firstLine="420" w:firstLineChars="200"/>
    </w:pPr>
  </w:style>
  <w:style w:type="paragraph" w:customStyle="1" w:styleId="111">
    <w:name w:val="目录 81"/>
    <w:basedOn w:val="1"/>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112">
    <w:name w:val="正文tc"/>
    <w:qFormat/>
    <w:uiPriority w:val="0"/>
    <w:pPr>
      <w:adjustRightInd w:val="0"/>
      <w:snapToGrid w:val="0"/>
      <w:spacing w:line="360" w:lineRule="auto"/>
      <w:ind w:firstLine="200" w:firstLineChars="200"/>
      <w:jc w:val="both"/>
    </w:pPr>
    <w:rPr>
      <w:rFonts w:ascii="Times New Roman" w:hAnsi="Times New Roman" w:eastAsia="宋体" w:cs="Times New Roman"/>
      <w:sz w:val="24"/>
      <w:szCs w:val="24"/>
      <w:lang w:val="zh-CN" w:eastAsia="zh-CN" w:bidi="ar-SA"/>
    </w:rPr>
  </w:style>
  <w:style w:type="paragraph" w:customStyle="1" w:styleId="113">
    <w:name w:val="1表格"/>
    <w:basedOn w:val="1"/>
    <w:qFormat/>
    <w:uiPriority w:val="0"/>
    <w:pPr>
      <w:snapToGrid w:val="0"/>
      <w:spacing w:line="160" w:lineRule="atLeast"/>
      <w:jc w:val="center"/>
    </w:pPr>
    <w:rPr>
      <w:rFonts w:ascii="宋体" w:hAnsi="宋体" w:eastAsia="仿宋_GB2312"/>
      <w:color w:val="0000FF"/>
      <w:szCs w:val="20"/>
    </w:rPr>
  </w:style>
  <w:style w:type="paragraph" w:customStyle="1" w:styleId="114">
    <w:name w:val="表格样式"/>
    <w:basedOn w:val="1"/>
    <w:qFormat/>
    <w:uiPriority w:val="0"/>
    <w:pPr>
      <w:snapToGrid w:val="0"/>
      <w:spacing w:line="400" w:lineRule="exact"/>
      <w:ind w:firstLine="200" w:firstLineChars="200"/>
      <w:jc w:val="center"/>
    </w:pPr>
    <w:rPr>
      <w:rFonts w:eastAsia="Times New Roman"/>
      <w:bCs/>
      <w:color w:val="000000"/>
      <w:sz w:val="28"/>
      <w:szCs w:val="21"/>
    </w:rPr>
  </w:style>
  <w:style w:type="paragraph" w:customStyle="1" w:styleId="115">
    <w:name w:val="我的样式"/>
    <w:basedOn w:val="1"/>
    <w:qFormat/>
    <w:uiPriority w:val="0"/>
    <w:pPr>
      <w:adjustRightInd w:val="0"/>
      <w:snapToGrid w:val="0"/>
      <w:spacing w:line="360" w:lineRule="auto"/>
      <w:ind w:firstLine="200" w:firstLineChars="200"/>
      <w:jc w:val="left"/>
      <w:textAlignment w:val="baseline"/>
    </w:pPr>
    <w:rPr>
      <w:snapToGrid w:val="0"/>
      <w:kern w:val="0"/>
    </w:rPr>
  </w:style>
  <w:style w:type="paragraph" w:customStyle="1" w:styleId="116">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117">
    <w:name w:val="0正文"/>
    <w:basedOn w:val="1"/>
    <w:qFormat/>
    <w:uiPriority w:val="0"/>
    <w:pPr>
      <w:ind w:firstLine="480"/>
    </w:pPr>
    <w:rPr>
      <w:rFonts w:ascii="Calibri" w:hAnsi="Calibri" w:eastAsia="宋体" w:cs="Times New Roman"/>
    </w:rPr>
  </w:style>
  <w:style w:type="paragraph" w:customStyle="1" w:styleId="118">
    <w:name w:val="样式 小四 加粗 行距: 1.5 倍行距"/>
    <w:basedOn w:val="1"/>
    <w:qFormat/>
    <w:uiPriority w:val="0"/>
    <w:pPr>
      <w:spacing w:line="360" w:lineRule="auto"/>
      <w:ind w:firstLine="482" w:firstLineChars="200"/>
    </w:pPr>
    <w:rPr>
      <w:rFonts w:cs="宋体"/>
      <w:b/>
      <w:bCs/>
      <w:szCs w:val="20"/>
    </w:rPr>
  </w:style>
  <w:style w:type="paragraph" w:customStyle="1" w:styleId="11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20">
    <w:name w:val="c标3"/>
    <w:basedOn w:val="1"/>
    <w:qFormat/>
    <w:uiPriority w:val="0"/>
    <w:pPr>
      <w:spacing w:beforeLines="30" w:after="100" w:afterAutospacing="1" w:line="500" w:lineRule="exact"/>
      <w:ind w:firstLine="98" w:firstLineChars="98"/>
    </w:pPr>
    <w:rPr>
      <w:rFonts w:cs="Times New Roman"/>
      <w:b/>
      <w:sz w:val="24"/>
      <w:szCs w:val="24"/>
    </w:rPr>
  </w:style>
  <w:style w:type="paragraph" w:customStyle="1" w:styleId="121">
    <w:name w:val="Default"/>
    <w:basedOn w:val="122"/>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122">
    <w:name w:val="纯文本1"/>
    <w:basedOn w:val="1"/>
    <w:next w:val="1"/>
    <w:qFormat/>
    <w:uiPriority w:val="0"/>
    <w:pPr>
      <w:adjustRightInd w:val="0"/>
      <w:jc w:val="center"/>
      <w:textAlignment w:val="baseline"/>
    </w:pPr>
    <w:rPr>
      <w:rFonts w:hAnsi="Courier New"/>
    </w:rPr>
  </w:style>
  <w:style w:type="paragraph" w:customStyle="1" w:styleId="123">
    <w:name w:val="真·表头"/>
    <w:basedOn w:val="1"/>
    <w:qFormat/>
    <w:uiPriority w:val="0"/>
    <w:pPr>
      <w:spacing w:beforeLines="50"/>
      <w:jc w:val="center"/>
    </w:pPr>
    <w:rPr>
      <w:rFonts w:ascii="Calibri" w:hAnsi="Calibri" w:eastAsia="黑体" w:cs="Times New Roman"/>
      <w:szCs w:val="30"/>
    </w:rPr>
  </w:style>
  <w:style w:type="paragraph" w:customStyle="1" w:styleId="124">
    <w:name w:val="样式 正文缩进正文缩进2正文缩进 Char Char正文缩进 Char Char Char Char正文缩进 Char ..."/>
    <w:basedOn w:val="6"/>
    <w:qFormat/>
    <w:uiPriority w:val="0"/>
    <w:pPr>
      <w:spacing w:line="360" w:lineRule="auto"/>
      <w:ind w:firstLine="200"/>
    </w:pPr>
    <w:rPr>
      <w:rFonts w:cs="宋体"/>
    </w:rPr>
  </w:style>
  <w:style w:type="paragraph" w:customStyle="1" w:styleId="125">
    <w:name w:val="Style1"/>
    <w:basedOn w:val="1"/>
    <w:qFormat/>
    <w:uiPriority w:val="0"/>
    <w:pPr>
      <w:widowControl/>
    </w:pPr>
    <w:rPr>
      <w:spacing w:val="-3"/>
      <w:kern w:val="0"/>
    </w:rPr>
  </w:style>
  <w:style w:type="paragraph" w:customStyle="1" w:styleId="126">
    <w:name w:val="列出段落11"/>
    <w:basedOn w:val="1"/>
    <w:qFormat/>
    <w:uiPriority w:val="0"/>
    <w:pPr>
      <w:ind w:firstLine="420" w:firstLineChars="200"/>
    </w:pPr>
    <w:rPr>
      <w:szCs w:val="21"/>
    </w:rPr>
  </w:style>
  <w:style w:type="paragraph" w:customStyle="1" w:styleId="127">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128">
    <w:name w:val="正文四号"/>
    <w:basedOn w:val="1"/>
    <w:qFormat/>
    <w:uiPriority w:val="0"/>
    <w:pPr>
      <w:spacing w:line="360" w:lineRule="auto"/>
      <w:ind w:firstLine="200" w:firstLineChars="200"/>
    </w:pPr>
    <w:rPr>
      <w:rFonts w:cs="宋体"/>
      <w:sz w:val="28"/>
      <w:szCs w:val="20"/>
    </w:rPr>
  </w:style>
  <w:style w:type="paragraph" w:customStyle="1" w:styleId="129">
    <w:name w:val="正文000000000"/>
    <w:basedOn w:val="1"/>
    <w:next w:val="1"/>
    <w:qFormat/>
    <w:uiPriority w:val="0"/>
    <w:pPr>
      <w:widowControl/>
      <w:spacing w:line="360" w:lineRule="auto"/>
      <w:ind w:firstLine="480" w:firstLineChars="200"/>
      <w:jc w:val="left"/>
    </w:pPr>
    <w:rPr>
      <w:rFonts w:ascii="宋体" w:hAnsi="宋体"/>
      <w:kern w:val="0"/>
      <w:sz w:val="24"/>
    </w:rPr>
  </w:style>
  <w:style w:type="paragraph" w:customStyle="1" w:styleId="130">
    <w:name w:val="正文1 Char"/>
    <w:basedOn w:val="1"/>
    <w:qFormat/>
    <w:uiPriority w:val="0"/>
    <w:pPr>
      <w:adjustRightInd w:val="0"/>
      <w:spacing w:line="360" w:lineRule="auto"/>
      <w:ind w:firstLine="480" w:firstLineChars="200"/>
    </w:pPr>
    <w:rPr>
      <w:rFonts w:hint="eastAsia" w:ascii="宋体" w:hAnsi="宋体" w:cs="宋体"/>
      <w:kern w:val="21"/>
      <w:sz w:val="24"/>
      <w:szCs w:val="20"/>
    </w:rPr>
  </w:style>
  <w:style w:type="paragraph" w:customStyle="1" w:styleId="131">
    <w:name w:val="标题2"/>
    <w:basedOn w:val="1"/>
    <w:next w:val="4"/>
    <w:uiPriority w:val="0"/>
    <w:pPr>
      <w:spacing w:line="520" w:lineRule="exact"/>
      <w:ind w:firstLine="482" w:firstLineChars="200"/>
    </w:pPr>
    <w:rPr>
      <w:b/>
      <w:sz w:val="24"/>
      <w:szCs w:val="20"/>
    </w:rPr>
  </w:style>
  <w:style w:type="paragraph" w:customStyle="1" w:styleId="132">
    <w:name w:val="Other|1"/>
    <w:basedOn w:val="1"/>
    <w:qFormat/>
    <w:uiPriority w:val="0"/>
    <w:pPr>
      <w:spacing w:line="442" w:lineRule="auto"/>
      <w:ind w:firstLine="400"/>
    </w:pPr>
    <w:rPr>
      <w:rFonts w:ascii="宋体" w:hAnsi="宋体" w:eastAsia="宋体" w:cs="宋体"/>
      <w:lang w:val="zh-TW" w:eastAsia="zh-TW" w:bidi="zh-TW"/>
    </w:rPr>
  </w:style>
  <w:style w:type="paragraph" w:customStyle="1" w:styleId="133">
    <w:name w:val="居中正文"/>
    <w:basedOn w:val="34"/>
    <w:qFormat/>
    <w:uiPriority w:val="0"/>
    <w:pPr>
      <w:adjustRightInd w:val="0"/>
      <w:spacing w:before="120" w:after="0" w:line="360" w:lineRule="auto"/>
      <w:ind w:firstLine="0" w:firstLineChars="0"/>
      <w:jc w:val="center"/>
      <w:textAlignment w:val="baseline"/>
    </w:pPr>
    <w:rPr>
      <w:kern w:val="28"/>
      <w:szCs w:val="20"/>
    </w:rPr>
  </w:style>
  <w:style w:type="paragraph" w:customStyle="1" w:styleId="134">
    <w:name w:val="正文样式"/>
    <w:basedOn w:val="1"/>
    <w:qFormat/>
    <w:uiPriority w:val="0"/>
    <w:pPr>
      <w:tabs>
        <w:tab w:val="left" w:pos="1440"/>
        <w:tab w:val="left" w:pos="4368"/>
      </w:tabs>
      <w:spacing w:line="360" w:lineRule="auto"/>
      <w:ind w:firstLine="493"/>
    </w:pPr>
    <w:rPr>
      <w:color w:val="FF0000"/>
      <w:sz w:val="24"/>
    </w:rPr>
  </w:style>
  <w:style w:type="paragraph" w:customStyle="1" w:styleId="13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6">
    <w:name w:val="我的表格文字"/>
    <w:basedOn w:val="1"/>
    <w:qFormat/>
    <w:uiPriority w:val="0"/>
    <w:pPr>
      <w:jc w:val="center"/>
    </w:pPr>
    <w:rPr>
      <w:szCs w:val="21"/>
    </w:rPr>
  </w:style>
  <w:style w:type="paragraph" w:customStyle="1" w:styleId="137">
    <w:name w:val="样式4"/>
    <w:basedOn w:val="1"/>
    <w:qFormat/>
    <w:uiPriority w:val="0"/>
    <w:pPr>
      <w:spacing w:line="360" w:lineRule="auto"/>
    </w:pPr>
    <w:rPr>
      <w:rFonts w:eastAsia="黑体"/>
      <w:b/>
      <w:sz w:val="24"/>
      <w:szCs w:val="24"/>
    </w:rPr>
  </w:style>
  <w:style w:type="paragraph" w:customStyle="1" w:styleId="138">
    <w:name w:val="文"/>
    <w:basedOn w:val="4"/>
    <w:next w:val="1"/>
    <w:qFormat/>
    <w:uiPriority w:val="0"/>
    <w:pPr>
      <w:keepNext w:val="0"/>
      <w:keepLines w:val="0"/>
      <w:spacing w:before="0" w:after="0" w:line="360" w:lineRule="auto"/>
      <w:ind w:firstLine="480" w:firstLineChars="200"/>
      <w:outlineLvl w:val="9"/>
    </w:pPr>
    <w:rPr>
      <w:b w:val="0"/>
      <w:bCs w:val="0"/>
      <w:sz w:val="24"/>
      <w:szCs w:val="24"/>
    </w:rPr>
  </w:style>
  <w:style w:type="paragraph" w:customStyle="1" w:styleId="139">
    <w:name w:val="样式 四号 行距: 固定值 23 磅"/>
    <w:basedOn w:val="1"/>
    <w:qFormat/>
    <w:uiPriority w:val="0"/>
    <w:pPr>
      <w:tabs>
        <w:tab w:val="left" w:pos="3150"/>
      </w:tabs>
      <w:spacing w:line="460" w:lineRule="exact"/>
      <w:ind w:firstLine="480" w:firstLineChars="200"/>
    </w:pPr>
    <w:rPr>
      <w:kern w:val="0"/>
      <w:lang w:val="zh-CN"/>
    </w:rPr>
  </w:style>
  <w:style w:type="paragraph" w:customStyle="1" w:styleId="140">
    <w:name w:val="CM60"/>
    <w:basedOn w:val="1"/>
    <w:next w:val="1"/>
    <w:qFormat/>
    <w:uiPriority w:val="0"/>
    <w:pPr>
      <w:autoSpaceDE w:val="0"/>
      <w:autoSpaceDN w:val="0"/>
      <w:adjustRightInd w:val="0"/>
      <w:jc w:val="left"/>
    </w:pPr>
    <w:rPr>
      <w:rFonts w:ascii="MHei-Medium" w:eastAsia="MHei-Medium"/>
      <w:kern w:val="0"/>
      <w:sz w:val="20"/>
      <w:szCs w:val="20"/>
    </w:rPr>
  </w:style>
  <w:style w:type="paragraph" w:customStyle="1" w:styleId="141">
    <w:name w:val="正文 首行缩进:  2 字符"/>
    <w:basedOn w:val="1"/>
    <w:qFormat/>
    <w:uiPriority w:val="0"/>
    <w:pPr>
      <w:spacing w:line="360" w:lineRule="auto"/>
      <w:ind w:firstLine="200" w:firstLineChars="200"/>
    </w:pPr>
    <w:rPr>
      <w:rFonts w:ascii="宋体" w:cs="宋体"/>
      <w:kern w:val="0"/>
      <w:sz w:val="24"/>
      <w:szCs w:val="20"/>
    </w:rPr>
  </w:style>
  <w:style w:type="paragraph" w:customStyle="1" w:styleId="142">
    <w:name w:val="正文A"/>
    <w:basedOn w:val="1"/>
    <w:qFormat/>
    <w:uiPriority w:val="0"/>
    <w:pPr>
      <w:autoSpaceDE w:val="0"/>
      <w:autoSpaceDN w:val="0"/>
      <w:adjustRightInd w:val="0"/>
      <w:snapToGrid w:val="0"/>
      <w:ind w:firstLine="200"/>
      <w:textAlignment w:val="baseline"/>
    </w:pPr>
    <w:rPr>
      <w:kern w:val="0"/>
      <w:szCs w:val="20"/>
    </w:rPr>
  </w:style>
  <w:style w:type="paragraph" w:customStyle="1" w:styleId="143">
    <w:name w:val="表格文字2"/>
    <w:basedOn w:val="1"/>
    <w:qFormat/>
    <w:uiPriority w:val="0"/>
    <w:pPr>
      <w:adjustRightInd w:val="0"/>
      <w:spacing w:before="60"/>
      <w:jc w:val="center"/>
      <w:textAlignment w:val="baseline"/>
    </w:pPr>
    <w:rPr>
      <w:rFonts w:ascii="宋体"/>
      <w:kern w:val="0"/>
      <w:sz w:val="24"/>
    </w:rPr>
  </w:style>
  <w:style w:type="paragraph" w:customStyle="1" w:styleId="144">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45">
    <w:name w:val="无间隔1"/>
    <w:basedOn w:val="1"/>
    <w:qFormat/>
    <w:uiPriority w:val="0"/>
    <w:pPr>
      <w:snapToGrid w:val="0"/>
      <w:spacing w:line="340" w:lineRule="exact"/>
      <w:jc w:val="center"/>
    </w:pPr>
    <w:rPr>
      <w:rFonts w:cs="Times New Roman"/>
    </w:rPr>
  </w:style>
  <w:style w:type="paragraph" w:customStyle="1" w:styleId="146">
    <w:name w:val="lwx-正文"/>
    <w:basedOn w:val="147"/>
    <w:qFormat/>
    <w:uiPriority w:val="0"/>
    <w:pPr>
      <w:spacing w:after="0" w:afterLines="0" w:line="360" w:lineRule="auto"/>
      <w:ind w:firstLine="200" w:firstLineChars="200"/>
      <w:jc w:val="both"/>
    </w:pPr>
    <w:rPr>
      <w:b w:val="0"/>
      <w:sz w:val="24"/>
    </w:rPr>
  </w:style>
  <w:style w:type="paragraph" w:customStyle="1" w:styleId="147">
    <w:name w:val="lwx-图名"/>
    <w:basedOn w:val="148"/>
    <w:qFormat/>
    <w:uiPriority w:val="0"/>
    <w:pPr>
      <w:spacing w:before="0" w:beforeLines="0" w:after="50" w:afterLines="50"/>
    </w:pPr>
  </w:style>
  <w:style w:type="paragraph" w:customStyle="1" w:styleId="148">
    <w:name w:val="lwx-表头"/>
    <w:basedOn w:val="149"/>
    <w:qFormat/>
    <w:uiPriority w:val="0"/>
    <w:pPr>
      <w:spacing w:before="50" w:beforeLines="50"/>
    </w:pPr>
    <w:rPr>
      <w:b/>
    </w:rPr>
  </w:style>
  <w:style w:type="paragraph" w:customStyle="1" w:styleId="149">
    <w:name w:val="lwx-表内文字"/>
    <w:basedOn w:val="1"/>
    <w:qFormat/>
    <w:uiPriority w:val="0"/>
    <w:pPr>
      <w:adjustRightInd w:val="0"/>
      <w:snapToGrid w:val="0"/>
      <w:jc w:val="center"/>
    </w:pPr>
    <w:rPr>
      <w:bCs/>
      <w:szCs w:val="21"/>
    </w:rPr>
  </w:style>
  <w:style w:type="paragraph" w:customStyle="1" w:styleId="150">
    <w:name w:val="缩进"/>
    <w:basedOn w:val="1"/>
    <w:qFormat/>
    <w:uiPriority w:val="0"/>
    <w:pPr>
      <w:autoSpaceDE w:val="0"/>
      <w:autoSpaceDN w:val="0"/>
      <w:adjustRightInd w:val="0"/>
      <w:spacing w:line="400" w:lineRule="atLeast"/>
      <w:ind w:firstLine="425"/>
      <w:textAlignment w:val="baseline"/>
    </w:pPr>
    <w:rPr>
      <w:rFonts w:ascii="Times New Roman" w:hAnsi="Times New Roman" w:eastAsia="宋体" w:cs="Times New Roman"/>
      <w:kern w:val="0"/>
      <w:sz w:val="24"/>
      <w:szCs w:val="20"/>
    </w:rPr>
  </w:style>
  <w:style w:type="paragraph" w:customStyle="1" w:styleId="151">
    <w:name w:val="报告书三级标题"/>
    <w:basedOn w:val="1"/>
    <w:qFormat/>
    <w:uiPriority w:val="0"/>
    <w:pPr>
      <w:spacing w:line="440" w:lineRule="exact"/>
      <w:ind w:firstLine="200" w:firstLineChars="200"/>
    </w:pPr>
    <w:rPr>
      <w:rFonts w:ascii="Times New Roman" w:hAnsi="Times New Roman"/>
      <w:sz w:val="24"/>
      <w:szCs w:val="21"/>
    </w:rPr>
  </w:style>
  <w:style w:type="paragraph" w:customStyle="1" w:styleId="152">
    <w:name w:val="c表内容"/>
    <w:basedOn w:val="1"/>
    <w:qFormat/>
    <w:uiPriority w:val="0"/>
    <w:pPr>
      <w:spacing w:line="320" w:lineRule="exact"/>
      <w:jc w:val="center"/>
    </w:pPr>
    <w:rPr>
      <w:rFonts w:cs="Times New Roman"/>
    </w:rPr>
  </w:style>
  <w:style w:type="paragraph" w:customStyle="1" w:styleId="153">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54">
    <w:name w:val="！正文"/>
    <w:basedOn w:val="1"/>
    <w:qFormat/>
    <w:uiPriority w:val="0"/>
    <w:pPr>
      <w:spacing w:line="360" w:lineRule="auto"/>
      <w:ind w:firstLine="200" w:firstLineChars="200"/>
    </w:pPr>
    <w:rPr>
      <w:szCs w:val="22"/>
    </w:rPr>
  </w:style>
  <w:style w:type="paragraph" w:styleId="155">
    <w:name w:val="List Paragraph"/>
    <w:basedOn w:val="1"/>
    <w:qFormat/>
    <w:uiPriority w:val="1"/>
    <w:pPr>
      <w:spacing w:before="1"/>
      <w:ind w:left="1080" w:firstLine="480"/>
    </w:pPr>
    <w:rPr>
      <w:rFonts w:ascii="宋体" w:hAnsi="宋体" w:eastAsia="宋体" w:cs="宋体"/>
      <w:lang w:val="zh-CN" w:eastAsia="zh-CN" w:bidi="zh-CN"/>
    </w:rPr>
  </w:style>
  <w:style w:type="paragraph" w:customStyle="1" w:styleId="156">
    <w:name w:val="_Style 2"/>
    <w:basedOn w:val="1"/>
    <w:qFormat/>
    <w:uiPriority w:val="34"/>
    <w:pPr>
      <w:ind w:firstLine="420" w:firstLineChars="200"/>
    </w:pPr>
    <w:rPr>
      <w:szCs w:val="24"/>
    </w:rPr>
  </w:style>
  <w:style w:type="paragraph" w:customStyle="1" w:styleId="157">
    <w:name w:val="Table Paragraph"/>
    <w:basedOn w:val="1"/>
    <w:qFormat/>
    <w:uiPriority w:val="1"/>
    <w:pPr>
      <w:spacing w:before="104"/>
      <w:ind w:left="212"/>
      <w:jc w:val="center"/>
    </w:pPr>
    <w:rPr>
      <w:rFonts w:ascii="仿宋" w:hAnsi="仿宋" w:eastAsia="仿宋" w:cs="仿宋"/>
      <w:lang w:val="zh-CN" w:eastAsia="zh-CN" w:bidi="zh-CN"/>
    </w:rPr>
  </w:style>
  <w:style w:type="paragraph" w:customStyle="1" w:styleId="158">
    <w:name w:val="表格表头"/>
    <w:basedOn w:val="1"/>
    <w:qFormat/>
    <w:uiPriority w:val="0"/>
    <w:pPr>
      <w:spacing w:after="20" w:afterLines="20" w:line="400" w:lineRule="exact"/>
      <w:ind w:firstLine="200" w:firstLineChars="200"/>
      <w:textAlignment w:val="baseline"/>
    </w:pPr>
    <w:rPr>
      <w:b/>
    </w:rPr>
  </w:style>
  <w:style w:type="paragraph" w:customStyle="1" w:styleId="15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60">
    <w:name w:val="c正文"/>
    <w:basedOn w:val="1"/>
    <w:qFormat/>
    <w:uiPriority w:val="0"/>
    <w:pPr>
      <w:adjustRightInd w:val="0"/>
      <w:snapToGrid w:val="0"/>
      <w:spacing w:line="500" w:lineRule="exact"/>
      <w:ind w:firstLine="480" w:firstLineChars="200"/>
    </w:pPr>
    <w:rPr>
      <w:rFonts w:cs="Times New Roman"/>
      <w:sz w:val="24"/>
      <w:szCs w:val="24"/>
    </w:rPr>
  </w:style>
  <w:style w:type="paragraph" w:customStyle="1" w:styleId="161">
    <w:name w:val="样式1"/>
    <w:basedOn w:val="1"/>
    <w:qFormat/>
    <w:uiPriority w:val="0"/>
    <w:pPr>
      <w:adjustRightInd w:val="0"/>
      <w:spacing w:line="480" w:lineRule="atLeast"/>
      <w:ind w:firstLine="539"/>
    </w:pPr>
    <w:rPr>
      <w:rFonts w:eastAsia="仿宋_GB2312"/>
      <w:kern w:val="0"/>
      <w:sz w:val="28"/>
      <w:szCs w:val="28"/>
    </w:rPr>
  </w:style>
  <w:style w:type="paragraph" w:customStyle="1" w:styleId="162">
    <w:name w:val="Char"/>
    <w:basedOn w:val="1"/>
    <w:qFormat/>
    <w:uiPriority w:val="0"/>
  </w:style>
  <w:style w:type="paragraph" w:customStyle="1" w:styleId="163">
    <w:name w:val="【正文】"/>
    <w:basedOn w:val="1"/>
    <w:qFormat/>
    <w:uiPriority w:val="0"/>
    <w:pPr>
      <w:spacing w:line="440" w:lineRule="exact"/>
      <w:ind w:firstLine="200" w:firstLineChars="200"/>
    </w:pPr>
    <w:rPr>
      <w:sz w:val="24"/>
      <w:szCs w:val="20"/>
    </w:rPr>
  </w:style>
  <w:style w:type="paragraph" w:customStyle="1" w:styleId="164">
    <w:name w:val="表头"/>
    <w:basedOn w:val="1"/>
    <w:qFormat/>
    <w:uiPriority w:val="0"/>
    <w:pPr>
      <w:spacing w:line="360" w:lineRule="auto"/>
      <w:jc w:val="center"/>
    </w:pPr>
  </w:style>
  <w:style w:type="paragraph" w:customStyle="1" w:styleId="165">
    <w:name w:val="【表内字】"/>
    <w:basedOn w:val="1"/>
    <w:qFormat/>
    <w:uiPriority w:val="0"/>
    <w:pPr>
      <w:jc w:val="center"/>
    </w:pPr>
    <w:rPr>
      <w:rFonts w:ascii="Calibri" w:hAnsi="Calibri" w:eastAsia="宋体" w:cs="Times New Roman"/>
    </w:rPr>
  </w:style>
  <w:style w:type="paragraph" w:customStyle="1" w:styleId="166">
    <w:name w:val="描述正文"/>
    <w:basedOn w:val="1"/>
    <w:qFormat/>
    <w:uiPriority w:val="0"/>
    <w:pPr>
      <w:autoSpaceDE w:val="0"/>
      <w:autoSpaceDN w:val="0"/>
      <w:adjustRightInd w:val="0"/>
      <w:snapToGrid w:val="0"/>
      <w:spacing w:line="360" w:lineRule="auto"/>
      <w:ind w:firstLine="200" w:firstLineChars="200"/>
      <w:jc w:val="both"/>
    </w:pPr>
    <w:rPr>
      <w:kern w:val="0"/>
    </w:rPr>
  </w:style>
  <w:style w:type="paragraph" w:customStyle="1" w:styleId="167">
    <w:name w:val="中文报告书样式"/>
    <w:basedOn w:val="1"/>
    <w:qFormat/>
    <w:uiPriority w:val="0"/>
    <w:pPr>
      <w:adjustRightInd w:val="0"/>
      <w:spacing w:line="480" w:lineRule="atLeast"/>
      <w:ind w:firstLine="482"/>
    </w:pPr>
    <w:rPr>
      <w:kern w:val="24"/>
      <w:sz w:val="24"/>
    </w:rPr>
  </w:style>
  <w:style w:type="paragraph" w:customStyle="1" w:styleId="168">
    <w:name w:val="5"/>
    <w:basedOn w:val="1"/>
    <w:next w:val="12"/>
    <w:qFormat/>
    <w:uiPriority w:val="0"/>
    <w:pPr>
      <w:ind w:firstLine="540"/>
    </w:pPr>
    <w:rPr>
      <w:rFonts w:ascii="宋体"/>
      <w:sz w:val="28"/>
    </w:rPr>
  </w:style>
  <w:style w:type="paragraph" w:customStyle="1" w:styleId="169">
    <w:name w:val="正文2-Y"/>
    <w:basedOn w:val="1"/>
    <w:qFormat/>
    <w:uiPriority w:val="0"/>
    <w:pPr>
      <w:spacing w:line="500" w:lineRule="exact"/>
      <w:ind w:firstLine="200" w:firstLineChars="200"/>
    </w:pPr>
    <w:rPr>
      <w:rFonts w:ascii="Times New Roman" w:hAnsi="Times New Roman"/>
      <w:sz w:val="24"/>
      <w:szCs w:val="24"/>
    </w:rPr>
  </w:style>
  <w:style w:type="table" w:customStyle="1" w:styleId="170">
    <w:name w:val="Table Grid_0"/>
    <w:basedOn w:val="36"/>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1">
    <w:name w:val="灰度表格15"/>
    <w:basedOn w:val="36"/>
    <w:qFormat/>
    <w:uiPriority w:val="59"/>
    <w:pPr>
      <w:adjustRightInd w:val="0"/>
      <w:snapToGrid w:val="0"/>
      <w:jc w:val="center"/>
    </w:pPr>
    <w:rPr>
      <w:rFonts w:ascii="Calibri" w:hAnsi="Calibri" w:eastAsia="宋体" w:cs="Times New Roman"/>
      <w:szCs w:val="22"/>
    </w:rPr>
    <w:tblPr>
      <w:tblBorders>
        <w:top w:val="single" w:color="auto" w:sz="12" w:space="0"/>
        <w:bottom w:val="single" w:color="auto" w:sz="12"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172">
    <w:name w:val="表格样式 1刘文"/>
    <w:basedOn w:val="36"/>
    <w:qFormat/>
    <w:uiPriority w:val="0"/>
    <w:pPr>
      <w:jc w:val="center"/>
    </w:pPr>
    <w:rPr>
      <w:rFonts w:ascii="Times New Roman" w:hAnsi="Times New Roman" w:eastAsia="宋体" w:cs="Times New Roman"/>
    </w:rPr>
    <w:tblPr>
      <w:tblBorders>
        <w:top w:val="single" w:color="auto" w:sz="12" w:space="0"/>
        <w:bottom w:val="single" w:color="auto" w:sz="12" w:space="0"/>
        <w:insideH w:val="single" w:color="auto" w:sz="4" w:space="0"/>
        <w:insideV w:val="single" w:color="auto" w:sz="4" w:space="0"/>
      </w:tblBorders>
      <w:tblLayout w:type="fixed"/>
      <w:tblCellMar>
        <w:top w:w="0" w:type="dxa"/>
        <w:left w:w="28" w:type="dxa"/>
        <w:bottom w:w="0" w:type="dxa"/>
        <w:right w:w="28" w:type="dxa"/>
      </w:tblCellMar>
    </w:tblPr>
    <w:tcPr>
      <w:vAlign w:val="center"/>
    </w:tcPr>
  </w:style>
  <w:style w:type="paragraph" w:customStyle="1" w:styleId="173">
    <w:name w:val="报告正文"/>
    <w:basedOn w:val="1"/>
    <w:qFormat/>
    <w:uiPriority w:val="0"/>
    <w:pPr>
      <w:widowControl/>
      <w:wordWrap w:val="0"/>
      <w:spacing w:line="360" w:lineRule="auto"/>
      <w:jc w:val="left"/>
    </w:pPr>
    <w:rPr>
      <w:color w:val="000000"/>
      <w:kern w:val="0"/>
      <w:sz w:val="24"/>
    </w:rPr>
  </w:style>
  <w:style w:type="paragraph" w:customStyle="1" w:styleId="174">
    <w:name w:val="a正文"/>
    <w:qFormat/>
    <w:uiPriority w:val="0"/>
    <w:pPr>
      <w:wordWrap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175">
    <w:name w:val="样式 正文11 + 首行缩进:  2 字符"/>
    <w:basedOn w:val="1"/>
    <w:qFormat/>
    <w:uiPriority w:val="0"/>
    <w:pPr>
      <w:spacing w:line="500" w:lineRule="exact"/>
      <w:ind w:firstLine="560"/>
    </w:pPr>
    <w:rPr>
      <w:color w:val="FF0000"/>
      <w:sz w:val="28"/>
      <w:szCs w:val="20"/>
    </w:rPr>
  </w:style>
  <w:style w:type="table" w:customStyle="1" w:styleId="176">
    <w:name w:val="Table Normal"/>
    <w:unhideWhenUsed/>
    <w:qFormat/>
    <w:uiPriority w:val="0"/>
    <w:tblPr>
      <w:tblLayout w:type="fixed"/>
      <w:tblCellMar>
        <w:top w:w="0" w:type="dxa"/>
        <w:left w:w="0" w:type="dxa"/>
        <w:bottom w:w="0" w:type="dxa"/>
        <w:right w:w="0" w:type="dxa"/>
      </w:tblCellMar>
    </w:tblPr>
  </w:style>
  <w:style w:type="paragraph" w:customStyle="1" w:styleId="177">
    <w:name w:val="事久-表名"/>
    <w:next w:val="1"/>
    <w:qFormat/>
    <w:uiPriority w:val="0"/>
    <w:pPr>
      <w:spacing w:before="50" w:beforeLines="50"/>
      <w:jc w:val="center"/>
    </w:pPr>
    <w:rPr>
      <w:rFonts w:ascii="Times New Roman" w:hAnsi="Times New Roman" w:eastAsia="宋体" w:cs="Times New Roman"/>
      <w:b/>
      <w:kern w:val="2"/>
      <w:sz w:val="24"/>
      <w:szCs w:val="22"/>
      <w:lang w:val="en-US" w:eastAsia="zh-CN" w:bidi="ar-SA"/>
    </w:rPr>
  </w:style>
  <w:style w:type="table" w:customStyle="1" w:styleId="178">
    <w:name w:val="三线表"/>
    <w:basedOn w:val="36"/>
    <w:qFormat/>
    <w:uiPriority w:val="99"/>
    <w:pPr>
      <w:adjustRightInd w:val="0"/>
      <w:snapToGrid w:val="0"/>
      <w:jc w:val="center"/>
    </w:pPr>
    <w:rPr>
      <w:sz w:val="21"/>
    </w:rPr>
    <w:tblPr>
      <w:jc w:val="center"/>
      <w:tblBorders>
        <w:top w:val="single" w:color="auto" w:sz="12" w:space="0"/>
        <w:bottom w:val="single" w:color="auto" w:sz="12" w:space="0"/>
        <w:insideH w:val="single" w:color="auto" w:sz="4" w:space="0"/>
        <w:insideV w:val="single" w:color="auto" w:sz="4" w:space="0"/>
      </w:tblBorders>
      <w:tblLayout w:type="fixed"/>
    </w:tblPr>
    <w:trPr>
      <w:jc w:val="center"/>
    </w:trPr>
    <w:tcPr>
      <w:vAlign w:val="center"/>
    </w:tcPr>
  </w:style>
  <w:style w:type="character" w:customStyle="1" w:styleId="179">
    <w:name w:val="font41"/>
    <w:basedOn w:val="39"/>
    <w:uiPriority w:val="0"/>
    <w:rPr>
      <w:rFonts w:hint="default" w:ascii="Times New Roman" w:hAnsi="Times New Roman" w:cs="Times New Roman"/>
      <w:color w:val="000000"/>
      <w:sz w:val="20"/>
      <w:szCs w:val="20"/>
      <w:u w:val="none"/>
    </w:rPr>
  </w:style>
  <w:style w:type="paragraph" w:customStyle="1" w:styleId="180">
    <w:name w:val="我的正文"/>
    <w:basedOn w:val="1"/>
    <w:qFormat/>
    <w:uiPriority w:val="0"/>
    <w:pPr>
      <w:widowControl/>
      <w:kinsoku w:val="0"/>
      <w:overflowPunct w:val="0"/>
      <w:ind w:firstLine="200"/>
    </w:pPr>
  </w:style>
  <w:style w:type="paragraph" w:customStyle="1" w:styleId="181">
    <w:name w:val="表头图尾"/>
    <w:basedOn w:val="1"/>
    <w:next w:val="173"/>
    <w:qFormat/>
    <w:uiPriority w:val="0"/>
    <w:pPr>
      <w:autoSpaceDE w:val="0"/>
      <w:autoSpaceDN w:val="0"/>
      <w:jc w:val="center"/>
    </w:pPr>
    <w:rPr>
      <w:rFonts w:eastAsia="黑体" w:cs="宋体"/>
      <w:kern w:val="0"/>
      <w:sz w:val="24"/>
      <w:szCs w:val="21"/>
    </w:rPr>
  </w:style>
  <w:style w:type="paragraph" w:customStyle="1" w:styleId="182">
    <w:name w:val="a-w正文"/>
    <w:qFormat/>
    <w:uiPriority w:val="0"/>
    <w:pPr>
      <w:tabs>
        <w:tab w:val="left" w:pos="567"/>
        <w:tab w:val="left" w:pos="851"/>
      </w:tabs>
      <w:adjustRightInd w:val="0"/>
      <w:snapToGrid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83">
    <w:name w:val="a-w表格"/>
    <w:qFormat/>
    <w:uiPriority w:val="0"/>
    <w:pPr>
      <w:jc w:val="center"/>
    </w:pPr>
    <w:rPr>
      <w:rFonts w:ascii="Times New Roman" w:hAnsi="Times New Roman" w:eastAsia="宋体" w:cs="Times New Roman"/>
      <w:kern w:val="2"/>
      <w:sz w:val="21"/>
      <w:szCs w:val="21"/>
      <w:lang w:val="en-US" w:eastAsia="zh-CN" w:bidi="ar-SA"/>
    </w:rPr>
  </w:style>
  <w:style w:type="paragraph" w:customStyle="1" w:styleId="184">
    <w:name w:val=" Char1"/>
    <w:basedOn w:val="1"/>
    <w:qFormat/>
    <w:uiPriority w:val="0"/>
    <w:rPr>
      <w:szCs w:val="24"/>
    </w:rPr>
  </w:style>
  <w:style w:type="paragraph" w:customStyle="1" w:styleId="185">
    <w:name w:val="环评正文"/>
    <w:basedOn w:val="1"/>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186">
    <w:name w:val="正文-欣欣"/>
    <w:basedOn w:val="20"/>
    <w:qFormat/>
    <w:uiPriority w:val="0"/>
    <w:pPr>
      <w:widowControl w:val="0"/>
      <w:tabs>
        <w:tab w:val="left" w:pos="3300"/>
      </w:tabs>
      <w:spacing w:after="0" w:line="360" w:lineRule="auto"/>
      <w:ind w:firstLine="200" w:firstLineChars="200"/>
    </w:pPr>
    <w:rPr>
      <w:rFonts w:ascii="Times New Roman" w:hAnsi="Times New Roman" w:eastAsia="宋体"/>
      <w:kern w:val="2"/>
      <w:sz w:val="24"/>
      <w:szCs w:val="30"/>
    </w:rPr>
  </w:style>
  <w:style w:type="paragraph" w:customStyle="1" w:styleId="187">
    <w:name w:val="表格正文zou"/>
    <w:basedOn w:val="1"/>
    <w:qFormat/>
    <w:uiPriority w:val="0"/>
    <w:pPr>
      <w:autoSpaceDE w:val="0"/>
      <w:autoSpaceDN w:val="0"/>
      <w:adjustRightInd w:val="0"/>
      <w:snapToGrid w:val="0"/>
      <w:spacing w:line="320" w:lineRule="exact"/>
      <w:jc w:val="center"/>
    </w:pPr>
    <w:rPr>
      <w:rFonts w:hint="eastAsia"/>
      <w:kern w:val="0"/>
      <w:szCs w:val="21"/>
    </w:rPr>
  </w:style>
  <w:style w:type="paragraph" w:customStyle="1" w:styleId="188">
    <w:name w:val="1表格标题"/>
    <w:qFormat/>
    <w:uiPriority w:val="0"/>
    <w:pPr>
      <w:adjustRightInd w:val="0"/>
      <w:snapToGrid w:val="0"/>
      <w:spacing w:before="50" w:beforeLines="50"/>
      <w:jc w:val="center"/>
    </w:pPr>
    <w:rPr>
      <w:rFonts w:ascii="Times New Roman" w:hAnsi="Times New Roman" w:eastAsia="仿宋" w:cs="Times New Roman"/>
      <w:b/>
      <w:bCs/>
      <w:snapToGrid w:val="0"/>
      <w:sz w:val="21"/>
      <w:szCs w:val="21"/>
      <w:lang w:val="en-US" w:eastAsia="zh-CN" w:bidi="ar-SA"/>
    </w:rPr>
  </w:style>
  <w:style w:type="paragraph" w:customStyle="1" w:styleId="189">
    <w:name w:val="0表格"/>
    <w:basedOn w:val="1"/>
    <w:qFormat/>
    <w:uiPriority w:val="0"/>
    <w:pPr>
      <w:spacing w:line="240" w:lineRule="auto"/>
      <w:ind w:firstLine="0" w:firstLineChars="0"/>
      <w:jc w:val="center"/>
    </w:pPr>
    <w:rPr>
      <w:kern w:val="0"/>
      <w:sz w:val="20"/>
    </w:rPr>
  </w:style>
  <w:style w:type="paragraph" w:customStyle="1" w:styleId="190">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wmf"/><Relationship Id="rId27" Type="http://schemas.openxmlformats.org/officeDocument/2006/relationships/image" Target="media/image18.wmf"/><Relationship Id="rId26" Type="http://schemas.openxmlformats.org/officeDocument/2006/relationships/image" Target="media/image17.wmf"/><Relationship Id="rId25" Type="http://schemas.openxmlformats.org/officeDocument/2006/relationships/image" Target="media/image16.wmf"/><Relationship Id="rId24" Type="http://schemas.openxmlformats.org/officeDocument/2006/relationships/image" Target="media/image15.wmf"/><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wmf"/><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e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94</Pages>
  <Words>53599</Words>
  <Characters>60233</Characters>
  <Lines>695</Lines>
  <Paragraphs>195</Paragraphs>
  <TotalTime>1</TotalTime>
  <ScaleCrop>false</ScaleCrop>
  <LinksUpToDate>false</LinksUpToDate>
  <CharactersWithSpaces>60510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2021-12-06T15:52:00Z</dcterms:created>
  <dc:creator>lhj</dc:creator>
  <cp:lastModifiedBy>Administrator</cp:lastModifiedBy>
  <cp:lastPrinted>2023-10-12T14:50:00Z</cp:lastPrinted>
  <dcterms:modified xsi:type="dcterms:W3CDTF">2025-11-18T03:30:21Z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ICV">
    <vt:lpwstr>4E2C27AE320F344337CB1B693BA11E7B</vt:lpwstr>
  </property>
  <property fmtid="{D5CDD505-2E9C-101B-9397-08002B2CF9AE}" pid="4" name="commondata">
    <vt:lpwstr>eyJoZGlkIjoiMThjOGM5NDdlNWQxYmZlOGE5OTI1YTdhZDJjMjBkNzAifQ==</vt:lpwstr>
  </property>
  <property fmtid="{D5CDD505-2E9C-101B-9397-08002B2CF9AE}" pid="5" name="KSOTemplateDocerSaveRecord">
    <vt:lpwstr>eyJoZGlkIjoiMThjOGM5NDdlNWQxYmZlOGE5OTI1YTdhZDJjMjBkNzAiLCJ1c2VySWQiOiI0MzU5MzA0NDYifQ==</vt:lpwstr>
  </property>
</Properties>
</file>