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Times New Roman" w:hAnsi="Times New Roman" w:eastAsia="方正小标宋_GBK" w:cs="Times New Roman"/>
          <w:bCs/>
          <w:color w:val="auto"/>
          <w:sz w:val="72"/>
          <w:szCs w:val="72"/>
          <w:lang w:eastAsia="zh-CN"/>
        </w:rPr>
      </w:pPr>
    </w:p>
    <w:p>
      <w:pPr>
        <w:adjustRightInd w:val="0"/>
        <w:snapToGrid w:val="0"/>
        <w:jc w:val="center"/>
        <w:rPr>
          <w:rFonts w:hint="default" w:ascii="Times New Roman" w:hAnsi="Times New Roman" w:eastAsia="方正小标宋_GBK" w:cs="Times New Roman"/>
          <w:bCs/>
          <w:color w:val="auto"/>
          <w:sz w:val="72"/>
          <w:szCs w:val="72"/>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w:t>
      </w:r>
      <w:r>
        <w:rPr>
          <w:rFonts w:hint="eastAsia" w:eastAsia="楷体_GB2312" w:cs="Times New Roman"/>
          <w:bCs/>
          <w:color w:val="auto"/>
          <w:sz w:val="48"/>
          <w:szCs w:val="48"/>
          <w:lang w:eastAsia="zh-CN"/>
        </w:rPr>
        <w:t>公示</w:t>
      </w:r>
      <w:r>
        <w:rPr>
          <w:rFonts w:hint="default" w:ascii="Times New Roman" w:hAnsi="Times New Roman" w:eastAsia="楷体_GB2312" w:cs="Times New Roman"/>
          <w:bCs/>
          <w:color w:val="auto"/>
          <w:sz w:val="48"/>
          <w:szCs w:val="48"/>
          <w:lang w:eastAsia="zh-CN"/>
        </w:rPr>
        <w:t>本</w:t>
      </w:r>
      <w:r>
        <w:rPr>
          <w:rFonts w:hint="default" w:ascii="Times New Roman" w:hAnsi="Times New Roman" w:eastAsia="楷体_GB2312" w:cs="Times New Roman"/>
          <w:bCs/>
          <w:color w:val="auto"/>
          <w:sz w:val="48"/>
          <w:szCs w:val="48"/>
        </w:rPr>
        <w:t>）</w:t>
      </w: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val="en-US" w:eastAsia="zh-CN"/>
        </w:rPr>
        <w:t xml:space="preserve"> 人造板材生产线改造项目   </w:t>
      </w:r>
      <w:r>
        <w:rPr>
          <w:rFonts w:hint="default" w:ascii="Times New Roman" w:hAnsi="Times New Roman" w:eastAsia="仿宋_GB2312" w:cs="Times New Roman"/>
          <w:color w:val="auto"/>
          <w:sz w:val="36"/>
          <w:szCs w:val="36"/>
          <w:u w:val="single"/>
          <w:lang w:eastAsia="zh-CN"/>
        </w:rPr>
        <w:t xml:space="preserve"> </w:t>
      </w:r>
      <w:r>
        <w:rPr>
          <w:rFonts w:hint="eastAsia" w:eastAsia="仿宋_GB2312" w:cs="Times New Roman"/>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eastAsia"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eastAsia="zh-CN"/>
        </w:rPr>
        <w:t>四川乐辰木业有限公司</w:t>
      </w:r>
      <w:r>
        <w:rPr>
          <w:rFonts w:hint="eastAsia" w:eastAsia="仿宋_GB2312" w:cs="Times New Roman"/>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202</w:t>
      </w:r>
      <w:r>
        <w:rPr>
          <w:rFonts w:hint="eastAsia"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10</w:t>
      </w:r>
      <w:r>
        <w:rPr>
          <w:rFonts w:hint="default" w:ascii="Times New Roman" w:hAnsi="Times New Roman" w:eastAsia="仿宋_GB2312" w:cs="Times New Roman"/>
          <w:color w:val="auto"/>
          <w:sz w:val="36"/>
          <w:szCs w:val="36"/>
          <w:u w:val="single"/>
        </w:rPr>
        <w:t xml:space="preserve">月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9"/>
        <w:tblW w:w="91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6"/>
        <w:gridCol w:w="2913"/>
        <w:gridCol w:w="221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8077" w:type="dxa"/>
            <w:gridSpan w:val="3"/>
            <w:tcBorders>
              <w:tl2br w:val="nil"/>
              <w:tr2bl w:val="nil"/>
            </w:tcBorders>
            <w:noWrap w:val="0"/>
            <w:vAlign w:val="center"/>
          </w:tcPr>
          <w:p>
            <w:pPr>
              <w:widowControl/>
              <w:jc w:val="center"/>
              <w:rPr>
                <w:rFonts w:hint="default" w:ascii="Times New Roman" w:hAnsi="Times New Roman" w:eastAsia="宋体" w:cs="Times New Roman"/>
                <w:color w:val="auto"/>
                <w:kern w:val="0"/>
                <w:sz w:val="24"/>
                <w:highlight w:val="yellow"/>
                <w:lang w:eastAsia="zh-CN" w:bidi="ar"/>
              </w:rPr>
            </w:pPr>
            <w:r>
              <w:rPr>
                <w:rFonts w:hint="eastAsia" w:cs="Times New Roman"/>
                <w:color w:val="auto"/>
                <w:kern w:val="0"/>
                <w:sz w:val="24"/>
                <w:highlight w:val="none"/>
                <w:lang w:eastAsia="zh-CN" w:bidi="ar"/>
              </w:rPr>
              <w:t>人造板材生产线改造项目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8077" w:type="dxa"/>
            <w:gridSpan w:val="3"/>
            <w:tcBorders>
              <w:tl2br w:val="nil"/>
              <w:tr2bl w:val="nil"/>
            </w:tcBorders>
            <w:noWrap w:val="0"/>
            <w:vAlign w:val="center"/>
          </w:tcPr>
          <w:p>
            <w:pPr>
              <w:widowControl/>
              <w:jc w:val="center"/>
              <w:rPr>
                <w:rFonts w:hint="default" w:ascii="Times New Roman" w:hAnsi="Times New Roman" w:eastAsia="宋体" w:cs="Times New Roman"/>
                <w:color w:val="auto"/>
                <w:kern w:val="0"/>
                <w:sz w:val="24"/>
                <w:highlight w:val="none"/>
                <w:lang w:eastAsia="zh-CN" w:bidi="ar"/>
              </w:rPr>
            </w:pPr>
            <w:r>
              <w:rPr>
                <w:rFonts w:hint="eastAsia" w:cs="Times New Roman"/>
                <w:color w:val="auto"/>
                <w:kern w:val="0"/>
                <w:sz w:val="24"/>
                <w:highlight w:val="none"/>
                <w:lang w:eastAsia="zh-CN" w:bidi="ar"/>
              </w:rPr>
              <w:t>2411-510921-07-02-287185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913"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w:t>
            </w:r>
          </w:p>
        </w:tc>
        <w:tc>
          <w:tcPr>
            <w:tcW w:w="2212" w:type="dxa"/>
            <w:tcBorders>
              <w:tl2br w:val="nil"/>
              <w:tr2bl w:val="nil"/>
            </w:tcBorders>
            <w:noWrap w:val="0"/>
            <w:vAlign w:val="center"/>
          </w:tcPr>
          <w:p>
            <w:pPr>
              <w:widowControl/>
              <w:jc w:val="center"/>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联系方式</w:t>
            </w:r>
          </w:p>
        </w:tc>
        <w:tc>
          <w:tcPr>
            <w:tcW w:w="295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4"/>
                <w:highlight w:val="none"/>
                <w:lang w:val="en-US" w:eastAsia="zh-CN" w:bidi="ar"/>
              </w:rPr>
            </w:pPr>
            <w:r>
              <w:rPr>
                <w:rFonts w:hint="eastAsia" w:cs="Times New Roman"/>
                <w:color w:val="auto"/>
                <w:kern w:val="0"/>
                <w:sz w:val="24"/>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8077" w:type="dxa"/>
            <w:gridSpan w:val="3"/>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遂宁市蓬溪县</w:t>
            </w:r>
            <w:r>
              <w:rPr>
                <w:rFonts w:hint="default" w:ascii="Times New Roman" w:hAnsi="Times New Roman" w:cs="Times New Roman"/>
                <w:color w:val="auto"/>
                <w:sz w:val="24"/>
              </w:rPr>
              <w:t>上游工业园西华拓展区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8077" w:type="dxa"/>
            <w:gridSpan w:val="3"/>
            <w:tcBorders>
              <w:tl2br w:val="nil"/>
              <w:tr2bl w:val="nil"/>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 xml:space="preserve"> 10</w:t>
            </w:r>
            <w:r>
              <w:rPr>
                <w:rFonts w:hint="eastAsia" w:cs="Times New Roman"/>
                <w:color w:val="auto"/>
                <w:sz w:val="24"/>
                <w:u w:val="single"/>
                <w:lang w:val="en-US" w:eastAsia="zh-CN"/>
              </w:rPr>
              <w:t>5</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40</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49.799</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 xml:space="preserve"> 30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4</w:t>
            </w:r>
            <w:r>
              <w:rPr>
                <w:rFonts w:hint="eastAsia" w:cs="Times New Roman"/>
                <w:color w:val="auto"/>
                <w:sz w:val="24"/>
                <w:u w:val="single"/>
                <w:lang w:val="en-US" w:eastAsia="zh-CN"/>
              </w:rPr>
              <w:t>4</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41.671</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91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highlight w:val="yellow"/>
                <w:lang w:val="en-US" w:eastAsia="zh-CN"/>
              </w:rPr>
            </w:pPr>
            <w:r>
              <w:rPr>
                <w:rFonts w:hint="default" w:ascii="Times New Roman" w:hAnsi="Times New Roman" w:cs="Times New Roman"/>
                <w:color w:val="auto"/>
                <w:sz w:val="24"/>
              </w:rPr>
              <w:t>C2023刨花板制造</w:t>
            </w:r>
          </w:p>
        </w:tc>
        <w:tc>
          <w:tcPr>
            <w:tcW w:w="221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295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color w:val="auto"/>
                <w:sz w:val="24"/>
                <w:highlight w:val="none"/>
                <w:lang w:eastAsia="zh-CN"/>
              </w:rPr>
              <w:t>十七、木材加工和木、竹、藤、棕、草制品业，</w:t>
            </w:r>
            <w:r>
              <w:rPr>
                <w:rFonts w:hint="default" w:ascii="Times New Roman" w:hAnsi="Times New Roman" w:cs="Times New Roman"/>
                <w:color w:val="auto"/>
                <w:sz w:val="24"/>
                <w:highlight w:val="none"/>
                <w:lang w:val="en-US" w:eastAsia="zh-CN"/>
              </w:rPr>
              <w:t>34、人造板制造202-其他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913" w:type="dxa"/>
            <w:tcBorders>
              <w:tl2br w:val="nil"/>
              <w:tr2bl w:val="nil"/>
            </w:tcBorders>
            <w:noWrap w:val="0"/>
            <w:vAlign w:val="center"/>
          </w:tcPr>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新建（迁建）</w:t>
            </w:r>
          </w:p>
          <w:p>
            <w:pPr>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eastAsia" w:cs="Times New Roman"/>
                <w:color w:val="auto"/>
                <w:sz w:val="24"/>
                <w:lang w:val="en-US" w:eastAsia="zh-CN"/>
              </w:rPr>
              <w:t xml:space="preserve"> </w:t>
            </w:r>
            <w:r>
              <w:rPr>
                <w:rFonts w:hint="default" w:ascii="Times New Roman" w:hAnsi="Times New Roman" w:cs="Times New Roman"/>
                <w:color w:val="auto"/>
                <w:sz w:val="24"/>
              </w:rPr>
              <w:t>改建</w:t>
            </w:r>
          </w:p>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扩建</w:t>
            </w:r>
          </w:p>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技术改造</w:t>
            </w:r>
          </w:p>
        </w:tc>
        <w:tc>
          <w:tcPr>
            <w:tcW w:w="2212" w:type="dxa"/>
            <w:tcBorders>
              <w:tl2br w:val="nil"/>
              <w:tr2bl w:val="nil"/>
            </w:tcBorders>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952" w:type="dxa"/>
            <w:tcBorders>
              <w:tl2br w:val="nil"/>
              <w:tr2bl w:val="nil"/>
            </w:tcBorders>
            <w:noWrap w:val="0"/>
            <w:vAlign w:val="center"/>
          </w:tcPr>
          <w:p>
            <w:pPr>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首次申报项目</w:t>
            </w:r>
          </w:p>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不予批准后再次申报项目</w:t>
            </w:r>
          </w:p>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超五年重新审核项目</w:t>
            </w:r>
          </w:p>
          <w:p>
            <w:pPr>
              <w:jc w:val="left"/>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106" w:type="dxa"/>
            <w:tcBorders>
              <w:tl2br w:val="nil"/>
              <w:tr2bl w:val="nil"/>
            </w:tcBorders>
            <w:noWrap w:val="0"/>
            <w:tcMar>
              <w:top w:w="16" w:type="dxa"/>
              <w:left w:w="16" w:type="dxa"/>
              <w:right w:w="16" w:type="dxa"/>
            </w:tcMar>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913" w:type="dxa"/>
            <w:tcBorders>
              <w:tl2br w:val="nil"/>
              <w:tr2bl w:val="nil"/>
            </w:tcBorders>
            <w:noWrap w:val="0"/>
            <w:vAlign w:val="center"/>
          </w:tcPr>
          <w:p>
            <w:pPr>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蓬溪县经济和信息化局</w:t>
            </w:r>
          </w:p>
        </w:tc>
        <w:tc>
          <w:tcPr>
            <w:tcW w:w="2212" w:type="dxa"/>
            <w:tcBorders>
              <w:tl2br w:val="nil"/>
              <w:tr2bl w:val="nil"/>
            </w:tcBorders>
            <w:noWrap w:val="0"/>
            <w:vAlign w:val="center"/>
          </w:tcPr>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项目审批（核准/备案）文号（选填）</w:t>
            </w:r>
          </w:p>
        </w:tc>
        <w:tc>
          <w:tcPr>
            <w:tcW w:w="2952" w:type="dxa"/>
            <w:tcBorders>
              <w:tl2br w:val="nil"/>
              <w:tr2bl w:val="nil"/>
            </w:tcBorders>
            <w:noWrap w:val="0"/>
            <w:vAlign w:val="center"/>
          </w:tcPr>
          <w:p>
            <w:pPr>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川投资备【2411-510921-07-02-287185】JXQB-0099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91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3500</w:t>
            </w:r>
          </w:p>
        </w:tc>
        <w:tc>
          <w:tcPr>
            <w:tcW w:w="2212"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环保投资（万元）</w:t>
            </w:r>
          </w:p>
        </w:tc>
        <w:tc>
          <w:tcPr>
            <w:tcW w:w="295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8"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91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2.1</w:t>
            </w:r>
          </w:p>
        </w:tc>
        <w:tc>
          <w:tcPr>
            <w:tcW w:w="2212"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2952" w:type="dxa"/>
            <w:tcBorders>
              <w:tl2br w:val="nil"/>
              <w:tr2bl w:val="nil"/>
            </w:tcBorders>
            <w:noWrap w:val="0"/>
            <w:vAlign w:val="center"/>
          </w:tcPr>
          <w:p>
            <w:pPr>
              <w:adjustRightInd w:val="0"/>
              <w:snapToGrid w:val="0"/>
              <w:jc w:val="center"/>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0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2913" w:type="dxa"/>
            <w:tcBorders>
              <w:tl2br w:val="nil"/>
              <w:tr2bl w:val="nil"/>
            </w:tcBorders>
            <w:noWrap w:val="0"/>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否：</w:t>
            </w:r>
          </w:p>
          <w:p>
            <w:pPr>
              <w:adjustRightInd w:val="0"/>
              <w:snapToGrid w:val="0"/>
              <w:rPr>
                <w:rFonts w:hint="default" w:ascii="Times New Roman" w:hAnsi="Times New Roman" w:cs="Times New Roman"/>
                <w:color w:val="auto"/>
                <w:sz w:val="24"/>
              </w:rPr>
            </w:pPr>
            <w:r>
              <w:rPr>
                <w:rFonts w:hint="eastAsia" w:ascii="Times New Roman" w:hAnsi="Times New Roman" w:cs="Times New Roman"/>
                <w:color w:val="auto"/>
                <w:sz w:val="24"/>
                <w:lang w:eastAsia="zh-CN"/>
              </w:rPr>
              <w:sym w:font="Wingdings 2" w:char="00A3"/>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c>
          <w:tcPr>
            <w:tcW w:w="2212"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2952" w:type="dxa"/>
            <w:tcBorders>
              <w:tl2br w:val="nil"/>
              <w:tr2bl w:val="nil"/>
            </w:tcBorders>
            <w:noWrap w:val="0"/>
            <w:vAlign w:val="center"/>
          </w:tcPr>
          <w:p>
            <w:pPr>
              <w:pStyle w:val="37"/>
              <w:ind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19777.85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106"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8077" w:type="dxa"/>
            <w:gridSpan w:val="3"/>
            <w:tcBorders>
              <w:tl2br w:val="nil"/>
              <w:tr2bl w:val="nil"/>
            </w:tcBorders>
            <w:noWrap w:val="0"/>
            <w:vAlign w:val="center"/>
          </w:tcPr>
          <w:p>
            <w:pPr>
              <w:autoSpaceDE w:val="0"/>
              <w:autoSpaceDN w:val="0"/>
              <w:adjustRightInd w:val="0"/>
              <w:snapToGrid w:val="0"/>
              <w:spacing w:before="120" w:beforeLines="50" w:line="360" w:lineRule="auto"/>
              <w:ind w:firstLine="482"/>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根据建设项目排污情况及所涉环境敏感程度，本项目专项评价设置情况见下表。</w:t>
            </w:r>
          </w:p>
          <w:p>
            <w:pPr>
              <w:tabs>
                <w:tab w:val="left" w:pos="662"/>
              </w:tabs>
              <w:kinsoku w:val="0"/>
              <w:overflowPunct w:val="0"/>
              <w:autoSpaceDE w:val="0"/>
              <w:autoSpaceDN w:val="0"/>
              <w:adjustRightIn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表1-1  本项目专项评价设置一览表</w:t>
            </w:r>
          </w:p>
          <w:tbl>
            <w:tblPr>
              <w:tblStyle w:val="39"/>
              <w:tblW w:w="7861" w:type="dxa"/>
              <w:jc w:val="center"/>
              <w:tblInd w:w="0" w:type="dxa"/>
              <w:tblLayout w:type="fixed"/>
              <w:tblCellMar>
                <w:top w:w="0" w:type="dxa"/>
                <w:left w:w="0" w:type="dxa"/>
                <w:bottom w:w="0" w:type="dxa"/>
                <w:right w:w="0" w:type="dxa"/>
              </w:tblCellMar>
            </w:tblPr>
            <w:tblGrid>
              <w:gridCol w:w="998"/>
              <w:gridCol w:w="4059"/>
              <w:gridCol w:w="2119"/>
              <w:gridCol w:w="685"/>
            </w:tblGrid>
            <w:tr>
              <w:tblPrEx>
                <w:tblLayout w:type="fixed"/>
                <w:tblCellMar>
                  <w:top w:w="0" w:type="dxa"/>
                  <w:left w:w="0" w:type="dxa"/>
                  <w:bottom w:w="0" w:type="dxa"/>
                  <w:right w:w="0" w:type="dxa"/>
                </w:tblCellMar>
              </w:tblPrEx>
              <w:trPr>
                <w:trHeight w:val="397" w:hRule="atLeast"/>
                <w:jc w:val="center"/>
              </w:trPr>
              <w:tc>
                <w:tcPr>
                  <w:tcW w:w="998" w:type="dxa"/>
                  <w:tcBorders>
                    <w:top w:val="single" w:color="000000" w:sz="12"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专项评价的类别</w:t>
                  </w:r>
                </w:p>
              </w:tc>
              <w:tc>
                <w:tcPr>
                  <w:tcW w:w="4059" w:type="dxa"/>
                  <w:tcBorders>
                    <w:top w:val="single" w:color="000000" w:sz="12"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设置原则</w:t>
                  </w:r>
                </w:p>
              </w:tc>
              <w:tc>
                <w:tcPr>
                  <w:tcW w:w="2119" w:type="dxa"/>
                  <w:tcBorders>
                    <w:top w:val="single" w:color="000000" w:sz="12"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本项目</w:t>
                  </w:r>
                </w:p>
              </w:tc>
              <w:tc>
                <w:tcPr>
                  <w:tcW w:w="685" w:type="dxa"/>
                  <w:tcBorders>
                    <w:top w:val="single" w:color="000000" w:sz="12" w:space="0"/>
                    <w:left w:val="single" w:color="000000" w:sz="4" w:space="0"/>
                    <w:bottom w:val="single" w:color="000000" w:sz="4" w:space="0"/>
                  </w:tcBorders>
                  <w:noWrap w:val="0"/>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是否设置</w:t>
                  </w:r>
                </w:p>
              </w:tc>
            </w:tr>
            <w:tr>
              <w:tblPrEx>
                <w:tblLayout w:type="fixed"/>
                <w:tblCellMar>
                  <w:top w:w="0" w:type="dxa"/>
                  <w:left w:w="0" w:type="dxa"/>
                  <w:bottom w:w="0" w:type="dxa"/>
                  <w:right w:w="0" w:type="dxa"/>
                </w:tblCellMar>
              </w:tblPrEx>
              <w:trPr>
                <w:trHeight w:val="397" w:hRule="atLeast"/>
                <w:jc w:val="center"/>
              </w:trPr>
              <w:tc>
                <w:tcPr>
                  <w:tcW w:w="998" w:type="dxa"/>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大气</w:t>
                  </w:r>
                </w:p>
              </w:tc>
              <w:tc>
                <w:tcPr>
                  <w:tcW w:w="405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排放废气含有毒有害污染物、二噁英、苯并[a]芘、氰化物、氯气且厂界外500米范围内有环境空气保护目标的建设项目</w:t>
                  </w:r>
                </w:p>
              </w:tc>
              <w:tc>
                <w:tcPr>
                  <w:tcW w:w="211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本项目涉及</w:t>
                  </w:r>
                  <w:r>
                    <w:rPr>
                      <w:rFonts w:hint="eastAsia" w:cs="Times New Roman"/>
                      <w:bCs/>
                      <w:color w:val="auto"/>
                      <w:szCs w:val="21"/>
                      <w:lang w:eastAsia="zh-CN"/>
                    </w:rPr>
                    <w:t>甲醛等</w:t>
                  </w:r>
                  <w:r>
                    <w:rPr>
                      <w:rFonts w:hint="default" w:ascii="Times New Roman" w:hAnsi="Times New Roman" w:cs="Times New Roman"/>
                      <w:bCs/>
                      <w:color w:val="auto"/>
                      <w:szCs w:val="21"/>
                    </w:rPr>
                    <w:t>有毒有害气体排放且厂界外500米范围内有环境空气保护目标</w:t>
                  </w:r>
                </w:p>
              </w:tc>
              <w:tc>
                <w:tcPr>
                  <w:tcW w:w="685" w:type="dxa"/>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是</w:t>
                  </w:r>
                </w:p>
              </w:tc>
            </w:tr>
            <w:tr>
              <w:tblPrEx>
                <w:tblLayout w:type="fixed"/>
                <w:tblCellMar>
                  <w:top w:w="0" w:type="dxa"/>
                  <w:left w:w="0" w:type="dxa"/>
                  <w:bottom w:w="0" w:type="dxa"/>
                  <w:right w:w="0" w:type="dxa"/>
                </w:tblCellMar>
              </w:tblPrEx>
              <w:trPr>
                <w:trHeight w:val="397" w:hRule="atLeast"/>
                <w:jc w:val="center"/>
              </w:trPr>
              <w:tc>
                <w:tcPr>
                  <w:tcW w:w="998" w:type="dxa"/>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地表水</w:t>
                  </w:r>
                </w:p>
              </w:tc>
              <w:tc>
                <w:tcPr>
                  <w:tcW w:w="405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新增工业废水直排建设项目（槽罐车外送污水处理厂的除外）；新增废水直排的污水集中处理厂</w:t>
                  </w:r>
                </w:p>
              </w:tc>
              <w:tc>
                <w:tcPr>
                  <w:tcW w:w="211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不涉及</w:t>
                  </w:r>
                </w:p>
              </w:tc>
              <w:tc>
                <w:tcPr>
                  <w:tcW w:w="685" w:type="dxa"/>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否</w:t>
                  </w:r>
                </w:p>
              </w:tc>
            </w:tr>
            <w:tr>
              <w:tblPrEx>
                <w:tblLayout w:type="fixed"/>
                <w:tblCellMar>
                  <w:top w:w="0" w:type="dxa"/>
                  <w:left w:w="0" w:type="dxa"/>
                  <w:bottom w:w="0" w:type="dxa"/>
                  <w:right w:w="0" w:type="dxa"/>
                </w:tblCellMar>
              </w:tblPrEx>
              <w:trPr>
                <w:trHeight w:val="397" w:hRule="atLeast"/>
                <w:jc w:val="center"/>
              </w:trPr>
              <w:tc>
                <w:tcPr>
                  <w:tcW w:w="998" w:type="dxa"/>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环境风险</w:t>
                  </w:r>
                </w:p>
              </w:tc>
              <w:tc>
                <w:tcPr>
                  <w:tcW w:w="405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有毒有害和易燃易爆危险物质存储量超过临界量</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的建设项目</w:t>
                  </w:r>
                </w:p>
              </w:tc>
              <w:tc>
                <w:tcPr>
                  <w:tcW w:w="211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本项目甲醛存储量超过临界量</w:t>
                  </w:r>
                </w:p>
              </w:tc>
              <w:tc>
                <w:tcPr>
                  <w:tcW w:w="685" w:type="dxa"/>
                  <w:tcBorders>
                    <w:top w:val="single" w:color="000000" w:sz="4" w:space="0"/>
                    <w:left w:val="single" w:color="000000" w:sz="4" w:space="0"/>
                    <w:bottom w:val="single" w:color="000000" w:sz="4" w:space="0"/>
                  </w:tcBorders>
                  <w:noWrap w:val="0"/>
                  <w:vAlign w:val="center"/>
                </w:tcPr>
                <w:p>
                  <w:pPr>
                    <w:adjustRightInd w:val="0"/>
                    <w:snapToGri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是</w:t>
                  </w:r>
                </w:p>
              </w:tc>
            </w:tr>
            <w:tr>
              <w:tblPrEx>
                <w:tblLayout w:type="fixed"/>
                <w:tblCellMar>
                  <w:top w:w="0" w:type="dxa"/>
                  <w:left w:w="0" w:type="dxa"/>
                  <w:bottom w:w="0" w:type="dxa"/>
                  <w:right w:w="0" w:type="dxa"/>
                </w:tblCellMar>
              </w:tblPrEx>
              <w:trPr>
                <w:trHeight w:val="397" w:hRule="atLeast"/>
                <w:jc w:val="center"/>
              </w:trPr>
              <w:tc>
                <w:tcPr>
                  <w:tcW w:w="998" w:type="dxa"/>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生态</w:t>
                  </w:r>
                </w:p>
              </w:tc>
              <w:tc>
                <w:tcPr>
                  <w:tcW w:w="405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取水口下游500米范围内有重要水生生物的自然产卵场、索饵场、越冬场和洄游通道的新增河道取水的污染类建设项目</w:t>
                  </w:r>
                </w:p>
              </w:tc>
              <w:tc>
                <w:tcPr>
                  <w:tcW w:w="211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不涉及</w:t>
                  </w:r>
                </w:p>
              </w:tc>
              <w:tc>
                <w:tcPr>
                  <w:tcW w:w="685" w:type="dxa"/>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否</w:t>
                  </w:r>
                </w:p>
              </w:tc>
            </w:tr>
            <w:tr>
              <w:tblPrEx>
                <w:tblLayout w:type="fixed"/>
                <w:tblCellMar>
                  <w:top w:w="0" w:type="dxa"/>
                  <w:left w:w="0" w:type="dxa"/>
                  <w:bottom w:w="0" w:type="dxa"/>
                  <w:right w:w="0" w:type="dxa"/>
                </w:tblCellMar>
              </w:tblPrEx>
              <w:trPr>
                <w:trHeight w:val="397" w:hRule="atLeast"/>
                <w:jc w:val="center"/>
              </w:trPr>
              <w:tc>
                <w:tcPr>
                  <w:tcW w:w="998" w:type="dxa"/>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海洋</w:t>
                  </w:r>
                </w:p>
              </w:tc>
              <w:tc>
                <w:tcPr>
                  <w:tcW w:w="405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直接向海排放污染物的海洋工程建设项目</w:t>
                  </w:r>
                </w:p>
              </w:tc>
              <w:tc>
                <w:tcPr>
                  <w:tcW w:w="2119" w:type="dxa"/>
                  <w:tcBorders>
                    <w:top w:val="single" w:color="000000" w:sz="4" w:space="0"/>
                    <w:left w:val="single" w:color="000000" w:sz="4" w:space="0"/>
                    <w:bottom w:val="single" w:color="000000" w:sz="4" w:space="0"/>
                    <w:right w:val="single" w:color="000000" w:sz="6" w:space="0"/>
                  </w:tcBorders>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不涉及</w:t>
                  </w:r>
                </w:p>
              </w:tc>
              <w:tc>
                <w:tcPr>
                  <w:tcW w:w="685" w:type="dxa"/>
                  <w:tcBorders>
                    <w:top w:val="single" w:color="000000" w:sz="4" w:space="0"/>
                    <w:left w:val="single" w:color="000000" w:sz="4" w:space="0"/>
                    <w:bottom w:val="single" w:color="000000" w:sz="4" w:space="0"/>
                  </w:tcBorders>
                  <w:noWrap w:val="0"/>
                  <w:vAlign w:val="center"/>
                </w:tcPr>
                <w:p>
                  <w:pPr>
                    <w:adjustRightInd w:val="0"/>
                    <w:snapToGrid w:val="0"/>
                    <w:ind w:left="102"/>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否</w:t>
                  </w:r>
                </w:p>
              </w:tc>
            </w:tr>
            <w:tr>
              <w:tblPrEx>
                <w:tblLayout w:type="fixed"/>
                <w:tblCellMar>
                  <w:top w:w="0" w:type="dxa"/>
                  <w:left w:w="0" w:type="dxa"/>
                  <w:bottom w:w="0" w:type="dxa"/>
                  <w:right w:w="0" w:type="dxa"/>
                </w:tblCellMar>
              </w:tblPrEx>
              <w:trPr>
                <w:trHeight w:val="397" w:hRule="atLeast"/>
                <w:jc w:val="center"/>
              </w:trPr>
              <w:tc>
                <w:tcPr>
                  <w:tcW w:w="7861" w:type="dxa"/>
                  <w:gridSpan w:val="4"/>
                  <w:tcBorders>
                    <w:top w:val="single" w:color="000000" w:sz="4" w:space="0"/>
                    <w:bottom w:val="single" w:color="000000" w:sz="12" w:space="0"/>
                  </w:tcBorders>
                  <w:noWrap w:val="0"/>
                  <w:vAlign w:val="center"/>
                </w:tcPr>
                <w:p>
                  <w:pPr>
                    <w:kinsoku w:val="0"/>
                    <w:overflowPunct w:val="0"/>
                    <w:autoSpaceDE w:val="0"/>
                    <w:autoSpaceDN w:val="0"/>
                    <w:adjustRightInd w:val="0"/>
                    <w:snapToGrid w:val="0"/>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注：1.废气中有毒有害污染物指纳入《有毒有害大气污染物名录》的污染物（不包括无排放标准</w:t>
                  </w:r>
                  <w:r>
                    <w:rPr>
                      <w:rFonts w:hint="default" w:ascii="Times New Roman" w:hAnsi="Times New Roman" w:cs="Times New Roman"/>
                      <w:color w:val="auto"/>
                      <w:spacing w:val="-99"/>
                      <w:kern w:val="0"/>
                      <w:szCs w:val="21"/>
                    </w:rPr>
                    <w:t xml:space="preserve"> </w:t>
                  </w:r>
                  <w:r>
                    <w:rPr>
                      <w:rFonts w:hint="default" w:ascii="Times New Roman" w:hAnsi="Times New Roman" w:cs="Times New Roman"/>
                      <w:color w:val="auto"/>
                      <w:kern w:val="0"/>
                      <w:szCs w:val="21"/>
                    </w:rPr>
                    <w:t>的污染物）。</w:t>
                  </w:r>
                </w:p>
                <w:p>
                  <w:pPr>
                    <w:overflowPunct w:val="0"/>
                    <w:autoSpaceDE w:val="0"/>
                    <w:autoSpaceDN w:val="0"/>
                    <w:adjustRightInd w:val="0"/>
                    <w:snapToGrid w:val="0"/>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2.环境空气保护目标指自然保护区、风景名胜区、居住区、文化区和农村地区中人群较集中的区域。</w:t>
                  </w:r>
                </w:p>
                <w:p>
                  <w:pPr>
                    <w:overflowPunct w:val="0"/>
                    <w:autoSpaceDE w:val="0"/>
                    <w:autoSpaceDN w:val="0"/>
                    <w:adjustRightInd w:val="0"/>
                    <w:snapToGrid w:val="0"/>
                    <w:ind w:firstLine="408" w:firstLineChars="200"/>
                    <w:rPr>
                      <w:rFonts w:hint="default" w:ascii="Times New Roman" w:hAnsi="Times New Roman" w:cs="Times New Roman"/>
                      <w:bCs/>
                      <w:color w:val="auto"/>
                      <w:szCs w:val="21"/>
                    </w:rPr>
                  </w:pPr>
                  <w:r>
                    <w:rPr>
                      <w:rFonts w:hint="default" w:ascii="Times New Roman" w:hAnsi="Times New Roman" w:cs="Times New Roman"/>
                      <w:color w:val="auto"/>
                      <w:spacing w:val="-3"/>
                      <w:kern w:val="0"/>
                      <w:szCs w:val="21"/>
                    </w:rPr>
                    <w:t>3.临界量及其计算方法可参考《建设项目环境风险评价技术导则》（HJ</w:t>
                  </w:r>
                  <w:r>
                    <w:rPr>
                      <w:rFonts w:hint="default" w:ascii="Times New Roman" w:hAnsi="Times New Roman" w:cs="Times New Roman"/>
                      <w:color w:val="auto"/>
                      <w:spacing w:val="-54"/>
                      <w:kern w:val="0"/>
                      <w:szCs w:val="21"/>
                    </w:rPr>
                    <w:t xml:space="preserve"> </w:t>
                  </w:r>
                  <w:r>
                    <w:rPr>
                      <w:rFonts w:hint="default" w:ascii="Times New Roman" w:hAnsi="Times New Roman" w:cs="Times New Roman"/>
                      <w:color w:val="auto"/>
                      <w:spacing w:val="-5"/>
                      <w:kern w:val="0"/>
                      <w:szCs w:val="21"/>
                    </w:rPr>
                    <w:t>169）附录</w:t>
                  </w:r>
                  <w:r>
                    <w:rPr>
                      <w:rFonts w:hint="default" w:ascii="Times New Roman" w:hAnsi="Times New Roman" w:cs="Times New Roman"/>
                      <w:color w:val="auto"/>
                      <w:spacing w:val="-52"/>
                      <w:kern w:val="0"/>
                      <w:szCs w:val="21"/>
                    </w:rPr>
                    <w:t xml:space="preserve"> </w:t>
                  </w:r>
                  <w:r>
                    <w:rPr>
                      <w:rFonts w:hint="default" w:ascii="Times New Roman" w:hAnsi="Times New Roman" w:cs="Times New Roman"/>
                      <w:color w:val="auto"/>
                      <w:spacing w:val="-7"/>
                      <w:kern w:val="0"/>
                      <w:szCs w:val="21"/>
                    </w:rPr>
                    <w:t>B、附录</w:t>
                  </w:r>
                  <w:r>
                    <w:rPr>
                      <w:rFonts w:hint="default" w:ascii="Times New Roman" w:hAnsi="Times New Roman" w:cs="Times New Roman"/>
                      <w:color w:val="auto"/>
                      <w:spacing w:val="-52"/>
                      <w:kern w:val="0"/>
                      <w:szCs w:val="21"/>
                    </w:rPr>
                    <w:t xml:space="preserve"> </w:t>
                  </w:r>
                  <w:r>
                    <w:rPr>
                      <w:rFonts w:hint="default" w:ascii="Times New Roman" w:hAnsi="Times New Roman" w:cs="Times New Roman"/>
                      <w:color w:val="auto"/>
                      <w:kern w:val="0"/>
                      <w:szCs w:val="21"/>
                    </w:rPr>
                    <w:t>C。</w:t>
                  </w:r>
                </w:p>
              </w:tc>
            </w:tr>
          </w:tbl>
          <w:p>
            <w:pPr>
              <w:keepNext w:val="0"/>
              <w:keepLines w:val="0"/>
              <w:pageBreakBefore w:val="0"/>
              <w:widowControl w:val="0"/>
              <w:kinsoku/>
              <w:wordWrap/>
              <w:overflowPunct w:val="0"/>
              <w:topLinePunct w:val="0"/>
              <w:autoSpaceDE w:val="0"/>
              <w:autoSpaceDN w:val="0"/>
              <w:bidi w:val="0"/>
              <w:adjustRightInd w:val="0"/>
              <w:snapToGrid w:val="0"/>
              <w:spacing w:before="157" w:beforeLines="50" w:line="360" w:lineRule="auto"/>
              <w:ind w:firstLine="452"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7"/>
                <w:sz w:val="24"/>
              </w:rPr>
              <w:t>此外，本项目土壤、声环境</w:t>
            </w:r>
            <w:r>
              <w:rPr>
                <w:rFonts w:hint="default" w:ascii="Times New Roman" w:hAnsi="Times New Roman" w:cs="Times New Roman"/>
                <w:color w:val="auto"/>
                <w:spacing w:val="4"/>
                <w:sz w:val="24"/>
              </w:rPr>
              <w:t>不开展专项评价，项目不涉及集中式饮用水水源和热水、矿泉水、温泉等特殊地下水资源保护区，因此不开展地下水专项评价。</w:t>
            </w:r>
          </w:p>
          <w:p>
            <w:pPr>
              <w:overflowPunct w:val="0"/>
              <w:autoSpaceDE w:val="0"/>
              <w:autoSpaceDN w:val="0"/>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综上，本项目需要设置</w:t>
            </w:r>
            <w:r>
              <w:rPr>
                <w:rFonts w:hint="eastAsia" w:cs="Times New Roman"/>
                <w:color w:val="auto"/>
                <w:kern w:val="0"/>
                <w:sz w:val="24"/>
                <w:lang w:eastAsia="zh-CN"/>
              </w:rPr>
              <w:t>大气、环境风险</w:t>
            </w:r>
            <w:r>
              <w:rPr>
                <w:rFonts w:hint="default" w:ascii="Times New Roman" w:hAnsi="Times New Roman" w:cs="Times New Roman"/>
                <w:color w:val="auto"/>
                <w:kern w:val="0"/>
                <w:sz w:val="24"/>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106"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8077" w:type="dxa"/>
            <w:gridSpan w:val="3"/>
            <w:tcBorders>
              <w:tl2br w:val="nil"/>
              <w:tr2bl w:val="nil"/>
            </w:tcBorders>
            <w:shd w:val="clear" w:color="auto" w:fill="auto"/>
            <w:noWrap w:val="0"/>
            <w:vAlign w:val="center"/>
          </w:tcPr>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规划名称：</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四川蓬溪经济开发区（上游片区）（暨蓬溪县上游工业园产业聚集区）产业规划</w:t>
            </w:r>
            <w:r>
              <w:rPr>
                <w:rFonts w:hint="eastAsia" w:ascii="Times New Roman" w:hAnsi="Times New Roman" w:eastAsia="宋体" w:cs="Times New Roman"/>
                <w:color w:val="auto"/>
                <w:kern w:val="0"/>
                <w:sz w:val="24"/>
                <w:lang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审批机关：四川省人民政府</w:t>
            </w:r>
          </w:p>
          <w:p>
            <w:pPr>
              <w:overflowPunct w:val="0"/>
              <w:autoSpaceDE w:val="0"/>
              <w:autoSpaceDN w:val="0"/>
              <w:adjustRightInd w:val="0"/>
              <w:snapToGrid w:val="0"/>
              <w:spacing w:line="360" w:lineRule="auto"/>
              <w:ind w:firstLine="480" w:firstLineChars="200"/>
              <w:rPr>
                <w:rFonts w:hint="default" w:ascii="Times New Roman" w:hAnsi="Times New Roman" w:eastAsia="宋体" w:cs="宋体"/>
                <w:kern w:val="0"/>
                <w:sz w:val="24"/>
                <w:szCs w:val="24"/>
                <w:lang w:val="en-US" w:eastAsia="zh-CN" w:bidi="ar-SA"/>
              </w:rPr>
            </w:pPr>
            <w:r>
              <w:rPr>
                <w:rFonts w:hint="default" w:ascii="Times New Roman" w:hAnsi="Times New Roman" w:eastAsia="宋体" w:cs="Times New Roman"/>
                <w:color w:val="auto"/>
                <w:kern w:val="0"/>
                <w:sz w:val="24"/>
              </w:rPr>
              <w:t>审批文件</w:t>
            </w:r>
            <w:r>
              <w:rPr>
                <w:rFonts w:hint="eastAsia" w:ascii="Times New Roman" w:hAnsi="Times New Roman" w:eastAsia="宋体" w:cs="Times New Roman"/>
                <w:color w:val="auto"/>
                <w:kern w:val="0"/>
                <w:sz w:val="24"/>
                <w:lang w:eastAsia="zh-CN"/>
              </w:rPr>
              <w:t>及文号</w:t>
            </w:r>
            <w:r>
              <w:rPr>
                <w:rFonts w:hint="default" w:ascii="Times New Roman" w:hAnsi="Times New Roman" w:eastAsia="宋体" w:cs="Times New Roman"/>
                <w:color w:val="auto"/>
                <w:kern w:val="0"/>
                <w:sz w:val="24"/>
              </w:rPr>
              <w:t>：四川省人民政府《关于设立四川蒲江经济开发区等64家省级开发区的批复》</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川府函〔2019〕20号</w:t>
            </w:r>
            <w:r>
              <w:rPr>
                <w:rFonts w:hint="eastAsia" w:ascii="Times New Roman" w:hAnsi="Times New Roman" w:eastAsia="宋体" w:cs="Times New Roman"/>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tcBorders>
              <w:tl2br w:val="nil"/>
              <w:tr2bl w:val="nil"/>
            </w:tcBorders>
            <w:noWrap w:val="0"/>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评价情况</w:t>
            </w:r>
          </w:p>
        </w:tc>
        <w:tc>
          <w:tcPr>
            <w:tcW w:w="8077" w:type="dxa"/>
            <w:gridSpan w:val="3"/>
            <w:tcBorders>
              <w:tl2br w:val="nil"/>
              <w:tr2bl w:val="nil"/>
            </w:tcBorders>
            <w:shd w:val="clear" w:color="auto" w:fill="auto"/>
            <w:noWrap w:val="0"/>
            <w:vAlign w:val="center"/>
          </w:tcPr>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规划环评名称：</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四川蓬溪经济开发区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上游片区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暨蓬溪县上游工业园产业聚集区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规划修编环境影响报告书</w:t>
            </w:r>
            <w:r>
              <w:rPr>
                <w:rFonts w:hint="eastAsia" w:ascii="Times New Roman" w:hAnsi="Times New Roman" w:eastAsia="宋体" w:cs="Times New Roman"/>
                <w:color w:val="auto"/>
                <w:kern w:val="0"/>
                <w:sz w:val="24"/>
                <w:lang w:eastAsia="zh-CN"/>
              </w:rPr>
              <w:t>》</w:t>
            </w:r>
          </w:p>
          <w:p>
            <w:pPr>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审批机关：遂宁市生态环境局</w:t>
            </w:r>
          </w:p>
          <w:p>
            <w:pPr>
              <w:overflowPunct w:val="0"/>
              <w:autoSpaceDE w:val="0"/>
              <w:autoSpaceDN w:val="0"/>
              <w:adjustRightInd w:val="0"/>
              <w:snapToGrid w:val="0"/>
              <w:spacing w:line="360" w:lineRule="auto"/>
              <w:ind w:firstLine="480" w:firstLineChars="200"/>
              <w:rPr>
                <w:rFonts w:hint="default" w:ascii="Times New Roman" w:hAnsi="Times New Roman" w:eastAsia="宋体" w:cs="宋体"/>
                <w:kern w:val="0"/>
                <w:sz w:val="24"/>
                <w:szCs w:val="24"/>
                <w:lang w:val="en-US" w:eastAsia="zh-CN" w:bidi="ar-SA"/>
              </w:rPr>
            </w:pPr>
            <w:r>
              <w:rPr>
                <w:rFonts w:hint="default" w:ascii="Times New Roman" w:hAnsi="Times New Roman" w:eastAsia="宋体" w:cs="Times New Roman"/>
                <w:color w:val="auto"/>
                <w:kern w:val="0"/>
                <w:sz w:val="24"/>
              </w:rPr>
              <w:t>审批文件</w:t>
            </w:r>
            <w:r>
              <w:rPr>
                <w:rFonts w:hint="eastAsia" w:ascii="Times New Roman" w:hAnsi="Times New Roman" w:eastAsia="宋体" w:cs="Times New Roman"/>
                <w:color w:val="auto"/>
                <w:kern w:val="0"/>
                <w:sz w:val="24"/>
                <w:lang w:eastAsia="zh-CN"/>
              </w:rPr>
              <w:t>及文号</w:t>
            </w:r>
            <w:r>
              <w:rPr>
                <w:rFonts w:hint="default" w:ascii="Times New Roman" w:hAnsi="Times New Roman" w:eastAsia="宋体" w:cs="Times New Roman"/>
                <w:color w:val="auto"/>
                <w:kern w:val="0"/>
                <w:sz w:val="24"/>
              </w:rPr>
              <w:t>：遂宁市生态环境局</w:t>
            </w:r>
            <w:r>
              <w:rPr>
                <w:rFonts w:hint="default" w:ascii="Times New Roman" w:hAnsi="Times New Roman" w:eastAsia="宋体" w:cs="Times New Roman"/>
                <w:color w:val="auto"/>
                <w:kern w:val="0"/>
                <w:sz w:val="24"/>
                <w:lang w:eastAsia="zh-CN"/>
              </w:rPr>
              <w:t>关于印发</w:t>
            </w:r>
            <w:r>
              <w:rPr>
                <w:rFonts w:hint="default" w:ascii="Times New Roman" w:hAnsi="Times New Roman" w:eastAsia="宋体" w:cs="Times New Roman"/>
                <w:color w:val="auto"/>
                <w:kern w:val="0"/>
                <w:sz w:val="24"/>
              </w:rPr>
              <w:t>《四川蓬溪经济开发区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上游片区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暨蓬溪县上游工业园产业聚集区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规划修编环境影响报告书审查意见的函》</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遂环函[2022]67号</w:t>
            </w:r>
            <w:r>
              <w:rPr>
                <w:rFonts w:hint="eastAsia" w:ascii="Times New Roman" w:hAnsi="Times New Roman" w:eastAsia="宋体" w:cs="Times New Roman"/>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规划及规划环境影响评价符合性分析</w:t>
            </w:r>
          </w:p>
        </w:tc>
        <w:tc>
          <w:tcPr>
            <w:tcW w:w="8077" w:type="dxa"/>
            <w:gridSpan w:val="3"/>
            <w:tcBorders>
              <w:tl2br w:val="nil"/>
              <w:tr2bl w:val="nil"/>
            </w:tcBorders>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项目与四川蓬溪经济开发区（上游片区）符合性分析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lang w:bidi="ar"/>
              </w:rPr>
              <w:t>根据上游工业园规划及</w:t>
            </w:r>
            <w:r>
              <w:rPr>
                <w:rFonts w:hint="default" w:ascii="Times New Roman" w:hAnsi="Times New Roman" w:cs="Times New Roman"/>
                <w:bCs/>
                <w:color w:val="auto"/>
                <w:sz w:val="24"/>
                <w:szCs w:val="24"/>
              </w:rPr>
              <w:t>遂宁市</w:t>
            </w:r>
            <w:r>
              <w:rPr>
                <w:rFonts w:hint="default" w:ascii="Times New Roman" w:hAnsi="Times New Roman" w:cs="Times New Roman"/>
                <w:color w:val="auto"/>
                <w:kern w:val="0"/>
                <w:sz w:val="24"/>
                <w:szCs w:val="24"/>
              </w:rPr>
              <w:t>生态环境局</w:t>
            </w:r>
            <w:r>
              <w:rPr>
                <w:rFonts w:hint="default" w:ascii="Times New Roman" w:hAnsi="Times New Roman" w:cs="Times New Roman"/>
                <w:color w:val="auto"/>
                <w:kern w:val="0"/>
                <w:sz w:val="24"/>
                <w:szCs w:val="24"/>
                <w:lang w:eastAsia="zh-CN"/>
              </w:rPr>
              <w:t>关于印发</w:t>
            </w:r>
            <w:r>
              <w:rPr>
                <w:rFonts w:hint="default" w:ascii="Times New Roman" w:hAnsi="Times New Roman" w:cs="Times New Roman"/>
                <w:color w:val="auto"/>
                <w:kern w:val="0"/>
                <w:sz w:val="24"/>
                <w:szCs w:val="24"/>
              </w:rPr>
              <w:t>《四川蓬溪经济开发区</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上游片区</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暨蓬溪县上游工业园产业聚集区</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规划修编环境影响报告书审查意见的函》</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遂环函[2022]67号</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bidi="ar"/>
              </w:rPr>
              <w:t>，园区规划情况及本项目的符合性如下所示：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2007年，</w:t>
            </w:r>
            <w:r>
              <w:rPr>
                <w:rFonts w:hint="default" w:ascii="Times New Roman" w:hAnsi="Times New Roman" w:cs="Times New Roman"/>
                <w:color w:val="auto"/>
                <w:kern w:val="0"/>
                <w:sz w:val="24"/>
                <w:szCs w:val="24"/>
                <w:highlight w:val="none"/>
              </w:rPr>
              <w:t>蓬溪县人民政府决定成立蓬溪县上游工业集中发展区，规划面积约5.3km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主导产业方向为纺织、轻化工业、食品加工、仓储物流。2012年，为解决主导产业导向问题，突出打造门业及配套产业，蓬溪县人民政府对上一轮规划进行了调整，调整后规划总规划面积仍为5.3km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vertAlign w:val="baseline"/>
                <w:lang w:eastAsia="zh-CN"/>
              </w:rPr>
              <w:t>，</w:t>
            </w:r>
            <w:r>
              <w:rPr>
                <w:rFonts w:hint="default" w:ascii="Times New Roman" w:hAnsi="Times New Roman" w:cs="Times New Roman"/>
                <w:color w:val="auto"/>
                <w:kern w:val="0"/>
                <w:sz w:val="24"/>
                <w:szCs w:val="24"/>
                <w:highlight w:val="none"/>
              </w:rPr>
              <w:t>主导产业为门业及其配套、纺织产业、电子产业、食品产业、南部仓储物流。2013年，为从园区长远发展考虑，拓展门业配套产业发展空间，规划面积3.78km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rPr>
              <w:t>，主导产业为家具制造</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主要发展门业及门业配套产业</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、化工</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限定为与门业配套的油漆、涂料</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等产业。2019年1月，四川省人民政府同意设立四川蓬溪经济开发区</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以下简称蓬溪经开区</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。蓬溪经开区以家具、服装、食品饮料为主导产业，核准面积5.7437km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其中上游片区2.6195km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重点发展门业家居、纺织服装等产业，金桥片区3.1242km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重点发展食品饮料等产业。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highlight w:val="none"/>
              </w:rPr>
              <w:t>为适应区域经济、社会、环境可持续发展的要求，四川蓬溪经开区管委会</w:t>
            </w:r>
            <w:r>
              <w:rPr>
                <w:rFonts w:hint="default" w:ascii="Times New Roman" w:hAnsi="Times New Roman" w:cs="Times New Roman"/>
                <w:color w:val="auto"/>
                <w:kern w:val="0"/>
                <w:sz w:val="24"/>
                <w:szCs w:val="24"/>
                <w:highlight w:val="none"/>
                <w:lang w:eastAsia="zh-CN"/>
              </w:rPr>
              <w:t>对</w:t>
            </w:r>
            <w:r>
              <w:rPr>
                <w:rFonts w:hint="default" w:ascii="Times New Roman" w:hAnsi="Times New Roman" w:cs="Times New Roman"/>
                <w:color w:val="auto"/>
                <w:kern w:val="0"/>
                <w:sz w:val="24"/>
                <w:szCs w:val="24"/>
                <w:highlight w:val="none"/>
              </w:rPr>
              <w:t>园区</w:t>
            </w:r>
            <w:r>
              <w:rPr>
                <w:rFonts w:hint="default" w:ascii="Times New Roman" w:hAnsi="Times New Roman" w:cs="Times New Roman"/>
                <w:color w:val="auto"/>
                <w:kern w:val="0"/>
                <w:sz w:val="24"/>
                <w:szCs w:val="24"/>
                <w:highlight w:val="none"/>
                <w:lang w:eastAsia="zh-CN"/>
              </w:rPr>
              <w:t>进行</w:t>
            </w:r>
            <w:r>
              <w:rPr>
                <w:rFonts w:hint="default" w:ascii="Times New Roman" w:hAnsi="Times New Roman" w:cs="Times New Roman"/>
                <w:color w:val="auto"/>
                <w:kern w:val="0"/>
                <w:sz w:val="24"/>
                <w:szCs w:val="24"/>
                <w:highlight w:val="none"/>
              </w:rPr>
              <w:t>修编。蓬溪县上游工业园产</w:t>
            </w:r>
            <w:r>
              <w:rPr>
                <w:rFonts w:hint="default" w:ascii="Times New Roman" w:hAnsi="Times New Roman" w:cs="Times New Roman"/>
                <w:color w:val="auto"/>
                <w:kern w:val="0"/>
                <w:sz w:val="24"/>
                <w:szCs w:val="24"/>
              </w:rPr>
              <w:t>业聚集区位于遂宁市蓬溪县，规划面积约1.70km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，四至范围为南至普安街道任家桥村5组，北至芝溪河南岸</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沿河岸线退10m间距</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，东至鸣凤镇白猴村4组，西至赤城镇跃进村5组。</w:t>
            </w:r>
            <w:r>
              <w:rPr>
                <w:rFonts w:hint="default" w:ascii="Times New Roman" w:hAnsi="Times New Roman" w:cs="Times New Roman"/>
                <w:b w:val="0"/>
                <w:bCs w:val="0"/>
                <w:color w:val="auto"/>
                <w:kern w:val="0"/>
                <w:sz w:val="24"/>
                <w:szCs w:val="24"/>
                <w:lang w:eastAsia="zh-CN"/>
              </w:rPr>
              <w:t>规划</w:t>
            </w:r>
            <w:r>
              <w:rPr>
                <w:rFonts w:hint="default" w:ascii="Times New Roman" w:hAnsi="Times New Roman" w:cs="Times New Roman"/>
                <w:b w:val="0"/>
                <w:bCs w:val="0"/>
                <w:color w:val="auto"/>
                <w:sz w:val="24"/>
                <w:szCs w:val="24"/>
              </w:rPr>
              <w:t>主导产业</w:t>
            </w:r>
            <w:r>
              <w:rPr>
                <w:rFonts w:hint="default" w:ascii="Times New Roman" w:hAnsi="Times New Roman" w:cs="Times New Roman"/>
                <w:b w:val="0"/>
                <w:bCs w:val="0"/>
                <w:color w:val="auto"/>
                <w:sz w:val="24"/>
                <w:szCs w:val="24"/>
                <w:lang w:eastAsia="zh-CN"/>
              </w:rPr>
              <w:t>为</w:t>
            </w:r>
            <w:r>
              <w:rPr>
                <w:rFonts w:hint="default" w:ascii="Times New Roman" w:hAnsi="Times New Roman" w:cs="Times New Roman"/>
                <w:b w:val="0"/>
                <w:bCs w:val="0"/>
                <w:color w:val="auto"/>
                <w:sz w:val="24"/>
                <w:szCs w:val="24"/>
              </w:rPr>
              <w:t>门业及智</w:t>
            </w:r>
            <w:r>
              <w:rPr>
                <w:rFonts w:hint="default" w:ascii="Times New Roman" w:hAnsi="Times New Roman" w:cs="Times New Roman"/>
                <w:color w:val="auto"/>
                <w:sz w:val="24"/>
                <w:szCs w:val="24"/>
              </w:rPr>
              <w:t>能家居产业、线缆线束产业。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color w:val="auto"/>
                <w:sz w:val="24"/>
                <w:szCs w:val="24"/>
                <w:lang w:val="en-US" w:eastAsia="zh-CN"/>
              </w:rPr>
            </w:pPr>
            <w:r>
              <w:rPr>
                <w:rFonts w:hint="default" w:ascii="Times New Roman" w:hAnsi="Times New Roman" w:cs="Times New Roman"/>
                <w:bCs/>
                <w:color w:val="auto"/>
                <w:sz w:val="24"/>
                <w:szCs w:val="24"/>
              </w:rPr>
              <w:t>根据</w:t>
            </w:r>
            <w:r>
              <w:rPr>
                <w:rFonts w:hint="default" w:ascii="Times New Roman" w:hAnsi="Times New Roman" w:eastAsia="宋体" w:cs="Times New Roman"/>
                <w:color w:val="auto"/>
                <w:sz w:val="24"/>
                <w:szCs w:val="24"/>
                <w:lang w:val="en-US" w:eastAsia="zh-CN"/>
              </w:rPr>
              <w:t>《四川蓬溪经济开发区（上游片区）（暨蓬溪县上游工业园产业聚集区）规划修编环境影响报告书》</w:t>
            </w:r>
            <w:r>
              <w:rPr>
                <w:rFonts w:hint="default" w:ascii="Times New Roman" w:hAnsi="Times New Roman" w:cs="Times New Roman"/>
                <w:bCs/>
                <w:color w:val="auto"/>
                <w:sz w:val="24"/>
                <w:szCs w:val="24"/>
              </w:rPr>
              <w:t>及其审查意见，本项目与</w:t>
            </w:r>
            <w:r>
              <w:rPr>
                <w:rFonts w:hint="default" w:ascii="Times New Roman" w:hAnsi="Times New Roman" w:cs="Times New Roman"/>
                <w:bCs/>
                <w:color w:val="auto"/>
                <w:sz w:val="24"/>
                <w:szCs w:val="24"/>
                <w:lang w:eastAsia="zh-CN"/>
              </w:rPr>
              <w:t>规划</w:t>
            </w:r>
            <w:r>
              <w:rPr>
                <w:rFonts w:hint="default" w:ascii="Times New Roman" w:hAnsi="Times New Roman" w:cs="Times New Roman"/>
                <w:bCs/>
                <w:color w:val="auto"/>
                <w:sz w:val="24"/>
                <w:szCs w:val="24"/>
              </w:rPr>
              <w:t>环评的符合性分析如下表</w:t>
            </w:r>
            <w:r>
              <w:rPr>
                <w:rFonts w:hint="default" w:ascii="Times New Roman" w:hAnsi="Times New Roman" w:cs="Times New Roman"/>
                <w:bCs/>
                <w:color w:val="auto"/>
                <w:sz w:val="24"/>
                <w:szCs w:val="24"/>
                <w:lang w:eastAsia="zh-CN"/>
              </w:rPr>
              <w:t>。</w:t>
            </w:r>
          </w:p>
          <w:p>
            <w:pPr>
              <w:pStyle w:val="156"/>
              <w:numPr>
                <w:ilvl w:val="0"/>
                <w:numId w:val="0"/>
              </w:numPr>
              <w:bidi w:val="0"/>
              <w:ind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 xml:space="preserve">1-2  </w:t>
            </w:r>
            <w:r>
              <w:rPr>
                <w:rFonts w:hint="default" w:ascii="Times New Roman" w:hAnsi="Times New Roman" w:eastAsia="宋体" w:cs="Times New Roman"/>
                <w:b/>
                <w:bCs/>
                <w:color w:val="auto"/>
                <w:sz w:val="21"/>
                <w:szCs w:val="21"/>
              </w:rPr>
              <w:t>与园区环境保护措施相关符合性分析表</w:t>
            </w:r>
          </w:p>
          <w:tbl>
            <w:tblPr>
              <w:tblStyle w:val="39"/>
              <w:tblW w:w="78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45"/>
              <w:gridCol w:w="4073"/>
              <w:gridCol w:w="1714"/>
              <w:gridCol w:w="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51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文件</w:t>
                  </w:r>
                  <w:r>
                    <w:rPr>
                      <w:rFonts w:hint="default" w:ascii="Times New Roman" w:hAnsi="Times New Roman" w:cs="Times New Roman"/>
                      <w:b/>
                      <w:bCs/>
                      <w:color w:val="auto"/>
                      <w:sz w:val="21"/>
                      <w:szCs w:val="21"/>
                    </w:rPr>
                    <w:t>相关要求</w:t>
                  </w:r>
                </w:p>
              </w:tc>
              <w:tc>
                <w:tcPr>
                  <w:tcW w:w="17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本项目相关情况</w:t>
                  </w:r>
                </w:p>
              </w:tc>
              <w:tc>
                <w:tcPr>
                  <w:tcW w:w="6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环境制约因素</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解决对策措施</w:t>
                  </w:r>
                </w:p>
              </w:tc>
              <w:tc>
                <w:tcPr>
                  <w:tcW w:w="17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6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地表水环境容量不足，规划区排水受限。</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目前蓬溪县人民政府已编制了《芝溪河流域水体达标方案》</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2021-2025年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主要通过水资源生态流量保障、污染源控制、水环境综合治理、水环境生态修复、环境监管能力提升、环境宣传等重点工程项目，改善芝溪河流域水环境质量。严格落实该方案提出的各项措施和要求，芝溪河水体水质可稳定达到阶段目标。</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加强经开区污水处理厂的监督管理，确保稳定运行，污水达标排放。在芝溪河水质稳定达到III类标准前，园区依托的经开区污水处理厂尾水排放不能超过2000m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eastAsia="zh-CN"/>
                    </w:rPr>
                    <w:t>。</w:t>
                  </w:r>
                </w:p>
              </w:tc>
              <w:tc>
                <w:tcPr>
                  <w:tcW w:w="1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本项目营运期生活污水经</w:t>
                  </w:r>
                  <w:r>
                    <w:rPr>
                      <w:rFonts w:hint="default" w:ascii="Times New Roman" w:hAnsi="Times New Roman" w:cs="Times New Roman"/>
                      <w:color w:val="auto"/>
                      <w:sz w:val="21"/>
                      <w:szCs w:val="21"/>
                      <w:lang w:eastAsia="zh-CN"/>
                    </w:rPr>
                    <w:t>预处理池处理达标后排入</w:t>
                  </w:r>
                  <w:r>
                    <w:rPr>
                      <w:rFonts w:hint="default" w:ascii="Times New Roman" w:hAnsi="Times New Roman" w:cs="Times New Roman"/>
                      <w:color w:val="auto"/>
                      <w:sz w:val="21"/>
                      <w:szCs w:val="21"/>
                    </w:rPr>
                    <w:t>市政管网</w:t>
                  </w:r>
                  <w:r>
                    <w:rPr>
                      <w:rFonts w:hint="default" w:ascii="Times New Roman" w:hAnsi="Times New Roman" w:cs="Times New Roman"/>
                      <w:color w:val="auto"/>
                      <w:sz w:val="21"/>
                      <w:szCs w:val="21"/>
                      <w:lang w:eastAsia="zh-CN"/>
                    </w:rPr>
                    <w:t>，经蓬溪县</w:t>
                  </w:r>
                  <w:r>
                    <w:rPr>
                      <w:rFonts w:hint="default" w:ascii="Times New Roman" w:hAnsi="Times New Roman" w:cs="Times New Roman"/>
                      <w:color w:val="auto"/>
                      <w:sz w:val="21"/>
                      <w:szCs w:val="21"/>
                    </w:rPr>
                    <w:t>经开区</w:t>
                  </w: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rPr>
                    <w:t>水处理</w:t>
                  </w:r>
                  <w:r>
                    <w:rPr>
                      <w:rFonts w:hint="default" w:ascii="Times New Roman" w:hAnsi="Times New Roman" w:cs="Times New Roman"/>
                      <w:color w:val="auto"/>
                      <w:sz w:val="21"/>
                      <w:szCs w:val="21"/>
                      <w:highlight w:val="none"/>
                    </w:rPr>
                    <w:t>厂</w:t>
                  </w:r>
                  <w:r>
                    <w:rPr>
                      <w:rFonts w:hint="default" w:ascii="Times New Roman" w:hAnsi="Times New Roman" w:cs="Times New Roman"/>
                      <w:color w:val="auto"/>
                      <w:sz w:val="21"/>
                      <w:szCs w:val="21"/>
                      <w:highlight w:val="none"/>
                      <w:lang w:eastAsia="zh-CN"/>
                    </w:rPr>
                    <w:t>处理达标后排入芝溪河。本项目污水最大排放量为</w:t>
                  </w:r>
                  <w:r>
                    <w:rPr>
                      <w:rFonts w:hint="default" w:ascii="Times New Roman" w:hAnsi="Times New Roman" w:cs="Times New Roman"/>
                      <w:color w:val="auto"/>
                      <w:sz w:val="21"/>
                      <w:szCs w:val="21"/>
                      <w:highlight w:val="none"/>
                      <w:lang w:val="en-US" w:eastAsia="zh-CN"/>
                    </w:rPr>
                    <w:t>1.685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经开区污水处理厂</w:t>
                  </w:r>
                  <w:r>
                    <w:rPr>
                      <w:rFonts w:hint="default" w:ascii="Times New Roman" w:hAnsi="Times New Roman" w:cs="Times New Roman"/>
                      <w:color w:val="auto"/>
                      <w:sz w:val="21"/>
                      <w:szCs w:val="21"/>
                      <w:highlight w:val="none"/>
                      <w:lang w:eastAsia="zh-CN"/>
                    </w:rPr>
                    <w:t>处理能力为</w:t>
                  </w:r>
                  <w:r>
                    <w:rPr>
                      <w:rFonts w:hint="default" w:ascii="Times New Roman" w:hAnsi="Times New Roman" w:cs="Times New Roman"/>
                      <w:color w:val="auto"/>
                      <w:sz w:val="21"/>
                      <w:szCs w:val="21"/>
                      <w:highlight w:val="none"/>
                    </w:rPr>
                    <w:t>2000m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eastAsia="zh-CN"/>
                    </w:rPr>
                    <w:t>，目前未满负荷运行</w:t>
                  </w:r>
                  <w:r>
                    <w:rPr>
                      <w:rFonts w:hint="default" w:ascii="Times New Roman" w:hAnsi="Times New Roman" w:cs="Times New Roman"/>
                      <w:color w:val="auto"/>
                      <w:sz w:val="21"/>
                      <w:szCs w:val="21"/>
                      <w:lang w:eastAsia="zh-CN"/>
                    </w:rPr>
                    <w:t>。</w:t>
                  </w:r>
                </w:p>
              </w:tc>
              <w:tc>
                <w:tcPr>
                  <w:tcW w:w="6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规划区部分工业用地邻近居住用地，对区域发展形成制约。规划区位于蓬溪县主城区下风向，外部东北方向距离赤城场镇最近约1.5km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规划区内分布有佛博苑安置区、西华安置区、梨园安置小区和福兴苑小区等已建居住区。因此，区内工业企业与周边、内部的居住区相互制约。</w:t>
                  </w:r>
                </w:p>
              </w:tc>
              <w:tc>
                <w:tcPr>
                  <w:tcW w:w="407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保留规划区与城区之间的自然山体形成阻隔屏障，在园区东侧与城镇之间设置绿化隔离带，防护绿地宽度不低于50m</w:t>
                  </w:r>
                  <w:r>
                    <w:rPr>
                      <w:rFonts w:hint="default" w:ascii="Times New Roman" w:hAnsi="Times New Roman" w:cs="Times New Roman"/>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4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园区范围内西侧居住区（佛博苑安置区、西华安置区）已经建设完成，居民用地周边设置了防护绿地。周边工业用地应引入轻污染的工业项目并优化项目总体布局，减缓对居民区的影响。东侧居民区（梨园安置小区、福兴苑小区）已经建设完成，周边工业用地已经建设完成，居民区和周边工业用地利用道路间隔。居民区周边现有企业应严格执行环评及批复提出的相关要求，在满足环保要求的前提下，维持现状。后期若进行用地置换，应引入轻污染的工业项目并优化项目总体布局，减缓对居民区的影响。</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（3）规划应要求避免在敏感目标点周边布置有异味、VOCs排放量高的企业。</w:t>
                  </w:r>
                </w:p>
              </w:tc>
              <w:tc>
                <w:tcPr>
                  <w:tcW w:w="1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本项目位于蓬溪经开区西华拓展区，距西华安置小区</w:t>
                  </w:r>
                  <w:r>
                    <w:rPr>
                      <w:rFonts w:hint="default" w:ascii="Times New Roman" w:hAnsi="Times New Roman" w:cs="Times New Roman"/>
                      <w:color w:val="auto"/>
                      <w:sz w:val="21"/>
                      <w:szCs w:val="21"/>
                      <w:highlight w:val="none"/>
                      <w:lang w:val="en-US" w:eastAsia="zh-CN"/>
                    </w:rPr>
                    <w:t>350m，西华安置小区周边设置有防护绿地，本项目产生的VOCs，通过燃烧、活性炭吸附等处理后排放，项目废气经处理可达标排放，VOCs排放量低，对居住区影响较小。</w:t>
                  </w:r>
                </w:p>
              </w:tc>
              <w:tc>
                <w:tcPr>
                  <w:tcW w:w="6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4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区域大气环境容量有限，对规划实施形成一定制约。</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（1）蓬溪县人民政府应严格执行深入打好蓝天保卫战等相关要求，实现规划区内、外废气污染源协同治污减排，确保环境空气质量持续改善。</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应严格按照《蓬溪县“生态环境全面提质”对标竞进行动方案》等要求，推进重点行业VOCs综合治理，全面排查问题、明确整改具体措施；大力推广使用低（无）VOCs含量的原辅材料，木质家具制造行业替代比例达到60%以上。</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（3）规划区位于大气污染防治重点区域，应严格落实《四川省固定污染源大气挥发性有机物排放标准》、《挥发性有机物无组织排放控制标准》（GB37822-2019）、《锅炉大气污染物排放标准》（GB 13271-2014）特别排放标准要求，禁止使用燃煤，禁止使用非专用锅炉或未配置高效除尘设施的专用锅炉燃用的生物质成型燃料。</w:t>
                  </w:r>
                </w:p>
              </w:tc>
              <w:tc>
                <w:tcPr>
                  <w:tcW w:w="1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b w:val="0"/>
                      <w:bCs w:val="0"/>
                      <w:color w:val="auto"/>
                      <w:sz w:val="21"/>
                      <w:szCs w:val="21"/>
                      <w:highlight w:val="none"/>
                      <w:lang w:val="en-US" w:eastAsia="zh-CN"/>
                    </w:rPr>
                    <w:t>本项目使用脲醛树脂胶为E0级，属于低VOCS含量的胶粘剂，项目VOCs经处理后满足</w:t>
                  </w:r>
                  <w:r>
                    <w:rPr>
                      <w:rFonts w:hint="default" w:ascii="Times New Roman" w:hAnsi="Times New Roman" w:cs="Times New Roman"/>
                      <w:color w:val="auto"/>
                      <w:sz w:val="21"/>
                      <w:szCs w:val="21"/>
                      <w:highlight w:val="none"/>
                      <w:lang w:eastAsia="zh-CN"/>
                    </w:rPr>
                    <w:t>《四川省固定污染源大气挥发性有机物排放标准》、《挥发性有机物无组织排放控制标准》，</w:t>
                  </w:r>
                  <w:r>
                    <w:rPr>
                      <w:rFonts w:hint="default" w:ascii="Times New Roman" w:hAnsi="Times New Roman" w:cs="Times New Roman"/>
                      <w:color w:val="auto"/>
                      <w:sz w:val="21"/>
                      <w:szCs w:val="21"/>
                      <w:highlight w:val="none"/>
                      <w:lang w:val="en-US" w:eastAsia="zh-CN"/>
                    </w:rPr>
                    <w:t>燃气锅炉满足</w:t>
                  </w:r>
                  <w:r>
                    <w:rPr>
                      <w:rFonts w:hint="default" w:ascii="Times New Roman" w:hAnsi="Times New Roman" w:cs="Times New Roman"/>
                      <w:color w:val="auto"/>
                      <w:sz w:val="21"/>
                      <w:szCs w:val="21"/>
                      <w:lang w:eastAsia="zh-CN"/>
                    </w:rPr>
                    <w:t>《锅炉大气污染物排放标准》（GB 13271-2014）特别排放标准要求，</w:t>
                  </w:r>
                  <w:r>
                    <w:rPr>
                      <w:rFonts w:hint="default" w:ascii="Times New Roman" w:hAnsi="Times New Roman" w:cs="Times New Roman"/>
                      <w:color w:val="auto"/>
                      <w:sz w:val="21"/>
                      <w:szCs w:val="21"/>
                      <w:highlight w:val="none"/>
                      <w:lang w:eastAsia="zh-CN"/>
                    </w:rPr>
                    <w:t>项目不使用煤，</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eastAsia="zh-CN"/>
                    </w:rPr>
                    <w:t>生物质成型燃料</w:t>
                  </w:r>
                  <w:r>
                    <w:rPr>
                      <w:rFonts w:hint="default" w:ascii="Times New Roman" w:hAnsi="Times New Roman" w:cs="Times New Roman"/>
                      <w:color w:val="auto"/>
                      <w:sz w:val="21"/>
                      <w:szCs w:val="21"/>
                      <w:highlight w:val="none"/>
                      <w:lang w:val="en-US" w:eastAsia="zh-CN"/>
                    </w:rPr>
                    <w:t>燃烧废气后端设置旋风除尘+水膜除尘高效除尘设备。</w:t>
                  </w:r>
                </w:p>
              </w:tc>
              <w:tc>
                <w:tcPr>
                  <w:tcW w:w="6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lang w:val="en-US" w:eastAsia="zh-CN"/>
              </w:rPr>
              <w:t>园区</w:t>
            </w:r>
            <w:r>
              <w:rPr>
                <w:rFonts w:hint="default" w:ascii="Times New Roman" w:hAnsi="Times New Roman" w:cs="Times New Roman"/>
                <w:b/>
                <w:color w:val="auto"/>
                <w:sz w:val="24"/>
                <w:szCs w:val="24"/>
              </w:rPr>
              <w:t>生态环境准入清单</w:t>
            </w:r>
            <w:r>
              <w:rPr>
                <w:rFonts w:hint="default" w:ascii="Times New Roman" w:hAnsi="Times New Roman" w:cs="Times New Roman"/>
                <w:b/>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一</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总体要求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1、禁止引入不符合法律法规、产业政策及相关环境管理要求的项目</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2、禁止引入《环境保护综合名录》中涉及的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高污染、高环境风险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3、禁止引入清洁生产水平不能达二级或国内先进水平的项目。</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4、禁止新建医药、农药、制浆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含废纸制浆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、造纸、印染染整、制革、水泥、专业电镀、制革、洗选、含前工序的集成电路、平板玻璃、印制电路板、石墨及炭素制品、有色金属冶炼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钒、钛除外</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等与主导产业环境不相容或不属于主导产业的高污染行业。</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5、禁止引入酒精饮料及酒类制造、屠宰、粮食及饲料加工、农产品加工等废水排放大的行业</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二</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分区管控要求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1、线缆线束产业园：禁止引入6千伏及以上</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陆上用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干法交联电力电缆项目。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门业及智能家居产业园：禁止引入溶剂型涂料涂装的木质家具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高流量低压[HVLP]喷漆工艺除外</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highlight w:val="none"/>
                <w:lang w:eastAsia="zh-CN"/>
              </w:rPr>
              <w:t>根据园区《产业空间布局规划图》，</w:t>
            </w: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eastAsia="zh-CN"/>
              </w:rPr>
              <w:t>位于门业及</w:t>
            </w:r>
            <w:r>
              <w:rPr>
                <w:rFonts w:hint="default" w:ascii="Times New Roman" w:hAnsi="Times New Roman" w:cs="Times New Roman"/>
                <w:color w:val="auto"/>
                <w:sz w:val="24"/>
                <w:szCs w:val="24"/>
              </w:rPr>
              <w:t>智能家居产业园</w:t>
            </w:r>
            <w:r>
              <w:rPr>
                <w:rFonts w:hint="default" w:ascii="Times New Roman" w:hAnsi="Times New Roman" w:cs="Times New Roman"/>
                <w:color w:val="auto"/>
                <w:sz w:val="24"/>
                <w:szCs w:val="24"/>
                <w:lang w:eastAsia="zh-CN"/>
              </w:rPr>
              <w:t>内，项目</w:t>
            </w:r>
            <w:r>
              <w:rPr>
                <w:rFonts w:hint="default" w:ascii="Times New Roman" w:hAnsi="Times New Roman" w:cs="Times New Roman"/>
                <w:color w:val="auto"/>
                <w:sz w:val="24"/>
                <w:szCs w:val="24"/>
                <w:highlight w:val="none"/>
              </w:rPr>
              <w:t>主要进行</w:t>
            </w:r>
            <w:r>
              <w:rPr>
                <w:rFonts w:hint="default" w:ascii="Times New Roman" w:hAnsi="Times New Roman" w:cs="Times New Roman"/>
                <w:color w:val="auto"/>
                <w:sz w:val="24"/>
                <w:szCs w:val="24"/>
                <w:highlight w:val="none"/>
                <w:lang w:eastAsia="zh-CN"/>
              </w:rPr>
              <w:t>人造板材生产，</w:t>
            </w:r>
            <w:r>
              <w:rPr>
                <w:rFonts w:hint="eastAsia" w:ascii="Times New Roman" w:hAnsi="Times New Roman" w:cs="Times New Roman"/>
                <w:color w:val="auto"/>
                <w:sz w:val="24"/>
                <w:szCs w:val="24"/>
                <w:highlight w:val="none"/>
                <w:lang w:eastAsia="zh-CN"/>
              </w:rPr>
              <w:t>产品符合</w:t>
            </w:r>
            <w:r>
              <w:rPr>
                <w:rFonts w:hint="default" w:ascii="Times New Roman" w:hAnsi="Times New Roman" w:cs="Times New Roman"/>
                <w:bCs/>
                <w:color w:val="auto"/>
                <w:sz w:val="24"/>
              </w:rPr>
              <w:t>《室内装饰装修材料人造板</w:t>
            </w:r>
            <w:r>
              <w:rPr>
                <w:rFonts w:hint="eastAsia" w:cs="Times New Roman"/>
                <w:bCs/>
                <w:color w:val="auto"/>
                <w:sz w:val="24"/>
                <w:lang w:val="en-US" w:eastAsia="zh-CN"/>
              </w:rPr>
              <w:t>及</w:t>
            </w:r>
            <w:r>
              <w:rPr>
                <w:rFonts w:hint="default" w:ascii="Times New Roman" w:hAnsi="Times New Roman" w:cs="Times New Roman"/>
                <w:bCs/>
                <w:color w:val="auto"/>
                <w:sz w:val="24"/>
              </w:rPr>
              <w:t>其制品中甲醛释放限量》（GB18580-20</w:t>
            </w:r>
            <w:r>
              <w:rPr>
                <w:rFonts w:hint="default" w:ascii="Times New Roman" w:hAnsi="Times New Roman" w:cs="Times New Roman"/>
                <w:bCs/>
                <w:color w:val="auto"/>
                <w:sz w:val="24"/>
                <w:lang w:val="en-US" w:eastAsia="zh-CN"/>
              </w:rPr>
              <w:t>17</w:t>
            </w:r>
            <w:r>
              <w:rPr>
                <w:rFonts w:hint="default" w:ascii="Times New Roman" w:hAnsi="Times New Roman" w:cs="Times New Roman"/>
                <w:bCs/>
                <w:color w:val="auto"/>
                <w:sz w:val="24"/>
              </w:rPr>
              <w:t>）中E1级标准</w:t>
            </w:r>
            <w:r>
              <w:rPr>
                <w:rFonts w:hint="eastAsia" w:ascii="Times New Roman" w:hAnsi="Times New Roman" w:cs="Times New Roman"/>
                <w:bCs/>
                <w:color w:val="auto"/>
                <w:sz w:val="24"/>
                <w:lang w:eastAsia="zh-CN"/>
              </w:rPr>
              <w:t>，</w:t>
            </w:r>
            <w:r>
              <w:rPr>
                <w:rFonts w:hint="default" w:ascii="Times New Roman" w:hAnsi="Times New Roman" w:cs="Times New Roman"/>
                <w:color w:val="auto"/>
                <w:sz w:val="24"/>
                <w:szCs w:val="24"/>
                <w:highlight w:val="none"/>
                <w:lang w:eastAsia="zh-CN"/>
              </w:rPr>
              <w:t>与现行的产业政策相符，不属于两高行业</w:t>
            </w:r>
            <w:r>
              <w:rPr>
                <w:rFonts w:hint="default" w:ascii="Times New Roman" w:hAnsi="Times New Roman" w:cs="Times New Roman"/>
                <w:color w:val="auto"/>
                <w:sz w:val="24"/>
                <w:szCs w:val="24"/>
                <w:highlight w:val="none"/>
              </w:rPr>
              <w:t>，属于</w:t>
            </w:r>
            <w:r>
              <w:rPr>
                <w:rFonts w:hint="default" w:ascii="Times New Roman" w:hAnsi="Times New Roman" w:cs="Times New Roman"/>
                <w:color w:val="auto"/>
                <w:sz w:val="24"/>
              </w:rPr>
              <w:t>园区主导产业相配套的产业</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bCs/>
                <w:color w:val="auto"/>
                <w:sz w:val="24"/>
                <w:szCs w:val="24"/>
                <w:highlight w:val="none"/>
              </w:rPr>
              <w:t>因此，本项目符合蓬溪县</w:t>
            </w:r>
            <w:r>
              <w:rPr>
                <w:rFonts w:hint="default" w:ascii="Times New Roman" w:hAnsi="Times New Roman" w:cs="Times New Roman"/>
                <w:b/>
                <w:bCs/>
                <w:color w:val="auto"/>
                <w:sz w:val="24"/>
                <w:szCs w:val="24"/>
                <w:highlight w:val="none"/>
                <w:lang w:eastAsia="zh-CN"/>
              </w:rPr>
              <w:t>经开区上游片区</w:t>
            </w:r>
            <w:r>
              <w:rPr>
                <w:rFonts w:hint="default" w:ascii="Times New Roman" w:hAnsi="Times New Roman" w:cs="Times New Roman"/>
                <w:b/>
                <w:bCs/>
                <w:color w:val="auto"/>
                <w:sz w:val="24"/>
                <w:szCs w:val="24"/>
                <w:highlight w:val="none"/>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106"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8077" w:type="dxa"/>
            <w:gridSpan w:val="3"/>
            <w:tcBorders>
              <w:tl2br w:val="nil"/>
              <w:tr2bl w:val="nil"/>
            </w:tcBorders>
            <w:noWrap w:val="0"/>
            <w:vAlign w:val="center"/>
          </w:tcPr>
          <w:p>
            <w:pPr>
              <w:autoSpaceDE w:val="0"/>
              <w:autoSpaceDN w:val="0"/>
              <w:adjustRightInd w:val="0"/>
              <w:snapToGrid w:val="0"/>
              <w:spacing w:line="360" w:lineRule="auto"/>
              <w:jc w:val="left"/>
              <w:rPr>
                <w:rFonts w:hint="default" w:ascii="Times New Roman" w:hAnsi="Times New Roman" w:cs="Times New Roman"/>
                <w:b/>
                <w:color w:val="auto"/>
                <w:sz w:val="24"/>
              </w:rPr>
            </w:pPr>
            <w:r>
              <w:rPr>
                <w:rFonts w:hint="eastAsia" w:cs="Times New Roman"/>
                <w:b/>
                <w:color w:val="auto"/>
                <w:sz w:val="24"/>
                <w:lang w:eastAsia="zh-CN"/>
              </w:rPr>
              <w:t>一</w:t>
            </w:r>
            <w:r>
              <w:rPr>
                <w:rFonts w:hint="default" w:ascii="Times New Roman" w:hAnsi="Times New Roman" w:cs="Times New Roman"/>
                <w:b/>
                <w:color w:val="auto"/>
                <w:sz w:val="24"/>
              </w:rPr>
              <w:t>、产业政策符合性分析</w:t>
            </w:r>
          </w:p>
          <w:p>
            <w:pPr>
              <w:adjustRightInd w:val="0"/>
              <w:snapToGrid w:val="0"/>
              <w:spacing w:line="360" w:lineRule="auto"/>
              <w:ind w:firstLine="496" w:firstLineChars="207"/>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主要生产人造板，属于</w:t>
            </w:r>
            <w:r>
              <w:rPr>
                <w:rFonts w:hint="default" w:ascii="Times New Roman" w:hAnsi="Times New Roman" w:cs="Times New Roman"/>
                <w:color w:val="auto"/>
                <w:sz w:val="24"/>
              </w:rPr>
              <w:t>《国民经济行业分类》（GB/T4754-2017）及其2019修改清单中C2023刨花板制造，项目不属于《产业结构调整指导目录》（2024年本）中鼓励类、限制类和淘汰类，</w:t>
            </w:r>
            <w:r>
              <w:rPr>
                <w:rFonts w:hint="eastAsia" w:ascii="Times New Roman" w:hAnsi="Times New Roman" w:cs="Times New Roman"/>
                <w:color w:val="auto"/>
                <w:sz w:val="24"/>
                <w:lang w:eastAsia="zh-CN"/>
              </w:rPr>
              <w:t>属于</w:t>
            </w:r>
            <w:r>
              <w:rPr>
                <w:rFonts w:hint="default" w:ascii="Times New Roman" w:hAnsi="Times New Roman" w:cs="Times New Roman"/>
                <w:color w:val="auto"/>
                <w:sz w:val="24"/>
              </w:rPr>
              <w:t>允许建设项目，符合国家产业政策。</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同时，该项目已取得</w:t>
            </w:r>
            <w:r>
              <w:rPr>
                <w:rFonts w:hint="eastAsia" w:cs="Times New Roman"/>
                <w:color w:val="auto"/>
                <w:kern w:val="0"/>
                <w:sz w:val="24"/>
                <w:highlight w:val="none"/>
                <w:lang w:eastAsia="zh-CN"/>
              </w:rPr>
              <w:t>蓬溪县经济和信息化局出具的</w:t>
            </w:r>
            <w:r>
              <w:rPr>
                <w:rFonts w:hint="default" w:ascii="Times New Roman" w:hAnsi="Times New Roman" w:cs="Times New Roman"/>
                <w:color w:val="auto"/>
                <w:sz w:val="24"/>
              </w:rPr>
              <w:t>《四川省固定资产投资项目备案表》，备案号（川投资备【2411-510921-07-02-287185】JXQB-0099号）。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因此，本项目的建设符合国家现行的产业政策。</w:t>
            </w:r>
          </w:p>
          <w:p>
            <w:pPr>
              <w:autoSpaceDE w:val="0"/>
              <w:autoSpaceDN w:val="0"/>
              <w:adjustRightInd w:val="0"/>
              <w:snapToGrid w:val="0"/>
              <w:spacing w:line="360" w:lineRule="auto"/>
              <w:rPr>
                <w:rFonts w:hint="default" w:ascii="Times New Roman" w:hAnsi="Times New Roman" w:cs="Times New Roman"/>
                <w:color w:val="auto"/>
                <w:sz w:val="24"/>
                <w:highlight w:val="yellow"/>
              </w:rPr>
            </w:pPr>
            <w:r>
              <w:rPr>
                <w:rFonts w:hint="default" w:ascii="Times New Roman" w:hAnsi="Times New Roman" w:cs="Times New Roman"/>
                <w:b/>
                <w:bCs/>
                <w:color w:val="auto"/>
                <w:kern w:val="0"/>
                <w:sz w:val="24"/>
              </w:rPr>
              <w:t>二、</w:t>
            </w:r>
            <w:r>
              <w:rPr>
                <w:rFonts w:hint="default" w:ascii="Times New Roman" w:hAnsi="Times New Roman" w:cs="Times New Roman"/>
                <w:b/>
                <w:color w:val="auto"/>
                <w:sz w:val="24"/>
              </w:rPr>
              <w:t>土地利用规划相符性分析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rPr>
            </w:pPr>
            <w:r>
              <w:rPr>
                <w:rFonts w:hint="default" w:ascii="Times New Roman" w:hAnsi="Times New Roman" w:eastAsia="宋体" w:cs="Times New Roman"/>
                <w:color w:val="auto"/>
                <w:kern w:val="0"/>
                <w:sz w:val="24"/>
                <w:szCs w:val="22"/>
                <w:lang w:eastAsia="en-US"/>
              </w:rPr>
              <w:t>本项目</w:t>
            </w:r>
            <w:r>
              <w:rPr>
                <w:rFonts w:hint="default" w:ascii="Times New Roman" w:hAnsi="Times New Roman" w:eastAsia="宋体" w:cs="Times New Roman"/>
                <w:color w:val="auto"/>
                <w:kern w:val="0"/>
                <w:sz w:val="24"/>
                <w:szCs w:val="22"/>
                <w:lang w:val="en-US" w:eastAsia="zh-CN"/>
              </w:rPr>
              <w:t>租用四川省欧尚家美门业有限公司位于四川省遂宁市蓬溪县上游工业园西华拓展区内的部分厂房</w:t>
            </w:r>
            <w:r>
              <w:rPr>
                <w:rFonts w:hint="default" w:ascii="Times New Roman" w:hAnsi="Times New Roman" w:eastAsia="宋体" w:cs="Times New Roman"/>
                <w:color w:val="auto"/>
                <w:kern w:val="0"/>
                <w:sz w:val="24"/>
                <w:szCs w:val="22"/>
                <w:lang w:eastAsia="en-US"/>
              </w:rPr>
              <w:t>，根据</w:t>
            </w:r>
            <w:r>
              <w:rPr>
                <w:rFonts w:hint="default" w:ascii="Times New Roman" w:hAnsi="Times New Roman" w:eastAsia="宋体" w:cs="Times New Roman"/>
                <w:color w:val="auto"/>
                <w:kern w:val="0"/>
                <w:sz w:val="24"/>
                <w:szCs w:val="22"/>
                <w:lang w:val="en-US" w:eastAsia="zh-CN"/>
              </w:rPr>
              <w:t>四川省欧尚家美门业有限公司的用地规划许可证可知，项目用地为工业用地，并且根据蓬溪县上游工业园产业聚集区发展规划（2020-2035）可知，项目所在地为二类工业用地。</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0"/>
                <w:sz w:val="24"/>
                <w:szCs w:val="22"/>
                <w:lang w:val="en-US" w:eastAsia="zh-CN"/>
              </w:rPr>
              <w:t>因此，项目建设用地与用地规划相符。</w:t>
            </w:r>
          </w:p>
          <w:p>
            <w:pPr>
              <w:autoSpaceDE w:val="0"/>
              <w:autoSpaceDN w:val="0"/>
              <w:adjustRightInd w:val="0"/>
              <w:snapToGrid w:val="0"/>
              <w:spacing w:line="360" w:lineRule="auto"/>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三、项目与“</w:t>
            </w:r>
            <w:r>
              <w:rPr>
                <w:rFonts w:hint="eastAsia" w:ascii="Times New Roman" w:hAnsi="Times New Roman" w:cs="Times New Roman"/>
                <w:b/>
                <w:bCs/>
                <w:color w:val="auto"/>
                <w:sz w:val="24"/>
                <w:szCs w:val="24"/>
                <w:highlight w:val="none"/>
                <w:lang w:eastAsia="zh-CN"/>
              </w:rPr>
              <w:t>生态环境分区管控</w:t>
            </w:r>
            <w:r>
              <w:rPr>
                <w:rFonts w:hint="default" w:ascii="Times New Roman" w:hAnsi="Times New Roman" w:cs="Times New Roman"/>
                <w:b/>
                <w:bCs/>
                <w:color w:val="auto"/>
                <w:kern w:val="0"/>
                <w:sz w:val="24"/>
              </w:rPr>
              <w:t>”符合性分析</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1、项目所在环境管控单元</w:t>
            </w:r>
          </w:p>
          <w:p>
            <w:pPr>
              <w:pStyle w:val="144"/>
              <w:widowControl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cs="Times New Roman"/>
                <w:color w:val="auto"/>
                <w:kern w:val="0"/>
                <w:sz w:val="24"/>
                <w:highlight w:val="none"/>
              </w:rPr>
              <w:t>根据</w:t>
            </w:r>
            <w:r>
              <w:rPr>
                <w:rFonts w:hint="default" w:ascii="Times New Roman" w:hAnsi="Times New Roman" w:cs="Times New Roman"/>
                <w:color w:val="auto"/>
                <w:sz w:val="24"/>
              </w:rPr>
              <w:t>《遂宁市生态环境保护委员会关于印发遂宁市2023年生态环境分区管控动态更新成果的通知》（遂环委[2024]2号）</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本项目位</w:t>
            </w:r>
            <w:r>
              <w:rPr>
                <w:rFonts w:hint="default" w:ascii="Times New Roman" w:hAnsi="Times New Roman" w:eastAsia="宋体" w:cs="Times New Roman"/>
                <w:color w:val="auto"/>
                <w:kern w:val="0"/>
                <w:sz w:val="24"/>
                <w:highlight w:val="none"/>
              </w:rPr>
              <w:t>于</w:t>
            </w:r>
            <w:r>
              <w:rPr>
                <w:rFonts w:hint="default" w:ascii="Times New Roman" w:hAnsi="Times New Roman" w:eastAsia="宋体" w:cs="Times New Roman"/>
                <w:color w:val="auto"/>
                <w:sz w:val="24"/>
                <w:highlight w:val="none"/>
                <w:lang w:eastAsia="zh-CN"/>
              </w:rPr>
              <w:t>遂宁市蓬溪县上游工业园</w:t>
            </w:r>
            <w:r>
              <w:rPr>
                <w:rFonts w:hint="default" w:ascii="Times New Roman" w:hAnsi="Times New Roman" w:cs="Times New Roman"/>
                <w:color w:val="auto"/>
                <w:sz w:val="24"/>
                <w:highlight w:val="none"/>
              </w:rPr>
              <w:t>，属于</w:t>
            </w:r>
            <w:r>
              <w:rPr>
                <w:rFonts w:hint="default" w:ascii="Times New Roman" w:hAnsi="Times New Roman" w:cs="Times New Roman"/>
                <w:color w:val="auto"/>
                <w:sz w:val="24"/>
                <w:highlight w:val="none"/>
                <w:lang w:eastAsia="zh-CN"/>
              </w:rPr>
              <w:t>工业重点</w:t>
            </w:r>
            <w:r>
              <w:rPr>
                <w:rFonts w:hint="default" w:ascii="Times New Roman" w:hAnsi="Times New Roman" w:cs="Times New Roman"/>
                <w:color w:val="auto"/>
                <w:sz w:val="24"/>
                <w:highlight w:val="none"/>
              </w:rPr>
              <w:t>管控单元</w:t>
            </w:r>
            <w:r>
              <w:rPr>
                <w:rFonts w:hint="default" w:ascii="Times New Roman" w:hAnsi="Times New Roman" w:cs="Times New Roman"/>
                <w:color w:val="auto"/>
                <w:sz w:val="24"/>
                <w:highlight w:val="none"/>
                <w:lang w:eastAsia="zh-CN"/>
              </w:rPr>
              <w:t>。</w:t>
            </w:r>
            <w:r>
              <w:rPr>
                <w:rFonts w:hint="eastAsia" w:ascii="Times New Roman" w:hAnsi="Times New Roman" w:eastAsia="宋体" w:cs="Times New Roman"/>
                <w:color w:val="auto"/>
                <w:lang w:eastAsia="zh-CN"/>
              </w:rPr>
              <w:t>遂宁市</w:t>
            </w:r>
            <w:r>
              <w:rPr>
                <w:rFonts w:hint="default" w:ascii="Times New Roman" w:hAnsi="Times New Roman" w:eastAsia="宋体" w:cs="Times New Roman"/>
                <w:color w:val="auto"/>
              </w:rPr>
              <w:t>生态环境管控单元分布图见下图所示。</w:t>
            </w:r>
          </w:p>
          <w:p>
            <w:pPr>
              <w:pStyle w:val="18"/>
              <w:spacing w:line="36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4"/>
                <w:highlight w:val="none"/>
                <w:lang w:eastAsia="zh-CN"/>
              </w:rPr>
              <w:object>
                <v:shape id="_x0000_i1025" o:spt="75" type="#_x0000_t75" style="height:289.15pt;width:396pt;" o:ole="t" filled="f" o:preferrelative="t" stroked="t" coordsize="21600,21600">
                  <v:path/>
                  <v:fill on="f" focussize="0,0"/>
                  <v:stroke color="#000000" joinstyle="miter"/>
                  <v:imagedata r:id="rId10" o:title=""/>
                  <o:lock v:ext="edit" aspectratio="f"/>
                  <w10:wrap type="none"/>
                  <w10:anchorlock/>
                </v:shape>
                <o:OLEObject Type="Embed" ProgID="Visio.Drawing.15" ShapeID="_x0000_i1025" DrawAspect="Content" ObjectID="_1468075725" r:id="rId9">
                  <o:LockedField>false</o:LockedField>
                </o:OLEObject>
              </w:object>
            </w:r>
            <w:r>
              <w:rPr>
                <w:rFonts w:hint="default" w:ascii="Times New Roman" w:hAnsi="Times New Roman" w:cs="Times New Roman"/>
                <w:b/>
                <w:bCs/>
                <w:color w:val="auto"/>
                <w:sz w:val="21"/>
                <w:szCs w:val="21"/>
              </w:rPr>
              <w:t xml:space="preserve">图1-1  </w:t>
            </w:r>
            <w:r>
              <w:rPr>
                <w:rFonts w:hint="eastAsia" w:ascii="Times New Roman" w:hAnsi="Times New Roman" w:cs="Times New Roman"/>
                <w:b/>
                <w:bCs/>
                <w:color w:val="auto"/>
                <w:sz w:val="21"/>
                <w:szCs w:val="21"/>
                <w:lang w:eastAsia="zh-CN"/>
              </w:rPr>
              <w:t>遂宁</w:t>
            </w:r>
            <w:r>
              <w:rPr>
                <w:rFonts w:hint="default" w:ascii="Times New Roman" w:hAnsi="Times New Roman" w:cs="Times New Roman"/>
                <w:b/>
                <w:bCs/>
                <w:color w:val="auto"/>
                <w:sz w:val="21"/>
                <w:szCs w:val="21"/>
              </w:rPr>
              <w:t>市环境管控单元图</w:t>
            </w:r>
          </w:p>
          <w:p>
            <w:pPr>
              <w:pStyle w:val="18"/>
              <w:spacing w:line="360" w:lineRule="auto"/>
              <w:ind w:firstLine="480" w:firstLineChars="200"/>
              <w:rPr>
                <w:rFonts w:hint="default" w:ascii="Times New Roman" w:hAnsi="Times New Roman" w:cs="Times New Roman"/>
                <w:color w:val="auto"/>
                <w:sz w:val="24"/>
                <w:lang w:eastAsia="zh-CN"/>
              </w:rPr>
            </w:pPr>
            <w:r>
              <w:rPr>
                <w:rFonts w:hint="eastAsia" w:ascii="Times New Roman" w:hAnsi="Times New Roman" w:eastAsia="宋体" w:cs="Times New Roman"/>
                <w:b w:val="0"/>
                <w:bCs/>
                <w:color w:val="auto"/>
                <w:sz w:val="24"/>
                <w:szCs w:val="24"/>
                <w:lang w:val="en-US" w:eastAsia="zh-CN"/>
              </w:rPr>
              <w:t>同时，</w:t>
            </w:r>
            <w:r>
              <w:rPr>
                <w:rFonts w:hint="default" w:ascii="Times New Roman" w:hAnsi="Times New Roman" w:cs="Times New Roman"/>
                <w:color w:val="auto"/>
                <w:sz w:val="24"/>
              </w:rPr>
              <w:t>根据四川省政务服务网的“</w:t>
            </w:r>
            <w:r>
              <w:rPr>
                <w:rFonts w:hint="default" w:ascii="Times New Roman" w:hAnsi="Times New Roman" w:cs="Times New Roman"/>
                <w:b w:val="0"/>
                <w:bCs/>
                <w:color w:val="auto"/>
                <w:sz w:val="24"/>
                <w:szCs w:val="24"/>
                <w:lang w:val="zh-CN" w:eastAsia="zh-CN"/>
              </w:rPr>
              <w:t>生态环境分区管控</w:t>
            </w:r>
            <w:r>
              <w:rPr>
                <w:rFonts w:hint="default" w:ascii="Times New Roman" w:hAnsi="Times New Roman" w:eastAsia="宋体" w:cs="Times New Roman"/>
                <w:b w:val="0"/>
                <w:bCs/>
                <w:color w:val="auto"/>
                <w:sz w:val="24"/>
                <w:szCs w:val="24"/>
                <w:lang w:val="zh-CN" w:eastAsia="zh-CN"/>
              </w:rPr>
              <w:t>符</w:t>
            </w:r>
            <w:r>
              <w:rPr>
                <w:rFonts w:hint="default" w:ascii="Times New Roman" w:hAnsi="Times New Roman" w:eastAsia="宋体" w:cs="Times New Roman"/>
                <w:b w:val="0"/>
                <w:bCs/>
                <w:color w:val="auto"/>
                <w:sz w:val="24"/>
                <w:szCs w:val="24"/>
                <w:lang w:val="en-US" w:eastAsia="zh-CN"/>
              </w:rPr>
              <w:t>合性分析</w:t>
            </w:r>
            <w:r>
              <w:rPr>
                <w:rFonts w:hint="default" w:ascii="Times New Roman" w:hAnsi="Times New Roman" w:cs="Times New Roman"/>
                <w:color w:val="auto"/>
                <w:sz w:val="24"/>
              </w:rPr>
              <w:t>”模块（四川政务服务网—直通部门—生态环境厅—“</w:t>
            </w:r>
            <w:r>
              <w:rPr>
                <w:rFonts w:hint="default" w:ascii="Times New Roman" w:hAnsi="Times New Roman" w:cs="Times New Roman"/>
                <w:b w:val="0"/>
                <w:bCs/>
                <w:color w:val="auto"/>
                <w:sz w:val="24"/>
                <w:szCs w:val="24"/>
                <w:lang w:val="zh-CN" w:eastAsia="zh-CN"/>
              </w:rPr>
              <w:t>生态环境分区管控</w:t>
            </w:r>
            <w:r>
              <w:rPr>
                <w:rFonts w:hint="default" w:ascii="Times New Roman" w:hAnsi="Times New Roman" w:eastAsia="宋体" w:cs="Times New Roman"/>
                <w:b w:val="0"/>
                <w:bCs/>
                <w:color w:val="auto"/>
                <w:sz w:val="24"/>
                <w:szCs w:val="24"/>
                <w:lang w:val="zh-CN" w:eastAsia="zh-CN"/>
              </w:rPr>
              <w:t>符</w:t>
            </w:r>
            <w:r>
              <w:rPr>
                <w:rFonts w:hint="default" w:ascii="Times New Roman" w:hAnsi="Times New Roman" w:eastAsia="宋体" w:cs="Times New Roman"/>
                <w:b w:val="0"/>
                <w:bCs/>
                <w:color w:val="auto"/>
                <w:sz w:val="24"/>
                <w:szCs w:val="24"/>
                <w:lang w:val="en-US" w:eastAsia="zh-CN"/>
              </w:rPr>
              <w:t>合性分析</w:t>
            </w:r>
            <w:r>
              <w:rPr>
                <w:rFonts w:hint="default" w:ascii="Times New Roman" w:hAnsi="Times New Roman" w:cs="Times New Roman"/>
                <w:color w:val="auto"/>
                <w:sz w:val="24"/>
              </w:rPr>
              <w:t>”）查询，项目所在的环境管控单元和要素管控分区如下。项目</w:t>
            </w:r>
            <w:r>
              <w:rPr>
                <w:rFonts w:hint="eastAsia" w:ascii="Times New Roman" w:hAnsi="Times New Roman" w:cs="Times New Roman"/>
                <w:color w:val="auto"/>
                <w:sz w:val="24"/>
                <w:lang w:eastAsia="zh-CN"/>
              </w:rPr>
              <w:t>建设地点所在管控单元为</w:t>
            </w:r>
            <w:r>
              <w:rPr>
                <w:rFonts w:hint="default" w:ascii="Times New Roman" w:hAnsi="Times New Roman" w:cs="Times New Roman"/>
                <w:color w:val="auto"/>
                <w:sz w:val="24"/>
              </w:rPr>
              <w:t>四川蓬溪经济开发区（上游片区）（管控单元编号：ZH51092120004）</w:t>
            </w:r>
            <w:r>
              <w:rPr>
                <w:rFonts w:hint="default" w:ascii="Times New Roman" w:hAnsi="Times New Roman" w:cs="Times New Roman"/>
                <w:color w:val="auto"/>
                <w:sz w:val="24"/>
                <w:lang w:eastAsia="zh-CN"/>
              </w:rPr>
              <w:t>。</w:t>
            </w:r>
          </w:p>
          <w:p>
            <w:pPr>
              <w:jc w:val="center"/>
              <w:rPr>
                <w:rFonts w:hint="default" w:ascii="Times New Roman" w:hAnsi="Times New Roman" w:cs="Times New Roman"/>
                <w:color w:val="auto"/>
              </w:rPr>
            </w:pPr>
            <w:r>
              <w:rPr>
                <w:color w:val="auto"/>
              </w:rPr>
              <w:drawing>
                <wp:inline distT="0" distB="0" distL="114300" distR="114300">
                  <wp:extent cx="5048250" cy="2572385"/>
                  <wp:effectExtent l="0" t="0" r="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048250" cy="257238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图1-</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default" w:ascii="Times New Roman" w:hAnsi="Times New Roman" w:eastAsia="宋体" w:cs="Times New Roman"/>
                <w:b/>
                <w:bCs/>
                <w:color w:val="auto"/>
                <w:sz w:val="21"/>
                <w:szCs w:val="21"/>
                <w:highlight w:val="none"/>
                <w:lang w:val="en-US" w:eastAsia="zh-CN"/>
              </w:rPr>
              <w:t>四川政务服务网“</w:t>
            </w:r>
            <w:r>
              <w:rPr>
                <w:rFonts w:hint="eastAsia" w:ascii="Times New Roman" w:hAnsi="Times New Roman" w:eastAsia="宋体" w:cs="Times New Roman"/>
                <w:b/>
                <w:bCs/>
                <w:color w:val="auto"/>
                <w:sz w:val="21"/>
                <w:szCs w:val="21"/>
                <w:highlight w:val="none"/>
                <w:lang w:val="en-US" w:eastAsia="zh-CN"/>
              </w:rPr>
              <w:t>生态环境分区管控</w:t>
            </w:r>
            <w:r>
              <w:rPr>
                <w:rFonts w:hint="default" w:ascii="Times New Roman" w:hAnsi="Times New Roman" w:eastAsia="宋体" w:cs="Times New Roman"/>
                <w:b/>
                <w:bCs/>
                <w:color w:val="auto"/>
                <w:sz w:val="21"/>
                <w:szCs w:val="21"/>
                <w:highlight w:val="none"/>
                <w:lang w:val="en-US" w:eastAsia="zh-CN"/>
              </w:rPr>
              <w:t>”符合性分析系统查询截图</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eastAsia="宋体" w:cs="Times New Roman"/>
                <w:b w:val="0"/>
                <w:bCs/>
                <w:color w:val="auto"/>
                <w:sz w:val="24"/>
                <w:szCs w:val="24"/>
                <w:lang w:val="en-US" w:eastAsia="zh-CN"/>
              </w:rPr>
              <w:t>项目与管控单元相对位置如下图所示：</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drawing>
                <wp:inline distT="0" distB="0" distL="114300" distR="114300">
                  <wp:extent cx="5006975" cy="2706370"/>
                  <wp:effectExtent l="0" t="0" r="3175" b="17780"/>
                  <wp:docPr id="8" name="图片 7" descr="地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地图 (1)"/>
                          <pic:cNvPicPr>
                            <a:picLocks noChangeAspect="1"/>
                          </pic:cNvPicPr>
                        </pic:nvPicPr>
                        <pic:blipFill>
                          <a:blip r:embed="rId12"/>
                          <a:srcRect l="16823"/>
                          <a:stretch>
                            <a:fillRect/>
                          </a:stretch>
                        </pic:blipFill>
                        <pic:spPr>
                          <a:xfrm>
                            <a:off x="0" y="0"/>
                            <a:ext cx="5006975" cy="2706370"/>
                          </a:xfrm>
                          <a:prstGeom prst="rect">
                            <a:avLst/>
                          </a:prstGeom>
                          <a:noFill/>
                          <a:ln>
                            <a:noFill/>
                          </a:ln>
                        </pic:spPr>
                      </pic:pic>
                    </a:graphicData>
                  </a:graphic>
                </wp:inline>
              </w:drawing>
            </w:r>
          </w:p>
          <w:p>
            <w:pPr>
              <w:autoSpaceDE w:val="0"/>
              <w:autoSpaceDN w:val="0"/>
              <w:adjustRightInd w:val="0"/>
              <w:snapToGrid w:val="0"/>
              <w:spacing w:after="120" w:afterLines="50"/>
              <w:jc w:val="center"/>
              <w:rPr>
                <w:rFonts w:hint="default" w:ascii="Times New Roman" w:hAnsi="Times New Roman" w:cs="Times New Roman"/>
                <w:b/>
                <w:bCs/>
                <w:color w:val="auto"/>
              </w:rPr>
            </w:pPr>
            <w:r>
              <w:rPr>
                <w:rFonts w:hint="default" w:ascii="Times New Roman" w:hAnsi="Times New Roman" w:cs="Times New Roman"/>
                <w:b/>
                <w:bCs/>
                <w:color w:val="auto"/>
              </w:rPr>
              <w:t>图1-</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rPr>
              <w:t xml:space="preserve">  项目</w:t>
            </w:r>
            <w:r>
              <w:rPr>
                <w:rFonts w:hint="default" w:ascii="Times New Roman" w:hAnsi="Times New Roman" w:cs="Times New Roman"/>
                <w:b/>
                <w:bCs/>
                <w:color w:val="auto"/>
                <w:lang w:eastAsia="zh-CN"/>
              </w:rPr>
              <w:t>及周边的环境管控单元图</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2、生态环境准入清单符合性分析</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本项目与</w:t>
            </w:r>
            <w:r>
              <w:rPr>
                <w:rFonts w:hint="default" w:ascii="Times New Roman" w:hAnsi="Times New Roman" w:cs="Times New Roman"/>
                <w:bCs/>
                <w:color w:val="auto"/>
                <w:sz w:val="24"/>
                <w:lang w:eastAsia="zh-CN"/>
              </w:rPr>
              <w:t>所在地所属环境管控单元的</w:t>
            </w:r>
            <w:r>
              <w:rPr>
                <w:rFonts w:hint="default" w:ascii="Times New Roman" w:hAnsi="Times New Roman" w:cs="Times New Roman"/>
                <w:bCs/>
                <w:color w:val="auto"/>
                <w:sz w:val="24"/>
              </w:rPr>
              <w:t>生态环境</w:t>
            </w:r>
            <w:r>
              <w:rPr>
                <w:rFonts w:hint="default" w:ascii="Times New Roman" w:hAnsi="Times New Roman" w:cs="Times New Roman"/>
                <w:bCs/>
                <w:color w:val="auto"/>
                <w:sz w:val="24"/>
                <w:lang w:eastAsia="zh-CN"/>
              </w:rPr>
              <w:t>准入清单</w:t>
            </w:r>
            <w:r>
              <w:rPr>
                <w:rFonts w:hint="default" w:ascii="Times New Roman" w:hAnsi="Times New Roman" w:cs="Times New Roman"/>
                <w:bCs/>
                <w:color w:val="auto"/>
                <w:sz w:val="24"/>
              </w:rPr>
              <w:t>符合性分析如下表。</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rPr>
            </w:pP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p>
        </w:tc>
      </w:tr>
    </w:tbl>
    <w:p>
      <w:pPr>
        <w:rPr>
          <w:rFonts w:hint="default" w:ascii="Times New Roman" w:hAnsi="Times New Roman" w:cs="Times New Roman"/>
          <w:color w:val="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9"/>
        <w:tblW w:w="136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
        <w:gridCol w:w="13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1" w:hRule="atLeast"/>
          <w:jc w:val="center"/>
        </w:trPr>
        <w:tc>
          <w:tcPr>
            <w:tcW w:w="43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13208" w:type="dxa"/>
            <w:noWrap w:val="0"/>
            <w:vAlign w:val="center"/>
          </w:tcPr>
          <w:p>
            <w:pPr>
              <w:pStyle w:val="13"/>
              <w:keepNext w:val="0"/>
              <w:keepLines w:val="0"/>
              <w:pageBreakBefore w:val="0"/>
              <w:widowControl/>
              <w:kinsoku/>
              <w:wordWrap/>
              <w:overflowPunct/>
              <w:topLinePunct w:val="0"/>
              <w:autoSpaceDE/>
              <w:autoSpaceDN/>
              <w:bidi w:val="0"/>
              <w:adjustRightInd/>
              <w:snapToGrid/>
              <w:spacing w:before="157" w:beforeLines="50" w:after="0" w:line="240" w:lineRule="auto"/>
              <w:ind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 xml:space="preserve">  </w:t>
            </w:r>
            <w:r>
              <w:rPr>
                <w:rFonts w:hint="eastAsia" w:cs="Times New Roman"/>
                <w:b/>
                <w:bCs/>
                <w:color w:val="auto"/>
                <w:sz w:val="21"/>
                <w:szCs w:val="21"/>
                <w:lang w:eastAsia="zh-CN"/>
              </w:rPr>
              <w:t>项目与生态环境</w:t>
            </w:r>
            <w:r>
              <w:rPr>
                <w:rFonts w:hint="default" w:ascii="Times New Roman" w:hAnsi="Times New Roman" w:cs="Times New Roman"/>
                <w:b/>
                <w:bCs/>
                <w:color w:val="auto"/>
                <w:sz w:val="21"/>
                <w:szCs w:val="21"/>
                <w:lang w:eastAsia="zh-CN"/>
              </w:rPr>
              <w:t>管控要求的符合性</w:t>
            </w:r>
            <w:r>
              <w:rPr>
                <w:rFonts w:hint="default" w:ascii="Times New Roman" w:hAnsi="Times New Roman" w:cs="Times New Roman"/>
                <w:b/>
                <w:bCs/>
                <w:color w:val="auto"/>
                <w:sz w:val="21"/>
                <w:szCs w:val="21"/>
              </w:rPr>
              <w:t>分析一览表</w:t>
            </w:r>
          </w:p>
          <w:tbl>
            <w:tblPr>
              <w:tblStyle w:val="39"/>
              <w:tblW w:w="12992" w:type="dxa"/>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967"/>
              <w:gridCol w:w="657"/>
              <w:gridCol w:w="913"/>
              <w:gridCol w:w="7271"/>
              <w:gridCol w:w="2383"/>
              <w:gridCol w:w="8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294" w:hRule="atLeast"/>
              </w:trPr>
              <w:tc>
                <w:tcPr>
                  <w:tcW w:w="9808" w:type="dxa"/>
                  <w:gridSpan w:val="4"/>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rPr>
                    <w:t>“</w:t>
                  </w:r>
                  <w:r>
                    <w:rPr>
                      <w:rFonts w:hint="default" w:ascii="Times New Roman" w:hAnsi="Times New Roman" w:eastAsia="宋体" w:cs="Times New Roman"/>
                      <w:color w:val="auto"/>
                      <w:spacing w:val="0"/>
                      <w:kern w:val="21"/>
                      <w:sz w:val="21"/>
                      <w:lang w:eastAsia="zh-CN"/>
                    </w:rPr>
                    <w:t>生态环境分区管控</w:t>
                  </w:r>
                  <w:r>
                    <w:rPr>
                      <w:rFonts w:hint="default" w:ascii="Times New Roman" w:hAnsi="Times New Roman" w:eastAsia="宋体" w:cs="Times New Roman"/>
                      <w:color w:val="auto"/>
                      <w:spacing w:val="0"/>
                      <w:kern w:val="21"/>
                      <w:sz w:val="21"/>
                    </w:rPr>
                    <w:t>”的具体</w:t>
                  </w:r>
                  <w:r>
                    <w:rPr>
                      <w:rFonts w:hint="default" w:ascii="Times New Roman" w:hAnsi="Times New Roman" w:cs="Times New Roman"/>
                      <w:color w:val="auto"/>
                      <w:spacing w:val="0"/>
                      <w:kern w:val="21"/>
                      <w:sz w:val="21"/>
                    </w:rPr>
                    <w:t>要求</w:t>
                  </w:r>
                </w:p>
              </w:tc>
              <w:tc>
                <w:tcPr>
                  <w:tcW w:w="2383"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本项目情况</w:t>
                  </w:r>
                </w:p>
              </w:tc>
              <w:tc>
                <w:tcPr>
                  <w:tcW w:w="801"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符合性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294" w:hRule="atLeast"/>
              </w:trPr>
              <w:tc>
                <w:tcPr>
                  <w:tcW w:w="2537" w:type="dxa"/>
                  <w:gridSpan w:val="3"/>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类别</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对应管控要求</w:t>
                  </w:r>
                </w:p>
              </w:tc>
              <w:tc>
                <w:tcPr>
                  <w:tcW w:w="2383"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21" w:hRule="atLeast"/>
              </w:trPr>
              <w:tc>
                <w:tcPr>
                  <w:tcW w:w="96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lang w:eastAsia="zh-CN"/>
                    </w:rPr>
                    <w:t>遂宁市</w:t>
                  </w:r>
                </w:p>
              </w:tc>
              <w:tc>
                <w:tcPr>
                  <w:tcW w:w="65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普适性清单</w:t>
                  </w: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发展定位与目标</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区域特点</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发展定位与目标</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遂宁市发展定位与目标为：围绕成渝地区双城经济圈建设“一极两中心两地”总体定位，加快建设联动成渝的重要门户枢纽和成渝发展主轴绿色经济强市，与潼南共建川渝毗邻地区一体化发展先行区，在成渝地区加快实现中部崛起。</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重点发展的产业：围绕建设优势特色产业集群发展区，以锂电、能源化工、电子信息等作为率先发展优势产业，大力发展绿色食品、装备制造和智能家居三大特色产业，加快发展生物医药、节能环保、先进材料等新兴产业，改造提升传统产业，推动相关产业功能聚集发展。</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区域突出生态环境问题</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1、小流域污染问题突出。</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2、污染物排放总量较大。</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3、PM</w:t>
                  </w:r>
                  <w:r>
                    <w:rPr>
                      <w:rFonts w:hint="default" w:ascii="Times New Roman" w:hAnsi="Times New Roman" w:eastAsia="宋体" w:cs="Times New Roman"/>
                      <w:color w:val="auto"/>
                      <w:spacing w:val="0"/>
                      <w:kern w:val="21"/>
                      <w:sz w:val="21"/>
                      <w:vertAlign w:val="subscript"/>
                      <w:lang w:val="en-US" w:eastAsia="zh-CN"/>
                    </w:rPr>
                    <w:t>2.5</w:t>
                  </w:r>
                  <w:r>
                    <w:rPr>
                      <w:rFonts w:hint="default" w:ascii="Times New Roman" w:hAnsi="Times New Roman" w:eastAsia="宋体" w:cs="Times New Roman"/>
                      <w:color w:val="auto"/>
                      <w:spacing w:val="0"/>
                      <w:kern w:val="21"/>
                      <w:sz w:val="21"/>
                      <w:lang w:val="en-US" w:eastAsia="zh-CN"/>
                    </w:rPr>
                    <w:t>和臭氧污染严重。</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非工业源的VOCs污染排放源点多面广、成分复杂，监管和治理难度较大。</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5、遂宁市规模化畜禽养殖场数量较多，农村面源污染较为严重。</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6</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森林覆盖率较低，局部水土流失严重。</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pacing w:val="0"/>
                      <w:kern w:val="21"/>
                      <w:sz w:val="21"/>
                      <w:highlight w:val="none"/>
                      <w:lang w:eastAsia="zh-CN"/>
                    </w:rPr>
                  </w:pPr>
                  <w:r>
                    <w:rPr>
                      <w:rFonts w:hint="default" w:ascii="Times New Roman" w:hAnsi="Times New Roman" w:cs="Times New Roman"/>
                      <w:color w:val="auto"/>
                      <w:spacing w:val="0"/>
                      <w:kern w:val="21"/>
                      <w:sz w:val="21"/>
                      <w:highlight w:val="none"/>
                    </w:rPr>
                    <w:t>本项目</w:t>
                  </w:r>
                  <w:r>
                    <w:rPr>
                      <w:rFonts w:hint="eastAsia" w:ascii="Times New Roman" w:hAnsi="Times New Roman" w:cs="Times New Roman"/>
                      <w:color w:val="auto"/>
                      <w:spacing w:val="0"/>
                      <w:kern w:val="21"/>
                      <w:sz w:val="21"/>
                      <w:highlight w:val="none"/>
                      <w:lang w:eastAsia="zh-CN"/>
                    </w:rPr>
                    <w:t>为刨花板生产制造，属于家居上游产业，与发展定位相符，项目各类污染物经处理后均能达标排放。</w:t>
                  </w:r>
                </w:p>
              </w:tc>
              <w:tc>
                <w:tcPr>
                  <w:tcW w:w="801"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rPr>
                  </w:pPr>
                  <w:r>
                    <w:rPr>
                      <w:rFonts w:hint="default" w:ascii="Times New Roman" w:hAnsi="Times New Roman" w:cs="Times New Roman"/>
                      <w:color w:val="auto"/>
                      <w:spacing w:val="0"/>
                      <w:kern w:val="21"/>
                      <w:sz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21" w:hRule="atLeast"/>
              </w:trPr>
              <w:tc>
                <w:tcPr>
                  <w:tcW w:w="967"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总体管控要求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1、新建、改建、扩建增加重点重金属污染物排放的建设项目需满足区域重点重金属总量管控要求，对有色冶炼、电镀、采选、化工、铅蓄电池制造业、皮革等涉重企业含重点重金属（汞、镉、铅、砷、铬</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执行严格的准入条件，严控环境风险。</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2.锂电产业中锂离子电池行业引入，参考执行其行业资源环境绩效指标准入要求。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3、全市大气污染物排放执行《四川省生态环境厅关于执行大气污染物特别排放限值的公告》相关要求。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4、强化沿江化工企业与园区的污染治理与风险管控，细化突发环境事件风险管控措施，严控流域</w:t>
                  </w:r>
                  <w:r>
                    <w:rPr>
                      <w:rFonts w:hint="eastAsia" w:ascii="Times New Roman" w:hAnsi="Times New Roman" w:cs="Times New Roman"/>
                      <w:color w:val="auto"/>
                      <w:spacing w:val="0"/>
                      <w:kern w:val="21"/>
                      <w:sz w:val="21"/>
                      <w:lang w:val="en-US" w:eastAsia="zh-CN"/>
                    </w:rPr>
                    <w:t>性</w:t>
                  </w:r>
                  <w:r>
                    <w:rPr>
                      <w:rFonts w:hint="default" w:ascii="Times New Roman" w:hAnsi="Times New Roman" w:eastAsia="宋体" w:cs="Times New Roman"/>
                      <w:color w:val="auto"/>
                      <w:spacing w:val="0"/>
                      <w:kern w:val="21"/>
                      <w:sz w:val="21"/>
                      <w:lang w:val="en-US" w:eastAsia="zh-CN"/>
                    </w:rPr>
                    <w:t>环境风险；严格落实《生态环境部水利部关于建立跨省流域上下游突发水污染事件联防联控机制的指导意见》。</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5、优化中心城区园区布局。</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6、深化成都平原、川南、川东北地区大气污染联防联控工作机制，加强川渝地区联防联控。强化重污染天气区域应急联动机制，深化区域重污染天气联合应对。</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pacing w:val="0"/>
                      <w:kern w:val="21"/>
                      <w:sz w:val="21"/>
                      <w:highlight w:val="none"/>
                      <w:lang w:eastAsia="zh-CN"/>
                    </w:rPr>
                  </w:pPr>
                  <w:r>
                    <w:rPr>
                      <w:rFonts w:hint="eastAsia" w:ascii="Times New Roman" w:hAnsi="Times New Roman" w:cs="Times New Roman"/>
                      <w:color w:val="auto"/>
                      <w:spacing w:val="0"/>
                      <w:kern w:val="21"/>
                      <w:sz w:val="21"/>
                      <w:highlight w:val="none"/>
                      <w:lang w:eastAsia="zh-CN"/>
                    </w:rPr>
                    <w:t>项目为人造板生产，仅涉及极少量汞及其化合物排放。</w:t>
                  </w:r>
                  <w:r>
                    <w:rPr>
                      <w:rFonts w:hint="default" w:ascii="Times New Roman" w:hAnsi="Times New Roman" w:eastAsia="宋体" w:cs="Times New Roman"/>
                      <w:color w:val="auto"/>
                      <w:kern w:val="0"/>
                      <w:sz w:val="21"/>
                      <w:szCs w:val="21"/>
                      <w:lang w:val="en-US" w:eastAsia="zh-CN" w:bidi="ar"/>
                    </w:rPr>
                    <w:t>项目设置应急物资，建立与园区对接、联动的风险防范体系、三级防控体系等，建设单位将按照要求开展企业突发环境事件应急预案的编制及备案，确保风险可控</w:t>
                  </w:r>
                  <w:r>
                    <w:rPr>
                      <w:rFonts w:hint="eastAsia" w:ascii="Times New Roman" w:hAnsi="Times New Roman" w:cs="Times New Roman"/>
                      <w:color w:val="auto"/>
                      <w:spacing w:val="0"/>
                      <w:kern w:val="21"/>
                      <w:sz w:val="21"/>
                      <w:highlight w:val="none"/>
                      <w:lang w:eastAsia="zh-CN"/>
                    </w:rPr>
                    <w:t>。项目各类废气执行</w:t>
                  </w:r>
                  <w:r>
                    <w:rPr>
                      <w:rFonts w:hint="default" w:ascii="Times New Roman" w:hAnsi="Times New Roman" w:eastAsia="宋体" w:cs="Times New Roman"/>
                      <w:color w:val="auto"/>
                      <w:spacing w:val="0"/>
                      <w:kern w:val="21"/>
                      <w:sz w:val="21"/>
                      <w:lang w:val="en-US" w:eastAsia="zh-CN"/>
                    </w:rPr>
                    <w:t>特别排放限值</w:t>
                  </w:r>
                  <w:r>
                    <w:rPr>
                      <w:rFonts w:hint="eastAsia" w:ascii="Times New Roman" w:hAnsi="Times New Roman" w:eastAsia="宋体" w:cs="Times New Roman"/>
                      <w:color w:val="auto"/>
                      <w:spacing w:val="0"/>
                      <w:kern w:val="21"/>
                      <w:sz w:val="21"/>
                      <w:lang w:val="en-US" w:eastAsia="zh-CN"/>
                    </w:rPr>
                    <w:t>。项目不在江河周边。</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21" w:hRule="atLeast"/>
              </w:trPr>
              <w:tc>
                <w:tcPr>
                  <w:tcW w:w="967"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空间布局约束</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禁止开发建设活动的要求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eastAsia" w:ascii="Times New Roman" w:hAnsi="Times New Roman" w:eastAsia="宋体" w:cs="Times New Roman"/>
                      <w:color w:val="auto"/>
                      <w:spacing w:val="0"/>
                      <w:kern w:val="21"/>
                      <w:sz w:val="21"/>
                      <w:lang w:val="en-US" w:eastAsia="zh-CN"/>
                    </w:rPr>
                    <w:t>1.</w:t>
                  </w:r>
                  <w:r>
                    <w:rPr>
                      <w:rFonts w:hint="default" w:ascii="Times New Roman" w:hAnsi="Times New Roman" w:eastAsia="宋体" w:cs="Times New Roman"/>
                      <w:color w:val="auto"/>
                      <w:spacing w:val="0"/>
                      <w:kern w:val="21"/>
                      <w:sz w:val="21"/>
                      <w:lang w:val="en-US" w:eastAsia="zh-CN"/>
                    </w:rPr>
                    <w:t>生态保护红线：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pPr>
                    <w:pStyle w:val="212"/>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自然保护区：（1）禁止在自然保护区的缓冲区开展旅游和生产经营活动。（2）严禁开设与自然保护区保护方向不一致的参观、旅游项目。（3）禁止在自然保护区内进行砍伐、放牧、狩猎、捕捞、采药、开垦、烧荒、开矿、采石、挖</w:t>
                  </w:r>
                  <w:r>
                    <w:rPr>
                      <w:rFonts w:hint="eastAsia" w:ascii="Times New Roman" w:hAnsi="Times New Roman" w:cs="Times New Roman"/>
                      <w:color w:val="auto"/>
                      <w:spacing w:val="0"/>
                      <w:kern w:val="21"/>
                      <w:sz w:val="21"/>
                      <w:lang w:val="en-US" w:eastAsia="zh-CN"/>
                    </w:rPr>
                    <w:t>砂</w:t>
                  </w:r>
                  <w:r>
                    <w:rPr>
                      <w:rFonts w:hint="default" w:ascii="Times New Roman" w:hAnsi="Times New Roman" w:eastAsia="宋体" w:cs="Times New Roman"/>
                      <w:color w:val="auto"/>
                      <w:spacing w:val="0"/>
                      <w:kern w:val="21"/>
                      <w:sz w:val="21"/>
                      <w:lang w:val="en-US" w:eastAsia="zh-CN"/>
                    </w:rPr>
                    <w:t>等活动（法律、行政法规另有规定除外）。（4）在自然保护区的核心区和缓冲区内，禁止建设任何生产设施。在自然保护区的</w:t>
                  </w:r>
                  <w:r>
                    <w:rPr>
                      <w:rFonts w:hint="eastAsia" w:ascii="Times New Roman" w:hAnsi="Times New Roman" w:cs="Times New Roman"/>
                      <w:color w:val="auto"/>
                      <w:spacing w:val="0"/>
                      <w:kern w:val="21"/>
                      <w:sz w:val="21"/>
                      <w:lang w:val="en-US" w:eastAsia="zh-CN"/>
                    </w:rPr>
                    <w:t>实</w:t>
                  </w:r>
                  <w:r>
                    <w:rPr>
                      <w:rFonts w:hint="default" w:ascii="Times New Roman" w:hAnsi="Times New Roman" w:eastAsia="宋体" w:cs="Times New Roman"/>
                      <w:color w:val="auto"/>
                      <w:spacing w:val="0"/>
                      <w:kern w:val="21"/>
                      <w:sz w:val="21"/>
                      <w:lang w:val="en-US" w:eastAsia="zh-CN"/>
                    </w:rPr>
                    <w:t>验区内，不得建设污染环境、破坏资源或者景观的生产设施；建设其他项目，其污染物排放不得超过国家和地方规定的污染物排放标准。（5）自然保护区的内部未分区的，依照条例有关核心区和缓冲区的规定管理。</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3.风景名胜区：严格执行《风景名胜区条例（2016</w:t>
                  </w:r>
                  <w:r>
                    <w:rPr>
                      <w:rFonts w:hint="eastAsia" w:ascii="Times New Roman" w:hAnsi="Times New Roman" w:cs="Times New Roman"/>
                      <w:color w:val="auto"/>
                      <w:spacing w:val="0"/>
                      <w:kern w:val="21"/>
                      <w:sz w:val="21"/>
                      <w:lang w:val="en-US" w:eastAsia="zh-CN"/>
                    </w:rPr>
                    <w:t>年</w:t>
                  </w:r>
                  <w:r>
                    <w:rPr>
                      <w:rFonts w:hint="default" w:ascii="Times New Roman" w:hAnsi="Times New Roman" w:eastAsia="宋体" w:cs="Times New Roman"/>
                      <w:color w:val="auto"/>
                      <w:spacing w:val="0"/>
                      <w:kern w:val="21"/>
                      <w:sz w:val="21"/>
                      <w:lang w:val="en-US" w:eastAsia="zh-CN"/>
                    </w:rPr>
                    <w:t>修订）》、《四川省风景名胜区建设管理办法（2011年修订）》、《四川省风景名胜区条例》等相关要求，主要要求如下：（1）禁止开山、采石、开矿、开荒、修坟立碑等破坏景观、植被和地形地貌的活动。</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2</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禁止修建储存爆炸性、易燃性、放射性、毒害性、腐蚀性物品的设施。</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3</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禁止在景物或者设施上刻划、涂污。</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4</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禁止乱扔垃圾。</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5</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禁止违反风景名胜区规划，在风景名胜区内设立各类开发区和在核心景区内建设宾馆、招待所、培训中心、疗养院以及与风景名胜资源保护无关的其他建筑物。（6）在风景名胜区及其外围保护地带内，不得设立开发区、度假区，不得建设破坏景观、污染环境的工矿企业和其他项目、设施。（7）在游人集中的游览区和自然环境保留地内，不得建设旅馆、招待所、休疗养机构、生活区以及其他影响观瞻或污染环境的工程设施；已经建设的，应当按照风景名胜区规划，逐步迁出。（8）禁止任何单位和个人在风景名胜区内从事开山采石、围湖造田、开荒等改变地貌和破坏环境、景观的活动。</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饮用水水源保护区：（1）在地下水饮用水水源保护区内，禁止设置排污口。（2）地下水饮用水水源一级保护区内：禁止新建、改建、扩建与供水设施和保护水源无关的建设项目；已建成的与供水设施和保护水源无关的建设项目，由县级以上人民政府责令拆除或者关闭。（3）地下水饮用水水源二级保护区内：禁止新建、改建、扩建排放污染物的建设项目；已建成的排放污染物的建设项目，由县级以上人民政府责令拆除或者关闭。（4）地下水饮用水水源保护区内：禁止新建、扩建对水体污染严重的建设项目；改建建设项目，不得增加排污量；</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6.水产种质资源保护区：禁止在水产种质资源保护区内从事围河（湖）造田、造地工程。禁止在水产种质资源保护区内新建排污口。在水产种质资源保护区附近新建、改建、扩建排污口，应当保证保护区水体不受污染。四川省境内水产种质资源保护区实行全年禁渔。禁止在水产种质资源保护区内从事捕捞、垂钓、挖砂采石以及其他可能对保护区内生物资源和生态环境造成损害的活动。</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7.永久基本农田：（1）永久基本农田，实行严格保护，除法律规定的重点建设项目选址确实无法避让外，其他任何建设不得占用。（2）禁止在基本农田保护区建窑、建房、建坟、挖砂、采石、采矿、取土、堆放固体废弃物或者进行其他破坏基本农田的活动。禁止占用基本农田发展林果业和挖塘养鱼。</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8.水源涵养重要区：（1）禁止导致水体污染的产业发展。（2）禁止各种损害生态系统水源涵养功能的经济社会活动和生产方式，如无序采矿、毁林开荒、湿地和草地开垦、过度放牧等。（3）禁止高水资源消耗产业在水源涵养生态功能区布局。</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9.禁止在生态保护红线区域、永久基本农田集中区域和其他需要特别保护的区域内选址建设尾矿库、冶炼渣库</w:t>
                  </w:r>
                  <w:r>
                    <w:rPr>
                      <w:rFonts w:hint="eastAsia" w:ascii="Times New Roman" w:hAnsi="Times New Roman" w:cs="Times New Roman"/>
                      <w:color w:val="auto"/>
                      <w:spacing w:val="0"/>
                      <w:kern w:val="21"/>
                      <w:sz w:val="21"/>
                      <w:lang w:val="en-US" w:eastAsia="zh-CN"/>
                    </w:rPr>
                    <w:t>和</w:t>
                  </w:r>
                  <w:r>
                    <w:rPr>
                      <w:rFonts w:hint="default" w:ascii="Times New Roman" w:hAnsi="Times New Roman" w:eastAsia="宋体" w:cs="Times New Roman"/>
                      <w:color w:val="auto"/>
                      <w:spacing w:val="0"/>
                      <w:kern w:val="21"/>
                      <w:sz w:val="21"/>
                      <w:lang w:val="en-US" w:eastAsia="zh-CN"/>
                    </w:rPr>
                    <w:t>磷石膏库。</w:t>
                  </w:r>
                </w:p>
                <w:p>
                  <w:pPr>
                    <w:pStyle w:val="212"/>
                    <w:keepNext w:val="0"/>
                    <w:keepLines w:val="0"/>
                    <w:pageBreakBefore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限制开发建设活动的要求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自然保护区：（1）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2）因教学科研的目的，需要进入自然保护区的缓冲区从事非破坏性的科学研究、教学实习和标本采集活动的，应当事先向自然保护区管理机构提交申请和活动计划，经自然保护区管理机构批准。（3）在自然保护区的</w:t>
                  </w:r>
                  <w:r>
                    <w:rPr>
                      <w:rFonts w:hint="eastAsia" w:ascii="Times New Roman" w:hAnsi="Times New Roman" w:cs="Times New Roman"/>
                      <w:color w:val="auto"/>
                      <w:spacing w:val="0"/>
                      <w:kern w:val="21"/>
                      <w:sz w:val="21"/>
                      <w:lang w:val="en-US" w:eastAsia="zh-CN"/>
                    </w:rPr>
                    <w:t>实</w:t>
                  </w:r>
                  <w:r>
                    <w:rPr>
                      <w:rFonts w:hint="default" w:ascii="Times New Roman" w:hAnsi="Times New Roman" w:eastAsia="宋体" w:cs="Times New Roman"/>
                      <w:color w:val="auto"/>
                      <w:spacing w:val="0"/>
                      <w:kern w:val="21"/>
                      <w:sz w:val="21"/>
                      <w:lang w:val="en-US" w:eastAsia="zh-CN"/>
                    </w:rPr>
                    <w:t>验区内开展参观、旅游活动的，由自然保护区管理机构编制方案，方案应当符合自然保护区管理目标。（4）在自然保护区的</w:t>
                  </w:r>
                  <w:r>
                    <w:rPr>
                      <w:rFonts w:hint="eastAsia" w:ascii="Times New Roman" w:hAnsi="Times New Roman" w:cs="Times New Roman"/>
                      <w:color w:val="auto"/>
                      <w:spacing w:val="0"/>
                      <w:kern w:val="21"/>
                      <w:sz w:val="21"/>
                      <w:lang w:val="en-US" w:eastAsia="zh-CN"/>
                    </w:rPr>
                    <w:t>实</w:t>
                  </w:r>
                  <w:r>
                    <w:rPr>
                      <w:rFonts w:hint="default" w:ascii="Times New Roman" w:hAnsi="Times New Roman" w:eastAsia="宋体" w:cs="Times New Roman"/>
                      <w:color w:val="auto"/>
                      <w:spacing w:val="0"/>
                      <w:kern w:val="21"/>
                      <w:sz w:val="21"/>
                      <w:lang w:val="en-US" w:eastAsia="zh-CN"/>
                    </w:rPr>
                    <w:t>验区内建设其他项目，其污染物排放不得超过国家和地方规定的污染物排放标准。</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湿地公园：（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永久基本农田：（1）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2）单独选址的能源，交通、水利等基础设施项目，因选址特殊无法避让基本农田的，在用地预审和报批前，必须对选址方案、基本农田规划调整及补划方案等进行充分论证和听证，报国务院批准。经批准占用基本农田的，必须及时补划，征地补偿按法定的最高标准执行，耕地开垦费按当地最高标准缴纳。（3）已经划定的永久基本农田特别是城市周边永久基本农田不得随意占用和调整。重大建设项目、生态建设、灾毁等经国务院批准占用或依法认定减少永久基本农田的，按照中央4号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4.水源涵养重要区：（1）坚持自然恢复为主，严格限制在水源涵养区大规模人工造林；（2）严格控制载畜量，实行以草定</w:t>
                  </w:r>
                  <w:r>
                    <w:rPr>
                      <w:rFonts w:hint="eastAsia" w:ascii="Times New Roman" w:hAnsi="Times New Roman" w:cs="Times New Roman"/>
                      <w:color w:val="auto"/>
                      <w:spacing w:val="0"/>
                      <w:kern w:val="21"/>
                      <w:sz w:val="21"/>
                      <w:lang w:val="en-US" w:eastAsia="zh-CN"/>
                    </w:rPr>
                    <w:t>畜</w:t>
                  </w:r>
                  <w:r>
                    <w:rPr>
                      <w:rFonts w:hint="default"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5.严格限制在长江流域生态保护红线、自然保护地、水生生物重要栖息地水域实施航道整治工程；确需整治的，应当经科学论证，并依法办理相关手续。</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已有矿业权与生态保护红线、自然保护地等禁止或限制开发区域重叠的，要按相关要求主动退出或避让。</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对不符合要求和规划、造成污染或破坏的设施，应限期治理或退出。</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允许开发建设活动的要求：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1.自然保护区：自然保护区</w:t>
                  </w:r>
                  <w:r>
                    <w:rPr>
                      <w:rFonts w:hint="eastAsia" w:ascii="Times New Roman" w:hAnsi="Times New Roman" w:cs="Times New Roman"/>
                      <w:color w:val="auto"/>
                      <w:spacing w:val="0"/>
                      <w:kern w:val="21"/>
                      <w:sz w:val="21"/>
                      <w:lang w:val="en-US" w:eastAsia="zh-CN"/>
                    </w:rPr>
                    <w:t>实</w:t>
                  </w:r>
                  <w:r>
                    <w:rPr>
                      <w:rFonts w:hint="default" w:ascii="Times New Roman" w:hAnsi="Times New Roman" w:eastAsia="宋体" w:cs="Times New Roman"/>
                      <w:color w:val="auto"/>
                      <w:spacing w:val="0"/>
                      <w:kern w:val="21"/>
                      <w:sz w:val="21"/>
                      <w:lang w:val="en-US" w:eastAsia="zh-CN"/>
                    </w:rPr>
                    <w:t>验区可以进入从事科学试验、教学实习、参观考察、旅游以及驯化、繁殖珍稀、濒危野生动植物等活动。</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水产种质资源保护区：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pacing w:val="0"/>
                      <w:kern w:val="21"/>
                      <w:sz w:val="21"/>
                      <w:highlight w:val="none"/>
                      <w:lang w:eastAsia="zh-CN"/>
                    </w:rPr>
                  </w:pPr>
                  <w:r>
                    <w:rPr>
                      <w:rFonts w:hint="eastAsia" w:ascii="Times New Roman" w:hAnsi="Times New Roman" w:cs="Times New Roman"/>
                      <w:color w:val="auto"/>
                      <w:spacing w:val="0"/>
                      <w:kern w:val="21"/>
                      <w:sz w:val="21"/>
                      <w:highlight w:val="none"/>
                      <w:lang w:eastAsia="zh-CN"/>
                    </w:rPr>
                    <w:t>项目不涉及</w:t>
                  </w:r>
                  <w:r>
                    <w:rPr>
                      <w:rFonts w:hint="default" w:ascii="Times New Roman" w:hAnsi="Times New Roman" w:eastAsia="宋体" w:cs="Times New Roman"/>
                      <w:color w:val="auto"/>
                      <w:spacing w:val="0"/>
                      <w:kern w:val="21"/>
                      <w:sz w:val="21"/>
                      <w:lang w:val="en-US" w:eastAsia="zh-CN"/>
                    </w:rPr>
                    <w:t>生态保护红线</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自然保护区</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风景名胜区世界自然遗产地</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饮用水水源保护区</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水产种质资源保护区</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永久基本农田</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湿地公园</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水源涵养重要区</w:t>
                  </w:r>
                  <w:r>
                    <w:rPr>
                      <w:rFonts w:hint="eastAsia" w:ascii="Times New Roman" w:hAnsi="Times New Roman" w:eastAsia="宋体" w:cs="Times New Roman"/>
                      <w:color w:val="auto"/>
                      <w:spacing w:val="0"/>
                      <w:kern w:val="21"/>
                      <w:sz w:val="21"/>
                      <w:lang w:val="en-US" w:eastAsia="zh-CN"/>
                    </w:rPr>
                    <w:t>。</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污染物排放管控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pacing w:val="0"/>
                      <w:kern w:val="21"/>
                      <w:sz w:val="21"/>
                      <w:highlight w:val="none"/>
                    </w:rPr>
                  </w:pPr>
                  <w:r>
                    <w:rPr>
                      <w:rFonts w:hint="default" w:ascii="Times New Roman" w:hAnsi="Times New Roman" w:eastAsia="宋体" w:cs="Times New Roman"/>
                      <w:color w:val="auto"/>
                      <w:spacing w:val="0"/>
                      <w:kern w:val="21"/>
                      <w:sz w:val="21"/>
                      <w:lang w:val="en-US" w:eastAsia="zh-CN"/>
                    </w:rPr>
                    <w:t>加强成都平原经济区信息共享和联动合作，协力推进产业和能源结构优化调整，加强大气污染源头防控，加强潼遂合作。</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本项目废气经收集处理后均能达标排放。</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90"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环境风险防控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1.禁燃区内禁止燃烧以下高污染燃料：</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（1）煤炭及其制品（包括原煤、散煤、煤矸石、煤泥、煤粉、水浆煤、型煤、焦炭、兰炭、油类等常规燃料）。</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（2）石油焦、油页岩、原油、重油、渣油、煤焦油。</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（3）非专用锅炉或未配置高效除尘设施的专用锅炉燃用的生物质成型燃料。</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2.禁燃区内禁止新建、扩建燃用高污染燃料的锅炉、炉窑、炉灶等燃烧设施（集中供热、电厂锅炉除外）。</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3.自2020年1月1日起，禁燃区内禁止销售高污染燃料。</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4.加强对集中供热、电厂锅炉、10蒸吨时以上的在用燃煤锅炉以及改用清洁能源前的在用锅炉等燃烧设施的监管，确保达标排放。</w:t>
                  </w:r>
                </w:p>
              </w:tc>
              <w:tc>
                <w:tcPr>
                  <w:tcW w:w="2383"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pacing w:val="0"/>
                      <w:kern w:val="21"/>
                      <w:sz w:val="21"/>
                      <w:highlight w:val="none"/>
                      <w:lang w:val="en-US" w:eastAsia="zh-CN"/>
                    </w:rPr>
                  </w:pPr>
                  <w:r>
                    <w:rPr>
                      <w:rFonts w:hint="eastAsia" w:ascii="Times New Roman" w:hAnsi="Times New Roman" w:eastAsia="宋体" w:cs="Times New Roman"/>
                      <w:color w:val="auto"/>
                      <w:spacing w:val="0"/>
                      <w:kern w:val="21"/>
                      <w:sz w:val="21"/>
                      <w:highlight w:val="none"/>
                      <w:lang w:val="en-US" w:eastAsia="zh-CN"/>
                    </w:rPr>
                    <w:t>本项目</w:t>
                  </w:r>
                  <w:r>
                    <w:rPr>
                      <w:rFonts w:hint="default" w:ascii="Times New Roman" w:hAnsi="Times New Roman" w:cs="Times New Roman"/>
                      <w:color w:val="auto"/>
                      <w:spacing w:val="0"/>
                      <w:kern w:val="21"/>
                      <w:sz w:val="21"/>
                      <w:highlight w:val="none"/>
                      <w:lang w:val="en-US" w:eastAsia="zh-CN"/>
                    </w:rPr>
                    <w:t>不涉及高污染燃料，本项目</w:t>
                  </w:r>
                  <w:r>
                    <w:rPr>
                      <w:rFonts w:hint="default" w:ascii="Times New Roman" w:hAnsi="Times New Roman" w:cs="Times New Roman"/>
                      <w:color w:val="auto"/>
                      <w:spacing w:val="0"/>
                      <w:kern w:val="21"/>
                      <w:sz w:val="21"/>
                      <w:highlight w:val="none"/>
                    </w:rPr>
                    <w:t>生物质成型燃料</w:t>
                  </w:r>
                  <w:r>
                    <w:rPr>
                      <w:rFonts w:hint="default" w:ascii="Times New Roman" w:hAnsi="Times New Roman" w:cs="Times New Roman"/>
                      <w:color w:val="auto"/>
                      <w:spacing w:val="0"/>
                      <w:kern w:val="21"/>
                      <w:sz w:val="21"/>
                      <w:highlight w:val="none"/>
                      <w:lang w:val="en-US" w:eastAsia="zh-CN"/>
                    </w:rPr>
                    <w:t>燃烧废气后端</w:t>
                  </w:r>
                  <w:r>
                    <w:rPr>
                      <w:rFonts w:hint="default" w:ascii="Times New Roman" w:hAnsi="Times New Roman" w:cs="Times New Roman"/>
                      <w:color w:val="auto"/>
                      <w:spacing w:val="0"/>
                      <w:kern w:val="21"/>
                      <w:sz w:val="21"/>
                      <w:highlight w:val="none"/>
                    </w:rPr>
                    <w:t>配置高效除尘设施</w:t>
                  </w:r>
                  <w:r>
                    <w:rPr>
                      <w:rFonts w:hint="default" w:ascii="Times New Roman" w:hAnsi="Times New Roman" w:cs="Times New Roman"/>
                      <w:color w:val="auto"/>
                      <w:spacing w:val="0"/>
                      <w:kern w:val="21"/>
                      <w:sz w:val="21"/>
                      <w:highlight w:val="none"/>
                      <w:lang w:eastAsia="zh-CN"/>
                    </w:rPr>
                    <w:t>：</w:t>
                  </w:r>
                  <w:r>
                    <w:rPr>
                      <w:rFonts w:hint="default" w:ascii="Times New Roman" w:hAnsi="Times New Roman" w:cs="Times New Roman"/>
                      <w:color w:val="auto"/>
                      <w:spacing w:val="0"/>
                      <w:kern w:val="21"/>
                      <w:sz w:val="21"/>
                      <w:highlight w:val="none"/>
                      <w:lang w:val="en-US" w:eastAsia="zh-CN"/>
                    </w:rPr>
                    <w:t>旋风除尘+水膜除尘。</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eastAsia="宋体" w:cs="Times New Roman"/>
                      <w:color w:val="auto"/>
                      <w:spacing w:val="0"/>
                      <w:kern w:val="21"/>
                      <w:sz w:val="21"/>
                      <w:lang w:val="en-US" w:eastAsia="zh-CN"/>
                    </w:rPr>
                    <w:t>资源利用率要求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eastAsia="宋体" w:cs="Times New Roman"/>
                      <w:color w:val="auto"/>
                      <w:spacing w:val="0"/>
                      <w:kern w:val="21"/>
                      <w:sz w:val="21"/>
                      <w:lang w:val="en-US" w:eastAsia="zh-CN"/>
                    </w:rPr>
                    <w:t>全面建设节水型社会，达到合理高效用水。</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eastAsia="宋体" w:cs="Times New Roman"/>
                      <w:color w:val="auto"/>
                      <w:spacing w:val="0"/>
                      <w:kern w:val="21"/>
                      <w:sz w:val="21"/>
                      <w:highlight w:val="none"/>
                      <w:lang w:val="en-US" w:eastAsia="zh-CN"/>
                    </w:rPr>
                    <w:t>本项目用水量少</w:t>
                  </w:r>
                  <w:r>
                    <w:rPr>
                      <w:rFonts w:hint="eastAsia" w:ascii="Times New Roman" w:hAnsi="Times New Roman" w:eastAsia="宋体" w:cs="Times New Roman"/>
                      <w:color w:val="auto"/>
                      <w:spacing w:val="0"/>
                      <w:kern w:val="21"/>
                      <w:sz w:val="21"/>
                      <w:highlight w:val="none"/>
                      <w:lang w:val="en-US" w:eastAsia="zh-CN"/>
                    </w:rPr>
                    <w:t>。</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lang w:eastAsia="zh-CN"/>
                    </w:rPr>
                    <w:t>遂宁市</w:t>
                  </w:r>
                  <w:r>
                    <w:rPr>
                      <w:rFonts w:hint="eastAsia" w:ascii="Times New Roman" w:hAnsi="Times New Roman" w:cs="Times New Roman"/>
                      <w:color w:val="auto"/>
                      <w:spacing w:val="0"/>
                      <w:kern w:val="21"/>
                      <w:sz w:val="21"/>
                      <w:lang w:eastAsia="zh-CN"/>
                    </w:rPr>
                    <w:t>重点管控单元</w:t>
                  </w:r>
                </w:p>
              </w:tc>
              <w:tc>
                <w:tcPr>
                  <w:tcW w:w="65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普适性清单</w:t>
                  </w: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空间布局约束</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禁止开发建设活动的要求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1.禁止引入不符合园区用地性质或产业规划的工业企业。</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2.禁止在长江干支流、重要湖泊岸线一公里范围内新建、扩建化工园区和化工项目。</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3.禁止在长江流域河湖管理范围内倾倒、填埋、堆放、弃置、处理固体废物。</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4.未通过认定的化工园区，不得新建、改扩建化工项目（安全、环保、节能和智能化改造项目除外），按属地原则依法依规妥善做好未通过认定化工园区及园内企业的转型、关闭、处置及监管工作。</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限制开发建设活动的要求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1.严控新建、扩建“两高”项目，对现存企业执行最严格排放标准和总量控制要求。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2.长江干流及主要支流1公里范围内，严控新建石油化工、煤化工、涉磷、造纸、印染、制革等项目。</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允许开发建设活动的要求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 xml:space="preserve"> 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不符合空间布局要求活动的退出要求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 xml:space="preserve"> 现有属于禁止引入产业门类的企业，应按相关规定限期整</w:t>
                  </w:r>
                  <w:r>
                    <w:rPr>
                      <w:rFonts w:hint="eastAsia" w:ascii="Times New Roman" w:hAnsi="Times New Roman" w:cs="Times New Roman"/>
                      <w:color w:val="auto"/>
                      <w:spacing w:val="0"/>
                      <w:kern w:val="21"/>
                      <w:sz w:val="21"/>
                      <w:lang w:val="en-US" w:eastAsia="zh-CN"/>
                    </w:rPr>
                    <w:t>改</w:t>
                  </w:r>
                  <w:r>
                    <w:rPr>
                      <w:rFonts w:hint="default" w:ascii="Times New Roman" w:hAnsi="Times New Roman" w:eastAsia="宋体" w:cs="Times New Roman"/>
                      <w:color w:val="auto"/>
                      <w:spacing w:val="0"/>
                      <w:kern w:val="21"/>
                      <w:sz w:val="21"/>
                      <w:lang w:val="en-US" w:eastAsia="zh-CN"/>
                    </w:rPr>
                    <w:t>或退出。</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其他空间布局约束要求</w:t>
                  </w:r>
                  <w:r>
                    <w:rPr>
                      <w:rFonts w:hint="eastAsia" w:ascii="Times New Roman" w:hAnsi="Times New Roman" w:eastAsia="宋体" w:cs="Times New Roman"/>
                      <w:color w:val="auto"/>
                      <w:spacing w:val="0"/>
                      <w:kern w:val="21"/>
                      <w:sz w:val="21"/>
                      <w:lang w:val="en-US" w:eastAsia="zh-CN"/>
                    </w:rPr>
                    <w:t>：/</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eastAsia="宋体" w:cs="Times New Roman"/>
                      <w:color w:val="auto"/>
                      <w:spacing w:val="0"/>
                      <w:kern w:val="21"/>
                      <w:sz w:val="21"/>
                      <w:highlight w:val="none"/>
                      <w:lang w:val="en-US" w:eastAsia="zh-CN"/>
                    </w:rPr>
                    <w:t>本项目位于蓬溪上游工业园，主要进行人造板生产，与园区主导产业相符，项目不在长江干支流1公里范围内，项目各类固废均进行合理处置，不在河湖管理范围内倾倒、填埋、堆放、弃置、处理；本项目不属于化工项目，仅涉及制胶工序，为本项目人造板生产配套。</w:t>
                  </w:r>
                </w:p>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eastAsia="宋体" w:cs="Times New Roman"/>
                      <w:color w:val="auto"/>
                      <w:spacing w:val="0"/>
                      <w:kern w:val="21"/>
                      <w:sz w:val="21"/>
                      <w:highlight w:val="none"/>
                      <w:lang w:val="en-US" w:eastAsia="zh-CN"/>
                    </w:rPr>
                    <w:t>本项目不属于“两高”。</w:t>
                  </w:r>
                </w:p>
              </w:tc>
              <w:tc>
                <w:tcPr>
                  <w:tcW w:w="801"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pacing w:val="0"/>
                      <w:kern w:val="21"/>
                      <w:sz w:val="21"/>
                      <w:lang w:eastAsia="zh-CN"/>
                    </w:rPr>
                  </w:pPr>
                  <w:r>
                    <w:rPr>
                      <w:rFonts w:hint="eastAsia" w:ascii="Times New Roman" w:hAnsi="Times New Roman" w:cs="Times New Roman"/>
                      <w:color w:val="auto"/>
                      <w:spacing w:val="0"/>
                      <w:kern w:val="21"/>
                      <w:sz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污染物排放管控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现有源提标升级改造</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1.污水收集处理率达100%。</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2.园区污水处理厂达《城镇污水处理厂污染物排放标准》一级A标或更高标准。</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3.加快推进危险化学品生产企业搬迁改造工程。</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新增源等量或倍量替代</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新增源排放标准限值</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污染物排放绩效水平准入要求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其他污染物排放管控要求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6.白酒行业参考执行更新后的四川省白酒行业资源环境绩效指标要求。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lang w:val="en-US" w:eastAsia="zh-CN"/>
                    </w:rPr>
                    <w:t>项目生活污水、软水制备浓水、锅炉排水经厂区已建预处理池处理后排入园区污水管网，项目所在厂区进行雨污分流。本项目为改建，不涉及新增总量。本项目废气执行特别排放限值要求。</w:t>
                  </w:r>
                  <w:r>
                    <w:rPr>
                      <w:rFonts w:hint="default" w:ascii="Times New Roman" w:hAnsi="Times New Roman" w:cs="Times New Roman"/>
                      <w:b w:val="0"/>
                      <w:bCs w:val="0"/>
                      <w:color w:val="auto"/>
                      <w:sz w:val="21"/>
                      <w:szCs w:val="21"/>
                      <w:highlight w:val="none"/>
                      <w:lang w:val="en-US" w:eastAsia="zh-CN"/>
                    </w:rPr>
                    <w:t>本项目使用脲醛树脂胶为E0级，属于低VOCS含量的胶粘剂，本项目产生的VOCs均设置收集处理装置，降低无组织排放量。</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环境风险防控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严格管控类农用地管控要求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安全利用类农用地管控要求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污染地块管控要求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园区环境风险防控要求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企业环境风险防控要求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其他环境风险防控要求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1.企业环境风险防控要求：涉及有毒有害、易燃易爆物质的新建、改扩建项目，严控准入要求。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default" w:ascii="Times New Roman" w:hAnsi="Times New Roman" w:eastAsia="宋体" w:cs="Times New Roman"/>
                      <w:color w:val="auto"/>
                      <w:kern w:val="0"/>
                      <w:sz w:val="21"/>
                      <w:szCs w:val="21"/>
                      <w:lang w:val="en-US" w:eastAsia="zh-CN" w:bidi="ar"/>
                    </w:rPr>
                    <w:t>项目设置应急物资，建立与园区对接、联动的风险防范体系、三级防控体系等，建设单位将按照要求开展企业突发环境事件应急预案的编制及备案，确保风险可控。</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资源开发效率要求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水资源利用效率要求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1.到2025年，万元工业增加值用水量下降到32.0m</w:t>
                  </w:r>
                  <w:r>
                    <w:rPr>
                      <w:rFonts w:hint="default" w:ascii="Times New Roman" w:hAnsi="Times New Roman" w:eastAsia="宋体" w:cs="Times New Roman"/>
                      <w:color w:val="auto"/>
                      <w:spacing w:val="0"/>
                      <w:kern w:val="21"/>
                      <w:sz w:val="21"/>
                      <w:vertAlign w:val="superscript"/>
                      <w:lang w:val="en-US" w:eastAsia="zh-CN"/>
                    </w:rPr>
                    <w:t>3</w:t>
                  </w:r>
                  <w:r>
                    <w:rPr>
                      <w:rFonts w:hint="default" w:ascii="Times New Roman" w:hAnsi="Times New Roman" w:eastAsia="宋体" w:cs="Times New Roman"/>
                      <w:color w:val="auto"/>
                      <w:spacing w:val="0"/>
                      <w:kern w:val="21"/>
                      <w:sz w:val="21"/>
                      <w:lang w:val="en-US" w:eastAsia="zh-CN"/>
                    </w:rPr>
                    <w:t>/万元，重复利用率提高到84%；</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2.至2030年，万元工业增加值用水量进一步减少为28.0m</w:t>
                  </w:r>
                  <w:r>
                    <w:rPr>
                      <w:rFonts w:hint="default" w:ascii="Times New Roman" w:hAnsi="Times New Roman" w:eastAsia="宋体" w:cs="Times New Roman"/>
                      <w:color w:val="auto"/>
                      <w:spacing w:val="0"/>
                      <w:kern w:val="21"/>
                      <w:sz w:val="21"/>
                      <w:vertAlign w:val="superscript"/>
                      <w:lang w:val="en-US" w:eastAsia="zh-CN"/>
                    </w:rPr>
                    <w:t>3</w:t>
                  </w:r>
                  <w:r>
                    <w:rPr>
                      <w:rFonts w:hint="default" w:ascii="Times New Roman" w:hAnsi="Times New Roman" w:eastAsia="宋体" w:cs="Times New Roman"/>
                      <w:color w:val="auto"/>
                      <w:spacing w:val="0"/>
                      <w:kern w:val="21"/>
                      <w:sz w:val="21"/>
                      <w:lang w:val="en-US" w:eastAsia="zh-CN"/>
                    </w:rPr>
                    <w:t>/万元，重复利用率提高到85%；</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3.新、改扩建项目水耗指标满足《四川省省级生态工业园区指标》综合类生态工业园区要求。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地下水开采要求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全面建设节水型社会，达到合理高效用水。</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能源利用效率要求</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1.扩大高污染燃料禁燃区范围，在市、县（区）、镇（乡）建成区全面实施“煤改气”“煤改电”。</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2.新、改扩建项目能耗指标满足《四川省省级生态工业园区指标》综合类生态工业园区要求。</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3.实施新建项目与煤炭消费总量控制挂钩机制，耗煤建设项目实行煤炭消耗等量减量替代。</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4.提高煤炭利用效率和天然气利用占比，工业领域有序推进“煤改电”和“煤改气”。</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5.到2030年，能源消费总量控制在1000万吨标准煤以内。</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其他资源利用效率要求</w:t>
                  </w:r>
                  <w:r>
                    <w:rPr>
                      <w:rFonts w:hint="eastAsia" w:ascii="Times New Roman" w:hAnsi="Times New Roman" w:eastAsia="宋体" w:cs="Times New Roman"/>
                      <w:color w:val="auto"/>
                      <w:spacing w:val="0"/>
                      <w:kern w:val="21"/>
                      <w:sz w:val="21"/>
                      <w:lang w:val="en-US" w:eastAsia="zh-CN"/>
                    </w:rPr>
                    <w:t>：/</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lang w:val="en-US" w:eastAsia="zh-CN"/>
                    </w:rPr>
                    <w:t>本项目用水量少，不涉及高污染燃料，本项目</w:t>
                  </w:r>
                  <w:r>
                    <w:rPr>
                      <w:rFonts w:hint="default" w:ascii="Times New Roman" w:hAnsi="Times New Roman" w:cs="Times New Roman"/>
                      <w:color w:val="auto"/>
                      <w:spacing w:val="0"/>
                      <w:kern w:val="21"/>
                      <w:sz w:val="21"/>
                      <w:highlight w:val="none"/>
                    </w:rPr>
                    <w:t>生物质成型燃料</w:t>
                  </w:r>
                  <w:r>
                    <w:rPr>
                      <w:rFonts w:hint="default" w:ascii="Times New Roman" w:hAnsi="Times New Roman" w:cs="Times New Roman"/>
                      <w:color w:val="auto"/>
                      <w:spacing w:val="0"/>
                      <w:kern w:val="21"/>
                      <w:sz w:val="21"/>
                      <w:highlight w:val="none"/>
                      <w:lang w:val="en-US" w:eastAsia="zh-CN"/>
                    </w:rPr>
                    <w:t>燃烧废气后端</w:t>
                  </w:r>
                  <w:r>
                    <w:rPr>
                      <w:rFonts w:hint="default" w:ascii="Times New Roman" w:hAnsi="Times New Roman" w:cs="Times New Roman"/>
                      <w:color w:val="auto"/>
                      <w:spacing w:val="0"/>
                      <w:kern w:val="21"/>
                      <w:sz w:val="21"/>
                      <w:highlight w:val="none"/>
                    </w:rPr>
                    <w:t>配置高效除尘设施</w:t>
                  </w:r>
                  <w:r>
                    <w:rPr>
                      <w:rFonts w:hint="default" w:ascii="Times New Roman" w:hAnsi="Times New Roman" w:cs="Times New Roman"/>
                      <w:color w:val="auto"/>
                      <w:spacing w:val="0"/>
                      <w:kern w:val="21"/>
                      <w:sz w:val="21"/>
                      <w:highlight w:val="none"/>
                      <w:lang w:eastAsia="zh-CN"/>
                    </w:rPr>
                    <w:t>：</w:t>
                  </w:r>
                  <w:r>
                    <w:rPr>
                      <w:rFonts w:hint="default" w:ascii="Times New Roman" w:hAnsi="Times New Roman" w:cs="Times New Roman"/>
                      <w:color w:val="auto"/>
                      <w:spacing w:val="0"/>
                      <w:kern w:val="21"/>
                      <w:sz w:val="21"/>
                      <w:highlight w:val="none"/>
                      <w:lang w:val="en-US" w:eastAsia="zh-CN"/>
                    </w:rPr>
                    <w:t>旋风除尘+水膜除尘。</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21"/>
                      <w:sz w:val="21"/>
                      <w:lang w:eastAsia="zh-CN"/>
                    </w:rPr>
                  </w:pPr>
                  <w:r>
                    <w:rPr>
                      <w:rFonts w:hint="eastAsia" w:ascii="Times New Roman" w:hAnsi="Times New Roman" w:cs="Times New Roman"/>
                      <w:color w:val="auto"/>
                      <w:spacing w:val="0"/>
                      <w:kern w:val="21"/>
                      <w:sz w:val="21"/>
                      <w:lang w:eastAsia="zh-CN"/>
                    </w:rPr>
                    <w:t>蓬溪县</w:t>
                  </w:r>
                </w:p>
              </w:tc>
              <w:tc>
                <w:tcPr>
                  <w:tcW w:w="65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普适性清单</w:t>
                  </w: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空间布局约束</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禁止开发建设活动的要求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限制开发建设活动的要求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允许开发建设活动的要求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不符合空间布局要求活动的退出要求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其他空间布局约束要求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w:t>
                  </w:r>
                </w:p>
              </w:tc>
              <w:tc>
                <w:tcPr>
                  <w:tcW w:w="801"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pacing w:val="0"/>
                      <w:kern w:val="21"/>
                      <w:sz w:val="21"/>
                      <w:lang w:eastAsia="zh-CN"/>
                    </w:rPr>
                  </w:pPr>
                  <w:r>
                    <w:rPr>
                      <w:rFonts w:hint="eastAsia" w:ascii="Times New Roman" w:hAnsi="Times New Roman" w:cs="Times New Roman"/>
                      <w:color w:val="auto"/>
                      <w:spacing w:val="0"/>
                      <w:kern w:val="21"/>
                      <w:sz w:val="21"/>
                      <w:lang w:eastAsia="zh-CN"/>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污染物排放管控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现有源提标升级改造</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新增源等量或倍量替代</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新增源排放标准限值</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污染物排放绩效水平准入要求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其他污染物排放管控要求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环境风险防控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严格管控类农用地管控要求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安全利用类农用地管控要求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污染地块管控要求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园区环境风险防控要求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企业环境风险防控要求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其他环境风险防控要求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资源开发效率要求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水资源利用效率要求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地下水开采要求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能源利用效率要求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其他资源利用效率要求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发展定位与目标</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区域特点</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发展定位与目标</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发展目标：围绕成渝地区双城经济圈建设，聚焦聚力“三县一城”发展主线，全力建设新型工业化产业示范县和乡村振兴示范县，打造川渝毗邻地区城乡融合发展示范区。建设川渝毗邻地区重要的交通节点、建设成渝发展主轴特色产业强县、建设成渝地区山水田园康养空间、建设成渝地区改革开放新高地。</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主要产业：打造西部最大智能家居产业基地；做精锂电及新材料产业；做大绿色食品饮料产业；加快线缆线束产业聚集。</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区域突出生态环境问题</w:t>
                  </w:r>
                  <w:r>
                    <w:rPr>
                      <w:rFonts w:hint="eastAsia" w:ascii="Times New Roman" w:hAnsi="Times New Roman" w:eastAsia="宋体" w:cs="Times New Roman"/>
                      <w:color w:val="auto"/>
                      <w:spacing w:val="0"/>
                      <w:kern w:val="21"/>
                      <w:sz w:val="21"/>
                      <w:lang w:val="en-US"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1、环保基础设施运行管理水平不高。</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2、季节性大气污染依然存在，大气环境质量易反弹。</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3、区域内农业污染治理难。</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4、生态下泄流量不足，地表水环境质量尚未稳定达标</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rPr>
                    <w:t>本项目</w:t>
                  </w:r>
                  <w:r>
                    <w:rPr>
                      <w:rFonts w:hint="eastAsia" w:ascii="Times New Roman" w:hAnsi="Times New Roman" w:cs="Times New Roman"/>
                      <w:color w:val="auto"/>
                      <w:spacing w:val="0"/>
                      <w:kern w:val="21"/>
                      <w:sz w:val="21"/>
                      <w:highlight w:val="none"/>
                      <w:lang w:eastAsia="zh-CN"/>
                    </w:rPr>
                    <w:t>为刨花板生产制造，属于家居上游产业，与发展定位相符，项目运行期定期维护设备，确保环保设施稳定运行、污染物达标排放。</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pacing w:val="0"/>
                      <w:kern w:val="21"/>
                      <w:sz w:val="21"/>
                      <w:lang w:eastAsia="zh-CN"/>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总体管控要求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1、实施化肥、农药使用"零增长行动。加大农作物秸秆禁烧及综合利用力度；</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2、加快完善城乡生态环境保护设施建设；</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3、保障下游河流的生态用水需求，有效推动河流水质持续改善。</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空间布局约束</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污染物排放管控</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环境风险防控</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kern w:val="21"/>
                      <w:sz w:val="21"/>
                      <w:lang w:val="en-US" w:eastAsia="zh-CN"/>
                    </w:rPr>
                  </w:pPr>
                  <w:r>
                    <w:rPr>
                      <w:rFonts w:hint="default" w:ascii="Times New Roman" w:hAnsi="Times New Roman" w:eastAsia="宋体" w:cs="Times New Roman"/>
                      <w:color w:val="auto"/>
                      <w:spacing w:val="0"/>
                      <w:kern w:val="21"/>
                      <w:sz w:val="21"/>
                      <w:lang w:val="en-US" w:eastAsia="zh-CN"/>
                    </w:rPr>
                    <w:t>资源利用率要求</w:t>
                  </w:r>
                  <w:r>
                    <w:rPr>
                      <w:rFonts w:hint="eastAsia" w:ascii="Times New Roman" w:hAnsi="Times New Roman" w:eastAsia="宋体" w:cs="Times New Roman"/>
                      <w:color w:val="auto"/>
                      <w:spacing w:val="0"/>
                      <w:kern w:val="21"/>
                      <w:sz w:val="21"/>
                      <w:lang w:val="en-US" w:eastAsia="zh-CN"/>
                    </w:rPr>
                    <w:t>：</w:t>
                  </w:r>
                  <w:r>
                    <w:rPr>
                      <w:rFonts w:hint="default" w:ascii="Times New Roman" w:hAnsi="Times New Roman" w:eastAsia="宋体" w:cs="Times New Roman"/>
                      <w:color w:val="auto"/>
                      <w:spacing w:val="0"/>
                      <w:kern w:val="21"/>
                      <w:sz w:val="21"/>
                      <w:lang w:val="en-US" w:eastAsia="zh-CN"/>
                    </w:rPr>
                    <w:t>暂无</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lang w:val="en-US" w:eastAsia="zh-CN"/>
                    </w:rPr>
                  </w:pPr>
                  <w:r>
                    <w:rPr>
                      <w:rFonts w:hint="eastAsia" w:ascii="Times New Roman" w:hAnsi="Times New Roman" w:cs="Times New Roman"/>
                      <w:color w:val="auto"/>
                      <w:spacing w:val="0"/>
                      <w:kern w:val="21"/>
                      <w:sz w:val="21"/>
                      <w:highlight w:val="none"/>
                      <w:lang w:val="en-US" w:eastAsia="zh-CN"/>
                    </w:rPr>
                    <w:t>项目不涉及化肥、农药，不涉及河流。</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restart"/>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Style w:val="41"/>
                      <w:rFonts w:hint="default" w:ascii="Times New Roman" w:hAnsi="Times New Roman" w:eastAsia="宋体" w:cs="Times New Roman"/>
                      <w:color w:val="auto"/>
                      <w:spacing w:val="0"/>
                      <w:kern w:val="21"/>
                      <w:sz w:val="21"/>
                      <w:szCs w:val="21"/>
                      <w:lang w:val="en-US" w:eastAsia="zh-CN" w:bidi="ar-SA"/>
                    </w:rPr>
                    <w:t>四川蓬溪经济开发区（上游片区）</w:t>
                  </w:r>
                  <w:r>
                    <w:rPr>
                      <w:rFonts w:hint="default" w:ascii="Times New Roman" w:hAnsi="Times New Roman" w:cs="Times New Roman"/>
                      <w:color w:val="auto"/>
                      <w:spacing w:val="0"/>
                      <w:kern w:val="21"/>
                      <w:sz w:val="21"/>
                    </w:rPr>
                    <w:t>（</w:t>
                  </w:r>
                  <w:r>
                    <w:rPr>
                      <w:rStyle w:val="41"/>
                      <w:rFonts w:hint="default" w:ascii="Times New Roman" w:hAnsi="Times New Roman" w:eastAsia="宋体" w:cs="Times New Roman"/>
                      <w:color w:val="auto"/>
                      <w:spacing w:val="0"/>
                      <w:kern w:val="21"/>
                      <w:sz w:val="21"/>
                      <w:szCs w:val="21"/>
                      <w:lang w:val="en-US" w:eastAsia="zh-CN" w:bidi="ar-SA"/>
                    </w:rPr>
                    <w:t>ZH51092120004</w:t>
                  </w:r>
                  <w:r>
                    <w:rPr>
                      <w:rFonts w:hint="default" w:ascii="Times New Roman" w:hAnsi="Times New Roman" w:cs="Times New Roman"/>
                      <w:color w:val="auto"/>
                      <w:spacing w:val="0"/>
                      <w:kern w:val="21"/>
                      <w:sz w:val="21"/>
                    </w:rPr>
                    <w:t>）</w:t>
                  </w:r>
                </w:p>
              </w:tc>
              <w:tc>
                <w:tcPr>
                  <w:tcW w:w="657"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单元管控</w:t>
                  </w: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空间布局约束</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禁止开发建设活动的要求</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1.严禁新建焦化、黄磷、水泥、冶炼、石墨及碳素制品等大气污染排放量大的企业</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2.严禁新建化工（除油漆、涂料）、皮革、化学制浆造纸、化学合成原料药、生物发酵原料药、印染、制革、农药、电镀等废水排放量大且难以处理的企业</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3.其他参照遂宁市总体准入要求-工业重点管控单元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限制开发建设活动的要求</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允许开发建设活动的要求</w:t>
                  </w:r>
                  <w:r>
                    <w:rPr>
                      <w:rFonts w:hint="eastAsia" w:ascii="Times New Roman" w:hAnsi="Times New Roman" w:cs="Times New Roman"/>
                      <w:b w:val="0"/>
                      <w:bCs w:val="0"/>
                      <w:color w:val="auto"/>
                      <w:spacing w:val="0"/>
                      <w:kern w:val="21"/>
                      <w:sz w:val="21"/>
                      <w:highlight w:val="none"/>
                      <w:lang w:eastAsia="zh-CN"/>
                    </w:rPr>
                    <w:t>：</w:t>
                  </w:r>
                  <w:r>
                    <w:rPr>
                      <w:rFonts w:hint="default" w:ascii="Times New Roman" w:hAnsi="Times New Roman" w:cs="Times New Roman"/>
                      <w:b w:val="0"/>
                      <w:bCs w:val="0"/>
                      <w:color w:val="auto"/>
                      <w:spacing w:val="0"/>
                      <w:kern w:val="21"/>
                      <w:sz w:val="21"/>
                      <w:highlight w:val="none"/>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不符合空间布局要求活动的退出要求</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其他空间布局约束要求</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rPr>
                  </w:pPr>
                  <w:r>
                    <w:rPr>
                      <w:rFonts w:hint="default" w:ascii="Times New Roman" w:hAnsi="Times New Roman" w:cs="Times New Roman"/>
                      <w:color w:val="auto"/>
                      <w:spacing w:val="0"/>
                      <w:kern w:val="21"/>
                      <w:sz w:val="21"/>
                      <w:highlight w:val="none"/>
                    </w:rPr>
                    <w:t>本项目</w:t>
                  </w:r>
                  <w:r>
                    <w:rPr>
                      <w:rFonts w:hint="default" w:ascii="Times New Roman" w:hAnsi="Times New Roman" w:cs="Times New Roman"/>
                      <w:color w:val="auto"/>
                      <w:spacing w:val="0"/>
                      <w:kern w:val="21"/>
                      <w:sz w:val="21"/>
                      <w:highlight w:val="none"/>
                      <w:lang w:val="en-US" w:eastAsia="zh-CN"/>
                    </w:rPr>
                    <w:t>为人造板生产项目，不属于</w:t>
                  </w:r>
                  <w:r>
                    <w:rPr>
                      <w:rFonts w:hint="default" w:ascii="Times New Roman" w:hAnsi="Times New Roman" w:cs="Times New Roman"/>
                      <w:color w:val="auto"/>
                      <w:spacing w:val="0"/>
                      <w:kern w:val="21"/>
                      <w:sz w:val="21"/>
                      <w:highlight w:val="none"/>
                    </w:rPr>
                    <w:t>焦化、黄磷、水泥、冶炼、石墨及碳素制品</w:t>
                  </w:r>
                  <w:r>
                    <w:rPr>
                      <w:rFonts w:hint="default" w:ascii="Times New Roman" w:hAnsi="Times New Roman" w:cs="Times New Roman"/>
                      <w:color w:val="auto"/>
                      <w:spacing w:val="0"/>
                      <w:kern w:val="21"/>
                      <w:sz w:val="21"/>
                      <w:highlight w:val="none"/>
                      <w:lang w:eastAsia="zh-CN"/>
                    </w:rPr>
                    <w:t>、</w:t>
                  </w:r>
                  <w:r>
                    <w:rPr>
                      <w:rFonts w:hint="default" w:ascii="Times New Roman" w:hAnsi="Times New Roman" w:cs="Times New Roman"/>
                      <w:color w:val="auto"/>
                      <w:spacing w:val="0"/>
                      <w:kern w:val="21"/>
                      <w:sz w:val="21"/>
                      <w:highlight w:val="none"/>
                    </w:rPr>
                    <w:t>化工（除油漆、涂料）、皮革、化学制浆造纸、化学合成原料药、生物发酵原料药、印染、制革、农药、电镀</w:t>
                  </w:r>
                  <w:r>
                    <w:rPr>
                      <w:rFonts w:hint="default" w:ascii="Times New Roman" w:hAnsi="Times New Roman" w:cs="Times New Roman"/>
                      <w:color w:val="auto"/>
                      <w:spacing w:val="0"/>
                      <w:kern w:val="21"/>
                      <w:sz w:val="21"/>
                      <w:highlight w:val="none"/>
                      <w:lang w:val="en-US" w:eastAsia="zh-CN"/>
                    </w:rPr>
                    <w:t>企业，本项目仅涉及制胶工序，为 人造板生产配套</w:t>
                  </w:r>
                  <w:r>
                    <w:rPr>
                      <w:rFonts w:hint="default" w:ascii="Times New Roman" w:hAnsi="Times New Roman" w:cs="Times New Roman"/>
                      <w:color w:val="auto"/>
                      <w:spacing w:val="0"/>
                      <w:kern w:val="21"/>
                      <w:sz w:val="21"/>
                      <w:highlight w:val="none"/>
                    </w:rPr>
                    <w:t>。</w:t>
                  </w:r>
                </w:p>
              </w:tc>
              <w:tc>
                <w:tcPr>
                  <w:tcW w:w="801" w:type="dxa"/>
                  <w:vMerge w:val="restart"/>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highlight w:val="none"/>
                    </w:rPr>
                  </w:pPr>
                  <w:r>
                    <w:rPr>
                      <w:rFonts w:hint="default" w:ascii="Times New Roman" w:hAnsi="Times New Roman" w:cs="Times New Roman"/>
                      <w:color w:val="auto"/>
                      <w:spacing w:val="0"/>
                      <w:kern w:val="21"/>
                      <w:sz w:val="21"/>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污染物排放管控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现有源提标升级改造</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1.园区内的现有化工企业必须执行初期雨水收集处理。</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2.其他参照遂宁市总体准入要求-工业重点管控单元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新增源等量或倍量替代</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新增源排放标准限值</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1.项目产生的生产废水由企业自行处理达到《污水综合排放标准》三级或相应的行业排放标准后排入污水处理厂处理达《城镇污水处理厂污染物排放标准》一级A标</w:t>
                  </w:r>
                  <w:r>
                    <w:rPr>
                      <w:rFonts w:hint="eastAsia" w:ascii="Times New Roman" w:hAnsi="Times New Roman" w:cs="Times New Roman"/>
                      <w:b w:val="0"/>
                      <w:bCs w:val="0"/>
                      <w:color w:val="auto"/>
                      <w:spacing w:val="0"/>
                      <w:kern w:val="21"/>
                      <w:sz w:val="21"/>
                      <w:highlight w:val="none"/>
                      <w:lang w:val="en-US" w:eastAsia="zh-CN"/>
                    </w:rPr>
                    <w:t>准</w:t>
                  </w:r>
                  <w:r>
                    <w:rPr>
                      <w:rFonts w:hint="default" w:ascii="Times New Roman" w:hAnsi="Times New Roman" w:cs="Times New Roman"/>
                      <w:b w:val="0"/>
                      <w:bCs w:val="0"/>
                      <w:color w:val="auto"/>
                      <w:spacing w:val="0"/>
                      <w:kern w:val="21"/>
                      <w:sz w:val="21"/>
                      <w:highlight w:val="none"/>
                    </w:rPr>
                    <w:t>或更严格标准后排放。</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2.其他参照遂宁市总体准入要求-工业重点管控单元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highlight w:val="none"/>
                      <w:lang w:eastAsia="zh-CN"/>
                    </w:rPr>
                  </w:pPr>
                  <w:r>
                    <w:rPr>
                      <w:rFonts w:hint="default" w:ascii="Times New Roman" w:hAnsi="Times New Roman" w:cs="Times New Roman"/>
                      <w:b w:val="0"/>
                      <w:bCs w:val="0"/>
                      <w:color w:val="auto"/>
                      <w:spacing w:val="0"/>
                      <w:kern w:val="21"/>
                      <w:sz w:val="21"/>
                      <w:highlight w:val="none"/>
                    </w:rPr>
                    <w:t>污染物排放绩效水平准入要求</w:t>
                  </w:r>
                  <w:r>
                    <w:rPr>
                      <w:rFonts w:hint="eastAsia" w:ascii="Times New Roman" w:hAnsi="Times New Roman" w:cs="Times New Roman"/>
                      <w:b w:val="0"/>
                      <w:bCs w:val="0"/>
                      <w:color w:val="auto"/>
                      <w:spacing w:val="0"/>
                      <w:kern w:val="21"/>
                      <w:sz w:val="21"/>
                      <w:highlight w:val="none"/>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highlight w:val="none"/>
                    </w:rPr>
                  </w:pPr>
                  <w:r>
                    <w:rPr>
                      <w:rFonts w:hint="default" w:ascii="Times New Roman" w:hAnsi="Times New Roman" w:cs="Times New Roman"/>
                      <w:b w:val="0"/>
                      <w:bCs w:val="0"/>
                      <w:color w:val="auto"/>
                      <w:spacing w:val="0"/>
                      <w:kern w:val="21"/>
                      <w:sz w:val="21"/>
                      <w:highlight w:val="none"/>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highlight w:val="none"/>
                      <w:lang w:val="en-US" w:eastAsia="zh-CN"/>
                    </w:rPr>
                  </w:pPr>
                  <w:r>
                    <w:rPr>
                      <w:rFonts w:hint="default" w:ascii="Times New Roman" w:hAnsi="Times New Roman" w:cs="Times New Roman"/>
                      <w:b w:val="0"/>
                      <w:bCs w:val="0"/>
                      <w:color w:val="auto"/>
                      <w:spacing w:val="0"/>
                      <w:kern w:val="21"/>
                      <w:sz w:val="21"/>
                      <w:highlight w:val="none"/>
                    </w:rPr>
                    <w:t>其他污染物排放管控要求</w:t>
                  </w:r>
                  <w:r>
                    <w:rPr>
                      <w:rFonts w:hint="eastAsia" w:ascii="Times New Roman" w:hAnsi="Times New Roman" w:cs="Times New Roman"/>
                      <w:b w:val="0"/>
                      <w:bCs w:val="0"/>
                      <w:color w:val="auto"/>
                      <w:spacing w:val="0"/>
                      <w:kern w:val="21"/>
                      <w:sz w:val="21"/>
                      <w:highlight w:val="none"/>
                      <w:lang w:eastAsia="zh-CN"/>
                    </w:rPr>
                    <w:t>：</w:t>
                  </w:r>
                  <w:r>
                    <w:rPr>
                      <w:rFonts w:hint="default" w:ascii="Times New Roman" w:hAnsi="Times New Roman" w:cs="Times New Roman"/>
                      <w:b w:val="0"/>
                      <w:bCs w:val="0"/>
                      <w:color w:val="auto"/>
                      <w:spacing w:val="0"/>
                      <w:kern w:val="21"/>
                      <w:sz w:val="21"/>
                      <w:highlight w:val="none"/>
                      <w:lang w:val="en-US" w:eastAsia="zh-CN"/>
                    </w:rPr>
                    <w:t>/</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lang w:val="en-US" w:eastAsia="zh-CN"/>
                    </w:rPr>
                    <w:t>本企业不属于化工企业，仅配套制胶工序，项目废水经处理</w:t>
                  </w:r>
                  <w:r>
                    <w:rPr>
                      <w:rFonts w:hint="default" w:ascii="Times New Roman" w:hAnsi="Times New Roman" w:cs="Times New Roman"/>
                      <w:color w:val="auto"/>
                      <w:spacing w:val="0"/>
                      <w:kern w:val="21"/>
                      <w:sz w:val="21"/>
                      <w:highlight w:val="none"/>
                    </w:rPr>
                    <w:t>达到《污水综合排放标准》三级</w:t>
                  </w:r>
                  <w:r>
                    <w:rPr>
                      <w:rFonts w:hint="default" w:ascii="Times New Roman" w:hAnsi="Times New Roman" w:cs="Times New Roman"/>
                      <w:color w:val="auto"/>
                      <w:spacing w:val="0"/>
                      <w:kern w:val="21"/>
                      <w:sz w:val="21"/>
                      <w:highlight w:val="none"/>
                      <w:lang w:val="en-US" w:eastAsia="zh-CN"/>
                    </w:rPr>
                    <w:t>后排入园区污水管网。</w:t>
                  </w:r>
                </w:p>
              </w:tc>
              <w:tc>
                <w:tcPr>
                  <w:tcW w:w="801" w:type="dxa"/>
                  <w:vMerge w:val="continue"/>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0"/>
                      <w:kern w:val="21"/>
                      <w:sz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环境风险防控</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严格管控类农用地管控要求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安全利用类农用地管控要求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污染地块管控要求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园区环境风险防控要求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企业环境风险防控要求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1.除化工企业配套的化学物质存储区外，禁止在区内另设置存储大宗危险化学物质的仓储项目。</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2.其他参照遂宁市总体准入要求-工业重点管控单元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lang w:val="en-US" w:eastAsia="zh-CN"/>
                    </w:rPr>
                  </w:pPr>
                  <w:r>
                    <w:rPr>
                      <w:rFonts w:hint="default" w:ascii="Times New Roman" w:hAnsi="Times New Roman" w:cs="Times New Roman"/>
                      <w:b w:val="0"/>
                      <w:bCs w:val="0"/>
                      <w:color w:val="auto"/>
                      <w:spacing w:val="0"/>
                      <w:kern w:val="21"/>
                      <w:sz w:val="21"/>
                    </w:rPr>
                    <w:t>其他环境风险防控要求</w:t>
                  </w:r>
                  <w:r>
                    <w:rPr>
                      <w:rFonts w:hint="eastAsia" w:ascii="Times New Roman" w:hAnsi="Times New Roman" w:cs="Times New Roman"/>
                      <w:b w:val="0"/>
                      <w:bCs w:val="0"/>
                      <w:color w:val="auto"/>
                      <w:spacing w:val="0"/>
                      <w:kern w:val="21"/>
                      <w:sz w:val="21"/>
                      <w:lang w:eastAsia="zh-CN"/>
                    </w:rPr>
                    <w:t>：</w:t>
                  </w:r>
                  <w:r>
                    <w:rPr>
                      <w:rFonts w:hint="default" w:ascii="Times New Roman" w:hAnsi="Times New Roman" w:cs="Times New Roman"/>
                      <w:b w:val="0"/>
                      <w:bCs w:val="0"/>
                      <w:color w:val="auto"/>
                      <w:spacing w:val="0"/>
                      <w:kern w:val="21"/>
                      <w:sz w:val="21"/>
                      <w:lang w:val="en-US" w:eastAsia="zh-CN"/>
                    </w:rPr>
                    <w:t>/</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lang w:val="en-US" w:eastAsia="zh-CN"/>
                    </w:rPr>
                    <w:t>本项目仅制胶工序配套设有甲醛临时存储区，</w:t>
                  </w:r>
                  <w:r>
                    <w:rPr>
                      <w:rFonts w:hint="default" w:ascii="Times New Roman" w:hAnsi="Times New Roman" w:eastAsia="宋体" w:cs="Times New Roman"/>
                      <w:color w:val="auto"/>
                      <w:kern w:val="0"/>
                      <w:sz w:val="21"/>
                      <w:szCs w:val="21"/>
                      <w:highlight w:val="none"/>
                      <w:lang w:val="en-US" w:eastAsia="zh-CN" w:bidi="ar"/>
                    </w:rPr>
                    <w:t>项目设置应急物资，建立与园区对接、联动的风险防范体系、三级防控体系等，建设单位将按照要求开展企业突发环境事件应急预案的编制及备案，确保风险可控，不属于</w:t>
                  </w:r>
                  <w:r>
                    <w:rPr>
                      <w:rFonts w:hint="default" w:ascii="Times New Roman" w:hAnsi="Times New Roman" w:cs="Times New Roman"/>
                      <w:color w:val="auto"/>
                      <w:spacing w:val="0"/>
                      <w:kern w:val="21"/>
                      <w:sz w:val="21"/>
                      <w:highlight w:val="none"/>
                    </w:rPr>
                    <w:t>大宗危险化学物质的仓储项目</w:t>
                  </w:r>
                  <w:r>
                    <w:rPr>
                      <w:rFonts w:hint="default" w:ascii="Times New Roman" w:hAnsi="Times New Roman" w:cs="Times New Roman"/>
                      <w:color w:val="auto"/>
                      <w:spacing w:val="0"/>
                      <w:kern w:val="21"/>
                      <w:sz w:val="21"/>
                      <w:highlight w:val="none"/>
                      <w:lang w:eastAsia="zh-CN"/>
                    </w:rPr>
                    <w:t>。</w:t>
                  </w: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kern w:val="21"/>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405" w:hRule="atLeast"/>
              </w:trPr>
              <w:tc>
                <w:tcPr>
                  <w:tcW w:w="96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657" w:type="dxa"/>
                  <w:vMerge w:val="continue"/>
                  <w:tcBorders>
                    <w:tl2br w:val="nil"/>
                    <w:tr2bl w:val="nil"/>
                  </w:tcBorders>
                  <w:noWrap w:val="0"/>
                  <w:vAlign w:val="top"/>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p>
              </w:tc>
              <w:tc>
                <w:tcPr>
                  <w:tcW w:w="91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pacing w:val="0"/>
                      <w:kern w:val="21"/>
                      <w:sz w:val="21"/>
                    </w:rPr>
                  </w:pPr>
                  <w:r>
                    <w:rPr>
                      <w:rFonts w:hint="default" w:ascii="Times New Roman" w:hAnsi="Times New Roman" w:cs="Times New Roman"/>
                      <w:color w:val="auto"/>
                      <w:spacing w:val="0"/>
                      <w:kern w:val="21"/>
                      <w:sz w:val="21"/>
                    </w:rPr>
                    <w:t>资源开发效率要求</w:t>
                  </w:r>
                </w:p>
              </w:tc>
              <w:tc>
                <w:tcPr>
                  <w:tcW w:w="7271"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水资源利用效率要求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地下水开采要求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（1）蓬溪县2030年地下水开采控制控制量保持在0.09亿m</w:t>
                  </w:r>
                  <w:r>
                    <w:rPr>
                      <w:rFonts w:hint="default" w:ascii="Times New Roman" w:hAnsi="Times New Roman" w:cs="Times New Roman"/>
                      <w:b w:val="0"/>
                      <w:bCs w:val="0"/>
                      <w:color w:val="auto"/>
                      <w:spacing w:val="0"/>
                      <w:kern w:val="21"/>
                      <w:sz w:val="21"/>
                      <w:vertAlign w:val="superscript"/>
                    </w:rPr>
                    <w:t>3</w:t>
                  </w:r>
                  <w:r>
                    <w:rPr>
                      <w:rFonts w:hint="default" w:ascii="Times New Roman" w:hAnsi="Times New Roman" w:cs="Times New Roman"/>
                      <w:b w:val="0"/>
                      <w:bCs w:val="0"/>
                      <w:color w:val="auto"/>
                      <w:spacing w:val="0"/>
                      <w:kern w:val="21"/>
                      <w:sz w:val="21"/>
                    </w:rPr>
                    <w:t>以内。（2）全面建设节水型社会，达到合理高效用水。</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能源利用效率要求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参照遂宁市总体准入要求-工业重点管控单元</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pacing w:val="0"/>
                      <w:kern w:val="21"/>
                      <w:sz w:val="21"/>
                      <w:lang w:eastAsia="zh-CN"/>
                    </w:rPr>
                  </w:pPr>
                  <w:r>
                    <w:rPr>
                      <w:rFonts w:hint="default" w:ascii="Times New Roman" w:hAnsi="Times New Roman" w:cs="Times New Roman"/>
                      <w:b w:val="0"/>
                      <w:bCs w:val="0"/>
                      <w:color w:val="auto"/>
                      <w:spacing w:val="0"/>
                      <w:kern w:val="21"/>
                      <w:sz w:val="21"/>
                    </w:rPr>
                    <w:t>其他资源利用效率要求</w:t>
                  </w:r>
                  <w:r>
                    <w:rPr>
                      <w:rFonts w:hint="eastAsia" w:ascii="Times New Roman" w:hAnsi="Times New Roman" w:cs="Times New Roman"/>
                      <w:b w:val="0"/>
                      <w:bCs w:val="0"/>
                      <w:color w:val="auto"/>
                      <w:spacing w:val="0"/>
                      <w:kern w:val="21"/>
                      <w:sz w:val="21"/>
                      <w:lang w:eastAsia="zh-CN"/>
                    </w:rPr>
                    <w:t>：</w:t>
                  </w:r>
                </w:p>
                <w:p>
                  <w:pPr>
                    <w:pStyle w:val="212"/>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auto"/>
                      <w:spacing w:val="0"/>
                      <w:kern w:val="21"/>
                      <w:sz w:val="21"/>
                    </w:rPr>
                  </w:pPr>
                  <w:r>
                    <w:rPr>
                      <w:rFonts w:hint="default" w:ascii="Times New Roman" w:hAnsi="Times New Roman" w:cs="Times New Roman"/>
                      <w:b w:val="0"/>
                      <w:bCs w:val="0"/>
                      <w:color w:val="auto"/>
                      <w:spacing w:val="0"/>
                      <w:kern w:val="21"/>
                      <w:sz w:val="21"/>
                    </w:rPr>
                    <w:t>禁燃区管控要求：参照遂宁市总体准入要求-工业重点管控单元</w:t>
                  </w:r>
                </w:p>
              </w:tc>
              <w:tc>
                <w:tcPr>
                  <w:tcW w:w="2383" w:type="dxa"/>
                  <w:tcBorders>
                    <w:tl2br w:val="nil"/>
                    <w:tr2bl w:val="nil"/>
                  </w:tcBorders>
                  <w:noWrap w:val="0"/>
                  <w:vAlign w:val="center"/>
                </w:tcPr>
                <w:p>
                  <w:pPr>
                    <w:pStyle w:val="212"/>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1"/>
                      <w:sz w:val="21"/>
                      <w:highlight w:val="none"/>
                      <w:lang w:val="en-US" w:eastAsia="zh-CN"/>
                    </w:rPr>
                  </w:pPr>
                  <w:r>
                    <w:rPr>
                      <w:rFonts w:hint="default" w:ascii="Times New Roman" w:hAnsi="Times New Roman" w:cs="Times New Roman"/>
                      <w:color w:val="auto"/>
                      <w:spacing w:val="0"/>
                      <w:kern w:val="21"/>
                      <w:sz w:val="21"/>
                      <w:highlight w:val="none"/>
                      <w:lang w:val="en-US" w:eastAsia="zh-CN"/>
                    </w:rPr>
                    <w:t>本项目不涉及地下水开采。</w:t>
                  </w:r>
                </w:p>
              </w:tc>
              <w:tc>
                <w:tcPr>
                  <w:tcW w:w="80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kern w:val="21"/>
                      <w:sz w:val="21"/>
                      <w:highlight w:val="none"/>
                    </w:rPr>
                  </w:pP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b w:val="0"/>
                <w:bCs/>
                <w:color w:val="auto"/>
                <w:sz w:val="24"/>
              </w:rPr>
              <w:t>综上分析，本项目</w:t>
            </w:r>
            <w:r>
              <w:rPr>
                <w:rFonts w:hint="default" w:ascii="Times New Roman" w:hAnsi="Times New Roman" w:cs="Times New Roman"/>
                <w:b w:val="0"/>
                <w:bCs/>
                <w:color w:val="auto"/>
                <w:sz w:val="24"/>
                <w:lang w:eastAsia="zh-CN"/>
              </w:rPr>
              <w:t>与</w:t>
            </w:r>
            <w:r>
              <w:rPr>
                <w:rFonts w:hint="default" w:ascii="Times New Roman" w:hAnsi="Times New Roman" w:cs="Times New Roman"/>
                <w:b w:val="0"/>
                <w:bCs/>
                <w:color w:val="auto"/>
                <w:sz w:val="24"/>
              </w:rPr>
              <w:t>“</w:t>
            </w:r>
            <w:r>
              <w:rPr>
                <w:rFonts w:hint="eastAsia" w:ascii="Times New Roman" w:hAnsi="Times New Roman" w:cs="Times New Roman"/>
                <w:b w:val="0"/>
                <w:bCs/>
                <w:color w:val="auto"/>
                <w:sz w:val="24"/>
                <w:lang w:eastAsia="zh-CN"/>
              </w:rPr>
              <w:t>生态环境分区管控</w:t>
            </w:r>
            <w:r>
              <w:rPr>
                <w:rFonts w:hint="default" w:ascii="Times New Roman" w:hAnsi="Times New Roman" w:cs="Times New Roman"/>
                <w:b w:val="0"/>
                <w:bCs/>
                <w:color w:val="auto"/>
                <w:sz w:val="24"/>
              </w:rPr>
              <w:t>”要求</w:t>
            </w:r>
            <w:r>
              <w:rPr>
                <w:rFonts w:hint="default" w:ascii="Times New Roman" w:hAnsi="Times New Roman" w:cs="Times New Roman"/>
                <w:b w:val="0"/>
                <w:bCs/>
                <w:color w:val="auto"/>
                <w:sz w:val="24"/>
                <w:lang w:eastAsia="zh-CN"/>
              </w:rPr>
              <w:t>相符</w:t>
            </w:r>
            <w:r>
              <w:rPr>
                <w:rFonts w:hint="default" w:ascii="Times New Roman" w:hAnsi="Times New Roman" w:cs="Times New Roman"/>
                <w:b w:val="0"/>
                <w:bCs/>
                <w:color w:val="auto"/>
                <w:sz w:val="24"/>
              </w:rPr>
              <w:t>。</w:t>
            </w:r>
          </w:p>
          <w:p>
            <w:pPr>
              <w:pStyle w:val="37"/>
              <w:rPr>
                <w:rFonts w:hint="default" w:ascii="Times New Roman" w:hAnsi="Times New Roman" w:eastAsia="宋体" w:cs="Times New Roman"/>
                <w:color w:val="auto"/>
                <w:kern w:val="0"/>
                <w:sz w:val="24"/>
                <w:lang w:eastAsia="zh-CN"/>
              </w:rPr>
            </w:pPr>
          </w:p>
        </w:tc>
      </w:tr>
    </w:tbl>
    <w:p>
      <w:pPr>
        <w:rPr>
          <w:rFonts w:hint="default" w:ascii="Times New Roman" w:hAnsi="Times New Roman" w:cs="Times New Roman"/>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9"/>
        <w:tblW w:w="91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8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1" w:hRule="atLeast"/>
          <w:jc w:val="center"/>
        </w:trPr>
        <w:tc>
          <w:tcPr>
            <w:tcW w:w="836" w:type="dxa"/>
            <w:noWrap w:val="0"/>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8347"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四</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eastAsia="zh-CN"/>
              </w:rPr>
              <w:t>与长江经济带发展相关符合性分析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kern w:val="0"/>
                <w:szCs w:val="21"/>
                <w:lang w:eastAsia="zh-CN"/>
              </w:rPr>
            </w:pPr>
            <w:r>
              <w:rPr>
                <w:rFonts w:hint="eastAsia" w:ascii="Times New Roman" w:hAnsi="Times New Roman" w:eastAsia="宋体" w:cs="Times New Roman"/>
                <w:b/>
                <w:color w:val="auto"/>
                <w:kern w:val="0"/>
                <w:sz w:val="24"/>
                <w:szCs w:val="24"/>
                <w:lang w:val="en-US" w:eastAsia="zh-CN"/>
              </w:rPr>
              <w:t>1、</w:t>
            </w:r>
            <w:r>
              <w:rPr>
                <w:rFonts w:hint="default" w:ascii="Times New Roman" w:hAnsi="Times New Roman" w:eastAsia="宋体" w:cs="Times New Roman"/>
                <w:b/>
                <w:color w:val="auto"/>
                <w:kern w:val="0"/>
                <w:sz w:val="24"/>
                <w:szCs w:val="24"/>
                <w:lang w:eastAsia="zh-CN"/>
              </w:rPr>
              <w:t>与《长江经济带发展负面清单指南（试行，</w:t>
            </w:r>
            <w:r>
              <w:rPr>
                <w:rFonts w:hint="default" w:ascii="Times New Roman" w:hAnsi="Times New Roman" w:eastAsia="宋体" w:cs="Times New Roman"/>
                <w:b/>
                <w:color w:val="auto"/>
                <w:kern w:val="0"/>
                <w:sz w:val="24"/>
                <w:szCs w:val="24"/>
                <w:lang w:val="en-US" w:eastAsia="zh-CN"/>
              </w:rPr>
              <w:t>2022年版</w:t>
            </w:r>
            <w:r>
              <w:rPr>
                <w:rFonts w:hint="default" w:ascii="Times New Roman" w:hAnsi="Times New Roman" w:eastAsia="宋体" w:cs="Times New Roman"/>
                <w:b/>
                <w:color w:val="auto"/>
                <w:kern w:val="0"/>
                <w:sz w:val="24"/>
                <w:szCs w:val="24"/>
                <w:lang w:eastAsia="zh-CN"/>
              </w:rPr>
              <w:t>）》（长江办</w:t>
            </w:r>
            <w:r>
              <w:rPr>
                <w:rFonts w:hint="default" w:ascii="Times New Roman" w:hAnsi="Times New Roman" w:eastAsia="宋体" w:cs="Times New Roman"/>
                <w:b/>
                <w:color w:val="auto"/>
                <w:kern w:val="0"/>
                <w:sz w:val="24"/>
                <w:szCs w:val="24"/>
                <w:lang w:val="en-US" w:eastAsia="zh-CN"/>
              </w:rPr>
              <w:t>[2022]7号</w:t>
            </w:r>
            <w:r>
              <w:rPr>
                <w:rFonts w:hint="default" w:ascii="Times New Roman" w:hAnsi="Times New Roman" w:eastAsia="宋体" w:cs="Times New Roman"/>
                <w:b/>
                <w:color w:val="auto"/>
                <w:kern w:val="0"/>
                <w:sz w:val="24"/>
                <w:szCs w:val="24"/>
                <w:lang w:eastAsia="zh-CN"/>
              </w:rPr>
              <w:t>）符合性分析</w:t>
            </w:r>
          </w:p>
          <w:p>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bidi="ar"/>
              </w:rPr>
            </w:pPr>
            <w:r>
              <w:rPr>
                <w:rFonts w:hint="eastAsia"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b w:val="0"/>
                <w:bCs w:val="0"/>
                <w:color w:val="auto"/>
                <w:sz w:val="24"/>
                <w:szCs w:val="24"/>
                <w:highlight w:val="none"/>
                <w:lang w:eastAsia="zh-CN"/>
              </w:rPr>
              <w:t>推动长江经济带发展领导小组办公室</w:t>
            </w:r>
            <w:r>
              <w:rPr>
                <w:rFonts w:hint="default" w:ascii="Times New Roman" w:hAnsi="Times New Roman" w:eastAsia="宋体" w:cs="Times New Roman"/>
                <w:b w:val="0"/>
                <w:bCs w:val="0"/>
                <w:color w:val="auto"/>
                <w:kern w:val="0"/>
                <w:sz w:val="24"/>
                <w:szCs w:val="24"/>
                <w:lang w:eastAsia="zh-CN"/>
              </w:rPr>
              <w:t>《长江经济带发展负面清单指南（试行，</w:t>
            </w:r>
            <w:r>
              <w:rPr>
                <w:rFonts w:hint="default" w:ascii="Times New Roman" w:hAnsi="Times New Roman" w:eastAsia="宋体" w:cs="Times New Roman"/>
                <w:b w:val="0"/>
                <w:bCs w:val="0"/>
                <w:color w:val="auto"/>
                <w:kern w:val="0"/>
                <w:sz w:val="24"/>
                <w:szCs w:val="24"/>
                <w:lang w:val="en-US" w:eastAsia="zh-CN"/>
              </w:rPr>
              <w:t>2022年版</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color w:val="auto"/>
                <w:kern w:val="0"/>
                <w:sz w:val="24"/>
                <w:szCs w:val="24"/>
                <w:lang w:eastAsia="zh-CN"/>
              </w:rPr>
              <w:t>（长江办</w:t>
            </w:r>
            <w:r>
              <w:rPr>
                <w:rFonts w:hint="default" w:ascii="Times New Roman" w:hAnsi="Times New Roman" w:eastAsia="宋体" w:cs="Times New Roman"/>
                <w:b w:val="0"/>
                <w:bCs/>
                <w:color w:val="auto"/>
                <w:kern w:val="0"/>
                <w:sz w:val="24"/>
                <w:szCs w:val="24"/>
                <w:lang w:val="en-US" w:eastAsia="zh-CN"/>
              </w:rPr>
              <w:t>[2022]7号</w:t>
            </w:r>
            <w:r>
              <w:rPr>
                <w:rFonts w:hint="default" w:ascii="Times New Roman" w:hAnsi="Times New Roman" w:eastAsia="宋体" w:cs="Times New Roman"/>
                <w:b w:val="0"/>
                <w:bCs/>
                <w:color w:val="auto"/>
                <w:kern w:val="0"/>
                <w:sz w:val="24"/>
                <w:szCs w:val="24"/>
                <w:lang w:eastAsia="zh-CN"/>
              </w:rPr>
              <w:t>），项目符合性分析详见下表：</w:t>
            </w:r>
          </w:p>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表1-</w:t>
            </w:r>
            <w:r>
              <w:rPr>
                <w:rFonts w:hint="eastAsia" w:ascii="Times New Roman" w:hAnsi="Times New Roman" w:eastAsia="宋体"/>
                <w:b/>
                <w:bCs/>
                <w:color w:val="auto"/>
                <w:sz w:val="21"/>
                <w:szCs w:val="21"/>
                <w:highlight w:val="none"/>
                <w:lang w:val="en-US" w:eastAsia="zh-CN"/>
              </w:rPr>
              <w:t xml:space="preserve">6 </w:t>
            </w:r>
            <w:r>
              <w:rPr>
                <w:rFonts w:ascii="Times New Roman" w:hAnsi="Times New Roman" w:eastAsia="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与</w:t>
            </w:r>
            <w:r>
              <w:rPr>
                <w:rFonts w:hint="eastAsia" w:ascii="宋体" w:hAnsi="宋体" w:eastAsia="宋体" w:cs="宋体"/>
                <w:b/>
                <w:bCs/>
                <w:color w:val="auto"/>
                <w:kern w:val="0"/>
                <w:sz w:val="21"/>
                <w:szCs w:val="21"/>
                <w:highlight w:val="none"/>
                <w:lang w:eastAsia="zh-CN" w:bidi="ar"/>
              </w:rPr>
              <w:t>“</w:t>
            </w:r>
            <w:r>
              <w:rPr>
                <w:rFonts w:hint="default" w:ascii="Times New Roman" w:hAnsi="Times New Roman" w:eastAsia="宋体" w:cs="Times New Roman"/>
                <w:b/>
                <w:bCs/>
                <w:color w:val="auto"/>
                <w:kern w:val="0"/>
                <w:sz w:val="21"/>
                <w:szCs w:val="21"/>
                <w:lang w:eastAsia="zh-CN"/>
              </w:rPr>
              <w:t>长江办</w:t>
            </w:r>
            <w:r>
              <w:rPr>
                <w:rFonts w:hint="default" w:ascii="Times New Roman" w:hAnsi="Times New Roman" w:eastAsia="宋体" w:cs="Times New Roman"/>
                <w:b/>
                <w:bCs/>
                <w:color w:val="auto"/>
                <w:kern w:val="0"/>
                <w:sz w:val="21"/>
                <w:szCs w:val="21"/>
                <w:lang w:val="en-US" w:eastAsia="zh-CN"/>
              </w:rPr>
              <w:t>[2022]7号</w:t>
            </w:r>
            <w:r>
              <w:rPr>
                <w:rFonts w:hint="eastAsia" w:ascii="宋体" w:hAnsi="宋体" w:eastAsia="宋体" w:cs="宋体"/>
                <w:b/>
                <w:bCs/>
                <w:color w:val="auto"/>
                <w:kern w:val="0"/>
                <w:sz w:val="21"/>
                <w:szCs w:val="21"/>
                <w:highlight w:val="none"/>
                <w:lang w:eastAsia="zh-CN" w:bidi="ar"/>
              </w:rPr>
              <w:t>”</w:t>
            </w:r>
            <w:r>
              <w:rPr>
                <w:rFonts w:hint="default" w:ascii="Times New Roman" w:hAnsi="Times New Roman" w:eastAsia="宋体" w:cs="Times New Roman"/>
                <w:b/>
                <w:bCs/>
                <w:color w:val="auto"/>
                <w:sz w:val="21"/>
                <w:szCs w:val="21"/>
                <w:highlight w:val="none"/>
              </w:rPr>
              <w:t>符合性分析</w:t>
            </w:r>
          </w:p>
          <w:tbl>
            <w:tblPr>
              <w:tblStyle w:val="206"/>
              <w:tblW w:w="813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392"/>
              <w:gridCol w:w="6182"/>
              <w:gridCol w:w="940"/>
              <w:gridCol w:w="6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b/>
                      <w:bCs w:val="0"/>
                      <w:color w:val="auto"/>
                      <w:kern w:val="0"/>
                      <w:sz w:val="21"/>
                      <w:szCs w:val="21"/>
                      <w:highlight w:val="none"/>
                      <w:lang w:eastAsia="zh-CN"/>
                    </w:rPr>
                  </w:pPr>
                  <w:r>
                    <w:rPr>
                      <w:b/>
                      <w:bCs w:val="0"/>
                      <w:color w:val="auto"/>
                      <w:kern w:val="0"/>
                      <w:sz w:val="21"/>
                      <w:szCs w:val="21"/>
                      <w:highlight w:val="none"/>
                      <w:lang w:eastAsia="zh-CN"/>
                    </w:rPr>
                    <w:t>序号</w:t>
                  </w:r>
                </w:p>
              </w:tc>
              <w:tc>
                <w:tcPr>
                  <w:tcW w:w="6182" w:type="dxa"/>
                  <w:tcBorders>
                    <w:tl2br w:val="nil"/>
                    <w:tr2bl w:val="nil"/>
                  </w:tcBorders>
                  <w:shd w:val="clear" w:color="auto" w:fill="auto"/>
                  <w:noWrap w:val="0"/>
                  <w:vAlign w:val="center"/>
                </w:tcPr>
                <w:p>
                  <w:pPr>
                    <w:spacing w:line="240" w:lineRule="auto"/>
                    <w:ind w:firstLine="0" w:firstLineChars="0"/>
                    <w:jc w:val="center"/>
                    <w:rPr>
                      <w:b/>
                      <w:bCs w:val="0"/>
                      <w:color w:val="auto"/>
                      <w:kern w:val="0"/>
                      <w:sz w:val="21"/>
                      <w:szCs w:val="21"/>
                      <w:highlight w:val="none"/>
                      <w:lang w:eastAsia="zh-CN"/>
                    </w:rPr>
                  </w:pPr>
                  <w:r>
                    <w:rPr>
                      <w:rFonts w:hint="eastAsia"/>
                      <w:b/>
                      <w:bCs w:val="0"/>
                      <w:color w:val="auto"/>
                      <w:kern w:val="0"/>
                      <w:sz w:val="21"/>
                      <w:szCs w:val="21"/>
                      <w:highlight w:val="none"/>
                      <w:lang w:eastAsia="zh-CN"/>
                    </w:rPr>
                    <w:t>文件</w:t>
                  </w:r>
                  <w:r>
                    <w:rPr>
                      <w:b/>
                      <w:bCs w:val="0"/>
                      <w:color w:val="auto"/>
                      <w:kern w:val="0"/>
                      <w:sz w:val="21"/>
                      <w:szCs w:val="21"/>
                      <w:highlight w:val="none"/>
                      <w:lang w:eastAsia="zh-CN"/>
                    </w:rPr>
                    <w:t>内容</w:t>
                  </w:r>
                </w:p>
              </w:tc>
              <w:tc>
                <w:tcPr>
                  <w:tcW w:w="940" w:type="dxa"/>
                  <w:tcBorders>
                    <w:tl2br w:val="nil"/>
                    <w:tr2bl w:val="nil"/>
                  </w:tcBorders>
                  <w:shd w:val="clear" w:color="auto" w:fill="auto"/>
                  <w:noWrap w:val="0"/>
                  <w:vAlign w:val="center"/>
                </w:tcPr>
                <w:p>
                  <w:pPr>
                    <w:spacing w:line="240" w:lineRule="auto"/>
                    <w:ind w:firstLine="0" w:firstLineChars="0"/>
                    <w:jc w:val="center"/>
                    <w:rPr>
                      <w:b/>
                      <w:bCs w:val="0"/>
                      <w:color w:val="auto"/>
                      <w:kern w:val="0"/>
                      <w:sz w:val="21"/>
                      <w:szCs w:val="21"/>
                      <w:highlight w:val="none"/>
                      <w:lang w:eastAsia="zh-CN"/>
                    </w:rPr>
                  </w:pPr>
                  <w:r>
                    <w:rPr>
                      <w:b/>
                      <w:bCs w:val="0"/>
                      <w:color w:val="auto"/>
                      <w:kern w:val="0"/>
                      <w:sz w:val="21"/>
                      <w:szCs w:val="21"/>
                      <w:highlight w:val="none"/>
                      <w:lang w:eastAsia="zh-CN"/>
                    </w:rPr>
                    <w:t>项目</w:t>
                  </w:r>
                  <w:r>
                    <w:rPr>
                      <w:rFonts w:hint="eastAsia"/>
                      <w:b/>
                      <w:bCs w:val="0"/>
                      <w:color w:val="auto"/>
                      <w:kern w:val="0"/>
                      <w:sz w:val="21"/>
                      <w:szCs w:val="21"/>
                      <w:highlight w:val="none"/>
                      <w:lang w:eastAsia="zh-CN"/>
                    </w:rPr>
                    <w:t>情况</w:t>
                  </w:r>
                </w:p>
              </w:tc>
              <w:tc>
                <w:tcPr>
                  <w:tcW w:w="617" w:type="dxa"/>
                  <w:tcBorders>
                    <w:tl2br w:val="nil"/>
                    <w:tr2bl w:val="nil"/>
                  </w:tcBorders>
                  <w:shd w:val="clear" w:color="auto" w:fill="auto"/>
                  <w:noWrap w:val="0"/>
                  <w:vAlign w:val="center"/>
                </w:tcPr>
                <w:p>
                  <w:pPr>
                    <w:spacing w:line="240" w:lineRule="auto"/>
                    <w:ind w:firstLine="0" w:firstLineChars="0"/>
                    <w:jc w:val="center"/>
                    <w:rPr>
                      <w:b/>
                      <w:bCs w:val="0"/>
                      <w:color w:val="auto"/>
                      <w:kern w:val="0"/>
                      <w:sz w:val="21"/>
                      <w:szCs w:val="21"/>
                      <w:highlight w:val="none"/>
                      <w:lang w:eastAsia="en-US"/>
                    </w:rPr>
                  </w:pPr>
                  <w:r>
                    <w:rPr>
                      <w:b/>
                      <w:bCs w:val="0"/>
                      <w:color w:val="auto"/>
                      <w:kern w:val="0"/>
                      <w:sz w:val="21"/>
                      <w:szCs w:val="21"/>
                      <w:highlight w:val="none"/>
                      <w:lang w:eastAsia="en-U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1</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禁止建设不符合全国和省级港口布局规划以及港口总体规划的码头项目，禁止建设不符合《长江干线过江通道布局规划》的过长江通道项目。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2</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禁止在自然保护区核心区、缓冲区的岸线和河段范围内投资建设旅游和生产经营项目。禁止在风景名胜区核心景区的岸线和河段范围内投资建设与风景名胜资源保护无关的项目。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3</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4</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5</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违法利用、占用长江流域河潮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6</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禁止未经许可在长江干支流及湖泊新设、改设或扩大排污口。</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7</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禁止在“一江一口两湖七河”和332个水生生物保护区开展生产性捕捞。</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color w:val="auto"/>
                      <w:kern w:val="0"/>
                      <w:sz w:val="21"/>
                      <w:szCs w:val="21"/>
                      <w:highlight w:val="none"/>
                      <w:lang w:eastAsia="zh-CN"/>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8</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9</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禁止在合规园区外新建、扩建钢铁、石化、化工、焦化、建材、有色、制浆造纸等高污染项目。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color w:val="auto"/>
                      <w:kern w:val="0"/>
                      <w:sz w:val="21"/>
                      <w:szCs w:val="21"/>
                      <w:highlight w:val="none"/>
                      <w:lang w:eastAsia="zh-CN"/>
                    </w:rPr>
                    <w:t>本项目为人造板生产，位于蓬溪上游工业园内</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10</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禁止新建，扩建不符合国家石化、现代煤化工等产业布局规划的项目。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ascii="宋体" w:hAnsi="宋体" w:cs="宋体"/>
                      <w:b w:val="0"/>
                      <w:i w:val="0"/>
                      <w:color w:val="auto"/>
                      <w:kern w:val="0"/>
                      <w:sz w:val="21"/>
                      <w:szCs w:val="21"/>
                      <w:lang w:val="en-US" w:eastAsia="zh-CN" w:bidi="ar"/>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en-US"/>
                    </w:rPr>
                  </w:pPr>
                  <w:r>
                    <w:rPr>
                      <w:color w:val="auto"/>
                      <w:kern w:val="0"/>
                      <w:sz w:val="21"/>
                      <w:szCs w:val="21"/>
                      <w:highlight w:val="none"/>
                      <w:lang w:eastAsia="en-US"/>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392"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color w:val="auto"/>
                      <w:kern w:val="0"/>
                      <w:sz w:val="21"/>
                      <w:szCs w:val="21"/>
                      <w:highlight w:val="none"/>
                      <w:lang w:eastAsia="zh-CN"/>
                    </w:rPr>
                    <w:t>11</w:t>
                  </w:r>
                </w:p>
              </w:tc>
              <w:tc>
                <w:tcPr>
                  <w:tcW w:w="6182" w:type="dxa"/>
                  <w:tcBorders>
                    <w:tl2br w:val="nil"/>
                    <w:tr2bl w:val="nil"/>
                  </w:tcBorders>
                  <w:shd w:val="clear" w:color="auto" w:fill="auto"/>
                  <w:noWrap w:val="0"/>
                  <w:vAlign w:val="center"/>
                </w:tcPr>
                <w:p>
                  <w:pPr>
                    <w:spacing w:line="240" w:lineRule="auto"/>
                    <w:ind w:firstLine="0" w:firstLineChars="0"/>
                    <w:jc w:val="left"/>
                    <w:rPr>
                      <w:color w:val="auto"/>
                      <w:kern w:val="0"/>
                      <w:sz w:val="21"/>
                      <w:szCs w:val="21"/>
                      <w:highlight w:val="none"/>
                      <w:lang w:eastAsia="zh-CN"/>
                    </w:rPr>
                  </w:pPr>
                  <w:r>
                    <w:rPr>
                      <w:rFonts w:hint="eastAsia"/>
                      <w:color w:val="auto"/>
                      <w:kern w:val="0"/>
                      <w:sz w:val="21"/>
                      <w:szCs w:val="21"/>
                      <w:highlight w:val="none"/>
                      <w:lang w:eastAsia="zh-CN"/>
                    </w:rPr>
                    <w:t>禁止新建、扩建法律法规和相关政策明令禁止的落后产能项目。禁止新建、扩建不符合国家产能置换要求的严重过剩产能行业的项目。禁止新建、扩建不符合要求的高耗能高排放项目</w:t>
                  </w:r>
                </w:p>
              </w:tc>
              <w:tc>
                <w:tcPr>
                  <w:tcW w:w="940"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rFonts w:hint="eastAsia"/>
                      <w:color w:val="auto"/>
                      <w:kern w:val="0"/>
                      <w:sz w:val="21"/>
                      <w:szCs w:val="21"/>
                      <w:highlight w:val="none"/>
                      <w:lang w:eastAsia="zh-CN"/>
                    </w:rPr>
                    <w:t>不涉及</w:t>
                  </w:r>
                </w:p>
              </w:tc>
              <w:tc>
                <w:tcPr>
                  <w:tcW w:w="617" w:type="dxa"/>
                  <w:tcBorders>
                    <w:tl2br w:val="nil"/>
                    <w:tr2bl w:val="nil"/>
                  </w:tcBorders>
                  <w:shd w:val="clear" w:color="auto" w:fill="auto"/>
                  <w:noWrap w:val="0"/>
                  <w:vAlign w:val="center"/>
                </w:tcPr>
                <w:p>
                  <w:pPr>
                    <w:spacing w:line="240" w:lineRule="auto"/>
                    <w:ind w:firstLine="0" w:firstLineChars="0"/>
                    <w:jc w:val="center"/>
                    <w:rPr>
                      <w:color w:val="auto"/>
                      <w:kern w:val="0"/>
                      <w:sz w:val="21"/>
                      <w:szCs w:val="21"/>
                      <w:highlight w:val="none"/>
                      <w:lang w:eastAsia="zh-CN"/>
                    </w:rPr>
                  </w:pPr>
                  <w:r>
                    <w:rPr>
                      <w:color w:val="auto"/>
                      <w:kern w:val="0"/>
                      <w:sz w:val="21"/>
                      <w:szCs w:val="21"/>
                      <w:highlight w:val="none"/>
                      <w:lang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2、与</w:t>
            </w:r>
            <w:r>
              <w:rPr>
                <w:rFonts w:hint="default" w:ascii="Times New Roman" w:hAnsi="Times New Roman" w:cs="Times New Roman"/>
                <w:b/>
                <w:bCs/>
                <w:color w:val="auto"/>
                <w:sz w:val="24"/>
                <w:szCs w:val="24"/>
              </w:rPr>
              <w:t>《四川省、重庆市长江经济带发展负面清单实施细则2022年版》（川长江办</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2022</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17号</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zh-CN"/>
              </w:rPr>
              <w:t>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b w:val="0"/>
                <w:i w:val="0"/>
                <w:color w:val="auto"/>
                <w:kern w:val="0"/>
                <w:sz w:val="24"/>
                <w:szCs w:val="24"/>
                <w:lang w:val="en-US" w:eastAsia="zh-CN" w:bidi="ar"/>
              </w:rPr>
            </w:pPr>
            <w:r>
              <w:rPr>
                <w:rFonts w:hint="eastAsia" w:ascii="宋体" w:hAnsi="宋体" w:eastAsia="宋体" w:cs="宋体"/>
                <w:b w:val="0"/>
                <w:i w:val="0"/>
                <w:color w:val="auto"/>
                <w:kern w:val="0"/>
                <w:sz w:val="24"/>
                <w:szCs w:val="24"/>
                <w:lang w:val="en-US" w:eastAsia="zh-CN" w:bidi="ar"/>
              </w:rPr>
              <w:t>项目与</w:t>
            </w:r>
            <w:r>
              <w:rPr>
                <w:rFonts w:ascii="宋体" w:hAnsi="宋体" w:eastAsia="宋体" w:cs="宋体"/>
                <w:b w:val="0"/>
                <w:i w:val="0"/>
                <w:color w:val="auto"/>
                <w:kern w:val="0"/>
                <w:sz w:val="24"/>
                <w:szCs w:val="24"/>
                <w:lang w:val="en-US" w:eastAsia="zh-CN" w:bidi="ar"/>
              </w:rPr>
              <w:t>（</w:t>
            </w:r>
            <w:r>
              <w:rPr>
                <w:rFonts w:hint="default" w:ascii="Times New Roman" w:hAnsi="Times New Roman" w:cs="Times New Roman"/>
                <w:color w:val="auto"/>
                <w:sz w:val="24"/>
                <w:szCs w:val="24"/>
              </w:rPr>
              <w:t>川长江办</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2022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17号</w:t>
            </w:r>
            <w:r>
              <w:rPr>
                <w:rFonts w:ascii="宋体" w:hAnsi="宋体" w:eastAsia="宋体" w:cs="宋体"/>
                <w:b w:val="0"/>
                <w:i w:val="0"/>
                <w:color w:val="auto"/>
                <w:kern w:val="0"/>
                <w:sz w:val="24"/>
                <w:szCs w:val="24"/>
                <w:lang w:val="en-US" w:eastAsia="zh-CN" w:bidi="ar"/>
              </w:rPr>
              <w:t>）符合性见下表。</w:t>
            </w:r>
          </w:p>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rPr>
            </w:pPr>
            <w:r>
              <w:rPr>
                <w:rFonts w:hint="eastAsia" w:ascii="宋体" w:hAnsi="宋体" w:eastAsia="宋体" w:cs="宋体"/>
                <w:b/>
                <w:bCs/>
                <w:color w:val="auto"/>
                <w:sz w:val="21"/>
                <w:szCs w:val="21"/>
              </w:rPr>
              <w:t>表</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7</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eastAsia="zh-CN"/>
              </w:rPr>
              <w:t>与“</w:t>
            </w:r>
            <w:r>
              <w:rPr>
                <w:rFonts w:hint="default" w:ascii="Times New Roman" w:hAnsi="Times New Roman" w:eastAsia="宋体" w:cs="Times New Roman"/>
                <w:b/>
                <w:bCs/>
                <w:color w:val="auto"/>
                <w:sz w:val="21"/>
                <w:szCs w:val="21"/>
              </w:rPr>
              <w:t>川长江办</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2022</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17号</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符合性分析</w:t>
            </w:r>
          </w:p>
          <w:tbl>
            <w:tblPr>
              <w:tblStyle w:val="39"/>
              <w:tblW w:w="816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863"/>
              <w:gridCol w:w="5728"/>
              <w:gridCol w:w="872"/>
              <w:gridCol w:w="7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bCs/>
                      <w:i w:val="0"/>
                      <w:color w:val="auto"/>
                      <w:kern w:val="0"/>
                      <w:sz w:val="21"/>
                      <w:szCs w:val="21"/>
                      <w:lang w:val="en-US" w:eastAsia="zh-CN" w:bidi="ar"/>
                    </w:rPr>
                  </w:pPr>
                  <w:r>
                    <w:rPr>
                      <w:rFonts w:hint="eastAsia" w:ascii="宋体" w:hAnsi="宋体" w:cs="宋体"/>
                      <w:b/>
                      <w:bCs/>
                      <w:i w:val="0"/>
                      <w:color w:val="auto"/>
                      <w:kern w:val="0"/>
                      <w:sz w:val="21"/>
                      <w:szCs w:val="21"/>
                      <w:lang w:val="en-US" w:eastAsia="zh-CN" w:bidi="ar"/>
                    </w:rPr>
                    <w:t>序号</w:t>
                  </w:r>
                </w:p>
              </w:tc>
              <w:tc>
                <w:tcPr>
                  <w:tcW w:w="5728"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bCs/>
                      <w:i w:val="0"/>
                      <w:color w:val="auto"/>
                      <w:kern w:val="0"/>
                      <w:sz w:val="21"/>
                      <w:szCs w:val="21"/>
                      <w:lang w:val="en-US" w:eastAsia="zh-CN" w:bidi="ar"/>
                    </w:rPr>
                  </w:pPr>
                  <w:r>
                    <w:rPr>
                      <w:rFonts w:hint="eastAsia" w:ascii="宋体" w:hAnsi="宋体" w:cs="宋体"/>
                      <w:b/>
                      <w:bCs/>
                      <w:i w:val="0"/>
                      <w:color w:val="auto"/>
                      <w:kern w:val="0"/>
                      <w:sz w:val="21"/>
                      <w:szCs w:val="21"/>
                      <w:lang w:val="en-US" w:eastAsia="zh-CN" w:bidi="ar"/>
                    </w:rPr>
                    <w:t>负面清单</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bCs/>
                      <w:i w:val="0"/>
                      <w:color w:val="auto"/>
                      <w:kern w:val="0"/>
                      <w:sz w:val="21"/>
                      <w:szCs w:val="21"/>
                      <w:lang w:val="en-US" w:eastAsia="zh-CN" w:bidi="ar"/>
                    </w:rPr>
                  </w:pPr>
                  <w:r>
                    <w:rPr>
                      <w:rFonts w:hint="eastAsia" w:hAnsi="宋体" w:cs="宋体"/>
                      <w:b/>
                      <w:bCs/>
                      <w:i w:val="0"/>
                      <w:color w:val="auto"/>
                      <w:kern w:val="0"/>
                      <w:sz w:val="21"/>
                      <w:szCs w:val="21"/>
                      <w:lang w:val="en-US" w:eastAsia="zh-CN" w:bidi="ar"/>
                    </w:rPr>
                    <w:t>项目情况</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bCs/>
                      <w:i w:val="0"/>
                      <w:color w:val="auto"/>
                      <w:kern w:val="0"/>
                      <w:sz w:val="21"/>
                      <w:szCs w:val="21"/>
                      <w:lang w:val="en-US" w:eastAsia="zh-CN" w:bidi="ar"/>
                    </w:rPr>
                  </w:pPr>
                  <w:r>
                    <w:rPr>
                      <w:rFonts w:hint="eastAsia" w:ascii="宋体" w:hAnsi="宋体" w:cs="宋体"/>
                      <w:b/>
                      <w:bCs/>
                      <w:i w:val="0"/>
                      <w:color w:val="auto"/>
                      <w:kern w:val="0"/>
                      <w:sz w:val="21"/>
                      <w:szCs w:val="21"/>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第五条</w:t>
                  </w:r>
                </w:p>
              </w:tc>
              <w:tc>
                <w:tcPr>
                  <w:tcW w:w="5728"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textAlignment w:val="auto"/>
                    <w:rPr>
                      <w:color w:val="auto"/>
                      <w:sz w:val="21"/>
                      <w:szCs w:val="21"/>
                      <w:lang w:val="en-US" w:eastAsia="zh-CN"/>
                    </w:rPr>
                  </w:pPr>
                  <w:r>
                    <w:rPr>
                      <w:rFonts w:hint="default" w:ascii="Times New Roman" w:hAnsi="Times New Roman" w:cs="Times New Roman"/>
                      <w:color w:val="auto"/>
                      <w:sz w:val="21"/>
                      <w:szCs w:val="21"/>
                    </w:rPr>
                    <w:t>禁止新建、改建和扩建不符合全国港口布局规划，以及《四川省内河水运发展规划》《泸州</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宜宾</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乐山港口群布局规划》《重庆港总体规划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2035年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》等省级港口布局规划及市级港口总体规划的码头项目。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第六条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禁止新建、改建和扩建不符合《长江</w:t>
                  </w:r>
                  <w:r>
                    <w:rPr>
                      <w:rFonts w:hint="eastAsia"/>
                      <w:color w:val="auto"/>
                      <w:sz w:val="21"/>
                      <w:szCs w:val="21"/>
                      <w:lang w:eastAsia="zh-CN"/>
                    </w:rPr>
                    <w:t>干</w:t>
                  </w:r>
                  <w:r>
                    <w:rPr>
                      <w:rFonts w:hint="default" w:ascii="Times New Roman" w:hAnsi="Times New Roman" w:cs="Times New Roman"/>
                      <w:color w:val="auto"/>
                      <w:sz w:val="21"/>
                      <w:szCs w:val="21"/>
                    </w:rPr>
                    <w:t>线过江通道布局规划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2020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2035年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》的过长江通道项目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含桥梁、隧道</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，国家发展改革委同意过长江通道线位调整的除外。</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第七条</w:t>
                  </w:r>
                </w:p>
              </w:tc>
              <w:tc>
                <w:tcPr>
                  <w:tcW w:w="5728"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jc w:val="left"/>
                    <w:textAlignment w:val="auto"/>
                    <w:rPr>
                      <w:color w:val="auto"/>
                      <w:sz w:val="21"/>
                      <w:szCs w:val="21"/>
                      <w:lang w:val="en-US" w:eastAsia="zh-CN"/>
                    </w:rPr>
                  </w:pPr>
                  <w:r>
                    <w:rPr>
                      <w:color w:val="auto"/>
                      <w:sz w:val="21"/>
                      <w:szCs w:val="21"/>
                    </w:rPr>
                    <w:t>禁止在自然保护区核心区、缓冲区的岸线和河段范围内投资建设旅游和生产经营项目。自然保护区的内部未分区的，依照核心区和缓冲区的规定管控。</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第八条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禁止违反风景名胜区规划，在风景名胜区内设立各类开发区。禁止在风景名胜区核心景区的岸线和河段范围内建设宾馆、招待所、培训中心、疗养院以及与风景名胜资源保护无关的项目。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第九条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禁止在饮用水水源保护区的岸线和河段范围内新建、扩建对水体污染严重的建设项目，禁止改建增加排污量的建设项目。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饮用水水源二级保护区的岸线和河段范围内，除遵守准保护区规定外，禁止新建、改建、扩建排放污染物的投资建设项目；禁止从事对水体有污染的水产养殖等活动。</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第十一条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第十二条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禁止在水产种质资源保护区岸线和河段范围内新建围湖造田、围湖造地或挖沙采石等投资建设项目。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第十三条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olor w:val="auto"/>
                      <w:sz w:val="21"/>
                      <w:szCs w:val="21"/>
                      <w:lang w:val="en-US" w:eastAsia="zh-CN"/>
                    </w:rPr>
                    <w:t>洄</w:t>
                  </w:r>
                  <w:r>
                    <w:rPr>
                      <w:color w:val="auto"/>
                      <w:sz w:val="21"/>
                      <w:szCs w:val="21"/>
                    </w:rPr>
                    <w:t>游通道。</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第十四条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第十五条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禁止在《全国重要江河湖泊水功能区划》划定的河段及湖泊保护区、保留区内投资建设不利于水资源及自然生态保护的项目。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第十六条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禁止在长江流域江河、湖泊新设、改设或者扩大排污口，经有管辖权的生态环境主管部门或者长江流域生态环境监督管理机构同意的除外。</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rPr>
                    <w:t>第十七条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lang w:val="en-US" w:eastAsia="zh-CN"/>
                    </w:rPr>
                  </w:pPr>
                  <w:r>
                    <w:rPr>
                      <w:rFonts w:hint="default" w:ascii="Times New Roman" w:hAnsi="Times New Roman" w:cs="Times New Roman"/>
                      <w:color w:val="auto"/>
                      <w:sz w:val="21"/>
                      <w:szCs w:val="21"/>
                    </w:rPr>
                    <w:t>禁止在长江</w:t>
                  </w:r>
                  <w:r>
                    <w:rPr>
                      <w:rFonts w:hint="eastAsia" w:ascii="Times New Roman" w:hAnsi="Times New Roman" w:cs="Times New Roman"/>
                      <w:color w:val="auto"/>
                      <w:sz w:val="21"/>
                      <w:szCs w:val="21"/>
                      <w:lang w:eastAsia="zh-CN"/>
                    </w:rPr>
                    <w:t>干</w:t>
                  </w:r>
                  <w:r>
                    <w:rPr>
                      <w:rFonts w:hint="default" w:ascii="Times New Roman" w:hAnsi="Times New Roman" w:cs="Times New Roman"/>
                      <w:color w:val="auto"/>
                      <w:sz w:val="21"/>
                      <w:szCs w:val="21"/>
                    </w:rPr>
                    <w:t>流、大渡河、</w:t>
                  </w:r>
                  <w:r>
                    <w:rPr>
                      <w:rFonts w:hint="eastAsia" w:ascii="Times New Roman" w:hAnsi="Times New Roman" w:cs="Times New Roman"/>
                      <w:color w:val="auto"/>
                      <w:sz w:val="21"/>
                      <w:szCs w:val="21"/>
                      <w:lang w:eastAsia="zh-CN"/>
                    </w:rPr>
                    <w:t>岷江</w:t>
                  </w:r>
                  <w:r>
                    <w:rPr>
                      <w:rFonts w:hint="default" w:ascii="Times New Roman" w:hAnsi="Times New Roman" w:cs="Times New Roman"/>
                      <w:color w:val="auto"/>
                      <w:sz w:val="21"/>
                      <w:szCs w:val="21"/>
                    </w:rPr>
                    <w:t>、赤水河、</w:t>
                  </w:r>
                  <w:r>
                    <w:rPr>
                      <w:rFonts w:hint="eastAsia" w:ascii="Times New Roman" w:hAnsi="Times New Roman" w:cs="Times New Roman"/>
                      <w:color w:val="auto"/>
                      <w:sz w:val="21"/>
                      <w:szCs w:val="21"/>
                      <w:lang w:eastAsia="zh-CN"/>
                    </w:rPr>
                    <w:t>沱江</w:t>
                  </w:r>
                  <w:r>
                    <w:rPr>
                      <w:rFonts w:hint="default" w:ascii="Times New Roman" w:hAnsi="Times New Roman" w:cs="Times New Roman"/>
                      <w:color w:val="auto"/>
                      <w:sz w:val="21"/>
                      <w:szCs w:val="21"/>
                    </w:rPr>
                    <w:t>、嘉陵江、乌江、汉江和51个（四川省45个、重庆市6个）水生生物保护区开展生产性捕捞。</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第十八条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sz w:val="21"/>
                      <w:szCs w:val="21"/>
                    </w:rPr>
                  </w:pPr>
                  <w:r>
                    <w:rPr>
                      <w:color w:val="auto"/>
                      <w:sz w:val="21"/>
                      <w:szCs w:val="21"/>
                    </w:rPr>
                    <w:t>禁止在长江</w:t>
                  </w:r>
                  <w:r>
                    <w:rPr>
                      <w:rFonts w:hint="eastAsia"/>
                      <w:color w:val="auto"/>
                      <w:sz w:val="21"/>
                      <w:szCs w:val="21"/>
                      <w:lang w:eastAsia="zh-CN"/>
                    </w:rPr>
                    <w:t>干</w:t>
                  </w:r>
                  <w:r>
                    <w:rPr>
                      <w:color w:val="auto"/>
                      <w:sz w:val="21"/>
                      <w:szCs w:val="21"/>
                    </w:rPr>
                    <w:t>支流、重要湖泊岸线</w:t>
                  </w:r>
                  <w:r>
                    <w:rPr>
                      <w:rFonts w:hint="eastAsia"/>
                      <w:color w:val="auto"/>
                      <w:sz w:val="21"/>
                      <w:szCs w:val="21"/>
                      <w:lang w:eastAsia="zh-CN"/>
                    </w:rPr>
                    <w:t>一</w:t>
                  </w:r>
                  <w:r>
                    <w:rPr>
                      <w:color w:val="auto"/>
                      <w:sz w:val="21"/>
                      <w:szCs w:val="21"/>
                    </w:rPr>
                    <w:t>公里范围内新建、扩建化工园区和化工项目。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eastAsia="zh-CN"/>
                    </w:rPr>
                    <w:t>第十九条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sz w:val="21"/>
                      <w:szCs w:val="21"/>
                    </w:rPr>
                  </w:pPr>
                  <w:r>
                    <w:rPr>
                      <w:color w:val="auto"/>
                      <w:sz w:val="21"/>
                      <w:szCs w:val="21"/>
                    </w:rPr>
                    <w:t>禁止在长江</w:t>
                  </w:r>
                  <w:r>
                    <w:rPr>
                      <w:rFonts w:hint="eastAsia"/>
                      <w:color w:val="auto"/>
                      <w:sz w:val="21"/>
                      <w:szCs w:val="21"/>
                      <w:lang w:eastAsia="zh-CN"/>
                    </w:rPr>
                    <w:t>干</w:t>
                  </w:r>
                  <w:r>
                    <w:rPr>
                      <w:color w:val="auto"/>
                      <w:sz w:val="21"/>
                      <w:szCs w:val="21"/>
                    </w:rPr>
                    <w:t>流岸线三公里范围内和重要支流岸线一公里范围内新建、改建、扩建尾矿库、冶炼渣库、磷石膏库，以提升安全、生态环境保护水平为目的的改建除外。</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禁止在生态保护红线区域、永久基本农田集中区域和其他需要特别保护的区域内选址建设尾矿库、冶炼渣库、磷石膏库。</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第二十一条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禁止在合规园区外新建、扩建钢铁、石化、化工、焦化、建材、有色、制浆造纸等高污染项目。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color w:val="auto"/>
                      <w:kern w:val="0"/>
                      <w:sz w:val="21"/>
                      <w:szCs w:val="21"/>
                      <w:highlight w:val="none"/>
                      <w:lang w:eastAsia="zh-CN"/>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第二十二条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禁止新建、扩建不符合国家石化、现代煤化工等产业布局规划的项目。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21"/>
                      <w:szCs w:val="21"/>
                      <w:lang w:eastAsia="zh-CN"/>
                    </w:rPr>
                  </w:pPr>
                  <w:r>
                    <w:rPr>
                      <w:color w:val="auto"/>
                      <w:sz w:val="21"/>
                      <w:szCs w:val="21"/>
                    </w:rPr>
                    <w:t>（一）严格控制新增炼油产能，未列入《石化产业规划布局方案（修订版）》的新增炼油产能一律不得建设。</w:t>
                  </w:r>
                </w:p>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（二）新建煤制烯</w:t>
                  </w:r>
                  <w:r>
                    <w:rPr>
                      <w:rFonts w:hint="eastAsia"/>
                      <w:color w:val="auto"/>
                      <w:sz w:val="21"/>
                      <w:szCs w:val="21"/>
                      <w:lang w:eastAsia="zh-CN"/>
                    </w:rPr>
                    <w:t>烃</w:t>
                  </w:r>
                  <w:r>
                    <w:rPr>
                      <w:color w:val="auto"/>
                      <w:sz w:val="21"/>
                      <w:szCs w:val="21"/>
                    </w:rPr>
                    <w:t>、煤制芳</w:t>
                  </w:r>
                  <w:r>
                    <w:rPr>
                      <w:rFonts w:hint="eastAsia"/>
                      <w:color w:val="auto"/>
                      <w:sz w:val="21"/>
                      <w:szCs w:val="21"/>
                      <w:lang w:eastAsia="zh-CN"/>
                    </w:rPr>
                    <w:t>烃</w:t>
                  </w:r>
                  <w:r>
                    <w:rPr>
                      <w:color w:val="auto"/>
                      <w:sz w:val="21"/>
                      <w:szCs w:val="21"/>
                    </w:rPr>
                    <w:t>项目必须列入《现代煤化工产业创新发展布局方案》，必须符合《现代煤化工建设项目环境准入条件（试行）》要求。</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第二十三条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lang w:val="en-US" w:eastAsia="zh-CN"/>
                    </w:rPr>
                  </w:pPr>
                  <w:r>
                    <w:rPr>
                      <w:color w:val="auto"/>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第二十四条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lang w:val="en-US" w:eastAsia="zh-CN"/>
                    </w:rPr>
                  </w:pPr>
                  <w:r>
                    <w:rPr>
                      <w:color w:val="auto"/>
                      <w:sz w:val="21"/>
                      <w:szCs w:val="21"/>
                    </w:rPr>
                    <w:t>禁止新建、扩建不符合国家产能置换要求的严重过剩产能行业的项目。对于不符合国家产能置换要求的严重过剩产能行业，不得以其他任何名义、任何方式备案新增产能项目。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第二十五条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21"/>
                      <w:szCs w:val="21"/>
                      <w:lang w:eastAsia="zh-CN"/>
                    </w:rPr>
                  </w:pPr>
                  <w:r>
                    <w:rPr>
                      <w:color w:val="auto"/>
                      <w:sz w:val="21"/>
                      <w:szCs w:val="21"/>
                    </w:rPr>
                    <w:t>禁止建设以下燃油汽车投资项目（不在</w:t>
                  </w:r>
                  <w:r>
                    <w:rPr>
                      <w:rFonts w:hint="eastAsia"/>
                      <w:color w:val="auto"/>
                      <w:sz w:val="21"/>
                      <w:szCs w:val="21"/>
                      <w:lang w:eastAsia="zh-CN"/>
                    </w:rPr>
                    <w:t>中国</w:t>
                  </w:r>
                  <w:r>
                    <w:rPr>
                      <w:color w:val="auto"/>
                      <w:sz w:val="21"/>
                      <w:szCs w:val="21"/>
                    </w:rPr>
                    <w:t>境内销售产品的投资项目除外）：</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21"/>
                      <w:szCs w:val="21"/>
                      <w:lang w:eastAsia="zh-CN"/>
                    </w:rPr>
                  </w:pPr>
                  <w:r>
                    <w:rPr>
                      <w:color w:val="auto"/>
                      <w:sz w:val="21"/>
                      <w:szCs w:val="21"/>
                    </w:rPr>
                    <w:t>（一）新建独立燃油汽车企业；</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21"/>
                      <w:szCs w:val="21"/>
                      <w:lang w:eastAsia="zh-CN"/>
                    </w:rPr>
                  </w:pPr>
                  <w:r>
                    <w:rPr>
                      <w:color w:val="auto"/>
                      <w:sz w:val="21"/>
                      <w:szCs w:val="21"/>
                    </w:rPr>
                    <w:t>（二）现有汽车企业跨乘用车、商用车类别建设燃油汽车生产能力；</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21"/>
                      <w:szCs w:val="21"/>
                      <w:lang w:eastAsia="zh-CN"/>
                    </w:rPr>
                  </w:pPr>
                  <w:r>
                    <w:rPr>
                      <w:color w:val="auto"/>
                      <w:sz w:val="21"/>
                      <w:szCs w:val="21"/>
                    </w:rPr>
                    <w:t>（三）外省现有燃油汽车企业整体搬迁至本省（列入国家级区域发展规划或不改变企业股权结构的项目除外）；</w:t>
                  </w:r>
                </w:p>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 xml:space="preserve">（四）对行业管理部门特别公示的燃油汽车企业进行投资（企业原有股东投资或将该企业转为非独立法人的投资项目除外）。 </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63"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b w:val="0"/>
                      <w:i w:val="0"/>
                      <w:color w:val="auto"/>
                      <w:kern w:val="0"/>
                      <w:sz w:val="21"/>
                      <w:szCs w:val="21"/>
                      <w:lang w:val="en-US" w:eastAsia="zh-CN" w:bidi="ar"/>
                    </w:rPr>
                  </w:pPr>
                  <w:r>
                    <w:rPr>
                      <w:rFonts w:hint="eastAsia" w:ascii="Times New Roman" w:hAnsi="Times New Roman" w:cs="Times New Roman"/>
                      <w:b w:val="0"/>
                      <w:i w:val="0"/>
                      <w:color w:val="auto"/>
                      <w:kern w:val="0"/>
                      <w:sz w:val="21"/>
                      <w:szCs w:val="21"/>
                      <w:lang w:val="en-US" w:eastAsia="zh-CN" w:bidi="ar"/>
                    </w:rPr>
                    <w:t>第二十六条</w:t>
                  </w:r>
                </w:p>
              </w:tc>
              <w:tc>
                <w:tcPr>
                  <w:tcW w:w="5728"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1"/>
                      <w:szCs w:val="21"/>
                      <w:lang w:val="en-US" w:eastAsia="zh-CN"/>
                    </w:rPr>
                  </w:pPr>
                  <w:r>
                    <w:rPr>
                      <w:color w:val="auto"/>
                      <w:sz w:val="21"/>
                      <w:szCs w:val="21"/>
                      <w:lang w:val="en-US" w:eastAsia="zh-CN"/>
                    </w:rPr>
                    <w:t>禁止新建、扩建不符合要求的高耗能、高排放、低水平项目。</w:t>
                  </w:r>
                </w:p>
              </w:tc>
              <w:tc>
                <w:tcPr>
                  <w:tcW w:w="87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不涉及</w:t>
                  </w:r>
                </w:p>
              </w:tc>
              <w:tc>
                <w:tcPr>
                  <w:tcW w:w="701"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cs="宋体"/>
                      <w:b w:val="0"/>
                      <w:i w:val="0"/>
                      <w:color w:val="auto"/>
                      <w:kern w:val="0"/>
                      <w:sz w:val="21"/>
                      <w:szCs w:val="21"/>
                      <w:lang w:val="en-US" w:eastAsia="zh-CN" w:bidi="ar"/>
                    </w:rPr>
                  </w:pPr>
                  <w:r>
                    <w:rPr>
                      <w:rFonts w:hint="eastAsia" w:ascii="宋体" w:hAnsi="宋体" w:cs="宋体"/>
                      <w:b w:val="0"/>
                      <w:i w:val="0"/>
                      <w:color w:val="auto"/>
                      <w:kern w:val="0"/>
                      <w:sz w:val="21"/>
                      <w:szCs w:val="21"/>
                      <w:lang w:val="en-US" w:eastAsia="zh-CN" w:bidi="ar"/>
                    </w:rPr>
                    <w:t>符合</w:t>
                  </w:r>
                </w:p>
              </w:tc>
            </w:tr>
          </w:tbl>
          <w:p>
            <w:pPr>
              <w:pStyle w:val="178"/>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default" w:ascii="Times New Roman" w:hAnsi="Times New Roman" w:cs="Times New Roman"/>
                <w:b/>
                <w:bCs/>
                <w:color w:val="auto"/>
                <w:szCs w:val="24"/>
              </w:rPr>
            </w:pPr>
            <w:r>
              <w:rPr>
                <w:rFonts w:hint="eastAsia" w:ascii="Times New Roman" w:hAnsi="Times New Roman" w:cs="Times New Roman"/>
                <w:b/>
                <w:bCs/>
                <w:color w:val="auto"/>
                <w:kern w:val="0"/>
                <w:sz w:val="24"/>
                <w:lang w:eastAsia="zh-CN"/>
              </w:rPr>
              <w:t>五</w:t>
            </w:r>
            <w:r>
              <w:rPr>
                <w:rFonts w:hint="default" w:ascii="Times New Roman" w:hAnsi="Times New Roman" w:cs="Times New Roman"/>
                <w:b/>
                <w:bCs/>
                <w:color w:val="auto"/>
                <w:kern w:val="0"/>
                <w:sz w:val="24"/>
              </w:rPr>
              <w:t>、</w:t>
            </w:r>
            <w:r>
              <w:rPr>
                <w:rFonts w:hint="default" w:ascii="Times New Roman" w:hAnsi="Times New Roman" w:cs="Times New Roman"/>
                <w:b/>
                <w:bCs/>
                <w:color w:val="auto"/>
                <w:szCs w:val="24"/>
              </w:rPr>
              <w:t>与大气污染防治相关政策的符合性分析</w:t>
            </w:r>
          </w:p>
          <w:p>
            <w:pPr>
              <w:pStyle w:val="178"/>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本项目与大气污染防治相关政策的符合性分析见</w:t>
            </w:r>
            <w:r>
              <w:rPr>
                <w:rFonts w:hint="default" w:ascii="Times New Roman" w:hAnsi="Times New Roman" w:cs="Times New Roman"/>
                <w:color w:val="auto"/>
                <w:szCs w:val="24"/>
                <w:lang w:eastAsia="zh-CN"/>
              </w:rPr>
              <w:t>下</w:t>
            </w:r>
            <w:r>
              <w:rPr>
                <w:rFonts w:hint="default" w:ascii="Times New Roman" w:hAnsi="Times New Roman" w:cs="Times New Roman"/>
                <w:color w:val="auto"/>
                <w:szCs w:val="24"/>
              </w:rPr>
              <w:t>表。</w:t>
            </w:r>
          </w:p>
          <w:p>
            <w:pPr>
              <w:pStyle w:val="178"/>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11</w:t>
            </w:r>
            <w:r>
              <w:rPr>
                <w:rFonts w:hint="default" w:ascii="Times New Roman" w:hAnsi="Times New Roman" w:cs="Times New Roman"/>
                <w:b/>
                <w:bCs/>
                <w:color w:val="auto"/>
                <w:sz w:val="21"/>
                <w:szCs w:val="21"/>
              </w:rPr>
              <w:t xml:space="preserve">  项目与大气污染防治相关规划符合性分析一览表</w:t>
            </w:r>
          </w:p>
          <w:tbl>
            <w:tblPr>
              <w:tblStyle w:val="39"/>
              <w:tblW w:w="813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86"/>
              <w:gridCol w:w="5019"/>
              <w:gridCol w:w="1254"/>
              <w:gridCol w:w="672"/>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noWrap w:val="0"/>
                  <w:vAlign w:val="center"/>
                </w:tcPr>
                <w:p>
                  <w:pPr>
                    <w:pStyle w:val="178"/>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法律法规</w:t>
                  </w:r>
                </w:p>
              </w:tc>
              <w:tc>
                <w:tcPr>
                  <w:tcW w:w="5019" w:type="dxa"/>
                  <w:noWrap w:val="0"/>
                  <w:vAlign w:val="center"/>
                </w:tcPr>
                <w:p>
                  <w:pPr>
                    <w:pStyle w:val="178"/>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相关要求</w:t>
                  </w:r>
                </w:p>
              </w:tc>
              <w:tc>
                <w:tcPr>
                  <w:tcW w:w="1254" w:type="dxa"/>
                  <w:noWrap w:val="0"/>
                  <w:vAlign w:val="center"/>
                </w:tcPr>
                <w:p>
                  <w:pPr>
                    <w:pStyle w:val="178"/>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p>
              </w:tc>
              <w:tc>
                <w:tcPr>
                  <w:tcW w:w="672" w:type="dxa"/>
                  <w:noWrap w:val="0"/>
                  <w:vAlign w:val="center"/>
                </w:tcPr>
                <w:p>
                  <w:pPr>
                    <w:pStyle w:val="178"/>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kern w:val="0"/>
                      <w:highlight w:val="none"/>
                    </w:rPr>
                    <w:t>《大气污染防治行动计划》</w:t>
                  </w:r>
                </w:p>
              </w:tc>
              <w:tc>
                <w:tcPr>
                  <w:tcW w:w="5019"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kern w:val="0"/>
                      <w:highlight w:val="none"/>
                    </w:rPr>
                    <w:t>加大综合治理力度，减少污染物排放“在石化、有机化工、表面涂装…鼓励生产、销售和使用低毒、低挥发性有机溶剂…”</w:t>
                  </w:r>
                </w:p>
              </w:tc>
              <w:tc>
                <w:tcPr>
                  <w:tcW w:w="1254" w:type="dxa"/>
                  <w:vMerge w:val="restart"/>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highlight w:val="none"/>
                      <w:lang w:val="en-US" w:eastAsia="zh-CN"/>
                    </w:rPr>
                  </w:pPr>
                </w:p>
              </w:tc>
              <w:tc>
                <w:tcPr>
                  <w:tcW w:w="672" w:type="dxa"/>
                  <w:noWrap w:val="0"/>
                  <w:vAlign w:val="center"/>
                </w:tcPr>
                <w:p>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noWrap w:val="0"/>
                  <w:vAlign w:val="center"/>
                </w:tcPr>
                <w:p>
                  <w:pPr>
                    <w:pStyle w:val="178"/>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《关于印发&lt;重点行业挥发性有机物综合治理方案&gt;的通知》（环大气[2019]53号）</w:t>
                  </w:r>
                </w:p>
              </w:tc>
              <w:tc>
                <w:tcPr>
                  <w:tcW w:w="5019" w:type="dxa"/>
                  <w:noWrap w:val="0"/>
                  <w:vAlign w:val="center"/>
                </w:tcPr>
                <w:p>
                  <w:pPr>
                    <w:pStyle w:val="34"/>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通过使用水性、粉末、高固体分、无溶剂、辐射固化等低VOCs含量的涂料，水性、辐射固化、植物基等低VOCs含量的涂料，水基、热熔、无溶剂、辐射固化、改性、生物降解等低VOCs含量的胶粘剂，以及低VOCs含量、低反应活性的清洗剂等，替代溶剂型涂料、涂料、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涂料和胶粘剂，重点区域到2020年年底前基本完成。鼓励加快低VOCs含量涂料、涂料、胶粘剂等研发和生产。</w:t>
                  </w:r>
                </w:p>
              </w:tc>
              <w:tc>
                <w:tcPr>
                  <w:tcW w:w="1254" w:type="dxa"/>
                  <w:vMerge w:val="continue"/>
                  <w:noWrap w:val="0"/>
                  <w:vAlign w:val="center"/>
                </w:tcPr>
                <w:p>
                  <w:pPr>
                    <w:pStyle w:val="178"/>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72" w:type="dxa"/>
                  <w:noWrap w:val="0"/>
                  <w:vAlign w:val="center"/>
                </w:tcPr>
                <w:p>
                  <w:pPr>
                    <w:pStyle w:val="178"/>
                    <w:spacing w:line="240" w:lineRule="auto"/>
                    <w:ind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noWrap w:val="0"/>
                  <w:vAlign w:val="center"/>
                </w:tcPr>
                <w:p>
                  <w:pPr>
                    <w:pStyle w:val="178"/>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《四川省深入打好重污染天气消除、臭氧污染防治和柴油货车污染治理攻坚战实施方案》（川环发[2023]4号）</w:t>
                  </w:r>
                </w:p>
              </w:tc>
              <w:tc>
                <w:tcPr>
                  <w:tcW w:w="5019" w:type="dxa"/>
                  <w:shd w:val="clear" w:color="auto" w:fill="auto"/>
                  <w:noWrap w:val="0"/>
                  <w:vAlign w:val="center"/>
                </w:tcPr>
                <w:p>
                  <w:pPr>
                    <w:keepNext w:val="0"/>
                    <w:keepLines w:val="0"/>
                    <w:pageBreakBefore w:val="0"/>
                    <w:widowControl w:val="0"/>
                    <w:kinsoku/>
                    <w:wordWrap/>
                    <w:overflowPunct w:val="0"/>
                    <w:topLinePunct/>
                    <w:autoSpaceDE/>
                    <w:autoSpaceDN/>
                    <w:bidi w:val="0"/>
                    <w:adjustRightInd/>
                    <w:snapToGrid/>
                    <w:spacing w:line="240" w:lineRule="auto"/>
                    <w:ind w:firstLine="0" w:firstLineChars="0"/>
                    <w:jc w:val="left"/>
                    <w:textAlignment w:val="auto"/>
                    <w:rPr>
                      <w:rFonts w:hint="default" w:ascii="宋体" w:hAnsi="宋体" w:eastAsia="宋体" w:cs="宋体"/>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强化VOCs无组织排放整治。各地全面排查含VOCs物料储存、转移和输送、设备与管线组件、敞开液面以及工艺过程等环节无组织排放情况，对达不到相关标准要求的开展整治。石化、现代煤化工、制药、农药行业重点治理储罐配件失效、装载和污水处理密闭收集效果差、装置区废水预处理池和废水储罐废气未收集、泄漏检测与修复（LDAR）不符合标准规范等问题；焦化行业重点治理酚氰废水处理未密闭、煤气管线及焦炉等装置泄漏等问题；工业涂装、包装印刷等行业重点治理集气罩收集效果差、含VOCs原辅材料和废料储存环节无组织排放等问题。鼓励相关重点行业企业无法实现低（无）VOCs原辅材料替代的工序，在密闭设备、密闭空间作业或安装二次密闭设施。</w:t>
                  </w:r>
                </w:p>
              </w:tc>
              <w:tc>
                <w:tcPr>
                  <w:tcW w:w="1254" w:type="dxa"/>
                  <w:vMerge w:val="continue"/>
                  <w:shd w:val="clear" w:color="auto" w:fill="auto"/>
                  <w:noWrap w:val="0"/>
                  <w:vAlign w:val="center"/>
                </w:tcPr>
                <w:p>
                  <w:pPr>
                    <w:spacing w:line="260" w:lineRule="exact"/>
                    <w:jc w:val="center"/>
                    <w:rPr>
                      <w:rFonts w:hint="default" w:ascii="Times New Roman" w:hAnsi="Times New Roman" w:eastAsia="宋体" w:cs="Times New Roman"/>
                      <w:b w:val="0"/>
                      <w:bCs/>
                      <w:color w:val="auto"/>
                      <w:kern w:val="0"/>
                      <w:sz w:val="21"/>
                      <w:szCs w:val="21"/>
                      <w:lang w:val="en-US" w:eastAsia="zh-CN" w:bidi="ar-SA"/>
                    </w:rPr>
                  </w:pPr>
                </w:p>
              </w:tc>
              <w:tc>
                <w:tcPr>
                  <w:tcW w:w="672" w:type="dxa"/>
                  <w:noWrap w:val="0"/>
                  <w:vAlign w:val="center"/>
                </w:tcPr>
                <w:p>
                  <w:pPr>
                    <w:spacing w:line="240" w:lineRule="auto"/>
                    <w:ind w:firstLine="0" w:firstLineChars="0"/>
                    <w:jc w:val="center"/>
                    <w:rPr>
                      <w:rFonts w:hint="default" w:ascii="Times New Roman" w:hAnsi="Times New Roman"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noWrap w:val="0"/>
                  <w:vAlign w:val="center"/>
                </w:tcPr>
                <w:p>
                  <w:pPr>
                    <w:pStyle w:val="178"/>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四川省空气质量持续改善行动计划实施方案</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（川府发[2024]15号）</w:t>
                  </w:r>
                </w:p>
              </w:tc>
              <w:tc>
                <w:tcPr>
                  <w:tcW w:w="50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十七）强化VOCs全过程管控。开展低效失效VOCs处理设施排查整治。储罐使用低泄漏的呼吸阀、紧急泄压阀，定期开展密封性检测。汽车罐车推广使用密封式快速接头。污水处理场所高浓度有机废气要单独收集处理；含VOCs有机废水储罐、装置区集水井（池）有机废气要密闭收集处理。推动各市（州）和重点工业园区的泄漏检测与修复管理规范化、信息化。加强非正常工况废气排放管控，企业开停工、检维修期间，及时收集处理退料、清洗、吹扫等作业产生的VOCs废气。企业不得将火炬燃烧装置作为日常大气污染处理设施。 </w:t>
                  </w:r>
                </w:p>
              </w:tc>
              <w:tc>
                <w:tcPr>
                  <w:tcW w:w="1254" w:type="dxa"/>
                  <w:vMerge w:val="continue"/>
                  <w:shd w:val="clear" w:color="auto" w:fill="auto"/>
                  <w:noWrap w:val="0"/>
                  <w:vAlign w:val="center"/>
                </w:tcPr>
                <w:p>
                  <w:pPr>
                    <w:spacing w:line="260" w:lineRule="exact"/>
                    <w:jc w:val="center"/>
                    <w:rPr>
                      <w:rFonts w:hint="default" w:ascii="Times New Roman" w:hAnsi="Times New Roman" w:eastAsia="宋体" w:cs="Times New Roman"/>
                      <w:b w:val="0"/>
                      <w:bCs/>
                      <w:color w:val="auto"/>
                      <w:kern w:val="0"/>
                      <w:sz w:val="21"/>
                      <w:szCs w:val="21"/>
                      <w:lang w:val="en-US" w:eastAsia="zh-CN" w:bidi="ar-SA"/>
                    </w:rPr>
                  </w:pPr>
                </w:p>
              </w:tc>
              <w:tc>
                <w:tcPr>
                  <w:tcW w:w="672" w:type="dxa"/>
                  <w:noWrap w:val="0"/>
                  <w:vAlign w:val="center"/>
                </w:tcPr>
                <w:p>
                  <w:pPr>
                    <w:pStyle w:val="178"/>
                    <w:spacing w:line="240" w:lineRule="auto"/>
                    <w:ind w:firstLine="0" w:firstLineChars="0"/>
                    <w:jc w:val="center"/>
                    <w:rPr>
                      <w:rFonts w:hint="default" w:ascii="Times New Roman" w:hAnsi="Times New Roman"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vMerge w:val="restart"/>
                  <w:noWrap w:val="0"/>
                  <w:vAlign w:val="center"/>
                </w:tcPr>
                <w:p>
                  <w:pPr>
                    <w:pStyle w:val="17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rPr>
                    <w:t>四川省“十四五”生态环境保护规划</w:t>
                  </w:r>
                </w:p>
              </w:tc>
              <w:tc>
                <w:tcPr>
                  <w:tcW w:w="50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 w:val="21"/>
                      <w:szCs w:val="21"/>
                    </w:rPr>
                    <w:t>控制挥发性有机物</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VOCs</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排放。严格控制VOCs排放总量</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新建VOCs项目应实施等量或倍量替代。强化VOCs源头削减</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以工业涂装、家具制造、包装印刷等行业为重点</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大力推进低</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无</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VOCs含量原辅材料替代。严格控制生产和使用高VOCs含量溶剂型涂料、油墨、胶粘剂、清洗剂等建设项目。强化VOCs综合治理</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以石化、化工、工业涂装、包装印刷、电子、纺织印染、制鞋、家具制造、油品储运销等行业为重点</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提升废气收集率、治污设施同步运行率和去除率</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科学合理选择治理工艺</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推进设施设备提标升级改造。强化无组织排放管控</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加大含VOCs物料储存、转移和输送、设备与管线组件泄漏、敞开液面逸散等管控力度</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开展泄漏检测与修复工作。强化企业VOCs排放达标监管</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实施季节性调控。完善挥发性有机物产品标准体系</w:t>
                  </w:r>
                  <w:r>
                    <w:rPr>
                      <w:rFonts w:hint="default" w:ascii="Times New Roman" w:hAnsi="Times New Roman" w:eastAsia="宋体" w:cs="Times New Roman"/>
                      <w:b w:val="0"/>
                      <w:bCs w:val="0"/>
                      <w:i w:val="0"/>
                      <w:iCs w:val="0"/>
                      <w:color w:val="auto"/>
                      <w:sz w:val="21"/>
                      <w:szCs w:val="21"/>
                      <w:lang w:eastAsia="zh-CN"/>
                    </w:rPr>
                    <w:t>，</w:t>
                  </w:r>
                  <w:r>
                    <w:rPr>
                      <w:rFonts w:hint="default" w:ascii="Times New Roman" w:hAnsi="Times New Roman" w:eastAsia="宋体" w:cs="Times New Roman"/>
                      <w:b w:val="0"/>
                      <w:bCs w:val="0"/>
                      <w:i w:val="0"/>
                      <w:iCs w:val="0"/>
                      <w:color w:val="auto"/>
                      <w:sz w:val="21"/>
                      <w:szCs w:val="21"/>
                    </w:rPr>
                    <w:t>建立低挥发性有机物含量产品标识制度。</w:t>
                  </w:r>
                </w:p>
              </w:tc>
              <w:tc>
                <w:tcPr>
                  <w:tcW w:w="1254" w:type="dxa"/>
                  <w:vMerge w:val="continue"/>
                  <w:shd w:val="clear" w:color="auto" w:fill="auto"/>
                  <w:noWrap w:val="0"/>
                  <w:vAlign w:val="center"/>
                </w:tcPr>
                <w:p>
                  <w:pPr>
                    <w:spacing w:line="260" w:lineRule="exact"/>
                    <w:jc w:val="center"/>
                    <w:rPr>
                      <w:rFonts w:hint="default" w:ascii="Times New Roman" w:hAnsi="Times New Roman" w:eastAsia="宋体" w:cs="Times New Roman"/>
                      <w:b w:val="0"/>
                      <w:bCs/>
                      <w:color w:val="auto"/>
                      <w:kern w:val="0"/>
                      <w:sz w:val="21"/>
                      <w:szCs w:val="21"/>
                      <w:lang w:val="en-US" w:eastAsia="zh-CN" w:bidi="ar-SA"/>
                    </w:rPr>
                  </w:pPr>
                </w:p>
              </w:tc>
              <w:tc>
                <w:tcPr>
                  <w:tcW w:w="672" w:type="dxa"/>
                  <w:noWrap w:val="0"/>
                  <w:vAlign w:val="center"/>
                </w:tcPr>
                <w:p>
                  <w:pPr>
                    <w:pStyle w:val="178"/>
                    <w:spacing w:line="240" w:lineRule="auto"/>
                    <w:ind w:firstLine="0" w:firstLineChars="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vMerge w:val="continue"/>
                  <w:noWrap w:val="0"/>
                  <w:vAlign w:val="center"/>
                </w:tcPr>
                <w:p>
                  <w:pPr>
                    <w:pStyle w:val="178"/>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019" w:type="dxa"/>
                  <w:shd w:val="clear" w:color="auto" w:fill="auto"/>
                  <w:noWrap w:val="0"/>
                  <w:vAlign w:val="center"/>
                </w:tcPr>
                <w:p>
                  <w:pPr>
                    <w:keepNext w:val="0"/>
                    <w:keepLines w:val="0"/>
                    <w:pageBreakBefore w:val="0"/>
                    <w:kinsoku/>
                    <w:wordWrap/>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cs="Times New Roman"/>
                      <w:b w:val="0"/>
                      <w:bCs w:val="0"/>
                      <w:color w:val="auto"/>
                      <w:sz w:val="21"/>
                      <w:szCs w:val="21"/>
                    </w:rPr>
                    <w:t>建立固废信息清单。深入推进固体废物申报登记制度</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落实工业企业污染防治的主体责任</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建立并动态更新固体废物重点监管点位清单。开展主要固体废物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危险废物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贮存场所排查</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建立</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一库一档</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。探索开展固体废物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危险废物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二维码</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数字信息登记管理制度。开展危险废物申报登记试点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摸清危险废物产生、转移、贮存、利用和处置情况</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推动建立危险废物</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三个清单</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持续推进危险废物规范化环境管理评估工作。</w:t>
                  </w:r>
                </w:p>
              </w:tc>
              <w:tc>
                <w:tcPr>
                  <w:tcW w:w="1254" w:type="dxa"/>
                  <w:vMerge w:val="continue"/>
                  <w:shd w:val="clear" w:color="auto" w:fill="auto"/>
                  <w:noWrap w:val="0"/>
                  <w:vAlign w:val="center"/>
                </w:tcPr>
                <w:p>
                  <w:pPr>
                    <w:spacing w:line="260" w:lineRule="exact"/>
                    <w:jc w:val="center"/>
                    <w:rPr>
                      <w:rFonts w:hint="default" w:ascii="Times New Roman" w:hAnsi="Times New Roman" w:eastAsia="宋体" w:cs="Times New Roman"/>
                      <w:b w:val="0"/>
                      <w:bCs/>
                      <w:color w:val="auto"/>
                      <w:kern w:val="0"/>
                      <w:sz w:val="21"/>
                      <w:szCs w:val="21"/>
                      <w:lang w:val="en-US" w:eastAsia="zh-CN" w:bidi="ar-SA"/>
                    </w:rPr>
                  </w:pPr>
                </w:p>
              </w:tc>
              <w:tc>
                <w:tcPr>
                  <w:tcW w:w="672" w:type="dxa"/>
                  <w:noWrap w:val="0"/>
                  <w:vAlign w:val="center"/>
                </w:tcPr>
                <w:p>
                  <w:pPr>
                    <w:pStyle w:val="178"/>
                    <w:spacing w:line="240" w:lineRule="auto"/>
                    <w:ind w:firstLine="0" w:firstLineChars="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86" w:type="dxa"/>
                  <w:shd w:val="clear" w:color="auto" w:fill="auto"/>
                  <w:noWrap w:val="0"/>
                  <w:vAlign w:val="center"/>
                </w:tcPr>
                <w:p>
                  <w:pPr>
                    <w:pStyle w:val="178"/>
                    <w:keepNext w:val="0"/>
                    <w:keepLines w:val="0"/>
                    <w:pageBreakBefore w:val="0"/>
                    <w:kinsoku/>
                    <w:wordWrap/>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遂宁市“十四五”生态环境保护规划</w:t>
                  </w:r>
                </w:p>
              </w:tc>
              <w:tc>
                <w:tcPr>
                  <w:tcW w:w="50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（三）持续推进涉气污染源治理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大力推进重点行业VOCs治理。严格新增VOCs排放建设项目环境准入，更新、优化VOCs和NOx排放清单，制定NOx与VOCs协同减排计划，建立VOCs治理台账，加快推进整改。突出抓好化工、涂装、包装印刷、油品储运销等行业（领域）关键环节VOCs治理突出问题排查整治，推进建设高效治污设施，深入推行“一厂一策”，提高VOCs治理效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加强交通移动源污染防治。深入实施清洁柴油车（机）行动，加快淘汰报废老旧车辆。严格执行油品质量标准，加强机动车排污监控平台建设。综合运用现场抽检和遥感监测等手段强化机动车排气路检，加大机动车集中停放地、维修地的尾气排放监督抽检力度。持续推进油气回收治理，定期开展加油站、储油库和油罐车油气回收治理设施运行维护情况监督检查。加快老旧非道路移动机械更新淘汰，具备条件的实施治理改造。</w:t>
                  </w:r>
                </w:p>
              </w:tc>
              <w:tc>
                <w:tcPr>
                  <w:tcW w:w="1254" w:type="dxa"/>
                  <w:vMerge w:val="continue"/>
                  <w:shd w:val="clear" w:color="auto" w:fill="auto"/>
                  <w:noWrap w:val="0"/>
                  <w:vAlign w:val="center"/>
                </w:tcPr>
                <w:p>
                  <w:pPr>
                    <w:spacing w:line="260" w:lineRule="exact"/>
                    <w:jc w:val="center"/>
                    <w:rPr>
                      <w:rFonts w:hint="default" w:ascii="Times New Roman" w:hAnsi="Times New Roman" w:eastAsia="宋体" w:cs="Times New Roman"/>
                      <w:b w:val="0"/>
                      <w:bCs/>
                      <w:color w:val="auto"/>
                      <w:kern w:val="0"/>
                      <w:sz w:val="21"/>
                      <w:szCs w:val="21"/>
                      <w:lang w:val="en-US" w:eastAsia="zh-CN" w:bidi="ar-SA"/>
                    </w:rPr>
                  </w:pPr>
                </w:p>
              </w:tc>
              <w:tc>
                <w:tcPr>
                  <w:tcW w:w="672" w:type="dxa"/>
                  <w:noWrap w:val="0"/>
                  <w:vAlign w:val="center"/>
                </w:tcPr>
                <w:p>
                  <w:pPr>
                    <w:pStyle w:val="178"/>
                    <w:spacing w:line="240" w:lineRule="auto"/>
                    <w:ind w:firstLine="0" w:firstLineChars="0"/>
                    <w:jc w:val="center"/>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符合</w:t>
                  </w:r>
                </w:p>
              </w:tc>
            </w:tr>
          </w:tbl>
          <w:p>
            <w:pPr>
              <w:pStyle w:val="178"/>
              <w:spacing w:before="120" w:beforeLines="5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因此，本项</w:t>
            </w:r>
            <w:r>
              <w:rPr>
                <w:rFonts w:hint="default" w:ascii="Times New Roman" w:hAnsi="Times New Roman" w:eastAsia="宋体" w:cs="Times New Roman"/>
                <w:color w:val="auto"/>
                <w:szCs w:val="24"/>
                <w:highlight w:val="none"/>
              </w:rPr>
              <w:t>目符合大气污染防治相关政策</w:t>
            </w:r>
            <w:r>
              <w:rPr>
                <w:rFonts w:hint="default" w:ascii="Times New Roman" w:hAnsi="Times New Roman" w:cs="Times New Roman"/>
                <w:color w:val="auto"/>
                <w:szCs w:val="24"/>
                <w:highlight w:val="none"/>
              </w:rPr>
              <w:t>要求。</w:t>
            </w:r>
          </w:p>
          <w:p>
            <w:pPr>
              <w:autoSpaceDE w:val="0"/>
              <w:autoSpaceDN w:val="0"/>
              <w:adjustRightInd w:val="0"/>
              <w:snapToGrid w:val="0"/>
              <w:spacing w:line="360" w:lineRule="auto"/>
              <w:jc w:val="left"/>
              <w:rPr>
                <w:rFonts w:hint="default" w:ascii="Times New Roman" w:hAnsi="Times New Roman" w:cs="Times New Roman"/>
                <w:b/>
                <w:color w:val="auto"/>
                <w:sz w:val="24"/>
              </w:rPr>
            </w:pPr>
            <w:r>
              <w:rPr>
                <w:rFonts w:hint="eastAsia" w:cs="Times New Roman"/>
                <w:b/>
                <w:color w:val="auto"/>
                <w:sz w:val="24"/>
                <w:lang w:eastAsia="zh-CN"/>
              </w:rPr>
              <w:t>六</w:t>
            </w:r>
            <w:r>
              <w:rPr>
                <w:rFonts w:hint="default" w:ascii="Times New Roman" w:hAnsi="Times New Roman" w:cs="Times New Roman"/>
                <w:b/>
                <w:color w:val="auto"/>
                <w:sz w:val="24"/>
              </w:rPr>
              <w:t>、项目选址合理性分析</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eastAsia="zh-CN"/>
              </w:rPr>
            </w:pPr>
            <w:r>
              <w:rPr>
                <w:rFonts w:hint="eastAsia" w:cs="Times New Roman"/>
                <w:b/>
                <w:bCs/>
                <w:color w:val="auto"/>
                <w:kern w:val="0"/>
                <w:sz w:val="24"/>
                <w:lang w:val="en-US" w:eastAsia="zh-CN"/>
              </w:rPr>
              <w:t>1、</w:t>
            </w:r>
            <w:r>
              <w:rPr>
                <w:rFonts w:hint="default" w:ascii="Times New Roman" w:hAnsi="Times New Roman" w:cs="Times New Roman"/>
                <w:b/>
                <w:bCs/>
                <w:color w:val="auto"/>
                <w:kern w:val="0"/>
                <w:sz w:val="24"/>
              </w:rPr>
              <w:t>外环境关系</w:t>
            </w:r>
          </w:p>
          <w:p>
            <w:pPr>
              <w:autoSpaceDE w:val="0"/>
              <w:autoSpaceDN w:val="0"/>
              <w:adjustRightInd w:val="0"/>
              <w:snapToGrid w:val="0"/>
              <w:spacing w:line="360" w:lineRule="auto"/>
              <w:ind w:firstLine="480" w:firstLineChars="200"/>
              <w:jc w:val="both"/>
              <w:rPr>
                <w:rFonts w:hint="default" w:ascii="Times New Roman" w:hAnsi="Times New Roman" w:cs="Times New Roman"/>
                <w:color w:val="auto"/>
                <w:kern w:val="0"/>
                <w:sz w:val="24"/>
              </w:rPr>
            </w:pPr>
            <w:r>
              <w:rPr>
                <w:rFonts w:hint="default" w:ascii="Times New Roman" w:hAnsi="Times New Roman" w:cs="Times New Roman"/>
                <w:color w:val="auto"/>
                <w:sz w:val="24"/>
              </w:rPr>
              <w:t>本项目位于遂宁市蓬溪县上游工业园西华拓展区，在已建厂房内进行设备安装。项目周边主要分布有同类型家具制造企业、电缆厂、材料企业等。</w:t>
            </w:r>
          </w:p>
          <w:p>
            <w:pPr>
              <w:autoSpaceDE w:val="0"/>
              <w:autoSpaceDN w:val="0"/>
              <w:adjustRightInd w:val="0"/>
              <w:snapToGrid w:val="0"/>
              <w:spacing w:line="360" w:lineRule="auto"/>
              <w:ind w:firstLine="480" w:firstLineChars="200"/>
              <w:jc w:val="both"/>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r>
              <w:rPr>
                <w:rFonts w:hint="default" w:ascii="Times New Roman" w:hAnsi="Times New Roman" w:cs="Times New Roman"/>
                <w:color w:val="auto"/>
                <w:kern w:val="0"/>
                <w:sz w:val="24"/>
                <w:lang w:eastAsia="zh-CN"/>
              </w:rPr>
              <w:t>周边</w:t>
            </w:r>
            <w:r>
              <w:rPr>
                <w:rFonts w:hint="eastAsia" w:cs="Times New Roman"/>
                <w:color w:val="auto"/>
                <w:kern w:val="0"/>
                <w:sz w:val="24"/>
                <w:lang w:eastAsia="zh-CN"/>
              </w:rPr>
              <w:t>外环境</w:t>
            </w:r>
            <w:r>
              <w:rPr>
                <w:rFonts w:hint="default" w:ascii="Times New Roman" w:hAnsi="Times New Roman" w:cs="Times New Roman"/>
                <w:color w:val="auto"/>
                <w:kern w:val="0"/>
                <w:sz w:val="24"/>
              </w:rPr>
              <w:t>概况见下表。</w:t>
            </w:r>
          </w:p>
          <w:p>
            <w:pPr>
              <w:jc w:val="center"/>
              <w:rPr>
                <w:rFonts w:hint="default" w:ascii="Times New Roman" w:hAnsi="Times New Roman" w:cs="Times New Roman"/>
                <w:b/>
                <w:bCs/>
                <w:color w:val="auto"/>
                <w:szCs w:val="21"/>
              </w:rPr>
            </w:pP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cs="Times New Roman"/>
                <w:b/>
                <w:bCs/>
                <w:color w:val="auto"/>
                <w:szCs w:val="21"/>
                <w:lang w:val="en-US" w:eastAsia="zh-CN"/>
              </w:rPr>
              <w:t>13</w:t>
            </w:r>
            <w:r>
              <w:rPr>
                <w:rFonts w:hint="default" w:ascii="Times New Roman" w:hAnsi="Times New Roman" w:cs="Times New Roman"/>
                <w:b/>
                <w:bCs/>
                <w:color w:val="auto"/>
                <w:szCs w:val="21"/>
              </w:rPr>
              <w:t xml:space="preserve">  项</w:t>
            </w:r>
            <w:r>
              <w:rPr>
                <w:rFonts w:hint="default" w:ascii="Times New Roman" w:hAnsi="Times New Roman" w:eastAsia="宋体" w:cs="Times New Roman"/>
                <w:b/>
                <w:bCs/>
                <w:color w:val="auto"/>
                <w:szCs w:val="21"/>
              </w:rPr>
              <w:t>目</w:t>
            </w:r>
            <w:r>
              <w:rPr>
                <w:rFonts w:hint="eastAsia" w:cs="Times New Roman"/>
                <w:b/>
                <w:bCs/>
                <w:color w:val="auto"/>
                <w:szCs w:val="21"/>
                <w:lang w:eastAsia="zh-CN"/>
              </w:rPr>
              <w:t>外环境概况</w:t>
            </w:r>
            <w:r>
              <w:rPr>
                <w:rFonts w:hint="default" w:ascii="Times New Roman" w:hAnsi="Times New Roman" w:cs="Times New Roman"/>
                <w:b/>
                <w:bCs/>
                <w:color w:val="auto"/>
                <w:szCs w:val="21"/>
              </w:rPr>
              <w:t>一览表</w:t>
            </w:r>
          </w:p>
          <w:tbl>
            <w:tblPr>
              <w:tblStyle w:val="39"/>
              <w:tblW w:w="81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3"/>
              <w:gridCol w:w="2567"/>
              <w:gridCol w:w="771"/>
              <w:gridCol w:w="781"/>
              <w:gridCol w:w="1023"/>
              <w:gridCol w:w="2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3120" w:type="dxa"/>
                  <w:gridSpan w:val="2"/>
                  <w:tcBorders>
                    <w:tl2br w:val="nil"/>
                    <w:tr2bl w:val="nil"/>
                  </w:tcBorders>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sz w:val="21"/>
                      <w:szCs w:val="21"/>
                      <w:highlight w:val="none"/>
                    </w:rPr>
                    <w:t>名称</w:t>
                  </w:r>
                </w:p>
              </w:tc>
              <w:tc>
                <w:tcPr>
                  <w:tcW w:w="771" w:type="dxa"/>
                  <w:tcBorders>
                    <w:tl2br w:val="nil"/>
                    <w:tr2bl w:val="nil"/>
                  </w:tcBorders>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位置</w:t>
                  </w:r>
                </w:p>
              </w:tc>
              <w:tc>
                <w:tcPr>
                  <w:tcW w:w="781" w:type="dxa"/>
                  <w:tcBorders>
                    <w:tl2br w:val="nil"/>
                    <w:tr2bl w:val="nil"/>
                  </w:tcBorders>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距离</w:t>
                  </w:r>
                </w:p>
              </w:tc>
              <w:tc>
                <w:tcPr>
                  <w:tcW w:w="1023" w:type="dxa"/>
                  <w:tcBorders>
                    <w:tl2br w:val="nil"/>
                    <w:tr2bl w:val="nil"/>
                  </w:tcBorders>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性质</w:t>
                  </w:r>
                </w:p>
              </w:tc>
              <w:tc>
                <w:tcPr>
                  <w:tcW w:w="2436" w:type="dxa"/>
                  <w:tcBorders>
                    <w:tl2br w:val="nil"/>
                    <w:tr2bl w:val="nil"/>
                  </w:tcBorders>
                  <w:noWrap w:val="0"/>
                  <w:vAlign w:val="center"/>
                </w:tcPr>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厂区内</w:t>
                  </w: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四川欧尚家美有限公司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北侧</w:t>
                  </w:r>
                </w:p>
              </w:tc>
              <w:tc>
                <w:tcPr>
                  <w:tcW w:w="781"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紧邻</w:t>
                  </w:r>
                </w:p>
              </w:tc>
              <w:tc>
                <w:tcPr>
                  <w:tcW w:w="1023"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门窗制造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遂宁国中塑料科技有限公司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紧邻</w:t>
                  </w:r>
                </w:p>
              </w:tc>
              <w:tc>
                <w:tcPr>
                  <w:tcW w:w="1023"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废旧塑料回收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厂区外</w:t>
                  </w: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四川林皓木业有限公司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183m</w:t>
                  </w:r>
                </w:p>
              </w:tc>
              <w:tc>
                <w:tcPr>
                  <w:tcW w:w="1023"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门窗制造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kern w:val="2"/>
                      <w:sz w:val="21"/>
                      <w:szCs w:val="21"/>
                      <w:highlight w:val="none"/>
                      <w:lang w:val="en-US" w:eastAsia="zh-CN" w:bidi="ar-SA"/>
                    </w:rPr>
                    <w:t>遂宁市欧南科技有限公司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东北侧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217m</w:t>
                  </w:r>
                </w:p>
              </w:tc>
              <w:tc>
                <w:tcPr>
                  <w:tcW w:w="1023"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塑料制品制造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四川芝溪酒业有限公司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东</w:t>
                  </w:r>
                  <w:r>
                    <w:rPr>
                      <w:rFonts w:hint="default" w:ascii="Times New Roman" w:hAnsi="Times New Roman" w:cs="Times New Roman"/>
                      <w:color w:val="auto"/>
                      <w:sz w:val="21"/>
                      <w:szCs w:val="21"/>
                      <w:highlight w:val="none"/>
                    </w:rPr>
                    <w:t>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374m</w:t>
                  </w:r>
                </w:p>
              </w:tc>
              <w:tc>
                <w:tcPr>
                  <w:tcW w:w="1023"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酒、食品生产加工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四川蓬溪汇通药业有限公司</w:t>
                  </w:r>
                </w:p>
              </w:tc>
              <w:tc>
                <w:tcPr>
                  <w:tcW w:w="77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东</w:t>
                  </w:r>
                  <w:r>
                    <w:rPr>
                      <w:rFonts w:hint="default" w:ascii="Times New Roman" w:hAnsi="Times New Roman" w:cs="Times New Roman"/>
                      <w:color w:val="auto"/>
                      <w:sz w:val="21"/>
                      <w:szCs w:val="21"/>
                      <w:highlight w:val="none"/>
                    </w:rPr>
                    <w:t>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153m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保健品加工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四川聚泰材料有限公司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涂料</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四川汇欣玻璃制品有限公司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玻璃制品制造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吉林省川隆塑胶制品有限公司蓬溪分公司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207m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塑料制品制造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遂宁蜀禄福再生资源有限公司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184m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塑料加工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宏飞机动车检测站</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210m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机动车检测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四川王力安防产品有限公司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343m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家具门窗制造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遂宁永栋商贸有限公司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东侧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487m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四川梦垌源木业有限公司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家具制造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蓬盛门业有限责任公司</w:t>
                  </w:r>
                </w:p>
              </w:tc>
              <w:tc>
                <w:tcPr>
                  <w:tcW w:w="771" w:type="dxa"/>
                  <w:tcBorders>
                    <w:tl2br w:val="nil"/>
                    <w:tr2bl w:val="nil"/>
                  </w:tcBorders>
                  <w:noWrap w:val="0"/>
                  <w:vAlign w:val="center"/>
                </w:tcPr>
                <w:p>
                  <w:pPr>
                    <w:spacing w:beforeLines="0" w:afterLines="0" w:line="240" w:lineRule="auto"/>
                    <w:ind w:lef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pStyle w:val="98"/>
                    <w:spacing w:beforeLines="0" w:afterLines="0"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门窗制造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蓬溪金利电子有限公司</w:t>
                  </w:r>
                </w:p>
              </w:tc>
              <w:tc>
                <w:tcPr>
                  <w:tcW w:w="771" w:type="dxa"/>
                  <w:tcBorders>
                    <w:tl2br w:val="nil"/>
                    <w:tr2bl w:val="nil"/>
                  </w:tcBorders>
                  <w:noWrap w:val="0"/>
                  <w:vAlign w:val="center"/>
                </w:tcPr>
                <w:p>
                  <w:pPr>
                    <w:spacing w:beforeLines="0" w:afterLines="0" w:line="240" w:lineRule="auto"/>
                    <w:ind w:lef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360m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aps w:val="0"/>
                      <w:color w:val="auto"/>
                      <w:spacing w:val="0"/>
                      <w:sz w:val="21"/>
                      <w:szCs w:val="21"/>
                      <w:highlight w:val="none"/>
                    </w:rPr>
                    <w:t>电子产品及元器件生产销售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蓬溪县吉星贡食品有限责任公司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468m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农副食品加工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四川爱科新材料股份有限公司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装饰材料制造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四川省蓬溪县建兴青花椒开发有限公司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东南侧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430m</w:t>
                  </w:r>
                </w:p>
              </w:tc>
              <w:tc>
                <w:tcPr>
                  <w:tcW w:w="102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青花椒产品加工生产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四川省川胜电缆有限公司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电缆</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遂宁佰斯特包装材料有限公司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596m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包装材料制造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四川省川中线缆有限公司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178m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电缆</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西华安置小区</w:t>
                  </w:r>
                </w:p>
              </w:tc>
              <w:tc>
                <w:tcPr>
                  <w:tcW w:w="77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西南侧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35</w:t>
                  </w:r>
                  <w:r>
                    <w:rPr>
                      <w:rFonts w:hint="default" w:ascii="Times New Roman" w:hAnsi="Times New Roman" w:cs="Times New Roman"/>
                      <w:b w:val="0"/>
                      <w:bCs/>
                      <w:color w:val="auto"/>
                      <w:sz w:val="21"/>
                      <w:szCs w:val="21"/>
                      <w:highlight w:val="none"/>
                      <w:lang w:val="en-US" w:eastAsia="zh-CN"/>
                    </w:rPr>
                    <w:t>0m</w:t>
                  </w:r>
                </w:p>
              </w:tc>
              <w:tc>
                <w:tcPr>
                  <w:tcW w:w="1023"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eastAsia="zh-CN"/>
                    </w:rPr>
                    <w:t>居民</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eastAsia="zh-CN"/>
                    </w:rPr>
                    <w:t>约</w:t>
                  </w:r>
                  <w:r>
                    <w:rPr>
                      <w:rFonts w:hint="default" w:ascii="Times New Roman" w:hAnsi="Times New Roman" w:cs="Times New Roman"/>
                      <w:b w:val="0"/>
                      <w:bCs/>
                      <w:color w:val="auto"/>
                      <w:sz w:val="21"/>
                      <w:szCs w:val="21"/>
                      <w:highlight w:val="none"/>
                      <w:lang w:val="en-US" w:eastAsia="zh-CN"/>
                    </w:rPr>
                    <w:t>600人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四川万象壹品门业有限公司</w:t>
                  </w:r>
                </w:p>
              </w:tc>
              <w:tc>
                <w:tcPr>
                  <w:tcW w:w="771"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西侧</w:t>
                  </w:r>
                </w:p>
              </w:tc>
              <w:tc>
                <w:tcPr>
                  <w:tcW w:w="781" w:type="dxa"/>
                  <w:tcBorders>
                    <w:tl2br w:val="nil"/>
                    <w:tr2bl w:val="nil"/>
                  </w:tcBorders>
                  <w:noWrap w:val="0"/>
                  <w:vAlign w:val="center"/>
                </w:tcPr>
                <w:p>
                  <w:pPr>
                    <w:pStyle w:val="98"/>
                    <w:spacing w:beforeLines="0" w:afterLines="0" w:line="240" w:lineRule="auto"/>
                    <w:ind w:left="0" w:lef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紧邻</w:t>
                  </w:r>
                </w:p>
              </w:tc>
              <w:tc>
                <w:tcPr>
                  <w:tcW w:w="1023"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家具</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lang w:val="en-US" w:eastAsia="zh-CN"/>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蓬溪鑫和家居产业</w:t>
                  </w:r>
                  <w:r>
                    <w:rPr>
                      <w:rFonts w:hint="default" w:ascii="Times New Roman" w:hAnsi="Times New Roman" w:eastAsia="宋体" w:cs="Times New Roman"/>
                      <w:bCs/>
                      <w:color w:val="auto"/>
                      <w:sz w:val="21"/>
                      <w:szCs w:val="21"/>
                      <w:highlight w:val="none"/>
                      <w:lang w:eastAsia="zh-CN"/>
                    </w:rPr>
                    <w:t>园</w:t>
                  </w:r>
                </w:p>
              </w:tc>
              <w:tc>
                <w:tcPr>
                  <w:tcW w:w="77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西侧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209m</w:t>
                  </w:r>
                </w:p>
              </w:tc>
              <w:tc>
                <w:tcPr>
                  <w:tcW w:w="102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产业园</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引入</w:t>
                  </w:r>
                  <w:r>
                    <w:rPr>
                      <w:rFonts w:hint="default" w:ascii="Times New Roman" w:hAnsi="Times New Roman" w:cs="Times New Roman"/>
                      <w:color w:val="auto"/>
                      <w:sz w:val="21"/>
                      <w:szCs w:val="21"/>
                      <w:highlight w:val="none"/>
                    </w:rPr>
                    <w:t>门窗</w:t>
                  </w:r>
                  <w:r>
                    <w:rPr>
                      <w:rFonts w:hint="default" w:ascii="Times New Roman" w:hAnsi="Times New Roman" w:cs="Times New Roman"/>
                      <w:color w:val="auto"/>
                      <w:sz w:val="21"/>
                      <w:szCs w:val="21"/>
                      <w:highlight w:val="none"/>
                      <w:lang w:eastAsia="zh-CN"/>
                    </w:rPr>
                    <w:t>家具</w:t>
                  </w:r>
                  <w:r>
                    <w:rPr>
                      <w:rFonts w:hint="default" w:ascii="Times New Roman" w:hAnsi="Times New Roman" w:cs="Times New Roman"/>
                      <w:color w:val="auto"/>
                      <w:sz w:val="21"/>
                      <w:szCs w:val="21"/>
                      <w:highlight w:val="none"/>
                    </w:rPr>
                    <w:t>制造</w:t>
                  </w:r>
                  <w:r>
                    <w:rPr>
                      <w:rFonts w:hint="default" w:ascii="Times New Roman" w:hAnsi="Times New Roman" w:cs="Times New Roman"/>
                      <w:color w:val="auto"/>
                      <w:sz w:val="21"/>
                      <w:szCs w:val="21"/>
                      <w:highlight w:val="none"/>
                      <w:lang w:eastAsia="zh-CN"/>
                    </w:rPr>
                    <w:t>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lang w:val="en-US" w:eastAsia="zh-CN"/>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蓬溪欧范家具有限公司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西北侧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家具制造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四川龙尚木业有限公司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西北侧</w:t>
                  </w:r>
                </w:p>
              </w:tc>
              <w:tc>
                <w:tcPr>
                  <w:tcW w:w="781"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215m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门窗制造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四川浙川电缆有限公司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西北侧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319m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电缆</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四川兴川电缆有限公司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西北侧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381m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电缆</w:t>
                  </w:r>
                  <w:r>
                    <w:rPr>
                      <w:rFonts w:hint="default" w:ascii="Times New Roman" w:hAnsi="Times New Roman" w:cs="Times New Roman"/>
                      <w:color w:val="auto"/>
                      <w:sz w:val="21"/>
                      <w:szCs w:val="21"/>
                      <w:highlight w:val="none"/>
                    </w:rPr>
                    <w:t>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55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yellow"/>
                    </w:rPr>
                  </w:pPr>
                </w:p>
              </w:tc>
              <w:tc>
                <w:tcPr>
                  <w:tcW w:w="256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欧能电缆有限公司</w:t>
                  </w:r>
                </w:p>
              </w:tc>
              <w:tc>
                <w:tcPr>
                  <w:tcW w:w="77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西北侧</w:t>
                  </w:r>
                </w:p>
              </w:tc>
              <w:tc>
                <w:tcPr>
                  <w:tcW w:w="78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465m</w:t>
                  </w:r>
                </w:p>
              </w:tc>
              <w:tc>
                <w:tcPr>
                  <w:tcW w:w="102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w:t>
                  </w:r>
                </w:p>
              </w:tc>
              <w:tc>
                <w:tcPr>
                  <w:tcW w:w="243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电缆</w:t>
                  </w:r>
                  <w:r>
                    <w:rPr>
                      <w:rFonts w:hint="default" w:ascii="Times New Roman" w:hAnsi="Times New Roman" w:cs="Times New Roman"/>
                      <w:color w:val="auto"/>
                      <w:sz w:val="21"/>
                      <w:szCs w:val="21"/>
                      <w:highlight w:val="none"/>
                    </w:rPr>
                    <w:t>制造</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left"/>
              <w:textAlignment w:val="auto"/>
              <w:rPr>
                <w:rFonts w:hint="default" w:ascii="Times New Roman" w:hAnsi="Times New Roman" w:cs="Times New Roman"/>
                <w:b/>
                <w:bCs/>
                <w:color w:val="auto"/>
                <w:kern w:val="0"/>
                <w:sz w:val="24"/>
              </w:rPr>
            </w:pPr>
            <w:r>
              <w:rPr>
                <w:rFonts w:hint="eastAsia" w:cs="Times New Roman"/>
                <w:b/>
                <w:bCs/>
                <w:color w:val="auto"/>
                <w:kern w:val="0"/>
                <w:sz w:val="24"/>
                <w:lang w:val="en-US" w:eastAsia="zh-CN"/>
              </w:rPr>
              <w:t>2、</w:t>
            </w:r>
            <w:r>
              <w:rPr>
                <w:rFonts w:hint="default" w:ascii="Times New Roman" w:hAnsi="Times New Roman" w:cs="Times New Roman"/>
                <w:b/>
                <w:bCs/>
                <w:color w:val="auto"/>
                <w:kern w:val="0"/>
                <w:sz w:val="24"/>
              </w:rPr>
              <w:t>与外环境的相容性分析</w:t>
            </w:r>
          </w:p>
          <w:p>
            <w:pPr>
              <w:spacing w:line="360" w:lineRule="auto"/>
              <w:ind w:firstLine="482" w:firstLineChars="200"/>
              <w:outlineLvl w:val="1"/>
              <w:rPr>
                <w:rFonts w:hint="default" w:ascii="Times New Roman" w:hAnsi="Times New Roman" w:cs="Times New Roman"/>
                <w:b/>
                <w:bCs/>
                <w:color w:val="auto"/>
                <w:sz w:val="24"/>
                <w:szCs w:val="32"/>
                <w:highlight w:val="none"/>
                <w:lang w:bidi="ar"/>
              </w:rPr>
            </w:pPr>
            <w:r>
              <w:rPr>
                <w:rFonts w:hint="eastAsia" w:cs="Times New Roman"/>
                <w:b/>
                <w:bCs/>
                <w:color w:val="auto"/>
                <w:sz w:val="24"/>
                <w:szCs w:val="32"/>
                <w:highlight w:val="none"/>
                <w:lang w:eastAsia="zh-CN" w:bidi="ar"/>
              </w:rPr>
              <w:t>（</w:t>
            </w:r>
            <w:r>
              <w:rPr>
                <w:rFonts w:hint="eastAsia" w:cs="Times New Roman"/>
                <w:b/>
                <w:bCs/>
                <w:color w:val="auto"/>
                <w:sz w:val="24"/>
                <w:szCs w:val="32"/>
                <w:highlight w:val="none"/>
                <w:lang w:val="en-US" w:eastAsia="zh-CN" w:bidi="ar"/>
              </w:rPr>
              <w:t>1</w:t>
            </w:r>
            <w:r>
              <w:rPr>
                <w:rFonts w:hint="eastAsia" w:cs="Times New Roman"/>
                <w:b/>
                <w:bCs/>
                <w:color w:val="auto"/>
                <w:sz w:val="24"/>
                <w:szCs w:val="32"/>
                <w:highlight w:val="none"/>
                <w:lang w:eastAsia="zh-CN" w:bidi="ar"/>
              </w:rPr>
              <w:t>）</w:t>
            </w:r>
            <w:r>
              <w:rPr>
                <w:rFonts w:hint="default" w:ascii="Times New Roman" w:hAnsi="Times New Roman" w:cs="Times New Roman"/>
                <w:b/>
                <w:bCs/>
                <w:color w:val="auto"/>
                <w:sz w:val="24"/>
                <w:szCs w:val="32"/>
                <w:highlight w:val="none"/>
                <w:lang w:bidi="ar"/>
              </w:rPr>
              <w:t>外环境对本项目的影响</w:t>
            </w:r>
          </w:p>
          <w:p>
            <w:pPr>
              <w:spacing w:line="360" w:lineRule="auto"/>
              <w:ind w:firstLine="480" w:firstLineChars="200"/>
              <w:outlineLvl w:val="1"/>
              <w:rPr>
                <w:rFonts w:hint="default" w:ascii="Times New Roman" w:hAnsi="Times New Roman" w:cs="Times New Roman"/>
                <w:bCs/>
                <w:color w:val="auto"/>
                <w:sz w:val="24"/>
                <w:szCs w:val="32"/>
                <w:highlight w:val="none"/>
                <w:lang w:bidi="ar"/>
              </w:rPr>
            </w:pPr>
            <w:r>
              <w:rPr>
                <w:rFonts w:hint="default" w:ascii="Times New Roman" w:hAnsi="Times New Roman" w:cs="Times New Roman"/>
                <w:color w:val="auto"/>
                <w:sz w:val="24"/>
                <w:szCs w:val="32"/>
                <w:highlight w:val="none"/>
                <w:lang w:bidi="ar"/>
              </w:rPr>
              <w:t>本项目位于蓬溪县</w:t>
            </w:r>
            <w:r>
              <w:rPr>
                <w:rFonts w:hint="default" w:ascii="Times New Roman" w:hAnsi="Times New Roman" w:cs="Times New Roman"/>
                <w:color w:val="auto"/>
                <w:sz w:val="24"/>
                <w:szCs w:val="32"/>
                <w:highlight w:val="none"/>
                <w:lang w:eastAsia="zh-CN" w:bidi="ar"/>
              </w:rPr>
              <w:t>经开区上游片区</w:t>
            </w:r>
            <w:r>
              <w:rPr>
                <w:rFonts w:hint="default" w:ascii="Times New Roman" w:hAnsi="Times New Roman" w:cs="Times New Roman"/>
                <w:color w:val="auto"/>
                <w:sz w:val="24"/>
                <w:szCs w:val="32"/>
                <w:highlight w:val="none"/>
                <w:lang w:bidi="ar"/>
              </w:rPr>
              <w:t>，</w:t>
            </w:r>
            <w:r>
              <w:rPr>
                <w:rFonts w:hint="default" w:ascii="Times New Roman" w:hAnsi="Times New Roman" w:cs="Times New Roman"/>
                <w:color w:val="auto"/>
                <w:sz w:val="24"/>
                <w:szCs w:val="32"/>
                <w:highlight w:val="none"/>
                <w:lang w:eastAsia="zh-CN" w:bidi="ar"/>
              </w:rPr>
              <w:t>主要进行人造板生产</w:t>
            </w:r>
            <w:r>
              <w:rPr>
                <w:rFonts w:hint="default" w:ascii="Times New Roman" w:hAnsi="Times New Roman" w:cs="Times New Roman"/>
                <w:color w:val="auto"/>
                <w:sz w:val="24"/>
                <w:szCs w:val="32"/>
                <w:highlight w:val="none"/>
                <w:lang w:bidi="ar"/>
              </w:rPr>
              <w:t>，对周边环境无特殊要求，外环境</w:t>
            </w:r>
            <w:r>
              <w:rPr>
                <w:rFonts w:hint="default" w:ascii="Times New Roman" w:hAnsi="Times New Roman" w:cs="Times New Roman"/>
                <w:bCs/>
                <w:color w:val="auto"/>
                <w:sz w:val="24"/>
                <w:szCs w:val="32"/>
                <w:highlight w:val="none"/>
                <w:lang w:bidi="ar"/>
              </w:rPr>
              <w:t>与本项目相容。</w:t>
            </w:r>
          </w:p>
          <w:p>
            <w:pPr>
              <w:spacing w:line="360" w:lineRule="auto"/>
              <w:ind w:firstLine="482" w:firstLineChars="200"/>
              <w:outlineLvl w:val="1"/>
              <w:rPr>
                <w:rFonts w:hint="default" w:ascii="Times New Roman" w:hAnsi="Times New Roman" w:cs="Times New Roman"/>
                <w:color w:val="auto"/>
                <w:sz w:val="24"/>
                <w:szCs w:val="32"/>
                <w:lang w:bidi="ar"/>
              </w:rPr>
            </w:pPr>
            <w:r>
              <w:rPr>
                <w:rFonts w:hint="eastAsia" w:cs="Times New Roman"/>
                <w:b/>
                <w:bCs/>
                <w:color w:val="auto"/>
                <w:kern w:val="0"/>
                <w:sz w:val="24"/>
                <w:lang w:eastAsia="zh-CN"/>
              </w:rPr>
              <w:t>（</w:t>
            </w:r>
            <w:r>
              <w:rPr>
                <w:rFonts w:hint="eastAsia" w:cs="Times New Roman"/>
                <w:b/>
                <w:bCs/>
                <w:color w:val="auto"/>
                <w:kern w:val="0"/>
                <w:sz w:val="24"/>
                <w:lang w:val="en-US" w:eastAsia="zh-CN"/>
              </w:rPr>
              <w:t>2</w:t>
            </w:r>
            <w:r>
              <w:rPr>
                <w:rFonts w:hint="eastAsia" w:cs="Times New Roman"/>
                <w:b/>
                <w:bCs/>
                <w:color w:val="auto"/>
                <w:kern w:val="0"/>
                <w:sz w:val="24"/>
                <w:lang w:eastAsia="zh-CN"/>
              </w:rPr>
              <w:t>）</w:t>
            </w:r>
            <w:r>
              <w:rPr>
                <w:rFonts w:hint="default" w:ascii="Times New Roman" w:hAnsi="Times New Roman" w:cs="Times New Roman"/>
                <w:b/>
                <w:bCs/>
                <w:color w:val="auto"/>
                <w:spacing w:val="-1"/>
                <w:sz w:val="24"/>
                <w:szCs w:val="32"/>
                <w:lang w:bidi="ar"/>
              </w:rPr>
              <w:t>本项目对外环境的影响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szCs w:val="32"/>
                <w:highlight w:val="none"/>
                <w:lang w:bidi="ar"/>
              </w:rPr>
              <w:t>本</w:t>
            </w:r>
            <w:r>
              <w:rPr>
                <w:rFonts w:hint="default" w:ascii="Times New Roman" w:hAnsi="Times New Roman" w:cs="Times New Roman"/>
                <w:color w:val="auto"/>
                <w:sz w:val="24"/>
                <w:highlight w:val="none"/>
              </w:rPr>
              <w:t>项目新增粉碎机负压抽风引至已建旋风除尘器+脉冲式布袋除尘器处理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风选机，风选废气负压抽风经旋风除尘器+脉冲布袋除尘器处理后由1根15m排气筒排放</w:t>
            </w:r>
            <w:r>
              <w:rPr>
                <w:rFonts w:hint="default" w:ascii="Times New Roman" w:hAnsi="Times New Roman" w:cs="Times New Roman"/>
                <w:color w:val="auto"/>
                <w:sz w:val="24"/>
                <w:highlight w:val="none"/>
                <w:lang w:eastAsia="zh-CN"/>
              </w:rPr>
              <w:t>；拌胶机、</w:t>
            </w:r>
            <w:r>
              <w:rPr>
                <w:rFonts w:hint="eastAsia" w:ascii="Times New Roman" w:hAnsi="Times New Roman" w:cs="Times New Roman"/>
                <w:color w:val="auto"/>
                <w:sz w:val="24"/>
                <w:highlight w:val="none"/>
                <w:lang w:eastAsia="zh-CN"/>
              </w:rPr>
              <w:t>桥洞板专用</w:t>
            </w:r>
            <w:r>
              <w:rPr>
                <w:rFonts w:hint="default" w:ascii="Times New Roman" w:hAnsi="Times New Roman" w:cs="Times New Roman"/>
                <w:color w:val="auto"/>
                <w:sz w:val="24"/>
                <w:highlight w:val="none"/>
                <w:lang w:eastAsia="zh-CN"/>
              </w:rPr>
              <w:t>压机上方设置集气罩，将有机废气引至</w:t>
            </w:r>
            <w:r>
              <w:rPr>
                <w:rFonts w:hint="eastAsia" w:ascii="Times New Roman" w:hAnsi="Times New Roman" w:cs="Times New Roman"/>
                <w:color w:val="auto"/>
                <w:sz w:val="24"/>
                <w:highlight w:val="none"/>
                <w:lang w:eastAsia="zh-CN"/>
              </w:rPr>
              <w:t>新增</w:t>
            </w:r>
            <w:r>
              <w:rPr>
                <w:rFonts w:hint="default" w:ascii="Times New Roman" w:hAnsi="Times New Roman" w:cs="Times New Roman"/>
                <w:color w:val="auto"/>
                <w:sz w:val="24"/>
                <w:highlight w:val="none"/>
                <w:lang w:eastAsia="zh-CN"/>
              </w:rPr>
              <w:t>热能中心进行燃烧处理，处理后的烟气与生物质燃烧烟气</w:t>
            </w:r>
            <w:r>
              <w:rPr>
                <w:rFonts w:hint="eastAsia" w:ascii="Times New Roman" w:hAnsi="Times New Roman" w:cs="Times New Roman"/>
                <w:color w:val="auto"/>
                <w:sz w:val="24"/>
                <w:highlight w:val="none"/>
                <w:lang w:eastAsia="zh-CN"/>
              </w:rPr>
              <w:t>经降尘池、脱硝处理后</w:t>
            </w:r>
            <w:r>
              <w:rPr>
                <w:rFonts w:hint="default" w:ascii="Times New Roman" w:hAnsi="Times New Roman" w:cs="Times New Roman"/>
                <w:color w:val="auto"/>
                <w:sz w:val="24"/>
                <w:highlight w:val="none"/>
                <w:lang w:eastAsia="zh-CN"/>
              </w:rPr>
              <w:t>一同进入干燥</w:t>
            </w:r>
            <w:r>
              <w:rPr>
                <w:rFonts w:hint="eastAsia" w:ascii="Times New Roman" w:hAnsi="Times New Roman" w:cs="Times New Roman"/>
                <w:color w:val="auto"/>
                <w:sz w:val="24"/>
                <w:highlight w:val="none"/>
                <w:lang w:eastAsia="zh-CN"/>
              </w:rPr>
              <w:t>机</w:t>
            </w:r>
            <w:r>
              <w:rPr>
                <w:rFonts w:hint="default" w:ascii="Times New Roman" w:hAnsi="Times New Roman" w:cs="Times New Roman"/>
                <w:color w:val="auto"/>
                <w:sz w:val="24"/>
                <w:highlight w:val="none"/>
                <w:lang w:eastAsia="zh-CN"/>
              </w:rPr>
              <w:t>，干燥工序后的烟气采用旋风除尘+水膜除尘进行处理后经由1根25m排气筒</w:t>
            </w:r>
            <w:r>
              <w:rPr>
                <w:rFonts w:hint="default" w:ascii="Times New Roman" w:hAnsi="Times New Roman" w:eastAsia="宋体" w:cs="Times New Roman"/>
                <w:color w:val="auto"/>
                <w:sz w:val="24"/>
                <w:highlight w:val="none"/>
                <w:lang w:eastAsia="zh-CN"/>
              </w:rPr>
              <w:t>排放；裁边废气经脉冲式布袋除尘器处理后由1根15m排气筒（</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#）排放；</w:t>
            </w:r>
            <w:r>
              <w:rPr>
                <w:rFonts w:hint="default" w:ascii="Times New Roman" w:hAnsi="Times New Roman" w:eastAsia="宋体" w:cs="Times New Roman"/>
                <w:color w:val="auto"/>
                <w:sz w:val="24"/>
                <w:highlight w:val="none"/>
                <w:lang w:val="en-US" w:eastAsia="zh-CN"/>
              </w:rPr>
              <w:t>甲醛储罐呼吸废气经一套活性炭吸附箱，经</w:t>
            </w:r>
            <w:r>
              <w:rPr>
                <w:rFonts w:hint="default" w:ascii="Times New Roman" w:hAnsi="Times New Roman" w:eastAsia="宋体" w:cs="Times New Roman"/>
                <w:color w:val="auto"/>
                <w:sz w:val="24"/>
                <w:highlight w:val="none"/>
                <w:lang w:eastAsia="zh-CN"/>
              </w:rPr>
              <w:t>由1根15m排气筒（</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#）排放；新增制胶反应釜设置密闭管道，将制胶废气引至天然气锅炉</w:t>
            </w:r>
            <w:r>
              <w:rPr>
                <w:rFonts w:hint="default" w:ascii="Times New Roman" w:hAnsi="Times New Roman" w:eastAsia="宋体" w:cs="Times New Roman"/>
                <w:color w:val="auto"/>
                <w:sz w:val="24"/>
                <w:highlight w:val="none"/>
                <w:lang w:val="en-US" w:eastAsia="zh-CN"/>
              </w:rPr>
              <w:t>低氮燃烧装置，燃烧后经</w:t>
            </w:r>
            <w:r>
              <w:rPr>
                <w:rFonts w:hint="default" w:ascii="Times New Roman" w:hAnsi="Times New Roman" w:eastAsia="宋体" w:cs="Times New Roman"/>
                <w:color w:val="auto"/>
                <w:sz w:val="24"/>
                <w:highlight w:val="none"/>
                <w:lang w:eastAsia="zh-CN"/>
              </w:rPr>
              <w:t>1根15m排气筒（</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#）排放。</w:t>
            </w:r>
            <w:r>
              <w:rPr>
                <w:rFonts w:hint="default" w:ascii="Times New Roman" w:hAnsi="Times New Roman" w:eastAsia="宋体" w:cs="Times New Roman"/>
                <w:color w:val="auto"/>
                <w:sz w:val="24"/>
                <w:highlight w:val="none"/>
                <w:lang w:val="en-US" w:eastAsia="zh-CN"/>
              </w:rPr>
              <w:t>项目各类废气经处理后均能达标排放。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32"/>
                <w:highlight w:val="none"/>
                <w:lang w:val="en-US" w:eastAsia="zh-CN" w:bidi="ar"/>
              </w:rPr>
            </w:pPr>
            <w:r>
              <w:rPr>
                <w:rFonts w:hint="default" w:ascii="Times New Roman" w:hAnsi="Times New Roman" w:cs="Times New Roman"/>
                <w:color w:val="auto"/>
                <w:sz w:val="24"/>
                <w:szCs w:val="32"/>
                <w:highlight w:val="none"/>
                <w:lang w:bidi="ar"/>
              </w:rPr>
              <w:t>本项目废水经预处理池处理达标后排入市政管网；本项目运营期噪声分别采取隔声、减振等综合降噪措施处理后达标排放；固体废物</w:t>
            </w:r>
            <w:r>
              <w:rPr>
                <w:rFonts w:hint="default" w:ascii="Times New Roman" w:hAnsi="Times New Roman" w:cs="Times New Roman"/>
                <w:color w:val="auto"/>
                <w:sz w:val="24"/>
                <w:szCs w:val="32"/>
                <w:highlight w:val="none"/>
                <w:lang w:val="en-US" w:eastAsia="zh-CN" w:bidi="ar"/>
              </w:rPr>
              <w:t>均进行合理处置</w:t>
            </w:r>
            <w:r>
              <w:rPr>
                <w:rFonts w:hint="default" w:ascii="Times New Roman" w:hAnsi="Times New Roman" w:cs="Times New Roman"/>
                <w:color w:val="auto"/>
                <w:sz w:val="24"/>
                <w:szCs w:val="32"/>
                <w:highlight w:val="none"/>
                <w:lang w:bidi="ar"/>
              </w:rPr>
              <w:t>。</w:t>
            </w:r>
            <w:r>
              <w:rPr>
                <w:rFonts w:hint="default" w:ascii="Times New Roman" w:hAnsi="Times New Roman" w:cs="Times New Roman"/>
                <w:color w:val="auto"/>
                <w:sz w:val="24"/>
                <w:szCs w:val="32"/>
                <w:highlight w:val="none"/>
                <w:lang w:val="en-US" w:eastAsia="zh-CN" w:bidi="ar"/>
              </w:rPr>
              <w:t>本项目各类污染物经处理后均能达标排放，对西华安置小区影响可接受。</w:t>
            </w:r>
          </w:p>
          <w:p>
            <w:pPr>
              <w:pStyle w:val="183"/>
              <w:ind w:firstLine="482"/>
              <w:rPr>
                <w:rFonts w:hint="eastAsia" w:ascii="Times New Roman" w:hAnsi="宋体" w:eastAsia="宋体" w:cs="Times New Roman"/>
                <w:b w:val="0"/>
                <w:bCs w:val="0"/>
                <w:color w:val="auto"/>
                <w:sz w:val="24"/>
                <w:lang w:val="en-US" w:eastAsia="zh-CN"/>
              </w:rPr>
            </w:pPr>
            <w:r>
              <w:rPr>
                <w:rFonts w:hint="default" w:ascii="Times New Roman" w:hAnsi="Times New Roman" w:cs="Times New Roman"/>
                <w:color w:val="auto"/>
                <w:sz w:val="24"/>
                <w:szCs w:val="32"/>
                <w:highlight w:val="none"/>
                <w:lang w:bidi="ar"/>
              </w:rPr>
              <w:t>因此，通过以上环保措施，本项目产生的污染物均得到有效处理，对项目周边居民产生的不良影响可接受</w:t>
            </w:r>
            <w:r>
              <w:rPr>
                <w:rFonts w:hint="default" w:ascii="Times New Roman" w:hAnsi="Times New Roman" w:cs="Times New Roman"/>
                <w:color w:val="auto"/>
                <w:sz w:val="24"/>
                <w:szCs w:val="32"/>
                <w:highlight w:val="none"/>
                <w:lang w:eastAsia="zh-CN" w:bidi="ar"/>
              </w:rPr>
              <w:t>，项目选址可行。</w:t>
            </w:r>
          </w:p>
          <w:p>
            <w:pPr>
              <w:pStyle w:val="183"/>
              <w:ind w:firstLine="482"/>
              <w:rPr>
                <w:rFonts w:hint="default" w:ascii="Times New Roman" w:hAnsi="Times New Roman" w:eastAsia="宋体" w:cs="Times New Roman"/>
                <w:color w:val="auto"/>
                <w:sz w:val="24"/>
                <w:szCs w:val="32"/>
                <w:highlight w:val="none"/>
                <w:lang w:eastAsia="zh-CN" w:bidi="ar"/>
              </w:rPr>
            </w:pPr>
          </w:p>
          <w:p>
            <w:pPr>
              <w:pStyle w:val="183"/>
              <w:ind w:firstLine="482"/>
              <w:rPr>
                <w:rFonts w:hint="eastAsia" w:cs="Times New Roman"/>
                <w:color w:val="auto"/>
                <w:kern w:val="0"/>
                <w:sz w:val="24"/>
                <w:lang w:eastAsia="zh-CN"/>
              </w:rPr>
            </w:pPr>
          </w:p>
          <w:p>
            <w:pPr>
              <w:pStyle w:val="183"/>
              <w:ind w:firstLine="482"/>
              <w:rPr>
                <w:rFonts w:hint="eastAsia" w:cs="Times New Roman"/>
                <w:color w:val="auto"/>
                <w:kern w:val="0"/>
                <w:sz w:val="24"/>
                <w:lang w:eastAsia="zh-CN"/>
              </w:rPr>
            </w:pPr>
          </w:p>
          <w:p>
            <w:pPr>
              <w:pStyle w:val="183"/>
              <w:ind w:firstLine="482"/>
              <w:rPr>
                <w:rFonts w:hint="eastAsia" w:cs="Times New Roman"/>
                <w:color w:val="auto"/>
                <w:kern w:val="0"/>
                <w:sz w:val="24"/>
                <w:lang w:eastAsia="zh-CN"/>
              </w:rPr>
            </w:pPr>
          </w:p>
          <w:p>
            <w:pPr>
              <w:pStyle w:val="183"/>
              <w:ind w:firstLine="482"/>
              <w:rPr>
                <w:rFonts w:hint="eastAsia" w:cs="Times New Roman"/>
                <w:color w:val="auto"/>
                <w:kern w:val="0"/>
                <w:sz w:val="24"/>
                <w:lang w:eastAsia="zh-CN"/>
              </w:rPr>
            </w:pPr>
          </w:p>
          <w:p>
            <w:pPr>
              <w:pStyle w:val="183"/>
              <w:ind w:firstLine="482"/>
              <w:rPr>
                <w:rFonts w:hint="eastAsia" w:cs="Times New Roman"/>
                <w:color w:val="auto"/>
                <w:kern w:val="0"/>
                <w:sz w:val="24"/>
                <w:lang w:eastAsia="zh-CN"/>
              </w:rPr>
            </w:pPr>
          </w:p>
          <w:p>
            <w:pPr>
              <w:pStyle w:val="183"/>
              <w:ind w:firstLine="482"/>
              <w:rPr>
                <w:rFonts w:hint="eastAsia" w:cs="Times New Roman"/>
                <w:color w:val="auto"/>
                <w:kern w:val="0"/>
                <w:sz w:val="24"/>
                <w:lang w:eastAsia="zh-CN"/>
              </w:rPr>
            </w:pPr>
          </w:p>
          <w:p>
            <w:pPr>
              <w:pStyle w:val="183"/>
              <w:ind w:firstLine="482"/>
              <w:rPr>
                <w:rFonts w:hint="default" w:ascii="Times New Roman" w:hAnsi="Times New Roman" w:eastAsia="宋体" w:cs="Times New Roman"/>
                <w:color w:val="auto"/>
                <w:kern w:val="0"/>
                <w:sz w:val="24"/>
                <w:lang w:eastAsia="zh-CN"/>
              </w:rPr>
            </w:pPr>
          </w:p>
        </w:tc>
      </w:tr>
    </w:tbl>
    <w:p>
      <w:pPr>
        <w:spacing w:line="360" w:lineRule="auto"/>
        <w:outlineLvl w:val="0"/>
        <w:rPr>
          <w:rFonts w:hint="default" w:ascii="Times New Roman" w:hAnsi="Times New Roman" w:eastAsia="黑体" w:cs="Times New Roman"/>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9"/>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3" w:type="dxa"/>
            <w:noWrap w:val="0"/>
            <w:vAlign w:val="center"/>
          </w:tcPr>
          <w:p>
            <w:pPr>
              <w:pStyle w:val="34"/>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161" w:type="dxa"/>
            <w:noWrap w:val="0"/>
            <w:vAlign w:val="top"/>
          </w:tcPr>
          <w:p>
            <w:pPr>
              <w:widowControl/>
              <w:spacing w:line="360" w:lineRule="auto"/>
              <w:rPr>
                <w:rFonts w:hint="default" w:ascii="Times New Roman" w:hAnsi="Times New Roman" w:eastAsia="宋体" w:cs="Times New Roman"/>
                <w:color w:val="auto"/>
                <w:kern w:val="0"/>
                <w:sz w:val="24"/>
                <w:lang w:eastAsia="zh-CN" w:bidi="ar"/>
              </w:rPr>
            </w:pPr>
            <w:r>
              <w:rPr>
                <w:rFonts w:hint="default" w:ascii="Times New Roman" w:hAnsi="Times New Roman" w:cs="Times New Roman"/>
                <w:b/>
                <w:bCs/>
                <w:color w:val="auto"/>
                <w:sz w:val="24"/>
                <w:lang w:eastAsia="zh-CN"/>
              </w:rPr>
              <w:t>一、</w:t>
            </w:r>
            <w:r>
              <w:rPr>
                <w:rFonts w:hint="default" w:ascii="Times New Roman" w:hAnsi="Times New Roman" w:cs="Times New Roman"/>
                <w:b/>
                <w:bCs/>
                <w:color w:val="auto"/>
                <w:sz w:val="24"/>
              </w:rPr>
              <w:t>项目由来</w:t>
            </w:r>
          </w:p>
          <w:p>
            <w:pPr>
              <w:autoSpaceDE/>
              <w:autoSpaceDN/>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四川乐辰木业有限公司成立于2021年7月15日，</w:t>
            </w:r>
            <w:r>
              <w:rPr>
                <w:rFonts w:hint="default" w:ascii="Times New Roman" w:hAnsi="Times New Roman" w:cs="Times New Roman"/>
                <w:bCs/>
                <w:color w:val="auto"/>
                <w:sz w:val="24"/>
                <w:highlight w:val="none"/>
                <w:lang w:eastAsia="zh-CN"/>
              </w:rPr>
              <w:t>于</w:t>
            </w:r>
            <w:r>
              <w:rPr>
                <w:rFonts w:hint="default" w:ascii="Times New Roman" w:hAnsi="Times New Roman" w:cs="Times New Roman"/>
                <w:bCs/>
                <w:color w:val="auto"/>
                <w:sz w:val="24"/>
                <w:highlight w:val="none"/>
                <w:lang w:val="en-US" w:eastAsia="zh-CN"/>
              </w:rPr>
              <w:t>2021年进行“家具板材生产线建设项目”，于2021年10月取得了遂宁市蓬溪县生态环境局的批复（遂蓬环函[2021]63号），批复的建设内容为：“租用园区现有厂房19777.85m</w:t>
            </w:r>
            <w:r>
              <w:rPr>
                <w:rFonts w:hint="default" w:ascii="Times New Roman" w:hAnsi="Times New Roman" w:cs="Times New Roman"/>
                <w:bCs/>
                <w:color w:val="auto"/>
                <w:sz w:val="24"/>
                <w:highlight w:val="none"/>
                <w:vertAlign w:val="superscript"/>
                <w:lang w:val="en-US" w:eastAsia="zh-CN"/>
              </w:rPr>
              <w:t>2</w:t>
            </w:r>
            <w:r>
              <w:rPr>
                <w:rFonts w:hint="default" w:ascii="Times New Roman" w:hAnsi="Times New Roman" w:cs="Times New Roman"/>
                <w:bCs/>
                <w:color w:val="auto"/>
                <w:sz w:val="24"/>
                <w:highlight w:val="none"/>
                <w:lang w:val="en-US" w:eastAsia="zh-CN"/>
              </w:rPr>
              <w:t>，购置刨皮机、削片机、热压机、粉碎机等机械设备用于家具板材的生产，该项目生产线共2条，其中一期年产6万立方米，二期年产10万立方米，共年产16万立方米。”</w:t>
            </w:r>
            <w:r>
              <w:rPr>
                <w:rFonts w:hint="default" w:ascii="Times New Roman" w:hAnsi="Times New Roman" w:eastAsia="宋体" w:cs="Times New Roman"/>
                <w:bCs/>
                <w:color w:val="auto"/>
                <w:sz w:val="24"/>
                <w:highlight w:val="none"/>
                <w:lang w:val="en-US" w:eastAsia="zh-CN"/>
              </w:rPr>
              <w:t>取得环评批复后</w:t>
            </w:r>
            <w:r>
              <w:rPr>
                <w:rFonts w:hint="default" w:ascii="Times New Roman" w:hAnsi="Times New Roman" w:eastAsia="宋体" w:cs="Times New Roman"/>
                <w:bCs/>
                <w:color w:val="auto"/>
                <w:sz w:val="24"/>
                <w:highlight w:val="none"/>
              </w:rPr>
              <w:t>四川乐辰木业有限公司</w:t>
            </w:r>
            <w:r>
              <w:rPr>
                <w:rFonts w:hint="default" w:ascii="Times New Roman" w:hAnsi="Times New Roman" w:eastAsia="宋体" w:cs="Times New Roman"/>
                <w:bCs/>
                <w:color w:val="auto"/>
                <w:sz w:val="24"/>
                <w:highlight w:val="none"/>
                <w:lang w:val="en-US" w:eastAsia="zh-CN"/>
              </w:rPr>
              <w:t>随即开始建设，由于市场原因建设过程中对家具板材生产线建设项目进行分期建设，一期建设板材生产线一条，产能为8万立方米，已于2024年1月完成竣工环境保护验收，取得验收意见。</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bCs/>
                <w:color w:val="auto"/>
                <w:sz w:val="24"/>
                <w:highlight w:val="none"/>
                <w:lang w:val="en-US" w:eastAsia="zh-CN"/>
              </w:rPr>
              <w:t>现有项目生产过程中使用的脲醛树脂胶为外购，厂内不进行生产。建设单位受场地原因、公司发展规划及自身发展考虑，拟建人造板材生产线改造项目，对板材生产线进行</w:t>
            </w:r>
            <w:r>
              <w:rPr>
                <w:rFonts w:hint="eastAsia" w:ascii="Times New Roman" w:hAnsi="Times New Roman" w:eastAsia="宋体" w:cs="Times New Roman"/>
                <w:bCs/>
                <w:color w:val="auto"/>
                <w:sz w:val="24"/>
                <w:highlight w:val="none"/>
                <w:lang w:val="en-US" w:eastAsia="zh-CN"/>
              </w:rPr>
              <w:t>改建</w:t>
            </w:r>
            <w:r>
              <w:rPr>
                <w:rFonts w:hint="default" w:ascii="Times New Roman" w:hAnsi="Times New Roman" w:eastAsia="宋体" w:cs="Times New Roman"/>
                <w:bCs/>
                <w:color w:val="auto"/>
                <w:sz w:val="24"/>
                <w:highlight w:val="none"/>
                <w:lang w:val="en-US" w:eastAsia="zh-CN"/>
              </w:rPr>
              <w:t>，主要建设内容为：调整厂房现有生产布局及设备，</w:t>
            </w:r>
            <w:r>
              <w:rPr>
                <w:rFonts w:hint="eastAsia" w:cs="Times New Roman"/>
                <w:bCs/>
                <w:color w:val="auto"/>
                <w:sz w:val="24"/>
                <w:highlight w:val="none"/>
                <w:lang w:val="en-US" w:eastAsia="zh-CN"/>
              </w:rPr>
              <w:t>配套建设</w:t>
            </w:r>
            <w:r>
              <w:rPr>
                <w:rFonts w:hint="default" w:ascii="Times New Roman" w:hAnsi="Times New Roman" w:eastAsia="宋体" w:cs="Times New Roman"/>
                <w:bCs/>
                <w:color w:val="auto"/>
                <w:sz w:val="24"/>
                <w:highlight w:val="none"/>
                <w:lang w:val="en-US" w:eastAsia="zh-CN"/>
              </w:rPr>
              <w:t>脲醛树脂生产线，为厂内板材生产配套提供胶。调整完成后厂内脲醛树脂胶的生产能力为年产1.1万吨，板材生产能力由原来的16万立方米，调整为13万立方米（二期板材生产线产能由8万方调整为5万方）。生产的脲醛树脂胶作为厂内年产13万立方米人造板材生产的原料使用，不外售。</w:t>
            </w:r>
          </w:p>
          <w:p>
            <w:pPr>
              <w:adjustRightInd w:val="0"/>
              <w:snapToGrid w:val="0"/>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二、项目概况</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cs="Times New Roman"/>
                <w:bCs/>
                <w:color w:val="auto"/>
                <w:sz w:val="24"/>
                <w:highlight w:val="none"/>
              </w:rPr>
              <w:t>项目名称：</w:t>
            </w:r>
            <w:r>
              <w:rPr>
                <w:rFonts w:hint="eastAsia" w:cs="Times New Roman"/>
                <w:color w:val="auto"/>
                <w:sz w:val="24"/>
                <w:highlight w:val="none"/>
                <w:lang w:eastAsia="zh-CN"/>
              </w:rPr>
              <w:t>人造板材生产线改造项目</w:t>
            </w:r>
          </w:p>
          <w:p>
            <w:pPr>
              <w:adjustRightInd w:val="0"/>
              <w:snapToGrid w:val="0"/>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建设单位：</w:t>
            </w:r>
            <w:r>
              <w:rPr>
                <w:rFonts w:hint="eastAsia" w:cs="Times New Roman"/>
                <w:color w:val="auto"/>
                <w:sz w:val="24"/>
                <w:lang w:eastAsia="zh-CN"/>
              </w:rPr>
              <w:t>四川乐辰木业有限公司</w:t>
            </w:r>
          </w:p>
          <w:p>
            <w:pPr>
              <w:adjustRightInd w:val="0"/>
              <w:snapToGrid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建设性质：</w:t>
            </w:r>
            <w:r>
              <w:rPr>
                <w:rFonts w:hint="default" w:ascii="Times New Roman" w:hAnsi="Times New Roman" w:cs="Times New Roman"/>
                <w:bCs/>
                <w:color w:val="auto"/>
                <w:sz w:val="24"/>
                <w:lang w:eastAsia="zh-CN"/>
              </w:rPr>
              <w:t>改建</w:t>
            </w:r>
          </w:p>
          <w:p>
            <w:pPr>
              <w:adjustRightInd w:val="0"/>
              <w:snapToGrid w:val="0"/>
              <w:spacing w:line="360" w:lineRule="auto"/>
              <w:ind w:firstLine="480" w:firstLineChars="200"/>
              <w:jc w:val="left"/>
              <w:rPr>
                <w:rFonts w:hint="default" w:ascii="Times New Roman" w:hAnsi="Times New Roman" w:cs="Times New Roman"/>
                <w:color w:val="auto"/>
                <w:sz w:val="24"/>
                <w:lang w:eastAsia="zh-CN"/>
              </w:rPr>
            </w:pPr>
            <w:r>
              <w:rPr>
                <w:rFonts w:hint="default" w:ascii="Times New Roman" w:hAnsi="Times New Roman" w:cs="Times New Roman"/>
                <w:bCs/>
                <w:color w:val="auto"/>
                <w:sz w:val="24"/>
              </w:rPr>
              <w:t>建设地点：</w:t>
            </w:r>
            <w:r>
              <w:rPr>
                <w:rFonts w:hint="default" w:ascii="Times New Roman" w:hAnsi="Times New Roman" w:cs="Times New Roman"/>
                <w:color w:val="auto"/>
                <w:sz w:val="24"/>
              </w:rPr>
              <w:t>四川省</w:t>
            </w:r>
            <w:r>
              <w:rPr>
                <w:rFonts w:hint="default" w:ascii="Times New Roman" w:hAnsi="Times New Roman" w:cs="Times New Roman"/>
                <w:color w:val="auto"/>
                <w:sz w:val="24"/>
                <w:lang w:eastAsia="zh-CN"/>
              </w:rPr>
              <w:t>遂宁市蓬溪县上游公园西华拓展区</w:t>
            </w:r>
          </w:p>
          <w:p>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rPr>
              <w:t>占地面积：</w:t>
            </w:r>
            <w:r>
              <w:rPr>
                <w:rFonts w:hint="default" w:ascii="Times New Roman" w:hAnsi="Times New Roman" w:cs="Times New Roman"/>
                <w:bCs/>
                <w:color w:val="auto"/>
                <w:sz w:val="24"/>
                <w:lang w:val="en-US" w:eastAsia="zh-CN"/>
              </w:rPr>
              <w:t>19777</w:t>
            </w:r>
            <w:r>
              <w:rPr>
                <w:rFonts w:hint="default" w:ascii="Times New Roman" w:hAnsi="Times New Roman" w:cs="Times New Roman"/>
                <w:bCs/>
                <w:color w:val="auto"/>
                <w:sz w:val="24"/>
                <w:highlight w:val="none"/>
                <w:lang w:val="en-US" w:eastAsia="zh-CN"/>
              </w:rPr>
              <w:t>.85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szCs w:val="24"/>
                <w:highlight w:val="none"/>
                <w:lang w:val="en-US" w:eastAsia="zh-CN"/>
              </w:rPr>
              <w:t>（项目不新增占地）</w:t>
            </w:r>
          </w:p>
          <w:p>
            <w:pPr>
              <w:adjustRightInd w:val="0"/>
              <w:snapToGrid w:val="0"/>
              <w:spacing w:line="360" w:lineRule="auto"/>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总投资：</w:t>
            </w:r>
            <w:r>
              <w:rPr>
                <w:rFonts w:hint="eastAsia" w:cs="Times New Roman"/>
                <w:bCs/>
                <w:color w:val="auto"/>
                <w:sz w:val="24"/>
                <w:highlight w:val="none"/>
                <w:lang w:val="en-US" w:eastAsia="zh-CN"/>
              </w:rPr>
              <w:t>35</w:t>
            </w:r>
            <w:r>
              <w:rPr>
                <w:rFonts w:hint="default" w:ascii="Times New Roman" w:hAnsi="Times New Roman" w:cs="Times New Roman"/>
                <w:bCs/>
                <w:color w:val="auto"/>
                <w:sz w:val="24"/>
                <w:highlight w:val="none"/>
                <w:lang w:val="en-US" w:eastAsia="zh-CN"/>
              </w:rPr>
              <w:t>00</w:t>
            </w:r>
            <w:r>
              <w:rPr>
                <w:rFonts w:hint="default" w:ascii="Times New Roman" w:hAnsi="Times New Roman" w:cs="Times New Roman"/>
                <w:bCs/>
                <w:color w:val="auto"/>
                <w:sz w:val="24"/>
                <w:highlight w:val="none"/>
              </w:rPr>
              <w:t>万元</w:t>
            </w:r>
          </w:p>
          <w:p>
            <w:pPr>
              <w:adjustRightInd w:val="0"/>
              <w:snapToGrid w:val="0"/>
              <w:spacing w:line="360" w:lineRule="auto"/>
              <w:rPr>
                <w:rFonts w:hint="default"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rPr>
              <w:t>三、</w:t>
            </w:r>
            <w:r>
              <w:rPr>
                <w:rFonts w:hint="default" w:ascii="Times New Roman" w:hAnsi="Times New Roman" w:cs="Times New Roman"/>
                <w:b/>
                <w:color w:val="auto"/>
                <w:sz w:val="24"/>
                <w:highlight w:val="none"/>
                <w:lang w:eastAsia="zh-CN"/>
              </w:rPr>
              <w:t>主要产品及产能</w:t>
            </w:r>
          </w:p>
          <w:p>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lang w:eastAsia="zh-CN"/>
              </w:rPr>
            </w:pPr>
            <w:r>
              <w:rPr>
                <w:rFonts w:hint="default" w:ascii="Times New Roman" w:hAnsi="Times New Roman" w:cs="Times New Roman"/>
                <w:color w:val="auto"/>
                <w:sz w:val="24"/>
                <w:highlight w:val="none"/>
                <w:lang w:eastAsia="zh-CN"/>
              </w:rPr>
              <w:t>本次对在建的板材生产线进行改造，将普通热压机更换为桥洞板热压机，产能由</w:t>
            </w:r>
            <w:r>
              <w:rPr>
                <w:rFonts w:hint="default" w:ascii="Times New Roman" w:hAnsi="Times New Roman" w:cs="Times New Roman"/>
                <w:color w:val="auto"/>
                <w:sz w:val="24"/>
                <w:highlight w:val="none"/>
                <w:lang w:val="en-US" w:eastAsia="zh-CN"/>
              </w:rPr>
              <w:t>8万立方米/年调整为5万立方米/年；并</w:t>
            </w:r>
            <w:r>
              <w:rPr>
                <w:rFonts w:hint="eastAsia" w:cs="Times New Roman"/>
                <w:bCs/>
                <w:color w:val="auto"/>
                <w:sz w:val="24"/>
                <w:highlight w:val="none"/>
                <w:lang w:val="en-US" w:eastAsia="zh-CN"/>
              </w:rPr>
              <w:t>配套建设</w:t>
            </w:r>
            <w:r>
              <w:rPr>
                <w:rFonts w:hint="default" w:ascii="Times New Roman" w:hAnsi="Times New Roman" w:cs="Times New Roman"/>
                <w:bCs/>
                <w:color w:val="auto"/>
                <w:sz w:val="24"/>
                <w:highlight w:val="none"/>
              </w:rPr>
              <w:t>脲醛树脂胶生产线，为厂内</w:t>
            </w:r>
            <w:r>
              <w:rPr>
                <w:rFonts w:hint="default" w:ascii="Times New Roman" w:hAnsi="Times New Roman" w:cs="Times New Roman"/>
                <w:bCs/>
                <w:color w:val="auto"/>
                <w:sz w:val="24"/>
                <w:highlight w:val="none"/>
                <w:lang w:val="en-US" w:eastAsia="zh-CN"/>
              </w:rPr>
              <w:t>13万立方米/年的</w:t>
            </w:r>
            <w:r>
              <w:rPr>
                <w:rFonts w:hint="default" w:ascii="Times New Roman" w:hAnsi="Times New Roman" w:cs="Times New Roman"/>
                <w:bCs/>
                <w:color w:val="auto"/>
                <w:sz w:val="24"/>
                <w:highlight w:val="none"/>
              </w:rPr>
              <w:t>板材生产</w:t>
            </w:r>
            <w:r>
              <w:rPr>
                <w:rFonts w:hint="default" w:ascii="Times New Roman" w:hAnsi="Times New Roman" w:cs="Times New Roman"/>
                <w:bCs/>
                <w:color w:val="auto"/>
                <w:sz w:val="24"/>
                <w:highlight w:val="none"/>
                <w:lang w:eastAsia="zh-CN"/>
              </w:rPr>
              <w:t>线</w:t>
            </w:r>
            <w:r>
              <w:rPr>
                <w:rFonts w:hint="default" w:ascii="Times New Roman" w:hAnsi="Times New Roman" w:cs="Times New Roman"/>
                <w:bCs/>
                <w:color w:val="auto"/>
                <w:sz w:val="24"/>
                <w:highlight w:val="none"/>
              </w:rPr>
              <w:t>配套提供胶</w:t>
            </w:r>
            <w:r>
              <w:rPr>
                <w:rFonts w:hint="default" w:ascii="Times New Roman" w:hAnsi="Times New Roman" w:cs="Times New Roman"/>
                <w:bCs/>
                <w:color w:val="auto"/>
                <w:sz w:val="24"/>
                <w:highlight w:val="none"/>
                <w:lang w:eastAsia="zh-CN"/>
              </w:rPr>
              <w:t>。</w:t>
            </w:r>
            <w:r>
              <w:rPr>
                <w:rFonts w:hint="default" w:ascii="Times New Roman" w:hAnsi="Times New Roman" w:cs="Times New Roman"/>
                <w:color w:val="auto"/>
                <w:sz w:val="24"/>
                <w:szCs w:val="21"/>
                <w:highlight w:val="none"/>
                <w:lang w:eastAsia="zh-CN"/>
              </w:rPr>
              <w:t>本项目建成后厂区产品方案见下表</w:t>
            </w:r>
            <w:r>
              <w:rPr>
                <w:rFonts w:hint="default" w:ascii="Times New Roman" w:hAnsi="Times New Roman" w:cs="Times New Roman"/>
                <w:color w:val="auto"/>
                <w:sz w:val="24"/>
                <w:szCs w:val="21"/>
                <w:highlight w:val="none"/>
              </w:rPr>
              <w:t>。</w:t>
            </w:r>
          </w:p>
          <w:p>
            <w:pPr>
              <w:adjustRightInd w:val="0"/>
              <w:snapToGrid w:val="0"/>
              <w:spacing w:before="120" w:beforeLines="50"/>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 xml:space="preserve">表2-1  </w:t>
            </w:r>
            <w:r>
              <w:rPr>
                <w:rFonts w:hint="default" w:ascii="Times New Roman" w:hAnsi="Times New Roman" w:cs="Times New Roman"/>
                <w:b/>
                <w:snapToGrid w:val="0"/>
                <w:color w:val="auto"/>
                <w:kern w:val="0"/>
                <w:szCs w:val="21"/>
                <w:highlight w:val="none"/>
                <w:lang w:eastAsia="zh-CN"/>
              </w:rPr>
              <w:t>本项目</w:t>
            </w:r>
            <w:r>
              <w:rPr>
                <w:rFonts w:hint="default" w:ascii="Times New Roman" w:hAnsi="Times New Roman" w:cs="Times New Roman"/>
                <w:b/>
                <w:snapToGrid w:val="0"/>
                <w:color w:val="auto"/>
                <w:kern w:val="0"/>
                <w:szCs w:val="21"/>
                <w:highlight w:val="none"/>
              </w:rPr>
              <w:t>产品方案一览表</w:t>
            </w:r>
          </w:p>
          <w:tbl>
            <w:tblPr>
              <w:tblStyle w:val="39"/>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56"/>
              <w:gridCol w:w="590"/>
              <w:gridCol w:w="1578"/>
              <w:gridCol w:w="708"/>
              <w:gridCol w:w="808"/>
              <w:gridCol w:w="784"/>
              <w:gridCol w:w="429"/>
              <w:gridCol w:w="734"/>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94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产品名称</w:t>
                  </w:r>
                </w:p>
              </w:tc>
              <w:tc>
                <w:tcPr>
                  <w:tcW w:w="15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规格（mm）</w:t>
                  </w:r>
                </w:p>
              </w:tc>
              <w:tc>
                <w:tcPr>
                  <w:tcW w:w="23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年产量</w:t>
                  </w:r>
                </w:p>
              </w:tc>
              <w:tc>
                <w:tcPr>
                  <w:tcW w:w="4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单位</w:t>
                  </w:r>
                </w:p>
              </w:tc>
              <w:tc>
                <w:tcPr>
                  <w:tcW w:w="7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lang w:eastAsia="zh-CN"/>
                    </w:rPr>
                    <w:t>去向</w:t>
                  </w:r>
                </w:p>
              </w:tc>
              <w:tc>
                <w:tcPr>
                  <w:tcW w:w="19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94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5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现有项目</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改建后全厂</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增减量</w:t>
                  </w:r>
                </w:p>
              </w:tc>
              <w:tc>
                <w:tcPr>
                  <w:tcW w:w="4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p>
              </w:tc>
              <w:tc>
                <w:tcPr>
                  <w:tcW w:w="7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p>
              </w:tc>
              <w:tc>
                <w:tcPr>
                  <w:tcW w:w="19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人造板</w:t>
                  </w:r>
                </w:p>
              </w:tc>
              <w:tc>
                <w:tcPr>
                  <w:tcW w:w="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定向</w:t>
                  </w:r>
                  <w:r>
                    <w:rPr>
                      <w:rFonts w:hint="default" w:ascii="Times New Roman" w:hAnsi="Times New Roman" w:cs="Times New Roman"/>
                      <w:color w:val="auto"/>
                      <w:szCs w:val="21"/>
                    </w:rPr>
                    <w:t>刨花板</w:t>
                  </w:r>
                  <w:r>
                    <w:rPr>
                      <w:rFonts w:hint="default" w:ascii="Times New Roman" w:hAnsi="Times New Roman" w:cs="Times New Roman"/>
                      <w:color w:val="auto"/>
                      <w:szCs w:val="21"/>
                      <w:lang w:eastAsia="zh-CN"/>
                    </w:rPr>
                    <w:t>（欧松板）</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9*1220*2440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10*1220*2440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12*1220*2440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15*1220*2440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18*1220*2440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20*1220*2440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25*1220*2440</w:t>
                  </w:r>
                </w:p>
              </w:tc>
              <w:tc>
                <w:tcPr>
                  <w:tcW w:w="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16</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00</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Cs/>
                      <w:color w:val="auto"/>
                      <w:szCs w:val="21"/>
                      <w:lang w:val="en-US" w:eastAsia="zh-CN"/>
                    </w:rPr>
                    <w:t>80000</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-80000</w:t>
                  </w:r>
                </w:p>
              </w:tc>
              <w:tc>
                <w:tcPr>
                  <w:tcW w:w="4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外售</w:t>
                  </w:r>
                </w:p>
              </w:tc>
              <w:tc>
                <w:tcPr>
                  <w:tcW w:w="19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现有项目已验收产能不发生变动，在建</w:t>
                  </w:r>
                  <w:r>
                    <w:rPr>
                      <w:rFonts w:hint="default" w:ascii="Times New Roman" w:hAnsi="Times New Roman" w:cs="Times New Roman"/>
                      <w:bCs/>
                      <w:color w:val="auto"/>
                      <w:szCs w:val="21"/>
                      <w:highlight w:val="none"/>
                      <w:lang w:val="en-US" w:eastAsia="zh-CN"/>
                    </w:rPr>
                    <w:t>8万方/年板材由普通刨花板改为5万方/年桥洞力学板</w:t>
                  </w:r>
                  <w:r>
                    <w:rPr>
                      <w:rFonts w:hint="eastAsia" w:cs="Times New Roman"/>
                      <w:bCs/>
                      <w:color w:val="auto"/>
                      <w:szCs w:val="21"/>
                      <w:highlight w:val="none"/>
                      <w:lang w:val="en-US" w:eastAsia="zh-CN"/>
                    </w:rPr>
                    <w:t>；配套建设</w:t>
                  </w:r>
                  <w:r>
                    <w:rPr>
                      <w:rFonts w:hint="default" w:ascii="Times New Roman" w:hAnsi="Times New Roman" w:eastAsia="宋体" w:cs="Times New Roman"/>
                      <w:color w:val="auto"/>
                      <w:szCs w:val="21"/>
                      <w:lang w:eastAsia="zh-CN"/>
                    </w:rPr>
                    <w:t>脲醛树脂胶</w:t>
                  </w:r>
                  <w:r>
                    <w:rPr>
                      <w:rFonts w:hint="eastAsia" w:cs="Times New Roman"/>
                      <w:color w:val="auto"/>
                      <w:szCs w:val="21"/>
                      <w:lang w:val="en-US" w:eastAsia="zh-CN"/>
                    </w:rPr>
                    <w:t>1.1万t/a</w:t>
                  </w:r>
                  <w:r>
                    <w:rPr>
                      <w:rFonts w:hint="default" w:ascii="Times New Roman" w:hAnsi="Times New Roman" w:cs="Times New Roman"/>
                      <w:color w:val="auto"/>
                      <w:szCs w:val="21"/>
                      <w:lang w:eastAsia="zh-CN"/>
                    </w:rPr>
                    <w:t>厂内自用</w:t>
                  </w:r>
                  <w:r>
                    <w:rPr>
                      <w:rFonts w:hint="default" w:ascii="Times New Roman" w:hAnsi="Times New Roman" w:cs="Times New Roman"/>
                      <w:color w:val="auto"/>
                      <w:szCs w:val="21"/>
                      <w:lang w:val="en-US" w:eastAsia="zh-CN"/>
                    </w:rPr>
                    <w:t>，8000t用于现有刨花板生产，3000t用于桥洞力学板生产</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不外售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p>
              </w:tc>
              <w:tc>
                <w:tcPr>
                  <w:tcW w:w="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桥洞力学板</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2090</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1180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38</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2090</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1180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40</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2090</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1180</w:t>
                  </w:r>
                </w:p>
              </w:tc>
              <w:tc>
                <w:tcPr>
                  <w:tcW w:w="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50000</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+50000</w:t>
                  </w:r>
                </w:p>
              </w:tc>
              <w:tc>
                <w:tcPr>
                  <w:tcW w:w="4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外售</w:t>
                  </w:r>
                </w:p>
              </w:tc>
              <w:tc>
                <w:tcPr>
                  <w:tcW w:w="19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3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p>
              </w:tc>
              <w:tc>
                <w:tcPr>
                  <w:tcW w:w="5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合计</w:t>
                  </w:r>
                </w:p>
              </w:tc>
              <w:tc>
                <w:tcPr>
                  <w:tcW w:w="15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160000</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130000</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0000</w:t>
                  </w:r>
                </w:p>
              </w:tc>
              <w:tc>
                <w:tcPr>
                  <w:tcW w:w="4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9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产品示意图：</w:t>
            </w:r>
          </w:p>
          <w:tbl>
            <w:tblPr>
              <w:tblStyle w:val="40"/>
              <w:tblW w:w="7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0"/>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0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eastAsia="zh-CN"/>
                    </w:rPr>
                  </w:pPr>
                  <w:r>
                    <w:rPr>
                      <w:rFonts w:hint="default" w:ascii="Times New Roman" w:hAnsi="Times New Roman" w:cs="Times New Roman"/>
                      <w:color w:val="auto"/>
                    </w:rPr>
                    <w:drawing>
                      <wp:inline distT="0" distB="0" distL="114300" distR="114300">
                        <wp:extent cx="2265045" cy="2088515"/>
                        <wp:effectExtent l="0" t="0" r="1905" b="698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2265045" cy="2088515"/>
                                </a:xfrm>
                                <a:prstGeom prst="rect">
                                  <a:avLst/>
                                </a:prstGeom>
                                <a:noFill/>
                                <a:ln>
                                  <a:noFill/>
                                </a:ln>
                              </pic:spPr>
                            </pic:pic>
                          </a:graphicData>
                        </a:graphic>
                      </wp:inline>
                    </w:drawing>
                  </w:r>
                </w:p>
              </w:tc>
              <w:tc>
                <w:tcPr>
                  <w:tcW w:w="38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vertAlign w:val="baseline"/>
                      <w:lang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INCLUDEPICTURE \d "https://img2.baidu.com/it/u=543393933,720493335&amp;fm=253&amp;fmt=auto&amp;app=138&amp;f=JPEG?w=640&amp;h=442"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drawing>
                      <wp:inline distT="0" distB="0" distL="114300" distR="114300">
                        <wp:extent cx="2345055" cy="2096135"/>
                        <wp:effectExtent l="0" t="0" r="17145" b="18415"/>
                        <wp:docPr id="1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6"/>
                                <pic:cNvPicPr>
                                  <a:picLocks noChangeAspect="1"/>
                                </pic:cNvPicPr>
                              </pic:nvPicPr>
                              <pic:blipFill>
                                <a:blip r:embed="rId14"/>
                                <a:srcRect r="22694"/>
                                <a:stretch>
                                  <a:fillRect/>
                                </a:stretch>
                              </pic:blipFill>
                              <pic:spPr>
                                <a:xfrm>
                                  <a:off x="0" y="0"/>
                                  <a:ext cx="2345055" cy="209613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0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eastAsia="zh-CN"/>
                    </w:rPr>
                    <w:t>定向刨花板（欧松板）</w:t>
                  </w:r>
                </w:p>
              </w:tc>
              <w:tc>
                <w:tcPr>
                  <w:tcW w:w="388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eastAsia="zh-CN"/>
                    </w:rPr>
                    <w:t>桥洞力学板</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2-1  项目产品示意图</w:t>
            </w:r>
          </w:p>
          <w:p>
            <w:pPr>
              <w:adjustRightInd w:val="0"/>
              <w:snapToGrid w:val="0"/>
              <w:spacing w:line="360" w:lineRule="auto"/>
              <w:ind w:firstLine="499" w:firstLineChars="207"/>
              <w:rPr>
                <w:rFonts w:hint="default" w:ascii="Times New Roman" w:hAnsi="Times New Roman" w:eastAsia="宋体" w:cs="Times New Roman"/>
                <w:b/>
                <w:bCs/>
                <w:color w:val="auto"/>
                <w:sz w:val="24"/>
                <w:szCs w:val="21"/>
                <w:highlight w:val="none"/>
                <w:lang w:eastAsia="zh-CN"/>
              </w:rPr>
            </w:pPr>
            <w:r>
              <w:rPr>
                <w:rFonts w:hint="eastAsia" w:ascii="Times New Roman" w:hAnsi="Times New Roman" w:eastAsia="宋体" w:cs="Times New Roman"/>
                <w:b/>
                <w:bCs/>
                <w:color w:val="auto"/>
                <w:sz w:val="24"/>
                <w:szCs w:val="21"/>
                <w:highlight w:val="none"/>
                <w:lang w:eastAsia="zh-CN"/>
              </w:rPr>
              <w:t>脲醛树脂胶量核算：</w:t>
            </w:r>
          </w:p>
          <w:p>
            <w:pPr>
              <w:adjustRightInd w:val="0"/>
              <w:snapToGrid w:val="0"/>
              <w:spacing w:line="360" w:lineRule="auto"/>
              <w:ind w:firstLine="496" w:firstLineChars="207"/>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根据建设单位提供资料，刨花板生产过程中，</w:t>
            </w:r>
            <w:r>
              <w:rPr>
                <w:rFonts w:hint="eastAsia" w:ascii="Times New Roman" w:hAnsi="Times New Roman" w:eastAsia="宋体" w:cs="Times New Roman"/>
                <w:color w:val="auto"/>
                <w:sz w:val="24"/>
                <w:szCs w:val="24"/>
                <w:highlight w:val="none"/>
                <w:lang w:val="en-US" w:eastAsia="zh-CN"/>
              </w:rPr>
              <w:t>1方</w:t>
            </w:r>
            <w:r>
              <w:rPr>
                <w:rFonts w:hint="eastAsia" w:ascii="Times New Roman" w:hAnsi="Times New Roman" w:eastAsia="宋体" w:cs="Times New Roman"/>
                <w:color w:val="auto"/>
                <w:sz w:val="24"/>
                <w:szCs w:val="24"/>
                <w:highlight w:val="none"/>
                <w:lang w:eastAsia="zh-CN"/>
              </w:rPr>
              <w:t>木料原料在施胶时需使用</w:t>
            </w:r>
            <w:r>
              <w:rPr>
                <w:rFonts w:hint="eastAsia" w:ascii="Times New Roman" w:hAnsi="Times New Roman" w:eastAsia="宋体" w:cs="Times New Roman"/>
                <w:color w:val="auto"/>
                <w:sz w:val="24"/>
                <w:szCs w:val="24"/>
                <w:highlight w:val="none"/>
                <w:lang w:val="en-US" w:eastAsia="zh-CN"/>
              </w:rPr>
              <w:t>90kg</w:t>
            </w:r>
            <w:r>
              <w:rPr>
                <w:rFonts w:hint="eastAsia" w:ascii="Times New Roman" w:hAnsi="Times New Roman" w:eastAsia="宋体" w:cs="Times New Roman"/>
                <w:color w:val="auto"/>
                <w:sz w:val="24"/>
                <w:szCs w:val="24"/>
                <w:highlight w:val="none"/>
                <w:lang w:eastAsia="zh-CN"/>
              </w:rPr>
              <w:t>脲醛胶</w:t>
            </w:r>
            <w:r>
              <w:rPr>
                <w:rFonts w:hint="eastAsia" w:ascii="Times New Roman" w:hAnsi="Times New Roman" w:eastAsia="宋体" w:cs="Times New Roman"/>
                <w:color w:val="auto"/>
                <w:sz w:val="24"/>
                <w:szCs w:val="24"/>
                <w:highlight w:val="none"/>
                <w:lang w:val="en-US" w:eastAsia="zh-CN"/>
              </w:rPr>
              <w:t>，现有项目定向刨花板生产木料原料使用量为88000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highlight w:val="none"/>
                <w:lang w:val="en-US" w:eastAsia="zh-CN"/>
              </w:rPr>
              <w:t>/a，本次桥洞力学板生产木料原料使用量为33000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highlight w:val="none"/>
                <w:lang w:val="en-US" w:eastAsia="zh-CN"/>
              </w:rPr>
              <w:t>/a，则本项目建成后全厂</w:t>
            </w:r>
            <w:r>
              <w:rPr>
                <w:rFonts w:hint="eastAsia" w:ascii="Times New Roman" w:hAnsi="Times New Roman" w:eastAsia="宋体" w:cs="Times New Roman"/>
                <w:color w:val="auto"/>
                <w:sz w:val="24"/>
                <w:szCs w:val="24"/>
                <w:highlight w:val="none"/>
                <w:lang w:eastAsia="zh-CN"/>
              </w:rPr>
              <w:t>脲醛树脂胶用量为</w:t>
            </w:r>
            <w:r>
              <w:rPr>
                <w:rFonts w:hint="eastAsia" w:ascii="Times New Roman" w:hAnsi="Times New Roman" w:eastAsia="宋体" w:cs="Times New Roman"/>
                <w:color w:val="auto"/>
                <w:sz w:val="24"/>
                <w:szCs w:val="24"/>
                <w:highlight w:val="none"/>
                <w:lang w:val="en-US" w:eastAsia="zh-CN"/>
              </w:rPr>
              <w:t>11000t/a。本项目新增脲醛树脂胶生产线，可年产</w:t>
            </w:r>
            <w:r>
              <w:rPr>
                <w:rFonts w:hint="eastAsia" w:ascii="Times New Roman" w:hAnsi="Times New Roman" w:eastAsia="宋体" w:cs="Times New Roman"/>
                <w:color w:val="auto"/>
                <w:sz w:val="24"/>
                <w:szCs w:val="24"/>
                <w:highlight w:val="none"/>
                <w:lang w:eastAsia="zh-CN"/>
              </w:rPr>
              <w:t>脲醛树脂胶</w:t>
            </w:r>
            <w:r>
              <w:rPr>
                <w:rFonts w:hint="eastAsia" w:ascii="Times New Roman" w:hAnsi="Times New Roman" w:eastAsia="宋体" w:cs="Times New Roman"/>
                <w:color w:val="auto"/>
                <w:sz w:val="24"/>
                <w:szCs w:val="24"/>
                <w:highlight w:val="none"/>
                <w:lang w:val="en-US" w:eastAsia="zh-CN"/>
              </w:rPr>
              <w:t>11000t/a，满足项目产品使用。</w:t>
            </w:r>
          </w:p>
          <w:p>
            <w:pPr>
              <w:adjustRightInd w:val="0"/>
              <w:snapToGrid w:val="0"/>
              <w:spacing w:line="360" w:lineRule="auto"/>
              <w:ind w:firstLine="499" w:firstLineChars="207"/>
              <w:rPr>
                <w:rFonts w:hint="default" w:ascii="Times New Roman" w:hAnsi="Times New Roman" w:eastAsia="宋体" w:cs="Times New Roman"/>
                <w:b/>
                <w:bCs/>
                <w:color w:val="auto"/>
                <w:sz w:val="24"/>
                <w:szCs w:val="21"/>
                <w:highlight w:val="none"/>
                <w:lang w:eastAsia="zh-CN"/>
              </w:rPr>
            </w:pPr>
            <w:r>
              <w:rPr>
                <w:rFonts w:hint="default" w:ascii="Times New Roman" w:hAnsi="Times New Roman" w:eastAsia="宋体" w:cs="Times New Roman"/>
                <w:b/>
                <w:bCs/>
                <w:color w:val="auto"/>
                <w:sz w:val="24"/>
                <w:szCs w:val="21"/>
                <w:highlight w:val="none"/>
                <w:lang w:eastAsia="zh-CN"/>
              </w:rPr>
              <w:t>产品标准：</w:t>
            </w:r>
          </w:p>
          <w:p>
            <w:pPr>
              <w:adjustRightInd w:val="0"/>
              <w:snapToGrid w:val="0"/>
              <w:spacing w:line="360" w:lineRule="auto"/>
              <w:ind w:firstLine="496" w:firstLineChars="207"/>
              <w:rPr>
                <w:rFonts w:hint="default" w:ascii="Times New Roman" w:hAnsi="Times New Roman" w:eastAsia="宋体" w:cs="Times New Roman"/>
                <w:bCs/>
                <w:color w:val="auto"/>
                <w:sz w:val="24"/>
                <w:szCs w:val="21"/>
                <w:lang w:eastAsia="zh-CN"/>
              </w:rPr>
            </w:pPr>
            <w:r>
              <w:rPr>
                <w:rFonts w:hint="default" w:ascii="Times New Roman" w:hAnsi="Times New Roman" w:eastAsia="宋体" w:cs="Times New Roman"/>
                <w:color w:val="auto"/>
                <w:sz w:val="24"/>
                <w:szCs w:val="21"/>
                <w:highlight w:val="none"/>
                <w:lang w:eastAsia="zh-CN"/>
              </w:rPr>
              <w:t>人造板</w:t>
            </w:r>
            <w:r>
              <w:rPr>
                <w:rFonts w:hint="default" w:ascii="Times New Roman" w:hAnsi="Times New Roman" w:eastAsia="宋体" w:cs="Times New Roman"/>
                <w:bCs/>
                <w:color w:val="auto"/>
                <w:sz w:val="24"/>
                <w:szCs w:val="21"/>
              </w:rPr>
              <w:t>达到强制性国家标准《室内装饰装修材料人造板</w:t>
            </w:r>
            <w:r>
              <w:rPr>
                <w:rFonts w:hint="eastAsia" w:ascii="Times New Roman" w:hAnsi="Times New Roman" w:eastAsia="宋体" w:cs="Times New Roman"/>
                <w:bCs/>
                <w:color w:val="auto"/>
                <w:sz w:val="24"/>
                <w:szCs w:val="21"/>
                <w:lang w:eastAsia="zh-CN"/>
              </w:rPr>
              <w:t>及其</w:t>
            </w:r>
            <w:r>
              <w:rPr>
                <w:rFonts w:hint="default" w:ascii="Times New Roman" w:hAnsi="Times New Roman" w:eastAsia="宋体" w:cs="Times New Roman"/>
                <w:bCs/>
                <w:color w:val="auto"/>
                <w:sz w:val="24"/>
                <w:szCs w:val="21"/>
              </w:rPr>
              <w:t>制品中甲醛释放限量》（GB18580-20</w:t>
            </w:r>
            <w:r>
              <w:rPr>
                <w:rFonts w:hint="default" w:ascii="Times New Roman" w:hAnsi="Times New Roman" w:eastAsia="宋体" w:cs="Times New Roman"/>
                <w:bCs/>
                <w:color w:val="auto"/>
                <w:sz w:val="24"/>
                <w:szCs w:val="21"/>
                <w:lang w:val="en-US" w:eastAsia="zh-CN"/>
              </w:rPr>
              <w:t>17</w:t>
            </w:r>
            <w:r>
              <w:rPr>
                <w:rFonts w:hint="default" w:ascii="Times New Roman" w:hAnsi="Times New Roman" w:eastAsia="宋体" w:cs="Times New Roman"/>
                <w:bCs/>
                <w:color w:val="auto"/>
                <w:sz w:val="24"/>
                <w:szCs w:val="21"/>
              </w:rPr>
              <w:t>）中E1级标准的规定</w:t>
            </w:r>
            <w:r>
              <w:rPr>
                <w:rFonts w:hint="default" w:ascii="Times New Roman" w:hAnsi="Times New Roman" w:eastAsia="宋体" w:cs="Times New Roman"/>
                <w:bCs/>
                <w:color w:val="auto"/>
                <w:sz w:val="24"/>
                <w:szCs w:val="21"/>
                <w:lang w:eastAsia="zh-CN"/>
              </w:rPr>
              <w:t>，甲醛释放限量值为0.124mg/m</w:t>
            </w:r>
            <w:r>
              <w:rPr>
                <w:rFonts w:hint="default" w:ascii="Times New Roman" w:hAnsi="Times New Roman" w:eastAsia="宋体" w:cs="Times New Roman"/>
                <w:bCs/>
                <w:color w:val="auto"/>
                <w:sz w:val="24"/>
                <w:szCs w:val="21"/>
                <w:vertAlign w:val="superscript"/>
                <w:lang w:eastAsia="zh-CN"/>
              </w:rPr>
              <w:t>3</w:t>
            </w:r>
            <w:r>
              <w:rPr>
                <w:rFonts w:hint="default" w:ascii="Times New Roman" w:hAnsi="Times New Roman" w:eastAsia="宋体" w:cs="Times New Roman"/>
                <w:bCs/>
                <w:color w:val="auto"/>
                <w:sz w:val="24"/>
                <w:szCs w:val="21"/>
                <w:lang w:eastAsia="zh-CN"/>
              </w:rPr>
              <w:t>。</w:t>
            </w:r>
          </w:p>
          <w:p>
            <w:pPr>
              <w:adjustRightInd w:val="0"/>
              <w:snapToGrid w:val="0"/>
              <w:spacing w:line="360" w:lineRule="auto"/>
              <w:ind w:firstLine="496" w:firstLineChars="207"/>
              <w:rPr>
                <w:rFonts w:hint="default"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lang w:eastAsia="zh-CN"/>
              </w:rPr>
              <w:t>脲醛树脂胶</w:t>
            </w:r>
            <w:r>
              <w:rPr>
                <w:rFonts w:hint="default" w:ascii="Times New Roman" w:hAnsi="Times New Roman" w:eastAsia="宋体" w:cs="Times New Roman"/>
                <w:color w:val="auto"/>
                <w:sz w:val="24"/>
                <w:szCs w:val="21"/>
                <w:lang w:eastAsia="zh-CN"/>
              </w:rPr>
              <w:t>达到</w:t>
            </w:r>
            <w:r>
              <w:rPr>
                <w:rFonts w:hint="default" w:ascii="Times New Roman" w:hAnsi="Times New Roman" w:eastAsia="宋体" w:cs="Times New Roman"/>
                <w:color w:val="auto"/>
                <w:sz w:val="24"/>
                <w:szCs w:val="21"/>
              </w:rPr>
              <w:t>质量标准《木材工业胶粘剂用脲醛、酚醛、三聚氰胺甲醛树脂》（GB/T14732-20</w:t>
            </w:r>
            <w:r>
              <w:rPr>
                <w:rFonts w:hint="default" w:ascii="Times New Roman" w:hAnsi="Times New Roman" w:eastAsia="宋体" w:cs="Times New Roman"/>
                <w:color w:val="auto"/>
                <w:sz w:val="24"/>
                <w:szCs w:val="21"/>
                <w:lang w:val="en-US" w:eastAsia="zh-CN"/>
              </w:rPr>
              <w:t>17</w:t>
            </w:r>
            <w:r>
              <w:rPr>
                <w:rFonts w:hint="default" w:ascii="Times New Roman" w:hAnsi="Times New Roman" w:eastAsia="宋体" w:cs="Times New Roman"/>
                <w:color w:val="auto"/>
                <w:sz w:val="24"/>
                <w:szCs w:val="21"/>
              </w:rPr>
              <w:t>），具体技术要求见</w:t>
            </w:r>
            <w:r>
              <w:rPr>
                <w:rFonts w:hint="eastAsia" w:ascii="Times New Roman" w:hAnsi="Times New Roman" w:eastAsia="宋体" w:cs="Times New Roman"/>
                <w:color w:val="auto"/>
                <w:sz w:val="24"/>
                <w:szCs w:val="21"/>
                <w:lang w:eastAsia="zh-CN"/>
              </w:rPr>
              <w:t>下</w:t>
            </w:r>
            <w:r>
              <w:rPr>
                <w:rFonts w:hint="default" w:ascii="Times New Roman" w:hAnsi="Times New Roman" w:eastAsia="宋体" w:cs="Times New Roman"/>
                <w:color w:val="auto"/>
                <w:sz w:val="24"/>
                <w:szCs w:val="21"/>
              </w:rPr>
              <w:t>表。</w:t>
            </w:r>
          </w:p>
          <w:p>
            <w:pPr>
              <w:widowControl w:val="0"/>
              <w:numPr>
                <w:ilvl w:val="0"/>
                <w:numId w:val="0"/>
              </w:numPr>
              <w:tabs>
                <w:tab w:val="left" w:pos="0"/>
              </w:tabs>
              <w:spacing w:line="360" w:lineRule="auto"/>
              <w:ind w:leftChars="0"/>
              <w:jc w:val="center"/>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b/>
                <w:bCs/>
                <w:color w:val="auto"/>
                <w:kern w:val="2"/>
                <w:sz w:val="21"/>
                <w:szCs w:val="20"/>
                <w:lang w:val="en-US" w:eastAsia="zh-CN" w:bidi="ar-SA"/>
              </w:rPr>
              <w:t xml:space="preserve">表2-2  </w:t>
            </w:r>
            <w:r>
              <w:rPr>
                <w:rFonts w:hint="default" w:ascii="Times New Roman" w:hAnsi="Times New Roman" w:eastAsia="宋体" w:cs="Times New Roman"/>
                <w:b/>
                <w:bCs/>
                <w:color w:val="auto"/>
                <w:kern w:val="2"/>
                <w:sz w:val="21"/>
                <w:szCs w:val="20"/>
                <w:lang w:val="en-US" w:eastAsia="zh-CN" w:bidi="ar-SA"/>
              </w:rPr>
              <w:t>项目</w:t>
            </w:r>
            <w:r>
              <w:rPr>
                <w:rFonts w:hint="eastAsia" w:ascii="Times New Roman" w:hAnsi="Times New Roman" w:eastAsia="宋体" w:cs="Times New Roman"/>
                <w:b/>
                <w:bCs/>
                <w:color w:val="auto"/>
                <w:kern w:val="2"/>
                <w:sz w:val="21"/>
                <w:szCs w:val="20"/>
                <w:lang w:val="en-US" w:eastAsia="zh-CN" w:bidi="ar-SA"/>
              </w:rPr>
              <w:t>中间</w:t>
            </w:r>
            <w:r>
              <w:rPr>
                <w:rFonts w:hint="default" w:ascii="Times New Roman" w:hAnsi="Times New Roman" w:eastAsia="宋体" w:cs="Times New Roman"/>
                <w:b/>
                <w:bCs/>
                <w:color w:val="auto"/>
                <w:kern w:val="2"/>
                <w:sz w:val="21"/>
                <w:szCs w:val="20"/>
                <w:lang w:val="en-US" w:eastAsia="zh-CN" w:bidi="ar-SA"/>
              </w:rPr>
              <w:t>产品质量标准表</w:t>
            </w:r>
          </w:p>
          <w:tbl>
            <w:tblPr>
              <w:tblStyle w:val="39"/>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490"/>
              <w:gridCol w:w="921"/>
              <w:gridCol w:w="3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指标名称</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指标值（刨花板</w:t>
                  </w:r>
                  <w:r>
                    <w:rPr>
                      <w:rFonts w:hint="default" w:ascii="Times New Roman" w:hAnsi="Times New Roman" w:eastAsia="宋体" w:cs="Times New Roman"/>
                      <w:b/>
                      <w:bCs/>
                      <w:color w:val="auto"/>
                      <w:sz w:val="21"/>
                      <w:szCs w:val="21"/>
                    </w:rPr>
                    <w:t>用脲醛</w:t>
                  </w:r>
                  <w:r>
                    <w:rPr>
                      <w:rFonts w:hint="default" w:ascii="Times New Roman" w:hAnsi="Times New Roman" w:eastAsia="宋体" w:cs="Times New Roman"/>
                      <w:b/>
                      <w:bCs/>
                      <w:color w:val="auto"/>
                      <w:sz w:val="21"/>
                      <w:szCs w:val="21"/>
                      <w:lang w:eastAsia="zh-CN"/>
                    </w:rPr>
                    <w:t>树脂胶）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无色、白色或浅黄色无杂质均匀液体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固体含量</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游离甲醛含量</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粘度</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mPa·S</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固化时间</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适用期</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min</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胶合强度</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78" w:type="dxa"/>
                  <w:gridSpan w:val="2"/>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内结合强度</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MPa</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符合GB/T 4897-2015中6.3.2.1或6.3.2.2或6.3.2.3或6.3.2.4的相关规定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88"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板材甲醛释放量</w:t>
                  </w:r>
                </w:p>
              </w:tc>
              <w:tc>
                <w:tcPr>
                  <w:tcW w:w="149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气候箱法</w:t>
                  </w:r>
                </w:p>
              </w:tc>
              <w:tc>
                <w:tcPr>
                  <w:tcW w:w="92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364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符合GB18580-2017的规定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≤0.124</w:t>
                  </w:r>
                  <w:r>
                    <w:rPr>
                      <w:rFonts w:hint="default" w:ascii="Times New Roman" w:hAnsi="Times New Roman" w:eastAsia="宋体" w:cs="Times New Roman"/>
                      <w:color w:val="auto"/>
                      <w:sz w:val="21"/>
                      <w:szCs w:val="21"/>
                      <w:lang w:eastAsia="zh-CN"/>
                    </w:rPr>
                    <w:t>）</w:t>
                  </w:r>
                </w:p>
              </w:tc>
            </w:tr>
          </w:tbl>
          <w:p>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四、项目组成</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rPr>
              <w:t>本项目</w:t>
            </w:r>
            <w:r>
              <w:rPr>
                <w:rFonts w:hint="default" w:ascii="Times New Roman" w:hAnsi="Times New Roman" w:cs="Times New Roman"/>
                <w:bCs/>
                <w:color w:val="auto"/>
                <w:sz w:val="24"/>
                <w:lang w:eastAsia="zh-CN"/>
              </w:rPr>
              <w:t>在现有厂房内进行改建，项目</w:t>
            </w:r>
            <w:r>
              <w:rPr>
                <w:rFonts w:hint="default" w:ascii="Times New Roman" w:hAnsi="Times New Roman" w:cs="Times New Roman"/>
                <w:bCs/>
                <w:color w:val="auto"/>
                <w:sz w:val="24"/>
                <w:highlight w:val="none"/>
              </w:rPr>
              <w:t>组成及主要环境问题见下表。</w:t>
            </w:r>
          </w:p>
          <w:p>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项目组成及主要环境问题</w:t>
            </w:r>
          </w:p>
          <w:tbl>
            <w:tblPr>
              <w:tblStyle w:val="39"/>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8"/>
              <w:gridCol w:w="728"/>
              <w:gridCol w:w="2768"/>
              <w:gridCol w:w="2056"/>
              <w:gridCol w:w="1019"/>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5552" w:type="dxa"/>
                  <w:gridSpan w:val="3"/>
                  <w:tcBorders>
                    <w:tl2br w:val="nil"/>
                    <w:tr2bl w:val="nil"/>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eastAsia="宋体" w:cs="Times New Roman"/>
                      <w:b/>
                      <w:bCs/>
                      <w:smallCaps w:val="0"/>
                      <w:color w:val="auto"/>
                      <w:kern w:val="0"/>
                      <w:sz w:val="21"/>
                      <w:szCs w:val="21"/>
                      <w:lang w:val="en-US" w:eastAsia="zh-CN" w:bidi="ar-SA"/>
                    </w:rPr>
                    <w:t>建设内容及规模</w:t>
                  </w:r>
                </w:p>
              </w:tc>
              <w:tc>
                <w:tcPr>
                  <w:tcW w:w="1019" w:type="dxa"/>
                  <w:vMerge w:val="restart"/>
                  <w:tcBorders>
                    <w:tl2br w:val="nil"/>
                    <w:tr2bl w:val="nil"/>
                  </w:tcBorders>
                  <w:noWrap w:val="0"/>
                  <w:vAlign w:val="center"/>
                </w:tcPr>
                <w:p>
                  <w:pPr>
                    <w:jc w:val="center"/>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营运期产生的环境问题</w:t>
                  </w:r>
                </w:p>
              </w:tc>
              <w:tc>
                <w:tcPr>
                  <w:tcW w:w="866" w:type="dxa"/>
                  <w:vMerge w:val="restart"/>
                  <w:tcBorders>
                    <w:tl2br w:val="nil"/>
                    <w:tr2bl w:val="nil"/>
                  </w:tcBorders>
                  <w:noWrap w:val="0"/>
                  <w:vAlign w:val="center"/>
                </w:tcPr>
                <w:p>
                  <w:pPr>
                    <w:jc w:val="center"/>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jc w:val="center"/>
                    <w:rPr>
                      <w:rFonts w:hint="default" w:ascii="Times New Roman" w:hAnsi="Times New Roman" w:cs="Times New Roman"/>
                      <w:color w:val="auto"/>
                    </w:rPr>
                  </w:pPr>
                </w:p>
              </w:tc>
              <w:tc>
                <w:tcPr>
                  <w:tcW w:w="3496" w:type="dxa"/>
                  <w:gridSpan w:val="2"/>
                  <w:tcBorders>
                    <w:tl2br w:val="nil"/>
                    <w:tr2bl w:val="nil"/>
                  </w:tcBorders>
                  <w:noWrap w:val="0"/>
                  <w:vAlign w:val="center"/>
                </w:tcPr>
                <w:p>
                  <w:pPr>
                    <w:jc w:val="center"/>
                    <w:rPr>
                      <w:rFonts w:hint="default" w:ascii="Times New Roman" w:hAnsi="Times New Roman" w:eastAsia="宋体" w:cs="Times New Roman"/>
                      <w:b/>
                      <w:bCs/>
                      <w:smallCaps w:val="0"/>
                      <w:color w:val="auto"/>
                      <w:kern w:val="0"/>
                      <w:sz w:val="21"/>
                      <w:szCs w:val="21"/>
                      <w:lang w:val="en-US" w:eastAsia="zh-CN" w:bidi="ar-SA"/>
                    </w:rPr>
                  </w:pPr>
                  <w:r>
                    <w:rPr>
                      <w:rFonts w:hint="default" w:ascii="Times New Roman" w:hAnsi="Times New Roman" w:eastAsia="宋体" w:cs="Times New Roman"/>
                      <w:b/>
                      <w:bCs/>
                      <w:smallCaps w:val="0"/>
                      <w:color w:val="auto"/>
                      <w:kern w:val="0"/>
                      <w:sz w:val="21"/>
                      <w:szCs w:val="21"/>
                      <w:lang w:val="en-US" w:eastAsia="zh-CN" w:bidi="ar-SA"/>
                    </w:rPr>
                    <w:t>现有项目实际建设</w:t>
                  </w:r>
                </w:p>
              </w:tc>
              <w:tc>
                <w:tcPr>
                  <w:tcW w:w="2056" w:type="dxa"/>
                  <w:tcBorders>
                    <w:tl2br w:val="nil"/>
                    <w:tr2bl w:val="nil"/>
                  </w:tcBorders>
                  <w:noWrap w:val="0"/>
                  <w:vAlign w:val="center"/>
                </w:tcPr>
                <w:p>
                  <w:pPr>
                    <w:jc w:val="center"/>
                    <w:rPr>
                      <w:rFonts w:hint="default" w:ascii="Times New Roman" w:hAnsi="Times New Roman" w:eastAsia="宋体" w:cs="Times New Roman"/>
                      <w:b/>
                      <w:bCs/>
                      <w:smallCaps w:val="0"/>
                      <w:color w:val="auto"/>
                      <w:kern w:val="0"/>
                      <w:sz w:val="21"/>
                      <w:szCs w:val="21"/>
                      <w:lang w:val="en-US" w:eastAsia="zh-CN" w:bidi="ar-SA"/>
                    </w:rPr>
                  </w:pPr>
                  <w:r>
                    <w:rPr>
                      <w:rFonts w:hint="default" w:ascii="Times New Roman" w:hAnsi="Times New Roman" w:eastAsia="宋体" w:cs="Times New Roman"/>
                      <w:b/>
                      <w:bCs/>
                      <w:smallCaps w:val="0"/>
                      <w:color w:val="auto"/>
                      <w:kern w:val="0"/>
                      <w:sz w:val="21"/>
                      <w:szCs w:val="21"/>
                      <w:lang w:val="en-US" w:eastAsia="zh-CN" w:bidi="ar-SA"/>
                    </w:rPr>
                    <w:t>本项目改造后</w:t>
                  </w:r>
                </w:p>
              </w:tc>
              <w:tc>
                <w:tcPr>
                  <w:tcW w:w="1019" w:type="dxa"/>
                  <w:vMerge w:val="continue"/>
                  <w:tcBorders>
                    <w:tl2br w:val="nil"/>
                    <w:tr2bl w:val="nil"/>
                  </w:tcBorders>
                  <w:noWrap w:val="0"/>
                  <w:vAlign w:val="center"/>
                </w:tcPr>
                <w:p>
                  <w:pPr>
                    <w:jc w:val="center"/>
                    <w:rPr>
                      <w:rFonts w:hint="default" w:ascii="Times New Roman" w:hAnsi="Times New Roman" w:eastAsia="宋体" w:cs="Times New Roman"/>
                      <w:b/>
                      <w:bCs/>
                      <w:smallCaps w:val="0"/>
                      <w:color w:val="auto"/>
                      <w:kern w:val="0"/>
                      <w:sz w:val="21"/>
                      <w:szCs w:val="21"/>
                      <w:lang w:val="en-US" w:eastAsia="zh-CN" w:bidi="ar-SA"/>
                    </w:rPr>
                  </w:pPr>
                </w:p>
              </w:tc>
              <w:tc>
                <w:tcPr>
                  <w:tcW w:w="866" w:type="dxa"/>
                  <w:vMerge w:val="continue"/>
                  <w:tcBorders>
                    <w:tl2br w:val="nil"/>
                    <w:tr2bl w:val="nil"/>
                  </w:tcBorders>
                  <w:noWrap w:val="0"/>
                  <w:vAlign w:val="center"/>
                </w:tcPr>
                <w:p>
                  <w:pPr>
                    <w:jc w:val="center"/>
                    <w:rPr>
                      <w:rFonts w:hint="default" w:ascii="Times New Roman" w:hAnsi="Times New Roman" w:eastAsia="宋体" w:cs="Times New Roman"/>
                      <w:b/>
                      <w:bCs/>
                      <w:smallCaps w:val="0"/>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5#厂房</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1F，建筑面积9209.67m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，设置刨花板生产线1条，设置干燥机、胶水铺装机、热压机、成品打包等设备。</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厂房东南侧增加桥洞板生产线干燥机，现有设备布局不变</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rPr>
                    <w:t>废气、噪声、固废</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6#厂房</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1F，建筑面积7499.19m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东侧</w:t>
                  </w:r>
                  <w:r>
                    <w:rPr>
                      <w:rFonts w:hint="default" w:ascii="Times New Roman" w:hAnsi="Times New Roman" w:eastAsia="宋体" w:cs="Times New Roman"/>
                      <w:color w:val="auto"/>
                      <w:sz w:val="21"/>
                      <w:szCs w:val="21"/>
                    </w:rPr>
                    <w:t>设置削片机</w:t>
                  </w:r>
                  <w:r>
                    <w:rPr>
                      <w:rFonts w:hint="default" w:ascii="Times New Roman" w:hAnsi="Times New Roman" w:eastAsia="宋体" w:cs="Times New Roman"/>
                      <w:color w:val="auto"/>
                      <w:sz w:val="21"/>
                      <w:szCs w:val="21"/>
                      <w:lang w:eastAsia="zh-CN"/>
                    </w:rPr>
                    <w:t>，西侧设置粉碎机，其余设置为原料仓库</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将厂房北侧</w:t>
                  </w:r>
                  <w:r>
                    <w:rPr>
                      <w:rFonts w:hint="eastAsia" w:ascii="Times New Roman" w:hAnsi="Times New Roman" w:cs="Times New Roman"/>
                      <w:color w:val="auto"/>
                      <w:szCs w:val="21"/>
                      <w:lang w:eastAsia="zh-CN"/>
                    </w:rPr>
                    <w:t>原料堆放区</w:t>
                  </w:r>
                  <w:r>
                    <w:rPr>
                      <w:rFonts w:hint="default" w:ascii="Times New Roman" w:hAnsi="Times New Roman" w:cs="Times New Roman"/>
                      <w:color w:val="auto"/>
                      <w:szCs w:val="21"/>
                      <w:lang w:eastAsia="zh-CN"/>
                    </w:rPr>
                    <w:t>改造为脲醛树脂胶生</w:t>
                  </w:r>
                  <w:r>
                    <w:rPr>
                      <w:rFonts w:hint="default" w:ascii="Times New Roman" w:hAnsi="Times New Roman" w:cs="Times New Roman"/>
                      <w:color w:val="auto"/>
                      <w:szCs w:val="21"/>
                      <w:highlight w:val="none"/>
                      <w:lang w:eastAsia="zh-CN"/>
                    </w:rPr>
                    <w:t>产加工车间（建筑面积为</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highlight w:val="none"/>
                      <w:lang w:eastAsia="zh-CN"/>
                    </w:rPr>
                    <w:t>），设置</w:t>
                  </w:r>
                  <w:r>
                    <w:rPr>
                      <w:rFonts w:hint="default" w:ascii="Times New Roman" w:hAnsi="Times New Roman" w:cs="Times New Roman"/>
                      <w:color w:val="auto"/>
                      <w:sz w:val="21"/>
                      <w:szCs w:val="21"/>
                      <w:highlight w:val="none"/>
                    </w:rPr>
                    <w:t>反应釜、甲醛储罐</w:t>
                  </w:r>
                  <w:r>
                    <w:rPr>
                      <w:rFonts w:hint="default" w:ascii="Times New Roman" w:hAnsi="Times New Roman" w:cs="Times New Roman"/>
                      <w:color w:val="auto"/>
                      <w:sz w:val="21"/>
                      <w:szCs w:val="21"/>
                      <w:highlight w:val="none"/>
                      <w:lang w:eastAsia="zh-CN"/>
                    </w:rPr>
                    <w:t>等，西侧增加</w:t>
                  </w:r>
                  <w:r>
                    <w:rPr>
                      <w:rFonts w:hint="default" w:ascii="Times New Roman" w:hAnsi="Times New Roman" w:cs="Times New Roman"/>
                      <w:color w:val="auto"/>
                      <w:sz w:val="21"/>
                      <w:szCs w:val="21"/>
                      <w:highlight w:val="none"/>
                      <w:lang w:val="en-US" w:eastAsia="zh-CN"/>
                    </w:rPr>
                    <w:t>1台粉碎机，</w:t>
                  </w:r>
                  <w:r>
                    <w:rPr>
                      <w:rFonts w:hint="default" w:ascii="Times New Roman" w:hAnsi="Times New Roman" w:cs="Times New Roman"/>
                      <w:color w:val="auto"/>
                      <w:szCs w:val="21"/>
                      <w:lang w:eastAsia="zh-CN"/>
                    </w:rPr>
                    <w:t>南侧改造为桥洞板铺装热压机、锯边</w:t>
                  </w:r>
                  <w:r>
                    <w:rPr>
                      <w:rFonts w:hint="eastAsia" w:ascii="Times New Roman" w:hAnsi="Times New Roman" w:cs="Times New Roman"/>
                      <w:color w:val="auto"/>
                      <w:szCs w:val="21"/>
                      <w:lang w:eastAsia="zh-CN"/>
                    </w:rPr>
                    <w:t>机</w:t>
                  </w:r>
                  <w:r>
                    <w:rPr>
                      <w:rFonts w:hint="default" w:ascii="Times New Roman" w:hAnsi="Times New Roman" w:cs="Times New Roman"/>
                      <w:color w:val="auto"/>
                      <w:szCs w:val="21"/>
                      <w:lang w:eastAsia="zh-CN"/>
                    </w:rPr>
                    <w:t>等设备，其余与现有项目一致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废气、噪声、固废</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变压器用房</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位于5#厂房西北侧，占建筑面积约50m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办公生活设施</w:t>
                  </w: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办公区</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在项目6#厂房内设置办公室，1间，占地面积为20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Cs/>
                      <w:color w:val="auto"/>
                      <w:sz w:val="21"/>
                      <w:szCs w:val="21"/>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固废、废水、噪声</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仓储工程</w:t>
                  </w: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成品堆放区</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位于5#厂房内北侧，建筑面</w:t>
                  </w:r>
                  <w:r>
                    <w:rPr>
                      <w:rFonts w:hint="default" w:ascii="Times New Roman" w:hAnsi="Times New Roman" w:eastAsia="宋体" w:cs="Times New Roman"/>
                      <w:bCs/>
                      <w:color w:val="auto"/>
                      <w:sz w:val="21"/>
                      <w:szCs w:val="21"/>
                      <w:lang w:eastAsia="zh-CN"/>
                    </w:rPr>
                    <w:t>积</w:t>
                  </w:r>
                  <w:r>
                    <w:rPr>
                      <w:rFonts w:hint="default" w:ascii="Times New Roman" w:hAnsi="Times New Roman" w:eastAsia="宋体" w:cs="Times New Roman"/>
                      <w:bCs/>
                      <w:color w:val="auto"/>
                      <w:sz w:val="21"/>
                      <w:szCs w:val="21"/>
                    </w:rPr>
                    <w:t>约1500m</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，主要用于堆存打包后的刨花板成品。</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在现有基础上新增4#厂房用于堆放成品</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原料堆放区</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#厂房设置原料堆存区，供正常生产利用。</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胶水存放区</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位于5#西南角，建筑面积约</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，主要用于脲醛树脂胶水的存放</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6#车间</w:t>
                  </w:r>
                  <w:r>
                    <w:rPr>
                      <w:rFonts w:hint="default" w:ascii="Times New Roman" w:hAnsi="Times New Roman" w:eastAsia="宋体" w:cs="Times New Roman"/>
                      <w:color w:val="auto"/>
                      <w:sz w:val="21"/>
                      <w:szCs w:val="21"/>
                      <w:lang w:eastAsia="zh-CN"/>
                    </w:rPr>
                    <w:t>西南角设置胶水存放区，</w:t>
                  </w:r>
                  <w:r>
                    <w:rPr>
                      <w:rFonts w:hint="default" w:ascii="Times New Roman" w:hAnsi="Times New Roman" w:eastAsia="宋体" w:cs="Times New Roman"/>
                      <w:color w:val="auto"/>
                      <w:sz w:val="21"/>
                      <w:szCs w:val="21"/>
                      <w:lang w:val="en-US" w:eastAsia="zh-CN"/>
                    </w:rPr>
                    <w:t>5#与现有项目一致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供电系统</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由市政电网供给。</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供水设施</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由市政给水管网供给。</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排水设施</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排水采用雨污分流制</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7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color w:val="auto"/>
                      <w:sz w:val="21"/>
                      <w:szCs w:val="21"/>
                    </w:rPr>
                    <w:t>生活污水：</w:t>
                  </w:r>
                  <w:r>
                    <w:rPr>
                      <w:rFonts w:hint="default" w:ascii="Times New Roman" w:hAnsi="Times New Roman" w:eastAsia="宋体" w:cs="Times New Roman"/>
                      <w:color w:val="auto"/>
                      <w:sz w:val="21"/>
                      <w:szCs w:val="21"/>
                    </w:rPr>
                    <w:t>利用租赁厂区预处理池处理后排放至市政污水管网，进入蓬溪县经济开发</w:t>
                  </w:r>
                  <w:r>
                    <w:rPr>
                      <w:rFonts w:hint="default" w:ascii="Times New Roman" w:hAnsi="Times New Roman" w:eastAsia="宋体" w:cs="Times New Roman"/>
                      <w:color w:val="auto"/>
                      <w:sz w:val="21"/>
                      <w:szCs w:val="21"/>
                      <w:lang w:eastAsia="zh-CN"/>
                    </w:rPr>
                    <w:t>区废</w:t>
                  </w:r>
                  <w:r>
                    <w:rPr>
                      <w:rFonts w:hint="default" w:ascii="Times New Roman" w:hAnsi="Times New Roman" w:eastAsia="宋体" w:cs="Times New Roman"/>
                      <w:color w:val="auto"/>
                      <w:sz w:val="21"/>
                      <w:szCs w:val="21"/>
                    </w:rPr>
                    <w:t>水处理厂处理达标后排放</w:t>
                  </w:r>
                  <w:r>
                    <w:rPr>
                      <w:rFonts w:hint="default" w:ascii="Times New Roman" w:hAnsi="Times New Roman" w:eastAsia="宋体" w:cs="Times New Roman"/>
                      <w:bCs/>
                      <w:color w:val="auto"/>
                      <w:sz w:val="21"/>
                      <w:szCs w:val="21"/>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生产废水：</w:t>
                  </w:r>
                  <w:r>
                    <w:rPr>
                      <w:rFonts w:hint="default" w:ascii="Times New Roman" w:hAnsi="Times New Roman" w:eastAsia="宋体" w:cs="Times New Roman"/>
                      <w:color w:val="auto"/>
                      <w:sz w:val="21"/>
                      <w:szCs w:val="21"/>
                    </w:rPr>
                    <w:t>水膜除尘废水循环利用不外排。</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冷却水：</w:t>
                  </w:r>
                  <w:r>
                    <w:rPr>
                      <w:rFonts w:hint="default" w:ascii="Times New Roman" w:hAnsi="Times New Roman" w:eastAsia="宋体" w:cs="Times New Roman"/>
                      <w:color w:val="auto"/>
                      <w:sz w:val="21"/>
                      <w:szCs w:val="21"/>
                      <w:lang w:val="en-US" w:eastAsia="zh-CN"/>
                    </w:rPr>
                    <w:t>设置一座循环水池</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yellow"/>
                      <w:lang w:eastAsia="zh-CN"/>
                    </w:rPr>
                  </w:pPr>
                  <w:r>
                    <w:rPr>
                      <w:rFonts w:hint="default" w:ascii="Times New Roman" w:hAnsi="Times New Roman" w:eastAsia="宋体" w:cs="Times New Roman"/>
                      <w:b/>
                      <w:bCs/>
                      <w:color w:val="auto"/>
                      <w:sz w:val="21"/>
                      <w:szCs w:val="21"/>
                      <w:highlight w:val="none"/>
                    </w:rPr>
                    <w:t>木料加工处理废气处理系统：</w:t>
                  </w: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粉碎</w:t>
                  </w:r>
                  <w:r>
                    <w:rPr>
                      <w:rFonts w:hint="default" w:ascii="Times New Roman" w:hAnsi="Times New Roman" w:eastAsia="宋体" w:cs="Times New Roman"/>
                      <w:color w:val="auto"/>
                      <w:sz w:val="21"/>
                      <w:szCs w:val="21"/>
                      <w:highlight w:val="none"/>
                    </w:rPr>
                    <w:t>工序设置旋风除尘器，经旋风除尘器处理后的废气再经脉冲式布袋除尘器处理</w:t>
                  </w:r>
                  <w:r>
                    <w:rPr>
                      <w:rFonts w:hint="default" w:ascii="Times New Roman" w:hAnsi="Times New Roman" w:eastAsia="宋体" w:cs="Times New Roman"/>
                      <w:color w:val="auto"/>
                      <w:sz w:val="21"/>
                      <w:szCs w:val="21"/>
                      <w:highlight w:val="none"/>
                      <w:lang w:eastAsia="zh-CN"/>
                    </w:rPr>
                    <w:t>，切片工序设置集气罩，经一台单独的</w:t>
                  </w:r>
                  <w:r>
                    <w:rPr>
                      <w:rFonts w:hint="default" w:ascii="Times New Roman" w:hAnsi="Times New Roman" w:eastAsia="宋体" w:cs="Times New Roman"/>
                      <w:color w:val="auto"/>
                      <w:sz w:val="21"/>
                      <w:szCs w:val="21"/>
                      <w:highlight w:val="none"/>
                    </w:rPr>
                    <w:t>脉冲式布袋除尘器进行收集处理后排放</w:t>
                  </w:r>
                  <w:r>
                    <w:rPr>
                      <w:rFonts w:hint="default" w:ascii="Times New Roman" w:hAnsi="Times New Roman" w:eastAsia="宋体" w:cs="Times New Roman"/>
                      <w:color w:val="auto"/>
                      <w:sz w:val="21"/>
                      <w:szCs w:val="21"/>
                      <w:highlight w:val="none"/>
                      <w:lang w:eastAsia="zh-CN"/>
                    </w:rPr>
                    <w:t>（此工序目前停用）；筛分设置集气罩，经一台单独的</w:t>
                  </w:r>
                  <w:r>
                    <w:rPr>
                      <w:rFonts w:hint="default" w:ascii="Times New Roman" w:hAnsi="Times New Roman" w:eastAsia="宋体" w:cs="Times New Roman"/>
                      <w:color w:val="auto"/>
                      <w:sz w:val="21"/>
                      <w:szCs w:val="21"/>
                      <w:highlight w:val="none"/>
                    </w:rPr>
                    <w:t>脉冲式布袋除尘器进行收集处理达标后排放</w:t>
                  </w:r>
                  <w:r>
                    <w:rPr>
                      <w:rFonts w:hint="default" w:ascii="Times New Roman" w:hAnsi="Times New Roman" w:eastAsia="宋体" w:cs="Times New Roman"/>
                      <w:color w:val="auto"/>
                      <w:sz w:val="21"/>
                      <w:szCs w:val="21"/>
                      <w:highlight w:val="none"/>
                      <w:lang w:eastAsia="zh-CN"/>
                    </w:rPr>
                    <w:t>。此工序共设置</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台布袋除尘器</w:t>
                  </w:r>
                  <w:r>
                    <w:rPr>
                      <w:rFonts w:hint="default" w:ascii="Times New Roman" w:hAnsi="Times New Roman" w:eastAsia="宋体" w:cs="Times New Roman"/>
                      <w:color w:val="auto"/>
                      <w:sz w:val="21"/>
                      <w:szCs w:val="21"/>
                      <w:highlight w:val="none"/>
                      <w:lang w:eastAsia="zh-CN"/>
                    </w:rPr>
                    <w:t>，经由</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削片工序设置喷淋装置进行湿式作业，于车间内排放。</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本次新增</w:t>
                  </w:r>
                  <w:r>
                    <w:rPr>
                      <w:rFonts w:hint="default" w:ascii="Times New Roman" w:hAnsi="Times New Roman" w:eastAsia="宋体" w:cs="Times New Roman"/>
                      <w:color w:val="auto"/>
                      <w:sz w:val="21"/>
                      <w:szCs w:val="21"/>
                      <w:highlight w:val="none"/>
                      <w:lang w:val="en-US" w:eastAsia="zh-CN"/>
                    </w:rPr>
                    <w:t>粉碎机，负压抽风引至已建</w:t>
                  </w:r>
                  <w:r>
                    <w:rPr>
                      <w:rFonts w:hint="default" w:ascii="Times New Roman" w:hAnsi="Times New Roman" w:eastAsia="宋体" w:cs="Times New Roman"/>
                      <w:color w:val="auto"/>
                      <w:sz w:val="21"/>
                      <w:szCs w:val="21"/>
                      <w:highlight w:val="none"/>
                    </w:rPr>
                    <w:t>旋风除尘器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脉冲式布袋除尘器处理；</w:t>
                  </w:r>
                  <w:r>
                    <w:rPr>
                      <w:rFonts w:hint="default" w:ascii="Times New Roman" w:hAnsi="Times New Roman" w:eastAsia="宋体" w:cs="Times New Roman"/>
                      <w:color w:val="auto"/>
                      <w:sz w:val="21"/>
                      <w:szCs w:val="21"/>
                      <w:highlight w:val="none"/>
                      <w:lang w:eastAsia="zh-CN"/>
                    </w:rPr>
                    <w:t>新增振动筛设置集气罩，经已建</w:t>
                  </w:r>
                  <w:r>
                    <w:rPr>
                      <w:rFonts w:hint="default" w:ascii="Times New Roman" w:hAnsi="Times New Roman" w:eastAsia="宋体" w:cs="Times New Roman"/>
                      <w:color w:val="auto"/>
                      <w:sz w:val="21"/>
                      <w:szCs w:val="21"/>
                      <w:highlight w:val="none"/>
                    </w:rPr>
                    <w:t>脉冲式布袋除尘器进行收集处理达标后排放</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本次新增</w:t>
                  </w:r>
                  <w:r>
                    <w:rPr>
                      <w:rFonts w:hint="default" w:ascii="Times New Roman" w:hAnsi="Times New Roman" w:eastAsia="宋体" w:cs="Times New Roman"/>
                      <w:color w:val="auto"/>
                      <w:sz w:val="21"/>
                      <w:szCs w:val="21"/>
                      <w:highlight w:val="none"/>
                      <w:lang w:val="en-US" w:eastAsia="zh-CN"/>
                    </w:rPr>
                    <w:t>2台风选机，风选废气负压抽风经</w:t>
                  </w:r>
                  <w:r>
                    <w:rPr>
                      <w:rFonts w:hint="default" w:ascii="Times New Roman" w:hAnsi="Times New Roman" w:eastAsia="宋体" w:cs="Times New Roman"/>
                      <w:color w:val="auto"/>
                      <w:sz w:val="21"/>
                      <w:szCs w:val="21"/>
                      <w:highlight w:val="none"/>
                    </w:rPr>
                    <w:t>旋风除尘器</w:t>
                  </w:r>
                  <w:r>
                    <w:rPr>
                      <w:rFonts w:hint="default" w:ascii="Times New Roman" w:hAnsi="Times New Roman" w:eastAsia="宋体" w:cs="Times New Roman"/>
                      <w:color w:val="auto"/>
                      <w:sz w:val="21"/>
                      <w:szCs w:val="21"/>
                      <w:highlight w:val="none"/>
                      <w:lang w:val="en-US" w:eastAsia="zh-CN"/>
                    </w:rPr>
                    <w:t>+脉冲布袋除尘器</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kern w:val="0"/>
                      <w:sz w:val="21"/>
                      <w:szCs w:val="21"/>
                      <w:highlight w:val="none"/>
                    </w:rPr>
                    <w:t>由1根</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m排气筒（</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sz w:val="21"/>
                      <w:szCs w:val="21"/>
                      <w:highlight w:val="none"/>
                      <w:lang w:val="en-US" w:eastAsia="zh-CN"/>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本次改建生产线粉碎、筛分废气处理装置依托现有项目；新增风选粉尘收集处理设施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拌胶、施胶、热压冷却工序废气处理系统：</w:t>
                  </w:r>
                  <w:r>
                    <w:rPr>
                      <w:rFonts w:hint="default" w:ascii="Times New Roman" w:hAnsi="Times New Roman" w:eastAsia="宋体" w:cs="Times New Roman"/>
                      <w:b w:val="0"/>
                      <w:bCs w:val="0"/>
                      <w:color w:val="auto"/>
                      <w:sz w:val="21"/>
                      <w:szCs w:val="21"/>
                      <w:highlight w:val="none"/>
                      <w:lang w:eastAsia="zh-CN"/>
                    </w:rPr>
                    <w:t>胶储存罐设置密闭管道连接至施胶机，</w:t>
                  </w:r>
                  <w:r>
                    <w:rPr>
                      <w:rFonts w:hint="default" w:ascii="Times New Roman" w:hAnsi="Times New Roman" w:eastAsia="宋体" w:cs="Times New Roman"/>
                      <w:color w:val="auto"/>
                      <w:sz w:val="21"/>
                      <w:szCs w:val="21"/>
                      <w:highlight w:val="none"/>
                    </w:rPr>
                    <w:t>将施胶机、铺装机</w:t>
                  </w:r>
                  <w:r>
                    <w:rPr>
                      <w:rFonts w:hint="default" w:ascii="Times New Roman" w:hAnsi="Times New Roman" w:eastAsia="宋体" w:cs="Times New Roman"/>
                      <w:color w:val="auto"/>
                      <w:sz w:val="21"/>
                      <w:szCs w:val="21"/>
                      <w:highlight w:val="none"/>
                      <w:lang w:eastAsia="zh-CN"/>
                    </w:rPr>
                    <w:t>（铺装与预压同步进行）</w:t>
                  </w:r>
                  <w:r>
                    <w:rPr>
                      <w:rFonts w:hint="default" w:ascii="Times New Roman" w:hAnsi="Times New Roman" w:eastAsia="宋体" w:cs="Times New Roman"/>
                      <w:color w:val="auto"/>
                      <w:sz w:val="21"/>
                      <w:szCs w:val="21"/>
                      <w:highlight w:val="none"/>
                    </w:rPr>
                    <w:t>、热压区上方设置集气罩，将有机废气引至热能中心进行燃烧处理，处理后的烟气与生物质烟气一同进入干燥设施，干燥工序后的烟气采用旋风除尘+水膜除尘进行处理后</w:t>
                  </w:r>
                  <w:r>
                    <w:rPr>
                      <w:rFonts w:hint="default" w:ascii="Times New Roman" w:hAnsi="Times New Roman" w:eastAsia="宋体" w:cs="Times New Roman"/>
                      <w:color w:val="auto"/>
                      <w:kern w:val="0"/>
                      <w:sz w:val="21"/>
                      <w:szCs w:val="21"/>
                      <w:highlight w:val="none"/>
                    </w:rPr>
                    <w:t>经由1根25m排气筒（</w:t>
                  </w:r>
                  <w:r>
                    <w:rPr>
                      <w:rFonts w:hint="default" w:ascii="Times New Roman" w:hAnsi="Times New Roman" w:eastAsia="宋体" w:cs="Times New Roman"/>
                      <w:color w:val="auto"/>
                      <w:kern w:val="0"/>
                      <w:sz w:val="21"/>
                      <w:szCs w:val="21"/>
                      <w:highlight w:val="none"/>
                      <w:lang w:eastAsia="zh-CN"/>
                    </w:rPr>
                    <w:t>1#</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kern w:val="0"/>
                      <w:sz w:val="21"/>
                      <w:szCs w:val="21"/>
                      <w:highlight w:val="none"/>
                      <w:lang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color w:val="auto"/>
                      <w:sz w:val="21"/>
                      <w:szCs w:val="21"/>
                      <w:highlight w:val="none"/>
                      <w:lang w:eastAsia="zh-CN"/>
                    </w:rPr>
                    <w:t>桥洞板生产线胶储存罐设置密闭管道连接至拌胶</w:t>
                  </w:r>
                  <w:r>
                    <w:rPr>
                      <w:rFonts w:hint="default" w:ascii="Times New Roman" w:hAnsi="Times New Roman" w:eastAsia="宋体" w:cs="Times New Roman"/>
                      <w:b w:val="0"/>
                      <w:bCs w:val="0"/>
                      <w:color w:val="auto"/>
                      <w:sz w:val="21"/>
                      <w:szCs w:val="21"/>
                      <w:highlight w:val="none"/>
                      <w:lang w:eastAsia="zh-CN"/>
                    </w:rPr>
                    <w:t>机，</w:t>
                  </w:r>
                  <w:r>
                    <w:rPr>
                      <w:rFonts w:hint="default" w:ascii="Times New Roman" w:hAnsi="Times New Roman" w:eastAsia="宋体" w:cs="Times New Roman"/>
                      <w:color w:val="auto"/>
                      <w:sz w:val="21"/>
                      <w:szCs w:val="21"/>
                      <w:highlight w:val="none"/>
                      <w:lang w:eastAsia="zh-CN"/>
                    </w:rPr>
                    <w:t>在拌</w:t>
                  </w:r>
                  <w:r>
                    <w:rPr>
                      <w:rFonts w:hint="default" w:ascii="Times New Roman" w:hAnsi="Times New Roman" w:eastAsia="宋体" w:cs="Times New Roman"/>
                      <w:color w:val="auto"/>
                      <w:sz w:val="21"/>
                      <w:szCs w:val="21"/>
                      <w:highlight w:val="none"/>
                    </w:rPr>
                    <w:t>胶机、热压</w:t>
                  </w:r>
                  <w:r>
                    <w:rPr>
                      <w:rFonts w:hint="default" w:ascii="Times New Roman" w:hAnsi="Times New Roman" w:eastAsia="宋体" w:cs="Times New Roman"/>
                      <w:color w:val="auto"/>
                      <w:sz w:val="21"/>
                      <w:szCs w:val="21"/>
                      <w:highlight w:val="none"/>
                      <w:lang w:eastAsia="zh-CN"/>
                    </w:rPr>
                    <w:t>机</w:t>
                  </w:r>
                  <w:r>
                    <w:rPr>
                      <w:rFonts w:hint="default" w:ascii="Times New Roman" w:hAnsi="Times New Roman" w:eastAsia="宋体" w:cs="Times New Roman"/>
                      <w:color w:val="auto"/>
                      <w:sz w:val="21"/>
                      <w:szCs w:val="21"/>
                      <w:highlight w:val="none"/>
                    </w:rPr>
                    <w:t>上方设置集气罩，将有机废气引至</w:t>
                  </w:r>
                  <w:r>
                    <w:rPr>
                      <w:rFonts w:hint="eastAsia" w:ascii="Times New Roman" w:hAnsi="Times New Roman" w:eastAsia="宋体" w:cs="Times New Roman"/>
                      <w:color w:val="auto"/>
                      <w:sz w:val="21"/>
                      <w:szCs w:val="21"/>
                      <w:highlight w:val="none"/>
                      <w:lang w:eastAsia="zh-CN"/>
                    </w:rPr>
                    <w:t>新增</w:t>
                  </w:r>
                  <w:r>
                    <w:rPr>
                      <w:rFonts w:hint="default" w:ascii="Times New Roman" w:hAnsi="Times New Roman" w:eastAsia="宋体" w:cs="Times New Roman"/>
                      <w:color w:val="auto"/>
                      <w:sz w:val="21"/>
                      <w:szCs w:val="21"/>
                      <w:highlight w:val="none"/>
                    </w:rPr>
                    <w:t>热能中心进行燃烧处理，处理后的烟气与生物质</w:t>
                  </w:r>
                  <w:r>
                    <w:rPr>
                      <w:rFonts w:hint="default" w:ascii="Times New Roman" w:hAnsi="Times New Roman" w:eastAsia="宋体" w:cs="Times New Roman"/>
                      <w:color w:val="auto"/>
                      <w:sz w:val="21"/>
                      <w:szCs w:val="21"/>
                      <w:highlight w:val="none"/>
                      <w:lang w:eastAsia="zh-CN"/>
                    </w:rPr>
                    <w:t>燃烧</w:t>
                  </w:r>
                  <w:r>
                    <w:rPr>
                      <w:rFonts w:hint="default" w:ascii="Times New Roman" w:hAnsi="Times New Roman" w:eastAsia="宋体" w:cs="Times New Roman"/>
                      <w:color w:val="auto"/>
                      <w:sz w:val="21"/>
                      <w:szCs w:val="21"/>
                      <w:highlight w:val="none"/>
                    </w:rPr>
                    <w:t>烟气一同进入干燥设施，干燥工序后的烟气采用旋风除尘+水膜除尘进行处理后</w:t>
                  </w:r>
                  <w:r>
                    <w:rPr>
                      <w:rFonts w:hint="default" w:ascii="Times New Roman" w:hAnsi="Times New Roman" w:eastAsia="宋体" w:cs="Times New Roman"/>
                      <w:color w:val="auto"/>
                      <w:kern w:val="0"/>
                      <w:sz w:val="21"/>
                      <w:szCs w:val="21"/>
                      <w:highlight w:val="none"/>
                    </w:rPr>
                    <w:t>经由1根25m排气筒（</w:t>
                  </w:r>
                  <w:r>
                    <w:rPr>
                      <w:rFonts w:hint="default" w:ascii="Times New Roman" w:hAnsi="Times New Roman" w:eastAsia="宋体" w:cs="Times New Roman"/>
                      <w:color w:val="auto"/>
                      <w:kern w:val="0"/>
                      <w:sz w:val="21"/>
                      <w:szCs w:val="21"/>
                      <w:highlight w:val="none"/>
                      <w:lang w:eastAsia="zh-CN"/>
                    </w:rPr>
                    <w:t>1#</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kern w:val="0"/>
                      <w:sz w:val="21"/>
                      <w:szCs w:val="21"/>
                      <w:highlight w:val="none"/>
                      <w:lang w:eastAsia="zh-CN"/>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Cs w:val="22"/>
                      <w:highlight w:val="none"/>
                      <w:lang w:val="en-US" w:eastAsia="zh-CN"/>
                    </w:rPr>
                  </w:pPr>
                  <w:r>
                    <w:rPr>
                      <w:rFonts w:hint="default" w:ascii="Times New Roman" w:hAnsi="Times New Roman" w:eastAsia="宋体" w:cs="Times New Roman"/>
                      <w:b w:val="0"/>
                      <w:bCs w:val="0"/>
                      <w:color w:val="auto"/>
                      <w:szCs w:val="22"/>
                      <w:highlight w:val="none"/>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依托现有项目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热能中心烟气处理系统：</w:t>
                  </w:r>
                  <w:r>
                    <w:rPr>
                      <w:rFonts w:hint="default" w:ascii="Times New Roman" w:hAnsi="Times New Roman" w:eastAsia="宋体" w:cs="Times New Roman"/>
                      <w:color w:val="auto"/>
                      <w:sz w:val="21"/>
                      <w:szCs w:val="21"/>
                    </w:rPr>
                    <w:t>热能中心烟气经SNCR脱硝+旋风除尘+水膜除尘处理后，经由1根25m高烟囱（</w:t>
                  </w: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rPr>
                    <w:t>）排放</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桥洞板生产线</w:t>
                  </w:r>
                  <w:r>
                    <w:rPr>
                      <w:rFonts w:hint="eastAsia" w:ascii="Times New Roman" w:hAnsi="Times New Roman" w:eastAsia="宋体" w:cs="Times New Roman"/>
                      <w:color w:val="auto"/>
                      <w:sz w:val="21"/>
                      <w:szCs w:val="21"/>
                      <w:highlight w:val="none"/>
                      <w:lang w:eastAsia="zh-CN"/>
                    </w:rPr>
                    <w:t>热能中心</w:t>
                  </w:r>
                  <w:r>
                    <w:rPr>
                      <w:rFonts w:hint="default" w:ascii="Times New Roman" w:hAnsi="Times New Roman" w:eastAsia="宋体" w:cs="Times New Roman"/>
                      <w:color w:val="auto"/>
                      <w:sz w:val="21"/>
                      <w:szCs w:val="21"/>
                      <w:highlight w:val="none"/>
                      <w:lang w:eastAsia="zh-CN"/>
                    </w:rPr>
                    <w:t>燃烧废气</w:t>
                  </w:r>
                  <w:r>
                    <w:rPr>
                      <w:rFonts w:hint="eastAsia"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sz w:val="21"/>
                      <w:szCs w:val="21"/>
                    </w:rPr>
                    <w:t>SNCR脱硝</w:t>
                  </w:r>
                  <w:r>
                    <w:rPr>
                      <w:rFonts w:hint="eastAsia" w:ascii="Times New Roman" w:hAnsi="Times New Roman" w:eastAsia="宋体" w:cs="Times New Roman"/>
                      <w:color w:val="auto"/>
                      <w:sz w:val="21"/>
                      <w:szCs w:val="21"/>
                      <w:lang w:eastAsia="zh-CN"/>
                    </w:rPr>
                    <w:t>处理后，依托现有已建</w:t>
                  </w:r>
                  <w:r>
                    <w:rPr>
                      <w:rFonts w:hint="default" w:ascii="Times New Roman" w:hAnsi="Times New Roman" w:eastAsia="宋体" w:cs="Times New Roman"/>
                      <w:color w:val="auto"/>
                      <w:sz w:val="21"/>
                      <w:szCs w:val="21"/>
                    </w:rPr>
                    <w:t>旋风除尘+水膜除尘处理后，经由1根25m高烟囱（</w:t>
                  </w: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rPr>
                    <w:t>）排放</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highlight w:val="none"/>
                      <w:lang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val="0"/>
                      <w:bCs w:val="0"/>
                      <w:color w:val="auto"/>
                      <w:sz w:val="21"/>
                      <w:szCs w:val="21"/>
                      <w:highlight w:val="none"/>
                      <w:lang w:eastAsia="zh-CN"/>
                    </w:rPr>
                    <w:t>新增</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eastAsia="zh-CN"/>
                    </w:rPr>
                    <w:t>依托现有项目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半成品裁边废气处理系统：</w:t>
                  </w:r>
                  <w:r>
                    <w:rPr>
                      <w:rFonts w:hint="default" w:ascii="Times New Roman" w:hAnsi="Times New Roman" w:eastAsia="宋体" w:cs="Times New Roman"/>
                      <w:color w:val="auto"/>
                      <w:sz w:val="21"/>
                      <w:szCs w:val="21"/>
                    </w:rPr>
                    <w:t>本项目热压后的刨花板经冷却后需要进行裁边，</w:t>
                  </w:r>
                  <w:r>
                    <w:rPr>
                      <w:rFonts w:hint="default" w:ascii="Times New Roman" w:hAnsi="Times New Roman" w:eastAsia="宋体" w:cs="Times New Roman"/>
                      <w:b w:val="0"/>
                      <w:bCs w:val="0"/>
                      <w:color w:val="auto"/>
                      <w:sz w:val="21"/>
                      <w:szCs w:val="21"/>
                      <w:highlight w:val="none"/>
                      <w:lang w:eastAsia="zh-CN"/>
                    </w:rPr>
                    <w:t>裁边废气</w:t>
                  </w: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eastAsia="zh-CN"/>
                    </w:rPr>
                    <w:t>旋风</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脉冲式布袋除尘器处理后</w:t>
                  </w:r>
                  <w:r>
                    <w:rPr>
                      <w:rFonts w:hint="default" w:ascii="Times New Roman" w:hAnsi="Times New Roman" w:eastAsia="宋体" w:cs="Times New Roman"/>
                      <w:color w:val="auto"/>
                      <w:kern w:val="0"/>
                      <w:sz w:val="21"/>
                      <w:szCs w:val="21"/>
                    </w:rPr>
                    <w:t>由1根15m排气筒（</w:t>
                  </w:r>
                  <w:r>
                    <w:rPr>
                      <w:rFonts w:hint="default" w:ascii="Times New Roman" w:hAnsi="Times New Roman" w:eastAsia="宋体" w:cs="Times New Roman"/>
                      <w:color w:val="auto"/>
                      <w:kern w:val="0"/>
                      <w:sz w:val="21"/>
                      <w:szCs w:val="21"/>
                      <w:lang w:eastAsia="zh-CN"/>
                    </w:rPr>
                    <w:t>3#</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sz w:val="21"/>
                      <w:szCs w:val="21"/>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桥洞板裁边</w:t>
                  </w:r>
                  <w:r>
                    <w:rPr>
                      <w:rFonts w:hint="default" w:ascii="Times New Roman" w:hAnsi="Times New Roman" w:eastAsia="宋体" w:cs="Times New Roman"/>
                      <w:b w:val="0"/>
                      <w:bCs w:val="0"/>
                      <w:color w:val="auto"/>
                      <w:sz w:val="21"/>
                      <w:szCs w:val="21"/>
                      <w:highlight w:val="none"/>
                      <w:lang w:eastAsia="zh-CN"/>
                    </w:rPr>
                    <w:t>废气</w:t>
                  </w:r>
                  <w:r>
                    <w:rPr>
                      <w:rFonts w:hint="default" w:ascii="Times New Roman" w:hAnsi="Times New Roman" w:eastAsia="宋体" w:cs="Times New Roman"/>
                      <w:color w:val="auto"/>
                      <w:sz w:val="21"/>
                      <w:szCs w:val="21"/>
                    </w:rPr>
                    <w:t>经脉冲式布袋除尘器处理后</w:t>
                  </w:r>
                  <w:r>
                    <w:rPr>
                      <w:rFonts w:hint="default" w:ascii="Times New Roman" w:hAnsi="Times New Roman" w:eastAsia="宋体" w:cs="Times New Roman"/>
                      <w:color w:val="auto"/>
                      <w:kern w:val="0"/>
                      <w:sz w:val="21"/>
                      <w:szCs w:val="21"/>
                    </w:rPr>
                    <w:t>由1根15m排气筒（</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sz w:val="21"/>
                      <w:szCs w:val="21"/>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highlight w:val="none"/>
                      <w:lang w:eastAsia="zh-CN"/>
                    </w:rPr>
                    <w:t>本次改建生产线裁边废气新增处理装置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甲醛储罐呼吸废气：</w:t>
                  </w:r>
                  <w:r>
                    <w:rPr>
                      <w:rFonts w:hint="default" w:ascii="Times New Roman" w:hAnsi="Times New Roman" w:eastAsia="宋体" w:cs="Times New Roman"/>
                      <w:b w:val="0"/>
                      <w:bCs w:val="0"/>
                      <w:color w:val="auto"/>
                      <w:sz w:val="21"/>
                      <w:szCs w:val="21"/>
                      <w:highlight w:val="none"/>
                      <w:lang w:val="en-US" w:eastAsia="zh-CN"/>
                    </w:rPr>
                    <w:t>经密闭管道收集，设置一套活性炭吸附箱，经</w:t>
                  </w:r>
                  <w:r>
                    <w:rPr>
                      <w:rFonts w:hint="default" w:ascii="Times New Roman" w:hAnsi="Times New Roman" w:eastAsia="宋体" w:cs="Times New Roman"/>
                      <w:color w:val="auto"/>
                      <w:kern w:val="0"/>
                      <w:sz w:val="21"/>
                      <w:szCs w:val="21"/>
                    </w:rPr>
                    <w:t>由1根15m排气筒（</w:t>
                  </w:r>
                  <w:r>
                    <w:rPr>
                      <w:rFonts w:hint="default"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eastAsia="zh-CN"/>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天然气锅炉废气：</w:t>
                  </w:r>
                  <w:r>
                    <w:rPr>
                      <w:rFonts w:hint="default" w:ascii="Times New Roman" w:hAnsi="Times New Roman" w:eastAsia="宋体" w:cs="Times New Roman"/>
                      <w:color w:val="auto"/>
                      <w:sz w:val="21"/>
                      <w:szCs w:val="21"/>
                      <w:highlight w:val="none"/>
                      <w:lang w:val="en-US" w:eastAsia="zh-CN"/>
                    </w:rPr>
                    <w:t>设置低氮燃烧装置，废气经</w:t>
                  </w:r>
                  <w:r>
                    <w:rPr>
                      <w:rFonts w:hint="default" w:ascii="Times New Roman" w:hAnsi="Times New Roman" w:eastAsia="宋体" w:cs="Times New Roman"/>
                      <w:color w:val="auto"/>
                      <w:kern w:val="0"/>
                      <w:sz w:val="21"/>
                      <w:szCs w:val="21"/>
                    </w:rPr>
                    <w:t>1根15m排气筒（</w:t>
                  </w:r>
                  <w:r>
                    <w:rPr>
                      <w:rFonts w:hint="default"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eastAsia="zh-CN"/>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制胶废气：</w:t>
                  </w:r>
                  <w:r>
                    <w:rPr>
                      <w:rFonts w:hint="default" w:ascii="Times New Roman" w:hAnsi="Times New Roman" w:eastAsia="宋体" w:cs="Times New Roman"/>
                      <w:color w:val="auto"/>
                      <w:sz w:val="21"/>
                      <w:szCs w:val="21"/>
                      <w:highlight w:val="none"/>
                      <w:lang w:eastAsia="zh-CN"/>
                    </w:rPr>
                    <w:t>新增制胶反应釜设置密闭管道</w:t>
                  </w:r>
                  <w:r>
                    <w:rPr>
                      <w:rFonts w:hint="default" w:ascii="Times New Roman" w:hAnsi="Times New Roman" w:eastAsia="宋体" w:cs="Times New Roman"/>
                      <w:color w:val="auto"/>
                      <w:sz w:val="21"/>
                      <w:szCs w:val="21"/>
                      <w:highlight w:val="none"/>
                    </w:rPr>
                    <w:t>，将</w:t>
                  </w:r>
                  <w:r>
                    <w:rPr>
                      <w:rFonts w:hint="default" w:ascii="Times New Roman" w:hAnsi="Times New Roman" w:eastAsia="宋体" w:cs="Times New Roman"/>
                      <w:color w:val="auto"/>
                      <w:sz w:val="21"/>
                      <w:szCs w:val="21"/>
                      <w:highlight w:val="none"/>
                      <w:lang w:eastAsia="zh-CN"/>
                    </w:rPr>
                    <w:t>制胶</w:t>
                  </w:r>
                  <w:r>
                    <w:rPr>
                      <w:rFonts w:hint="default" w:ascii="Times New Roman" w:hAnsi="Times New Roman" w:eastAsia="宋体" w:cs="Times New Roman"/>
                      <w:color w:val="auto"/>
                      <w:sz w:val="21"/>
                      <w:szCs w:val="21"/>
                      <w:highlight w:val="none"/>
                    </w:rPr>
                    <w:t>废气引至天然气锅炉</w:t>
                  </w:r>
                  <w:r>
                    <w:rPr>
                      <w:rFonts w:hint="default" w:ascii="Times New Roman" w:hAnsi="Times New Roman" w:eastAsia="宋体" w:cs="Times New Roman"/>
                      <w:color w:val="auto"/>
                      <w:sz w:val="21"/>
                      <w:szCs w:val="21"/>
                      <w:highlight w:val="none"/>
                      <w:lang w:val="en-US" w:eastAsia="zh-CN"/>
                    </w:rPr>
                    <w:t>燃烧装置，燃烧后经</w:t>
                  </w:r>
                  <w:r>
                    <w:rPr>
                      <w:rFonts w:hint="default" w:ascii="Times New Roman" w:hAnsi="Times New Roman" w:eastAsia="宋体" w:cs="Times New Roman"/>
                      <w:color w:val="auto"/>
                      <w:kern w:val="0"/>
                      <w:sz w:val="21"/>
                      <w:szCs w:val="21"/>
                    </w:rPr>
                    <w:t>1根15m排气筒（</w:t>
                  </w:r>
                  <w:r>
                    <w:rPr>
                      <w:rFonts w:hint="default"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eastAsia="zh-CN"/>
                    </w:rPr>
                    <w:t>。</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产噪设备安装于厂房内，合理布局；选用低噪设备，对设备进行减震处理；加强设备维护保养等措施。</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产噪设备安装于厂房内，合理布局；选用低噪设备，对设备进行减震处理；加强设备维护保养等措施。</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固废</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生活垃圾集中收集至垃圾桶中，由环卫部门定期清理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收集的粉尘外售</w:t>
                  </w:r>
                  <w:r>
                    <w:rPr>
                      <w:rFonts w:hint="eastAsia" w:cs="Times New Roman"/>
                      <w:color w:val="auto"/>
                      <w:sz w:val="21"/>
                      <w:szCs w:val="21"/>
                      <w:lang w:val="en-US" w:eastAsia="zh-CN"/>
                    </w:rPr>
                    <w:t>给</w:t>
                  </w:r>
                  <w:r>
                    <w:rPr>
                      <w:rFonts w:hint="default" w:ascii="Times New Roman" w:hAnsi="Times New Roman" w:eastAsia="宋体" w:cs="Times New Roman"/>
                      <w:color w:val="auto"/>
                      <w:sz w:val="21"/>
                      <w:szCs w:val="21"/>
                      <w:lang w:val="en-US" w:eastAsia="zh-CN"/>
                    </w:rPr>
                    <w:t>可回收利用的单位；废边角料、不合格品回用于生产；泥沙、石块、金属等杂质外售其他企业综合利用；沉渣、灰渣外售用作有机肥</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Cs/>
                      <w:color w:val="auto"/>
                      <w:sz w:val="21"/>
                      <w:szCs w:val="21"/>
                      <w:lang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危废：</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厂</w:t>
                  </w:r>
                  <w:r>
                    <w:rPr>
                      <w:rFonts w:hint="default" w:ascii="Times New Roman" w:hAnsi="Times New Roman" w:eastAsia="宋体" w:cs="Times New Roman"/>
                      <w:color w:val="auto"/>
                      <w:sz w:val="21"/>
                      <w:szCs w:val="21"/>
                    </w:rPr>
                    <w:t>房设置危险废物暂存间约</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，危废交有资质的单位处置</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地下水</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color w:val="auto"/>
                      <w:sz w:val="21"/>
                      <w:szCs w:val="21"/>
                      <w:lang w:val="en-US" w:eastAsia="zh-CN"/>
                    </w:rPr>
                    <w:t>重点防渗区：</w:t>
                  </w:r>
                  <w:r>
                    <w:rPr>
                      <w:rFonts w:hint="default" w:ascii="Times New Roman" w:hAnsi="Times New Roman" w:cs="Times New Roman"/>
                      <w:b w:val="0"/>
                      <w:bCs w:val="0"/>
                      <w:color w:val="auto"/>
                      <w:kern w:val="0"/>
                      <w:sz w:val="21"/>
                      <w:szCs w:val="21"/>
                      <w:lang w:eastAsia="zh-CN"/>
                    </w:rPr>
                    <w:t>胶储存区采取防渗</w:t>
                  </w:r>
                  <w:r>
                    <w:rPr>
                      <w:rFonts w:hint="default" w:ascii="Times New Roman" w:hAnsi="Times New Roman" w:cs="Times New Roman"/>
                      <w:b w:val="0"/>
                      <w:bCs w:val="0"/>
                      <w:color w:val="auto"/>
                      <w:kern w:val="0"/>
                      <w:sz w:val="21"/>
                      <w:szCs w:val="21"/>
                    </w:rPr>
                    <w:t>混凝土</w:t>
                  </w:r>
                  <w:r>
                    <w:rPr>
                      <w:rFonts w:hint="default" w:ascii="Times New Roman" w:hAnsi="Times New Roman" w:cs="Times New Roman"/>
                      <w:b w:val="0"/>
                      <w:bCs w:val="0"/>
                      <w:color w:val="auto"/>
                      <w:kern w:val="0"/>
                      <w:sz w:val="21"/>
                      <w:szCs w:val="21"/>
                      <w:lang w:val="en-US" w:eastAsia="zh-CN"/>
                    </w:rPr>
                    <w:t>+</w:t>
                  </w:r>
                  <w:r>
                    <w:rPr>
                      <w:rFonts w:hint="default" w:ascii="Times New Roman" w:hAnsi="Times New Roman" w:cs="Times New Roman"/>
                      <w:b w:val="0"/>
                      <w:bCs w:val="0"/>
                      <w:color w:val="auto"/>
                      <w:kern w:val="0"/>
                      <w:sz w:val="21"/>
                      <w:szCs w:val="21"/>
                      <w:lang w:eastAsia="zh-CN"/>
                    </w:rPr>
                    <w:t>铺设改性沥青防渗卷材</w:t>
                  </w:r>
                  <w:r>
                    <w:rPr>
                      <w:rFonts w:hint="default" w:ascii="Times New Roman" w:hAnsi="Times New Roman" w:cs="Times New Roman"/>
                      <w:b w:val="0"/>
                      <w:bCs w:val="0"/>
                      <w:color w:val="auto"/>
                      <w:kern w:val="0"/>
                      <w:sz w:val="21"/>
                      <w:szCs w:val="21"/>
                    </w:rPr>
                    <w:t>；危废暂存间采取“</w:t>
                  </w:r>
                  <w:r>
                    <w:rPr>
                      <w:rFonts w:hint="default" w:ascii="Times New Roman" w:hAnsi="Times New Roman" w:cs="Times New Roman"/>
                      <w:b w:val="0"/>
                      <w:bCs w:val="0"/>
                      <w:color w:val="auto"/>
                      <w:kern w:val="0"/>
                      <w:sz w:val="21"/>
                      <w:szCs w:val="21"/>
                      <w:lang w:eastAsia="zh-CN"/>
                    </w:rPr>
                    <w:t>防渗</w:t>
                  </w:r>
                  <w:r>
                    <w:rPr>
                      <w:rFonts w:hint="default" w:ascii="Times New Roman" w:hAnsi="Times New Roman" w:cs="Times New Roman"/>
                      <w:b w:val="0"/>
                      <w:bCs w:val="0"/>
                      <w:color w:val="auto"/>
                      <w:kern w:val="0"/>
                      <w:sz w:val="21"/>
                      <w:szCs w:val="21"/>
                    </w:rPr>
                    <w:t>混凝土+2mm厚</w:t>
                  </w:r>
                  <w:r>
                    <w:rPr>
                      <w:rFonts w:hint="default" w:ascii="Times New Roman" w:hAnsi="Times New Roman" w:cs="Times New Roman"/>
                      <w:b w:val="0"/>
                      <w:bCs w:val="0"/>
                      <w:color w:val="auto"/>
                      <w:kern w:val="0"/>
                      <w:sz w:val="21"/>
                      <w:szCs w:val="21"/>
                      <w:lang w:val="en-US" w:eastAsia="zh-CN"/>
                    </w:rPr>
                    <w:t>HDPE膜</w:t>
                  </w:r>
                  <w:r>
                    <w:rPr>
                      <w:rFonts w:hint="default" w:ascii="Times New Roman" w:hAnsi="Times New Roman" w:cs="Times New Roman"/>
                      <w:b w:val="0"/>
                      <w:bCs w:val="0"/>
                      <w:color w:val="auto"/>
                      <w:kern w:val="0"/>
                      <w:sz w:val="21"/>
                      <w:szCs w:val="21"/>
                    </w:rPr>
                    <w:t>+防渗托盘”等防渗措施</w:t>
                  </w:r>
                  <w:r>
                    <w:rPr>
                      <w:rFonts w:hint="default" w:ascii="Times New Roman" w:hAnsi="Times New Roman" w:cs="Times New Roman"/>
                      <w:b w:val="0"/>
                      <w:bCs w:val="0"/>
                      <w:color w:val="auto"/>
                      <w:kern w:val="0"/>
                      <w:sz w:val="21"/>
                      <w:szCs w:val="21"/>
                      <w:lang w:eastAsia="zh-CN"/>
                    </w:rPr>
                    <w:t>；</w:t>
                  </w:r>
                </w:p>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bCs/>
                      <w:color w:val="auto"/>
                      <w:sz w:val="21"/>
                      <w:szCs w:val="21"/>
                    </w:rPr>
                    <w:t>一般防渗区：</w:t>
                  </w:r>
                  <w:r>
                    <w:rPr>
                      <w:rFonts w:hint="default" w:ascii="Times New Roman" w:hAnsi="Times New Roman" w:cs="Times New Roman"/>
                      <w:b w:val="0"/>
                      <w:bCs w:val="0"/>
                      <w:color w:val="auto"/>
                      <w:sz w:val="21"/>
                      <w:szCs w:val="21"/>
                      <w:lang w:eastAsia="zh-CN"/>
                    </w:rPr>
                    <w:t>车间其余区域</w:t>
                  </w:r>
                  <w:r>
                    <w:rPr>
                      <w:rFonts w:hint="default" w:ascii="Times New Roman" w:hAnsi="Times New Roman" w:cs="Times New Roman"/>
                      <w:b w:val="0"/>
                      <w:bCs w:val="0"/>
                      <w:color w:val="auto"/>
                      <w:sz w:val="21"/>
                      <w:szCs w:val="21"/>
                    </w:rPr>
                    <w:t>等已采取防渗混凝土防渗</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本次新增胶储存区</w:t>
                  </w:r>
                  <w:r>
                    <w:rPr>
                      <w:rFonts w:hint="default" w:ascii="Times New Roman" w:hAnsi="Times New Roman" w:cs="Times New Roman"/>
                      <w:b w:val="0"/>
                      <w:bCs w:val="0"/>
                      <w:color w:val="auto"/>
                      <w:kern w:val="0"/>
                      <w:sz w:val="21"/>
                      <w:szCs w:val="21"/>
                      <w:lang w:eastAsia="zh-CN"/>
                    </w:rPr>
                    <w:t>制胶车间、事故池</w:t>
                  </w:r>
                  <w:r>
                    <w:rPr>
                      <w:rFonts w:hint="default" w:ascii="Times New Roman" w:hAnsi="Times New Roman" w:cs="Times New Roman"/>
                      <w:b w:val="0"/>
                      <w:bCs w:val="0"/>
                      <w:color w:val="auto"/>
                      <w:kern w:val="0"/>
                      <w:sz w:val="21"/>
                      <w:szCs w:val="21"/>
                      <w:lang w:val="en-US" w:eastAsia="zh-CN"/>
                    </w:rPr>
                    <w:t>为重点防渗区，</w:t>
                  </w:r>
                  <w:r>
                    <w:rPr>
                      <w:rFonts w:hint="default" w:ascii="Times New Roman" w:hAnsi="Times New Roman" w:cs="Times New Roman"/>
                      <w:b w:val="0"/>
                      <w:bCs w:val="0"/>
                      <w:color w:val="auto"/>
                      <w:kern w:val="0"/>
                      <w:sz w:val="21"/>
                      <w:szCs w:val="21"/>
                      <w:lang w:eastAsia="zh-CN"/>
                    </w:rPr>
                    <w:t>采取防渗</w:t>
                  </w:r>
                  <w:r>
                    <w:rPr>
                      <w:rFonts w:hint="default" w:ascii="Times New Roman" w:hAnsi="Times New Roman" w:cs="Times New Roman"/>
                      <w:b w:val="0"/>
                      <w:bCs w:val="0"/>
                      <w:color w:val="auto"/>
                      <w:kern w:val="0"/>
                      <w:sz w:val="21"/>
                      <w:szCs w:val="21"/>
                    </w:rPr>
                    <w:t>混凝土</w:t>
                  </w:r>
                  <w:r>
                    <w:rPr>
                      <w:rFonts w:hint="default" w:ascii="Times New Roman" w:hAnsi="Times New Roman" w:cs="Times New Roman"/>
                      <w:b w:val="0"/>
                      <w:bCs w:val="0"/>
                      <w:color w:val="auto"/>
                      <w:kern w:val="0"/>
                      <w:sz w:val="21"/>
                      <w:szCs w:val="21"/>
                      <w:lang w:val="en-US" w:eastAsia="zh-CN"/>
                    </w:rPr>
                    <w:t>+</w:t>
                  </w:r>
                  <w:r>
                    <w:rPr>
                      <w:rFonts w:hint="default" w:ascii="Times New Roman" w:hAnsi="Times New Roman" w:cs="Times New Roman"/>
                      <w:b w:val="0"/>
                      <w:bCs w:val="0"/>
                      <w:color w:val="auto"/>
                      <w:kern w:val="0"/>
                      <w:sz w:val="21"/>
                      <w:szCs w:val="21"/>
                      <w:lang w:eastAsia="zh-CN"/>
                    </w:rPr>
                    <w:t>铺设改性沥青防渗卷材，</w:t>
                  </w:r>
                  <w:r>
                    <w:rPr>
                      <w:rFonts w:hint="default" w:ascii="Times New Roman" w:hAnsi="Times New Roman" w:cs="Times New Roman"/>
                      <w:b w:val="0"/>
                      <w:bCs w:val="0"/>
                      <w:color w:val="auto"/>
                      <w:kern w:val="0"/>
                      <w:sz w:val="21"/>
                      <w:szCs w:val="21"/>
                      <w:lang w:val="en-US" w:eastAsia="zh-CN"/>
                    </w:rPr>
                    <w:t>其余与现有项目一致</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依托+新增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7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风险</w:t>
                  </w:r>
                </w:p>
              </w:tc>
              <w:tc>
                <w:tcPr>
                  <w:tcW w:w="276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val="0"/>
                      <w:bCs/>
                      <w:color w:val="auto"/>
                      <w:sz w:val="21"/>
                      <w:szCs w:val="21"/>
                      <w:lang w:val="en-US" w:eastAsia="zh-CN"/>
                    </w:rPr>
                    <w:t>厂区配套消防设施</w:t>
                  </w:r>
                </w:p>
              </w:tc>
              <w:tc>
                <w:tcPr>
                  <w:tcW w:w="205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新增设置一座事故池（10</w:t>
                  </w:r>
                  <w:r>
                    <w:rPr>
                      <w:rFonts w:hint="default" w:ascii="Times New Roman" w:hAnsi="Times New Roman" w:cs="Times New Roman"/>
                      <w:b w:val="0"/>
                      <w:bCs/>
                      <w:color w:val="auto"/>
                      <w:sz w:val="21"/>
                      <w:szCs w:val="21"/>
                      <w:highlight w:val="none"/>
                    </w:rPr>
                    <w:t>0m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lang w:val="en-US" w:eastAsia="zh-CN"/>
                    </w:rPr>
                    <w:t>），制胶车间设置围堰</w:t>
                  </w:r>
                </w:p>
              </w:tc>
              <w:tc>
                <w:tcPr>
                  <w:tcW w:w="10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6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依托+新增</w:t>
                  </w:r>
                </w:p>
              </w:tc>
            </w:tr>
          </w:tbl>
          <w:p>
            <w:pPr>
              <w:adjustRightInd w:val="0"/>
              <w:snapToGrid w:val="0"/>
              <w:spacing w:before="120" w:beforeLines="50"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根据现场踏勘，本项目依托</w:t>
            </w:r>
            <w:r>
              <w:rPr>
                <w:rFonts w:hint="default" w:ascii="Times New Roman" w:hAnsi="Times New Roman" w:cs="Times New Roman"/>
                <w:bCs/>
                <w:color w:val="auto"/>
                <w:sz w:val="24"/>
                <w:highlight w:val="none"/>
                <w:lang w:eastAsia="zh-CN"/>
              </w:rPr>
              <w:t>的公辅设施</w:t>
            </w:r>
            <w:r>
              <w:rPr>
                <w:rFonts w:hint="default" w:ascii="Times New Roman" w:hAnsi="Times New Roman" w:cs="Times New Roman"/>
                <w:bCs/>
                <w:color w:val="auto"/>
                <w:sz w:val="24"/>
                <w:highlight w:val="none"/>
              </w:rPr>
              <w:t>情况及可行性分析见下表。</w:t>
            </w:r>
          </w:p>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 xml:space="preserve">  项目公辅设施依托情况及可行性一览表</w:t>
            </w:r>
          </w:p>
          <w:tbl>
            <w:tblPr>
              <w:tblStyle w:val="39"/>
              <w:tblW w:w="79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972"/>
              <w:gridCol w:w="2250"/>
              <w:gridCol w:w="3513"/>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noWrap w:val="0"/>
                  <w:vAlign w:val="center"/>
                </w:tcPr>
                <w:p>
                  <w:pPr>
                    <w:jc w:val="center"/>
                    <w:rPr>
                      <w:rFonts w:hint="default" w:ascii="Times New Roman" w:hAnsi="Times New Roman" w:cs="Times New Roman"/>
                      <w:b/>
                      <w:bCs/>
                      <w:color w:val="auto"/>
                      <w:spacing w:val="0"/>
                      <w:kern w:val="21"/>
                      <w:sz w:val="21"/>
                      <w:szCs w:val="21"/>
                      <w:highlight w:val="none"/>
                    </w:rPr>
                  </w:pPr>
                  <w:r>
                    <w:rPr>
                      <w:rFonts w:hint="default" w:ascii="Times New Roman" w:hAnsi="Times New Roman" w:cs="Times New Roman"/>
                      <w:b/>
                      <w:bCs/>
                      <w:color w:val="auto"/>
                      <w:spacing w:val="0"/>
                      <w:kern w:val="21"/>
                      <w:sz w:val="21"/>
                      <w:szCs w:val="21"/>
                      <w:highlight w:val="none"/>
                    </w:rPr>
                    <w:t>序号</w:t>
                  </w:r>
                </w:p>
              </w:tc>
              <w:tc>
                <w:tcPr>
                  <w:tcW w:w="972" w:type="dxa"/>
                  <w:noWrap w:val="0"/>
                  <w:vAlign w:val="center"/>
                </w:tcPr>
                <w:p>
                  <w:pPr>
                    <w:jc w:val="center"/>
                    <w:rPr>
                      <w:rFonts w:hint="default" w:ascii="Times New Roman" w:hAnsi="Times New Roman" w:cs="Times New Roman"/>
                      <w:b/>
                      <w:bCs/>
                      <w:color w:val="auto"/>
                      <w:spacing w:val="0"/>
                      <w:kern w:val="21"/>
                      <w:sz w:val="21"/>
                      <w:szCs w:val="21"/>
                      <w:highlight w:val="none"/>
                    </w:rPr>
                  </w:pPr>
                  <w:r>
                    <w:rPr>
                      <w:rFonts w:hint="default" w:ascii="Times New Roman" w:hAnsi="Times New Roman" w:cs="Times New Roman"/>
                      <w:b/>
                      <w:bCs/>
                      <w:color w:val="auto"/>
                      <w:spacing w:val="0"/>
                      <w:kern w:val="21"/>
                      <w:sz w:val="21"/>
                      <w:szCs w:val="21"/>
                      <w:highlight w:val="none"/>
                    </w:rPr>
                    <w:t>公辅设施</w:t>
                  </w:r>
                </w:p>
              </w:tc>
              <w:tc>
                <w:tcPr>
                  <w:tcW w:w="2250" w:type="dxa"/>
                  <w:noWrap w:val="0"/>
                  <w:vAlign w:val="center"/>
                </w:tcPr>
                <w:p>
                  <w:pPr>
                    <w:jc w:val="center"/>
                    <w:rPr>
                      <w:rFonts w:hint="default" w:ascii="Times New Roman" w:hAnsi="Times New Roman" w:cs="Times New Roman"/>
                      <w:b/>
                      <w:bCs/>
                      <w:color w:val="auto"/>
                      <w:spacing w:val="0"/>
                      <w:kern w:val="21"/>
                      <w:sz w:val="21"/>
                      <w:szCs w:val="21"/>
                      <w:highlight w:val="none"/>
                    </w:rPr>
                  </w:pPr>
                  <w:r>
                    <w:rPr>
                      <w:rFonts w:hint="default" w:ascii="Times New Roman" w:hAnsi="Times New Roman" w:cs="Times New Roman"/>
                      <w:b/>
                      <w:bCs/>
                      <w:color w:val="auto"/>
                      <w:spacing w:val="0"/>
                      <w:kern w:val="21"/>
                      <w:sz w:val="21"/>
                      <w:szCs w:val="21"/>
                      <w:highlight w:val="none"/>
                    </w:rPr>
                    <w:t>建设内容</w:t>
                  </w:r>
                </w:p>
              </w:tc>
              <w:tc>
                <w:tcPr>
                  <w:tcW w:w="3513" w:type="dxa"/>
                  <w:noWrap w:val="0"/>
                  <w:vAlign w:val="center"/>
                </w:tcPr>
                <w:p>
                  <w:pPr>
                    <w:jc w:val="center"/>
                    <w:rPr>
                      <w:rFonts w:hint="default" w:ascii="Times New Roman" w:hAnsi="Times New Roman" w:cs="Times New Roman"/>
                      <w:b/>
                      <w:bCs/>
                      <w:color w:val="auto"/>
                      <w:spacing w:val="0"/>
                      <w:kern w:val="21"/>
                      <w:sz w:val="21"/>
                      <w:szCs w:val="21"/>
                      <w:highlight w:val="none"/>
                    </w:rPr>
                  </w:pPr>
                  <w:r>
                    <w:rPr>
                      <w:rFonts w:hint="default" w:ascii="Times New Roman" w:hAnsi="Times New Roman" w:cs="Times New Roman"/>
                      <w:b/>
                      <w:bCs/>
                      <w:color w:val="auto"/>
                      <w:spacing w:val="0"/>
                      <w:kern w:val="21"/>
                      <w:sz w:val="21"/>
                      <w:szCs w:val="21"/>
                      <w:highlight w:val="none"/>
                    </w:rPr>
                    <w:t>依托情况</w:t>
                  </w:r>
                </w:p>
              </w:tc>
              <w:tc>
                <w:tcPr>
                  <w:tcW w:w="682" w:type="dxa"/>
                  <w:noWrap w:val="0"/>
                  <w:vAlign w:val="center"/>
                </w:tcPr>
                <w:p>
                  <w:pPr>
                    <w:jc w:val="center"/>
                    <w:rPr>
                      <w:rFonts w:hint="default" w:ascii="Times New Roman" w:hAnsi="Times New Roman" w:cs="Times New Roman"/>
                      <w:b/>
                      <w:bCs/>
                      <w:color w:val="auto"/>
                      <w:spacing w:val="0"/>
                      <w:kern w:val="21"/>
                      <w:sz w:val="21"/>
                      <w:szCs w:val="21"/>
                      <w:highlight w:val="none"/>
                    </w:rPr>
                  </w:pPr>
                  <w:r>
                    <w:rPr>
                      <w:rFonts w:hint="default" w:ascii="Times New Roman" w:hAnsi="Times New Roman" w:cs="Times New Roman"/>
                      <w:b/>
                      <w:bCs/>
                      <w:color w:val="auto"/>
                      <w:spacing w:val="0"/>
                      <w:kern w:val="21"/>
                      <w:sz w:val="21"/>
                      <w:szCs w:val="21"/>
                      <w:highlight w:val="none"/>
                    </w:rPr>
                    <w:t>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1</w:t>
                  </w:r>
                </w:p>
              </w:tc>
              <w:tc>
                <w:tcPr>
                  <w:tcW w:w="972" w:type="dxa"/>
                  <w:noWrap w:val="0"/>
                  <w:vAlign w:val="center"/>
                </w:tcPr>
                <w:p>
                  <w:pPr>
                    <w:jc w:val="center"/>
                    <w:rPr>
                      <w:rFonts w:hint="default" w:ascii="Times New Roman" w:hAnsi="Times New Roman" w:eastAsia="宋体" w:cs="Times New Roman"/>
                      <w:color w:val="auto"/>
                      <w:spacing w:val="0"/>
                      <w:kern w:val="21"/>
                      <w:sz w:val="21"/>
                      <w:szCs w:val="21"/>
                      <w:highlight w:val="none"/>
                      <w:lang w:eastAsia="zh-CN"/>
                    </w:rPr>
                  </w:pPr>
                  <w:r>
                    <w:rPr>
                      <w:rFonts w:hint="default" w:ascii="Times New Roman" w:hAnsi="Times New Roman" w:cs="Times New Roman"/>
                      <w:color w:val="auto"/>
                      <w:spacing w:val="0"/>
                      <w:kern w:val="21"/>
                      <w:sz w:val="21"/>
                      <w:szCs w:val="21"/>
                      <w:highlight w:val="none"/>
                    </w:rPr>
                    <w:t>预处理池</w:t>
                  </w:r>
                </w:p>
              </w:tc>
              <w:tc>
                <w:tcPr>
                  <w:tcW w:w="2250"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lang w:eastAsia="zh-CN"/>
                    </w:rPr>
                    <w:t>厂区</w:t>
                  </w:r>
                  <w:r>
                    <w:rPr>
                      <w:rFonts w:hint="default" w:ascii="Times New Roman" w:hAnsi="Times New Roman" w:cs="Times New Roman"/>
                      <w:color w:val="auto"/>
                      <w:spacing w:val="0"/>
                      <w:kern w:val="21"/>
                      <w:sz w:val="21"/>
                      <w:szCs w:val="21"/>
                      <w:highlight w:val="none"/>
                    </w:rPr>
                    <w:t>已建预处理池，</w:t>
                  </w:r>
                  <w:r>
                    <w:rPr>
                      <w:rFonts w:hint="default" w:ascii="Times New Roman" w:hAnsi="Times New Roman" w:cs="Times New Roman"/>
                      <w:color w:val="auto"/>
                      <w:spacing w:val="0"/>
                      <w:sz w:val="21"/>
                      <w:szCs w:val="21"/>
                      <w:highlight w:val="none"/>
                      <w:lang w:eastAsia="zh-CN"/>
                    </w:rPr>
                    <w:t>处理能力为</w:t>
                  </w:r>
                  <w:r>
                    <w:rPr>
                      <w:rFonts w:hint="default" w:ascii="Times New Roman" w:hAnsi="Times New Roman" w:cs="Times New Roman"/>
                      <w:color w:val="auto"/>
                      <w:spacing w:val="0"/>
                      <w:sz w:val="21"/>
                      <w:szCs w:val="21"/>
                      <w:highlight w:val="none"/>
                      <w:lang w:val="en-US" w:eastAsia="zh-CN"/>
                    </w:rPr>
                    <w:t>10</w:t>
                  </w:r>
                  <w:r>
                    <w:rPr>
                      <w:rFonts w:hint="default" w:ascii="Times New Roman" w:hAnsi="Times New Roman" w:cs="Times New Roman"/>
                      <w:color w:val="auto"/>
                      <w:spacing w:val="0"/>
                      <w:sz w:val="21"/>
                      <w:szCs w:val="21"/>
                      <w:highlight w:val="none"/>
                    </w:rPr>
                    <w:t>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lang w:val="en-US" w:eastAsia="zh-CN"/>
                    </w:rPr>
                    <w:t>/d</w:t>
                  </w:r>
                  <w:r>
                    <w:rPr>
                      <w:rFonts w:hint="default" w:ascii="Times New Roman" w:hAnsi="Times New Roman" w:cs="Times New Roman"/>
                      <w:color w:val="auto"/>
                      <w:spacing w:val="0"/>
                      <w:kern w:val="21"/>
                      <w:sz w:val="21"/>
                      <w:szCs w:val="21"/>
                      <w:highlight w:val="none"/>
                    </w:rPr>
                    <w:t>。</w:t>
                  </w:r>
                </w:p>
              </w:tc>
              <w:tc>
                <w:tcPr>
                  <w:tcW w:w="3513" w:type="dxa"/>
                  <w:noWrap w:val="0"/>
                  <w:vAlign w:val="center"/>
                </w:tcPr>
                <w:p>
                  <w:pPr>
                    <w:jc w:val="center"/>
                    <w:rPr>
                      <w:rFonts w:hint="default" w:ascii="Times New Roman" w:hAnsi="Times New Roman" w:cs="Times New Roman"/>
                      <w:color w:val="auto"/>
                      <w:spacing w:val="0"/>
                      <w:kern w:val="21"/>
                      <w:sz w:val="21"/>
                      <w:szCs w:val="21"/>
                      <w:highlight w:val="none"/>
                    </w:rPr>
                  </w:pPr>
                  <w:r>
                    <w:rPr>
                      <w:color w:val="auto"/>
                      <w:spacing w:val="0"/>
                      <w:kern w:val="21"/>
                      <w:sz w:val="21"/>
                      <w:szCs w:val="21"/>
                    </w:rPr>
                    <w:t>根据现场踏勘，</w:t>
                  </w:r>
                  <w:r>
                    <w:rPr>
                      <w:rFonts w:hint="eastAsia"/>
                      <w:color w:val="auto"/>
                      <w:spacing w:val="0"/>
                      <w:kern w:val="21"/>
                      <w:sz w:val="21"/>
                      <w:szCs w:val="21"/>
                      <w:lang w:eastAsia="zh-CN"/>
                    </w:rPr>
                    <w:t>厂区已建预处理池未满负荷运行，</w:t>
                  </w:r>
                  <w:r>
                    <w:rPr>
                      <w:rFonts w:hint="eastAsia"/>
                      <w:color w:val="auto"/>
                      <w:spacing w:val="-6"/>
                      <w:sz w:val="21"/>
                      <w:szCs w:val="21"/>
                      <w:lang w:eastAsia="zh-CN"/>
                    </w:rPr>
                    <w:t>厂区已</w:t>
                  </w:r>
                  <w:r>
                    <w:rPr>
                      <w:color w:val="auto"/>
                      <w:spacing w:val="-6"/>
                      <w:sz w:val="21"/>
                      <w:szCs w:val="21"/>
                    </w:rPr>
                    <w:t>排入污水量为</w:t>
                  </w:r>
                  <w:r>
                    <w:rPr>
                      <w:rFonts w:hint="eastAsia"/>
                      <w:color w:val="auto"/>
                      <w:spacing w:val="-6"/>
                      <w:sz w:val="21"/>
                      <w:szCs w:val="21"/>
                      <w:lang w:val="en-US" w:eastAsia="zh-CN"/>
                    </w:rPr>
                    <w:t>6.5</w:t>
                  </w:r>
                  <w:r>
                    <w:rPr>
                      <w:color w:val="auto"/>
                      <w:sz w:val="21"/>
                      <w:szCs w:val="21"/>
                    </w:rPr>
                    <w:t>m</w:t>
                  </w:r>
                  <w:r>
                    <w:rPr>
                      <w:color w:val="auto"/>
                      <w:sz w:val="21"/>
                      <w:szCs w:val="21"/>
                      <w:vertAlign w:val="superscript"/>
                    </w:rPr>
                    <w:t>3</w:t>
                  </w:r>
                  <w:r>
                    <w:rPr>
                      <w:color w:val="auto"/>
                      <w:sz w:val="21"/>
                      <w:szCs w:val="21"/>
                    </w:rPr>
                    <w:t>/d，</w:t>
                  </w:r>
                  <w:r>
                    <w:rPr>
                      <w:color w:val="auto"/>
                      <w:spacing w:val="-6"/>
                      <w:sz w:val="21"/>
                      <w:szCs w:val="21"/>
                    </w:rPr>
                    <w:t>预处理池剩余处理容量</w:t>
                  </w:r>
                  <w:r>
                    <w:rPr>
                      <w:rFonts w:hint="eastAsia"/>
                      <w:color w:val="auto"/>
                      <w:sz w:val="21"/>
                      <w:szCs w:val="21"/>
                      <w:lang w:val="en-US" w:eastAsia="zh-CN"/>
                    </w:rPr>
                    <w:t>3.5</w:t>
                  </w:r>
                  <w:r>
                    <w:rPr>
                      <w:color w:val="auto"/>
                      <w:spacing w:val="-6"/>
                      <w:sz w:val="21"/>
                      <w:szCs w:val="21"/>
                    </w:rPr>
                    <w:t>m</w:t>
                  </w:r>
                  <w:r>
                    <w:rPr>
                      <w:color w:val="auto"/>
                      <w:spacing w:val="-6"/>
                      <w:sz w:val="21"/>
                      <w:szCs w:val="21"/>
                      <w:vertAlign w:val="superscript"/>
                    </w:rPr>
                    <w:t>3</w:t>
                  </w:r>
                  <w:r>
                    <w:rPr>
                      <w:color w:val="auto"/>
                      <w:spacing w:val="-6"/>
                      <w:sz w:val="21"/>
                      <w:szCs w:val="21"/>
                    </w:rPr>
                    <w:t>/d</w:t>
                  </w:r>
                  <w:r>
                    <w:rPr>
                      <w:rFonts w:hint="eastAsia"/>
                      <w:color w:val="auto"/>
                      <w:spacing w:val="-6"/>
                      <w:sz w:val="21"/>
                      <w:szCs w:val="21"/>
                      <w:lang w:eastAsia="zh-CN"/>
                    </w:rPr>
                    <w:t>；本项目新增</w:t>
                  </w:r>
                  <w:r>
                    <w:rPr>
                      <w:rFonts w:hint="default" w:ascii="Times New Roman" w:hAnsi="Times New Roman" w:eastAsia="宋体" w:cs="Times New Roman"/>
                      <w:b w:val="0"/>
                      <w:bCs w:val="0"/>
                      <w:color w:val="auto"/>
                      <w:spacing w:val="0"/>
                      <w:kern w:val="2"/>
                      <w:sz w:val="21"/>
                      <w:szCs w:val="21"/>
                      <w:lang w:val="en-US" w:eastAsia="zh-CN" w:bidi="ar-SA"/>
                    </w:rPr>
                    <w:t>废水排放</w:t>
                  </w:r>
                  <w:r>
                    <w:rPr>
                      <w:rFonts w:hint="default" w:ascii="Times New Roman" w:hAnsi="Times New Roman" w:eastAsia="宋体" w:cs="Times New Roman"/>
                      <w:b w:val="0"/>
                      <w:bCs w:val="0"/>
                      <w:color w:val="auto"/>
                      <w:spacing w:val="0"/>
                      <w:kern w:val="2"/>
                      <w:sz w:val="21"/>
                      <w:szCs w:val="21"/>
                      <w:highlight w:val="none"/>
                      <w:lang w:val="en-US" w:eastAsia="zh-CN" w:bidi="ar-SA"/>
                    </w:rPr>
                    <w:t>量为1.685</w:t>
                  </w:r>
                  <w:r>
                    <w:rPr>
                      <w:rFonts w:hint="default" w:ascii="Times New Roman" w:hAnsi="Times New Roman" w:eastAsia="宋体" w:cs="Times New Roman"/>
                      <w:b w:val="0"/>
                      <w:bCs w:val="0"/>
                      <w:color w:val="auto"/>
                      <w:spacing w:val="0"/>
                      <w:kern w:val="2"/>
                      <w:sz w:val="21"/>
                      <w:szCs w:val="21"/>
                      <w:lang w:val="en-US" w:eastAsia="zh-CN" w:bidi="ar-SA"/>
                    </w:rPr>
                    <w:t>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cs="Times New Roman"/>
                      <w:color w:val="auto"/>
                      <w:spacing w:val="0"/>
                      <w:sz w:val="21"/>
                      <w:szCs w:val="21"/>
                      <w:highlight w:val="none"/>
                      <w:lang w:val="en-US" w:eastAsia="zh-CN"/>
                    </w:rPr>
                    <w:t>/d</w:t>
                  </w:r>
                  <w:r>
                    <w:rPr>
                      <w:rFonts w:hint="eastAsia" w:ascii="Times New Roman" w:hAnsi="Times New Roman" w:cs="Times New Roman"/>
                      <w:color w:val="auto"/>
                      <w:spacing w:val="0"/>
                      <w:sz w:val="21"/>
                      <w:szCs w:val="21"/>
                      <w:highlight w:val="none"/>
                      <w:lang w:val="en-US" w:eastAsia="zh-CN"/>
                    </w:rPr>
                    <w:t>，</w:t>
                  </w:r>
                  <w:r>
                    <w:rPr>
                      <w:color w:val="auto"/>
                      <w:spacing w:val="0"/>
                      <w:kern w:val="21"/>
                      <w:sz w:val="21"/>
                      <w:szCs w:val="21"/>
                    </w:rPr>
                    <w:t>因此</w:t>
                  </w:r>
                  <w:r>
                    <w:rPr>
                      <w:rFonts w:hint="eastAsia"/>
                      <w:color w:val="auto"/>
                      <w:spacing w:val="0"/>
                      <w:kern w:val="21"/>
                      <w:sz w:val="21"/>
                      <w:szCs w:val="21"/>
                      <w:lang w:eastAsia="zh-CN"/>
                    </w:rPr>
                    <w:t>现有</w:t>
                  </w:r>
                  <w:r>
                    <w:rPr>
                      <w:color w:val="auto"/>
                      <w:spacing w:val="0"/>
                      <w:kern w:val="21"/>
                      <w:sz w:val="21"/>
                      <w:szCs w:val="21"/>
                    </w:rPr>
                    <w:t>预处理池处理能力充足。</w:t>
                  </w:r>
                </w:p>
              </w:tc>
              <w:tc>
                <w:tcPr>
                  <w:tcW w:w="68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shd w:val="clear" w:color="auto" w:fill="auto"/>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2</w:t>
                  </w:r>
                </w:p>
              </w:tc>
              <w:tc>
                <w:tcPr>
                  <w:tcW w:w="972" w:type="dxa"/>
                  <w:noWrap w:val="0"/>
                  <w:vAlign w:val="center"/>
                </w:tcPr>
                <w:p>
                  <w:pPr>
                    <w:jc w:val="center"/>
                    <w:rPr>
                      <w:rFonts w:hint="eastAsia" w:ascii="Times New Roman" w:hAnsi="Times New Roman" w:eastAsia="宋体"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粉碎筛分粉尘废气处理设施</w:t>
                  </w:r>
                </w:p>
              </w:tc>
              <w:tc>
                <w:tcPr>
                  <w:tcW w:w="2250" w:type="dxa"/>
                  <w:noWrap w:val="0"/>
                  <w:vAlign w:val="center"/>
                </w:tcPr>
                <w:p>
                  <w:pPr>
                    <w:jc w:val="center"/>
                    <w:rPr>
                      <w:rFonts w:hint="default" w:ascii="Times New Roman" w:hAnsi="Times New Roman"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现有项目已建一套</w:t>
                  </w:r>
                  <w:r>
                    <w:rPr>
                      <w:rFonts w:hint="default" w:ascii="Times New Roman" w:hAnsi="Times New Roman" w:eastAsia="宋体" w:cs="Times New Roman"/>
                      <w:color w:val="auto"/>
                      <w:sz w:val="21"/>
                      <w:szCs w:val="21"/>
                      <w:highlight w:val="none"/>
                    </w:rPr>
                    <w:t>旋风除尘器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脉冲式布袋除尘器处理</w:t>
                  </w:r>
                  <w:r>
                    <w:rPr>
                      <w:rFonts w:hint="eastAsia" w:ascii="Times New Roman" w:hAnsi="Times New Roman" w:eastAsia="宋体" w:cs="Times New Roman"/>
                      <w:color w:val="auto"/>
                      <w:sz w:val="21"/>
                      <w:szCs w:val="21"/>
                      <w:highlight w:val="none"/>
                      <w:lang w:eastAsia="zh-CN"/>
                    </w:rPr>
                    <w:t>粉碎粉尘</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一套</w:t>
                  </w:r>
                  <w:r>
                    <w:rPr>
                      <w:rFonts w:hint="default" w:ascii="Times New Roman" w:hAnsi="Times New Roman" w:eastAsia="宋体" w:cs="Times New Roman"/>
                      <w:color w:val="auto"/>
                      <w:sz w:val="21"/>
                      <w:szCs w:val="21"/>
                      <w:highlight w:val="none"/>
                    </w:rPr>
                    <w:t>脉冲式布袋除尘器</w:t>
                  </w:r>
                  <w:r>
                    <w:rPr>
                      <w:rFonts w:hint="eastAsia" w:ascii="Times New Roman" w:hAnsi="Times New Roman" w:eastAsia="宋体" w:cs="Times New Roman"/>
                      <w:color w:val="auto"/>
                      <w:sz w:val="21"/>
                      <w:szCs w:val="21"/>
                      <w:highlight w:val="none"/>
                      <w:lang w:eastAsia="zh-CN"/>
                    </w:rPr>
                    <w:t>处理筛分粉尘，</w:t>
                  </w:r>
                  <w:r>
                    <w:rPr>
                      <w:rFonts w:hint="default" w:ascii="Times New Roman" w:hAnsi="Times New Roman" w:eastAsia="宋体" w:cs="Times New Roman"/>
                      <w:color w:val="auto"/>
                      <w:sz w:val="21"/>
                      <w:szCs w:val="21"/>
                      <w:highlight w:val="none"/>
                      <w:lang w:eastAsia="zh-CN"/>
                    </w:rPr>
                    <w:t>经由</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）排放</w:t>
                  </w:r>
                </w:p>
              </w:tc>
              <w:tc>
                <w:tcPr>
                  <w:tcW w:w="3513" w:type="dxa"/>
                  <w:noWrap w:val="0"/>
                  <w:vAlign w:val="center"/>
                </w:tcPr>
                <w:p>
                  <w:pPr>
                    <w:jc w:val="center"/>
                    <w:rPr>
                      <w:rFonts w:hint="eastAsia" w:eastAsia="宋体"/>
                      <w:color w:val="auto"/>
                      <w:spacing w:val="0"/>
                      <w:kern w:val="21"/>
                      <w:sz w:val="21"/>
                      <w:szCs w:val="21"/>
                      <w:highlight w:val="none"/>
                      <w:lang w:eastAsia="zh-CN"/>
                    </w:rPr>
                  </w:pPr>
                  <w:r>
                    <w:rPr>
                      <w:rFonts w:hint="eastAsia" w:ascii="Times New Roman" w:hAnsi="Times New Roman" w:eastAsia="宋体" w:cs="Times New Roman"/>
                      <w:color w:val="auto"/>
                      <w:sz w:val="21"/>
                      <w:szCs w:val="21"/>
                      <w:highlight w:val="none"/>
                      <w:lang w:eastAsia="zh-CN"/>
                    </w:rPr>
                    <w:t>现有项目设有</w:t>
                  </w:r>
                  <w:r>
                    <w:rPr>
                      <w:rFonts w:hint="eastAsia" w:ascii="Times New Roman" w:hAnsi="Times New Roman" w:eastAsia="宋体" w:cs="Times New Roman"/>
                      <w:color w:val="auto"/>
                      <w:sz w:val="21"/>
                      <w:szCs w:val="21"/>
                      <w:highlight w:val="none"/>
                      <w:lang w:val="en-US" w:eastAsia="zh-CN"/>
                    </w:rPr>
                    <w:t>2台粉碎机、2台筛分机，本次新增1台粉碎机、1台筛分机</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粉碎机</w:t>
                  </w:r>
                  <w:r>
                    <w:rPr>
                      <w:rFonts w:hint="eastAsia"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负压抽风引至已建</w:t>
                  </w:r>
                  <w:r>
                    <w:rPr>
                      <w:rFonts w:hint="default" w:ascii="Times New Roman" w:hAnsi="Times New Roman" w:eastAsia="宋体" w:cs="Times New Roman"/>
                      <w:color w:val="auto"/>
                      <w:sz w:val="21"/>
                      <w:szCs w:val="21"/>
                      <w:highlight w:val="none"/>
                    </w:rPr>
                    <w:t>旋风除尘器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脉冲式布袋除尘器处理；</w:t>
                  </w:r>
                  <w:r>
                    <w:rPr>
                      <w:rFonts w:hint="default" w:ascii="Times New Roman" w:hAnsi="Times New Roman" w:eastAsia="宋体" w:cs="Times New Roman"/>
                      <w:color w:val="auto"/>
                      <w:sz w:val="21"/>
                      <w:szCs w:val="21"/>
                      <w:highlight w:val="none"/>
                      <w:lang w:eastAsia="zh-CN"/>
                    </w:rPr>
                    <w:t>新增振动筛设置集气罩，经已建</w:t>
                  </w:r>
                  <w:r>
                    <w:rPr>
                      <w:rFonts w:hint="default" w:ascii="Times New Roman" w:hAnsi="Times New Roman" w:eastAsia="宋体" w:cs="Times New Roman"/>
                      <w:color w:val="auto"/>
                      <w:sz w:val="21"/>
                      <w:szCs w:val="21"/>
                      <w:highlight w:val="none"/>
                    </w:rPr>
                    <w:t>脉冲式布袋除尘器进行收集处理达标后排放</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1根15m排气筒（</w:t>
                  </w: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）排放</w:t>
                  </w:r>
                  <w:r>
                    <w:rPr>
                      <w:rFonts w:hint="eastAsia" w:cs="Times New Roman"/>
                      <w:color w:val="auto"/>
                      <w:sz w:val="21"/>
                      <w:szCs w:val="21"/>
                      <w:highlight w:val="none"/>
                      <w:lang w:eastAsia="zh-CN"/>
                    </w:rPr>
                    <w:t>。</w:t>
                  </w:r>
                </w:p>
              </w:tc>
              <w:tc>
                <w:tcPr>
                  <w:tcW w:w="682" w:type="dxa"/>
                  <w:noWrap w:val="0"/>
                  <w:vAlign w:val="center"/>
                </w:tcPr>
                <w:p>
                  <w:pPr>
                    <w:jc w:val="center"/>
                    <w:rPr>
                      <w:rFonts w:hint="eastAsia" w:ascii="Times New Roman" w:hAnsi="Times New Roman" w:eastAsia="宋体"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shd w:val="clear" w:color="auto" w:fill="auto"/>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3</w:t>
                  </w:r>
                </w:p>
              </w:tc>
              <w:tc>
                <w:tcPr>
                  <w:tcW w:w="972" w:type="dxa"/>
                  <w:noWrap w:val="0"/>
                  <w:vAlign w:val="center"/>
                </w:tcPr>
                <w:p>
                  <w:pPr>
                    <w:jc w:val="center"/>
                    <w:rPr>
                      <w:rFonts w:hint="eastAsia"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热能中心废气处理设施</w:t>
                  </w:r>
                </w:p>
              </w:tc>
              <w:tc>
                <w:tcPr>
                  <w:tcW w:w="2250" w:type="dxa"/>
                  <w:noWrap w:val="0"/>
                  <w:vAlign w:val="center"/>
                </w:tcPr>
                <w:p>
                  <w:pPr>
                    <w:jc w:val="center"/>
                    <w:rPr>
                      <w:rFonts w:hint="eastAsia"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现有项目</w:t>
                  </w:r>
                  <w:r>
                    <w:rPr>
                      <w:rFonts w:hint="eastAsia" w:ascii="Times New Roman" w:hAnsi="Times New Roman" w:eastAsia="宋体" w:cs="Times New Roman"/>
                      <w:color w:val="auto"/>
                      <w:sz w:val="21"/>
                      <w:szCs w:val="21"/>
                      <w:highlight w:val="none"/>
                      <w:lang w:eastAsia="zh-CN"/>
                    </w:rPr>
                    <w:t>已建</w:t>
                  </w:r>
                  <w:r>
                    <w:rPr>
                      <w:rFonts w:hint="default" w:ascii="Times New Roman" w:hAnsi="Times New Roman" w:eastAsia="宋体" w:cs="Times New Roman"/>
                      <w:color w:val="auto"/>
                      <w:sz w:val="21"/>
                      <w:szCs w:val="21"/>
                      <w:highlight w:val="none"/>
                      <w:lang w:eastAsia="zh-CN"/>
                    </w:rPr>
                    <w:t>线</w:t>
                  </w:r>
                  <w:r>
                    <w:rPr>
                      <w:rFonts w:hint="eastAsia" w:ascii="Times New Roman" w:hAnsi="Times New Roman" w:eastAsia="宋体" w:cs="Times New Roman"/>
                      <w:color w:val="auto"/>
                      <w:sz w:val="21"/>
                      <w:szCs w:val="21"/>
                      <w:highlight w:val="none"/>
                      <w:lang w:eastAsia="zh-CN"/>
                    </w:rPr>
                    <w:t>热能中心</w:t>
                  </w:r>
                  <w:r>
                    <w:rPr>
                      <w:rFonts w:hint="default" w:ascii="Times New Roman" w:hAnsi="Times New Roman" w:eastAsia="宋体" w:cs="Times New Roman"/>
                      <w:color w:val="auto"/>
                      <w:sz w:val="21"/>
                      <w:szCs w:val="21"/>
                      <w:highlight w:val="none"/>
                      <w:lang w:eastAsia="zh-CN"/>
                    </w:rPr>
                    <w:t>燃烧废气</w:t>
                  </w:r>
                  <w:r>
                    <w:rPr>
                      <w:rFonts w:hint="eastAsia"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sz w:val="21"/>
                      <w:szCs w:val="21"/>
                      <w:highlight w:val="none"/>
                    </w:rPr>
                    <w:t>SNCR</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旋风除尘+水膜除尘处理后，经由1根25m高烟囱（</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）排放</w:t>
                  </w:r>
                </w:p>
              </w:tc>
              <w:tc>
                <w:tcPr>
                  <w:tcW w:w="3513" w:type="dxa"/>
                  <w:noWrap w:val="0"/>
                  <w:vAlign w:val="center"/>
                </w:tcPr>
                <w:p>
                  <w:pPr>
                    <w:jc w:val="center"/>
                    <w:rPr>
                      <w:rFonts w:hint="eastAsia" w:eastAsia="宋体"/>
                      <w:color w:val="auto"/>
                      <w:spacing w:val="0"/>
                      <w:kern w:val="21"/>
                      <w:sz w:val="21"/>
                      <w:szCs w:val="21"/>
                      <w:highlight w:val="none"/>
                      <w:lang w:eastAsia="zh-CN"/>
                    </w:rPr>
                  </w:pPr>
                  <w:r>
                    <w:rPr>
                      <w:rFonts w:hint="default" w:ascii="Times New Roman" w:hAnsi="Times New Roman" w:eastAsia="宋体" w:cs="Times New Roman"/>
                      <w:color w:val="auto"/>
                      <w:sz w:val="21"/>
                      <w:szCs w:val="21"/>
                      <w:highlight w:val="none"/>
                      <w:lang w:eastAsia="zh-CN"/>
                    </w:rPr>
                    <w:t>桥洞板生产线</w:t>
                  </w:r>
                  <w:r>
                    <w:rPr>
                      <w:rFonts w:hint="eastAsia" w:ascii="Times New Roman" w:hAnsi="Times New Roman" w:eastAsia="宋体" w:cs="Times New Roman"/>
                      <w:color w:val="auto"/>
                      <w:sz w:val="21"/>
                      <w:szCs w:val="21"/>
                      <w:highlight w:val="none"/>
                      <w:lang w:eastAsia="zh-CN"/>
                    </w:rPr>
                    <w:t>热能中心</w:t>
                  </w:r>
                  <w:r>
                    <w:rPr>
                      <w:rFonts w:hint="default" w:ascii="Times New Roman" w:hAnsi="Times New Roman" w:eastAsia="宋体" w:cs="Times New Roman"/>
                      <w:color w:val="auto"/>
                      <w:sz w:val="21"/>
                      <w:szCs w:val="21"/>
                      <w:highlight w:val="none"/>
                      <w:lang w:eastAsia="zh-CN"/>
                    </w:rPr>
                    <w:t>燃烧废气</w:t>
                  </w:r>
                  <w:r>
                    <w:rPr>
                      <w:rFonts w:hint="eastAsia"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sz w:val="21"/>
                      <w:szCs w:val="21"/>
                      <w:highlight w:val="none"/>
                    </w:rPr>
                    <w:t>SNCR脱硝</w:t>
                  </w:r>
                  <w:r>
                    <w:rPr>
                      <w:rFonts w:hint="eastAsia" w:ascii="Times New Roman" w:hAnsi="Times New Roman" w:eastAsia="宋体" w:cs="Times New Roman"/>
                      <w:color w:val="auto"/>
                      <w:sz w:val="21"/>
                      <w:szCs w:val="21"/>
                      <w:highlight w:val="none"/>
                      <w:lang w:eastAsia="zh-CN"/>
                    </w:rPr>
                    <w:t>处理后，依托现有已建</w:t>
                  </w:r>
                  <w:r>
                    <w:rPr>
                      <w:rFonts w:hint="default" w:ascii="Times New Roman" w:hAnsi="Times New Roman" w:eastAsia="宋体" w:cs="Times New Roman"/>
                      <w:color w:val="auto"/>
                      <w:sz w:val="21"/>
                      <w:szCs w:val="21"/>
                      <w:highlight w:val="none"/>
                    </w:rPr>
                    <w:t>旋风除尘+水膜除尘处理后，经由1根25m高烟囱（</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，现有设施预留有旋风除尘器及风机。</w:t>
                  </w:r>
                </w:p>
              </w:tc>
              <w:tc>
                <w:tcPr>
                  <w:tcW w:w="682" w:type="dxa"/>
                  <w:noWrap w:val="0"/>
                  <w:vAlign w:val="center"/>
                </w:tcPr>
                <w:p>
                  <w:pPr>
                    <w:jc w:val="center"/>
                    <w:rPr>
                      <w:rFonts w:hint="eastAsia" w:ascii="Times New Roman" w:hAnsi="Times New Roman" w:eastAsia="宋体"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shd w:val="clear" w:color="auto" w:fill="auto"/>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4</w:t>
                  </w:r>
                </w:p>
              </w:tc>
              <w:tc>
                <w:tcPr>
                  <w:tcW w:w="972" w:type="dxa"/>
                  <w:noWrap w:val="0"/>
                  <w:vAlign w:val="center"/>
                </w:tcPr>
                <w:p>
                  <w:pPr>
                    <w:jc w:val="center"/>
                    <w:rPr>
                      <w:rFonts w:hint="eastAsia"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危废暂存间</w:t>
                  </w:r>
                </w:p>
              </w:tc>
              <w:tc>
                <w:tcPr>
                  <w:tcW w:w="2250" w:type="dxa"/>
                  <w:noWrap w:val="0"/>
                  <w:vAlign w:val="center"/>
                </w:tcPr>
                <w:p>
                  <w:pPr>
                    <w:jc w:val="center"/>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eastAsia="zh-CN"/>
                    </w:rPr>
                    <w:t>厂区已建有一座</w:t>
                  </w:r>
                  <w:r>
                    <w:rPr>
                      <w:rFonts w:hint="eastAsia" w:cs="Times New Roman"/>
                      <w:color w:val="auto"/>
                      <w:spacing w:val="0"/>
                      <w:kern w:val="21"/>
                      <w:sz w:val="21"/>
                      <w:szCs w:val="21"/>
                      <w:highlight w:val="none"/>
                      <w:lang w:val="en-US" w:eastAsia="zh-CN"/>
                    </w:rPr>
                    <w:t>10m</w:t>
                  </w:r>
                  <w:r>
                    <w:rPr>
                      <w:rFonts w:hint="eastAsia" w:cs="Times New Roman"/>
                      <w:color w:val="auto"/>
                      <w:spacing w:val="0"/>
                      <w:kern w:val="21"/>
                      <w:sz w:val="21"/>
                      <w:szCs w:val="21"/>
                      <w:highlight w:val="none"/>
                      <w:vertAlign w:val="superscript"/>
                      <w:lang w:val="en-US" w:eastAsia="zh-CN"/>
                    </w:rPr>
                    <w:t>2</w:t>
                  </w:r>
                  <w:r>
                    <w:rPr>
                      <w:rFonts w:hint="eastAsia" w:cs="Times New Roman"/>
                      <w:color w:val="auto"/>
                      <w:spacing w:val="0"/>
                      <w:kern w:val="21"/>
                      <w:sz w:val="21"/>
                      <w:szCs w:val="21"/>
                      <w:highlight w:val="none"/>
                      <w:lang w:val="en-US" w:eastAsia="zh-CN"/>
                    </w:rPr>
                    <w:t>危废暂存间</w:t>
                  </w:r>
                </w:p>
              </w:tc>
              <w:tc>
                <w:tcPr>
                  <w:tcW w:w="3513" w:type="dxa"/>
                  <w:noWrap w:val="0"/>
                  <w:vAlign w:val="center"/>
                </w:tcPr>
                <w:p>
                  <w:pPr>
                    <w:jc w:val="center"/>
                    <w:rPr>
                      <w:color w:val="auto"/>
                      <w:spacing w:val="0"/>
                      <w:kern w:val="21"/>
                      <w:sz w:val="21"/>
                      <w:szCs w:val="21"/>
                      <w:highlight w:val="none"/>
                    </w:rPr>
                  </w:pPr>
                  <w:r>
                    <w:rPr>
                      <w:rFonts w:hint="eastAsia"/>
                      <w:color w:val="auto"/>
                      <w:spacing w:val="0"/>
                      <w:kern w:val="21"/>
                      <w:sz w:val="21"/>
                      <w:szCs w:val="21"/>
                      <w:highlight w:val="none"/>
                      <w:lang w:eastAsia="zh-CN"/>
                    </w:rPr>
                    <w:t>危废间目前尚</w:t>
                  </w:r>
                  <w:r>
                    <w:rPr>
                      <w:rFonts w:hint="eastAsia"/>
                      <w:color w:val="auto"/>
                      <w:spacing w:val="0"/>
                      <w:kern w:val="21"/>
                      <w:sz w:val="21"/>
                      <w:szCs w:val="21"/>
                      <w:highlight w:val="none"/>
                    </w:rPr>
                    <w:t>有堆存容量，依托可行。</w:t>
                  </w:r>
                </w:p>
              </w:tc>
              <w:tc>
                <w:tcPr>
                  <w:tcW w:w="682" w:type="dxa"/>
                  <w:noWrap w:val="0"/>
                  <w:vAlign w:val="center"/>
                </w:tcPr>
                <w:p>
                  <w:pPr>
                    <w:jc w:val="center"/>
                    <w:rPr>
                      <w:rFonts w:hint="eastAsia" w:ascii="Times New Roman" w:hAnsi="Times New Roman" w:eastAsia="宋体" w:cs="Times New Roman"/>
                      <w:color w:val="auto"/>
                      <w:spacing w:val="0"/>
                      <w:kern w:val="21"/>
                      <w:sz w:val="21"/>
                      <w:szCs w:val="21"/>
                      <w:highlight w:val="none"/>
                      <w:lang w:eastAsia="zh-CN"/>
                    </w:rPr>
                  </w:pPr>
                  <w:r>
                    <w:rPr>
                      <w:rFonts w:hint="eastAsia" w:cs="Times New Roman"/>
                      <w:color w:val="auto"/>
                      <w:spacing w:val="0"/>
                      <w:kern w:val="21"/>
                      <w:sz w:val="21"/>
                      <w:szCs w:val="21"/>
                      <w:highlight w:val="none"/>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5</w:t>
                  </w:r>
                </w:p>
              </w:tc>
              <w:tc>
                <w:tcPr>
                  <w:tcW w:w="97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给排水系统</w:t>
                  </w:r>
                </w:p>
              </w:tc>
              <w:tc>
                <w:tcPr>
                  <w:tcW w:w="2250"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lang w:val="en-US" w:eastAsia="zh-CN"/>
                    </w:rPr>
                    <w:t>厂区</w:t>
                  </w:r>
                  <w:r>
                    <w:rPr>
                      <w:rFonts w:hint="default" w:ascii="Times New Roman" w:hAnsi="Times New Roman" w:cs="Times New Roman"/>
                      <w:color w:val="auto"/>
                      <w:spacing w:val="0"/>
                      <w:kern w:val="21"/>
                      <w:sz w:val="21"/>
                      <w:szCs w:val="21"/>
                      <w:highlight w:val="none"/>
                    </w:rPr>
                    <w:t>已接通市政自来水管网及污水管网</w:t>
                  </w:r>
                </w:p>
              </w:tc>
              <w:tc>
                <w:tcPr>
                  <w:tcW w:w="3513"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目前厂区供水正常，能够满足本项目需求。</w:t>
                  </w:r>
                </w:p>
              </w:tc>
              <w:tc>
                <w:tcPr>
                  <w:tcW w:w="68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6</w:t>
                  </w:r>
                </w:p>
              </w:tc>
              <w:tc>
                <w:tcPr>
                  <w:tcW w:w="97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供电系统</w:t>
                  </w:r>
                </w:p>
              </w:tc>
              <w:tc>
                <w:tcPr>
                  <w:tcW w:w="2250"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已接通市政电网</w:t>
                  </w:r>
                </w:p>
              </w:tc>
              <w:tc>
                <w:tcPr>
                  <w:tcW w:w="3513"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目前厂区已建供电系统供电正常，能够满足本项目需求。</w:t>
                  </w:r>
                </w:p>
              </w:tc>
              <w:tc>
                <w:tcPr>
                  <w:tcW w:w="68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0" w:type="dxa"/>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7</w:t>
                  </w:r>
                </w:p>
              </w:tc>
              <w:tc>
                <w:tcPr>
                  <w:tcW w:w="97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消防系统</w:t>
                  </w:r>
                </w:p>
              </w:tc>
              <w:tc>
                <w:tcPr>
                  <w:tcW w:w="2250"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依托厂区已建消防设施。</w:t>
                  </w:r>
                </w:p>
              </w:tc>
              <w:tc>
                <w:tcPr>
                  <w:tcW w:w="3513"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目前厂区已建消防栓并配备相关消防设施，满足本项目需求。</w:t>
                  </w:r>
                </w:p>
              </w:tc>
              <w:tc>
                <w:tcPr>
                  <w:tcW w:w="682" w:type="dxa"/>
                  <w:noWrap w:val="0"/>
                  <w:vAlign w:val="center"/>
                </w:tcPr>
                <w:p>
                  <w:pPr>
                    <w:jc w:val="center"/>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可行</w:t>
                  </w:r>
                </w:p>
              </w:tc>
            </w:tr>
          </w:tbl>
          <w:p>
            <w:pPr>
              <w:adjustRightInd w:val="0"/>
              <w:snapToGrid w:val="0"/>
              <w:spacing w:before="120" w:beforeLines="50"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rPr>
              <w:t>五、</w:t>
            </w:r>
            <w:r>
              <w:rPr>
                <w:rFonts w:hint="default" w:ascii="Times New Roman" w:hAnsi="Times New Roman" w:cs="Times New Roman"/>
                <w:b/>
                <w:color w:val="auto"/>
                <w:sz w:val="24"/>
                <w:highlight w:val="none"/>
              </w:rPr>
              <w:t>主要设备设施</w:t>
            </w:r>
          </w:p>
          <w:p>
            <w:pPr>
              <w:adjustRightInd w:val="0"/>
              <w:snapToGrid w:val="0"/>
              <w:spacing w:line="360" w:lineRule="auto"/>
              <w:ind w:firstLine="480" w:firstLineChars="200"/>
              <w:jc w:val="left"/>
              <w:rPr>
                <w:rFonts w:hint="default" w:ascii="Times New Roman" w:hAnsi="Times New Roman" w:cs="Times New Roman"/>
                <w:snapToGrid w:val="0"/>
                <w:color w:val="auto"/>
                <w:kern w:val="0"/>
                <w:sz w:val="24"/>
              </w:rPr>
            </w:pPr>
            <w:r>
              <w:rPr>
                <w:rFonts w:hint="default" w:ascii="Times New Roman" w:hAnsi="Times New Roman" w:cs="Times New Roman"/>
                <w:color w:val="auto"/>
                <w:sz w:val="24"/>
                <w:lang w:eastAsia="zh-CN"/>
              </w:rPr>
              <w:t>现有项目预计建设两条定向刨花板生产线，实际仅建设一条，并进行验收，本项目将未建的定向刨花板生产线取消，建设</w:t>
            </w:r>
            <w:r>
              <w:rPr>
                <w:rFonts w:hint="default" w:ascii="Times New Roman" w:hAnsi="Times New Roman" w:cs="Times New Roman"/>
                <w:color w:val="auto"/>
                <w:sz w:val="24"/>
                <w:lang w:val="en-US" w:eastAsia="zh-CN"/>
              </w:rPr>
              <w:t>1条桥洞板生产线，并配套建设制胶生产线</w:t>
            </w:r>
            <w:r>
              <w:rPr>
                <w:rFonts w:hint="default" w:ascii="Times New Roman" w:hAnsi="Times New Roman" w:cs="Times New Roman"/>
                <w:color w:val="auto"/>
                <w:sz w:val="24"/>
                <w:lang w:eastAsia="zh-CN"/>
              </w:rPr>
              <w:t>。本次建设的桥洞板生产线主要设备见下表。</w:t>
            </w:r>
          </w:p>
          <w:p>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 xml:space="preserve">  本项目主要设备一览表</w:t>
            </w:r>
          </w:p>
          <w:tbl>
            <w:tblPr>
              <w:tblStyle w:val="39"/>
              <w:tblW w:w="793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9"/>
              <w:gridCol w:w="1295"/>
              <w:gridCol w:w="1305"/>
              <w:gridCol w:w="1005"/>
              <w:gridCol w:w="1034"/>
              <w:gridCol w:w="1271"/>
              <w:gridCol w:w="1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规格</w:t>
                  </w:r>
                  <w:r>
                    <w:rPr>
                      <w:rFonts w:hint="default" w:ascii="Times New Roman" w:hAnsi="Times New Roman" w:cs="Times New Roman"/>
                      <w:b/>
                      <w:bCs/>
                      <w:color w:val="auto"/>
                      <w:szCs w:val="21"/>
                      <w:lang w:val="en-US" w:eastAsia="zh-CN"/>
                    </w:rPr>
                    <w:t>/</w:t>
                  </w:r>
                  <w:r>
                    <w:rPr>
                      <w:rFonts w:hint="default" w:ascii="Times New Roman" w:hAnsi="Times New Roman" w:cs="Times New Roman"/>
                      <w:b/>
                      <w:bCs/>
                      <w:color w:val="auto"/>
                      <w:szCs w:val="21"/>
                    </w:rPr>
                    <w:t>型号</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单位</w:t>
                  </w:r>
                </w:p>
              </w:tc>
              <w:tc>
                <w:tcPr>
                  <w:tcW w:w="1034" w:type="dxa"/>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1271" w:type="dxa"/>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工序</w:t>
                  </w:r>
                </w:p>
              </w:tc>
              <w:tc>
                <w:tcPr>
                  <w:tcW w:w="153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削片机</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LBX2110</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1271"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木料加工工序</w:t>
                  </w:r>
                </w:p>
              </w:tc>
              <w:tc>
                <w:tcPr>
                  <w:tcW w:w="153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cs="Times New Roman"/>
                      <w:b w:val="0"/>
                      <w:bCs w:val="0"/>
                      <w:color w:val="auto"/>
                      <w:szCs w:val="21"/>
                      <w:lang w:eastAsia="zh-CN"/>
                    </w:rPr>
                    <w:t>依托实际已建设验收设备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粉碎机</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SA"/>
                    </w:rPr>
                    <w:t>1</w:t>
                  </w:r>
                </w:p>
              </w:tc>
              <w:tc>
                <w:tcPr>
                  <w:tcW w:w="1271"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3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本次改造后桥洞板生产线主要设备，</w:t>
                  </w:r>
                  <w:r>
                    <w:rPr>
                      <w:rFonts w:hint="default" w:ascii="Times New Roman" w:hAnsi="Times New Roman" w:eastAsia="宋体" w:cs="Times New Roman"/>
                      <w:b w:val="0"/>
                      <w:bCs w:val="0"/>
                      <w:color w:val="auto"/>
                      <w:szCs w:val="21"/>
                      <w:lang w:val="en-US" w:eastAsia="zh-CN"/>
                    </w:rPr>
                    <w:t>其中风选机、胶水生产加工工序设备也用于刨花板生产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螺旋料仓</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干燥机</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套</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kern w:val="0"/>
                      <w:szCs w:val="21"/>
                      <w:lang w:val="en-US" w:eastAsia="zh-CN"/>
                    </w:rPr>
                    <w:t>1</w:t>
                  </w:r>
                </w:p>
              </w:tc>
              <w:tc>
                <w:tcPr>
                  <w:tcW w:w="1271"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干燥工序</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筛</w:t>
                  </w:r>
                  <w:r>
                    <w:rPr>
                      <w:rFonts w:hint="default" w:ascii="Times New Roman" w:hAnsi="Times New Roman" w:cs="Times New Roman"/>
                      <w:color w:val="auto"/>
                      <w:szCs w:val="21"/>
                      <w:lang w:eastAsia="zh-CN"/>
                    </w:rPr>
                    <w:t>分机</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kern w:val="0"/>
                      <w:szCs w:val="21"/>
                      <w:lang w:val="en-US" w:eastAsia="zh-CN"/>
                    </w:rPr>
                    <w:t>1</w:t>
                  </w:r>
                </w:p>
              </w:tc>
              <w:tc>
                <w:tcPr>
                  <w:tcW w:w="1271"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筛分工序</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风选机</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rPr>
                    <w:t>2</w:t>
                  </w:r>
                </w:p>
              </w:tc>
              <w:tc>
                <w:tcPr>
                  <w:tcW w:w="1271"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eastAsia="zh-CN"/>
                    </w:rPr>
                    <w:t>热能中心</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27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rPr>
                    <w:t>热能供给工序</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拌胶搅拌罐</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rPr>
                    <w:t>10t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color w:val="auto"/>
                      <w:kern w:val="0"/>
                      <w:szCs w:val="21"/>
                      <w:lang w:val="en-US" w:eastAsia="zh-CN"/>
                    </w:rPr>
                    <w:t>1</w:t>
                  </w:r>
                </w:p>
              </w:tc>
              <w:tc>
                <w:tcPr>
                  <w:tcW w:w="1271"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胶水处理工序</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胶储存罐</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rPr>
                    <w:t>40t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color w:val="auto"/>
                      <w:kern w:val="0"/>
                      <w:szCs w:val="21"/>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甲醛储罐</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30t</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127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甲醛储存</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1295" w:type="dxa"/>
                  <w:vMerge w:val="restart"/>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反应釜</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25t</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1271" w:type="dxa"/>
                  <w:vMerge w:val="restart"/>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胶水生产加工工序，两用1备</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295"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10t</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锅炉</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t/h</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127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供热</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桥洞板专用压机</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rPr>
                    <w:t>11</w:t>
                  </w:r>
                </w:p>
              </w:tc>
              <w:tc>
                <w:tcPr>
                  <w:tcW w:w="1271"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施胶热压</w:t>
                  </w:r>
                  <w:r>
                    <w:rPr>
                      <w:rFonts w:hint="default" w:ascii="Times New Roman" w:hAnsi="Times New Roman" w:cs="Times New Roman"/>
                      <w:color w:val="auto"/>
                      <w:szCs w:val="21"/>
                      <w:lang w:eastAsia="zh-CN"/>
                    </w:rPr>
                    <w:t>、裁边砂光</w:t>
                  </w:r>
                  <w:r>
                    <w:rPr>
                      <w:rFonts w:hint="default" w:ascii="Times New Roman" w:hAnsi="Times New Roman" w:cs="Times New Roman"/>
                      <w:color w:val="auto"/>
                      <w:szCs w:val="21"/>
                    </w:rPr>
                    <w:t>工序</w:t>
                  </w: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w:t>
                  </w:r>
                </w:p>
              </w:tc>
              <w:tc>
                <w:tcPr>
                  <w:tcW w:w="129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锯床</w:t>
                  </w:r>
                </w:p>
              </w:tc>
              <w:tc>
                <w:tcPr>
                  <w:tcW w:w="13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砂光机</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005"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99"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129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空压机</w:t>
                  </w:r>
                </w:p>
              </w:tc>
              <w:tc>
                <w:tcPr>
                  <w:tcW w:w="13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螺杆空压机</w:t>
                  </w:r>
                </w:p>
              </w:tc>
              <w:tc>
                <w:tcPr>
                  <w:tcW w:w="100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1034"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1271"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53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p>
              </w:tc>
            </w:tr>
          </w:tbl>
          <w:p>
            <w:pPr>
              <w:adjustRightInd w:val="0"/>
              <w:snapToGrid w:val="0"/>
              <w:spacing w:before="120" w:beforeLines="50" w:line="360" w:lineRule="auto"/>
              <w:rPr>
                <w:rFonts w:hint="default" w:ascii="Times New Roman" w:hAnsi="Times New Roman" w:cs="Times New Roman"/>
                <w:b/>
                <w:color w:val="auto"/>
                <w:sz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bCs/>
                <w:color w:val="auto"/>
                <w:szCs w:val="21"/>
              </w:rPr>
            </w:pPr>
            <w:r>
              <w:rPr>
                <w:rFonts w:hint="default" w:ascii="Times New Roman" w:hAnsi="Times New Roman" w:cs="Times New Roman"/>
                <w:color w:val="auto"/>
                <w:sz w:val="24"/>
                <w:lang w:eastAsia="zh-CN"/>
              </w:rPr>
              <w:t>现有项目设备数量以两条定向刨花板生产线计，改建后全厂主要生产设备见下表。</w:t>
            </w:r>
          </w:p>
          <w:p>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eastAsia" w:ascii="Times New Roman" w:hAnsi="Times New Roman" w:cs="Times New Roman"/>
                <w:b/>
                <w:bCs/>
                <w:color w:val="auto"/>
                <w:szCs w:val="21"/>
                <w:lang w:val="en-US" w:eastAsia="zh-CN"/>
              </w:rPr>
              <w:t>6</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lang w:eastAsia="zh-CN"/>
              </w:rPr>
              <w:t>项目建成后全厂主要设备</w:t>
            </w:r>
            <w:r>
              <w:rPr>
                <w:rFonts w:hint="default" w:ascii="Times New Roman" w:hAnsi="Times New Roman" w:cs="Times New Roman"/>
                <w:b/>
                <w:bCs/>
                <w:color w:val="auto"/>
              </w:rPr>
              <w:t>一览表</w:t>
            </w:r>
          </w:p>
          <w:tbl>
            <w:tblPr>
              <w:tblStyle w:val="39"/>
              <w:tblW w:w="794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38"/>
              <w:gridCol w:w="1053"/>
              <w:gridCol w:w="997"/>
              <w:gridCol w:w="580"/>
              <w:gridCol w:w="661"/>
              <w:gridCol w:w="750"/>
              <w:gridCol w:w="825"/>
              <w:gridCol w:w="870"/>
              <w:gridCol w:w="1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53"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997"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规格及型号</w:t>
                  </w:r>
                </w:p>
              </w:tc>
              <w:tc>
                <w:tcPr>
                  <w:tcW w:w="58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单位</w:t>
                  </w:r>
                </w:p>
              </w:tc>
              <w:tc>
                <w:tcPr>
                  <w:tcW w:w="2236" w:type="dxa"/>
                  <w:gridSpan w:val="3"/>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870" w:type="dxa"/>
                  <w:vMerge w:val="restart"/>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工序</w:t>
                  </w:r>
                </w:p>
              </w:tc>
              <w:tc>
                <w:tcPr>
                  <w:tcW w:w="1766"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1053"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997"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580"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661" w:type="dxa"/>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现有项目</w:t>
                  </w:r>
                </w:p>
              </w:tc>
              <w:tc>
                <w:tcPr>
                  <w:tcW w:w="750" w:type="dxa"/>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改造后全厂</w:t>
                  </w:r>
                </w:p>
              </w:tc>
              <w:tc>
                <w:tcPr>
                  <w:tcW w:w="825" w:type="dxa"/>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增减量</w:t>
                  </w:r>
                </w:p>
              </w:tc>
              <w:tc>
                <w:tcPr>
                  <w:tcW w:w="870"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766" w:type="dxa"/>
                  <w:vMerge w:val="continue"/>
                  <w:tcBorders>
                    <w:tl2br w:val="nil"/>
                    <w:tr2bl w:val="nil"/>
                  </w:tcBorders>
                  <w:noWrap w:val="0"/>
                  <w:vAlign w:val="center"/>
                </w:tcPr>
                <w:p>
                  <w:pPr>
                    <w:pStyle w:val="213"/>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削片机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LBX2110</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w:t>
                  </w:r>
                </w:p>
              </w:tc>
              <w:tc>
                <w:tcPr>
                  <w:tcW w:w="87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木料加工工序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粉碎机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7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3</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螺旋料仓</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OBLX500</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p>
              </w:tc>
              <w:tc>
                <w:tcPr>
                  <w:tcW w:w="87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4</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刨片机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BX4612</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3</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0</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p>
              </w:tc>
              <w:tc>
                <w:tcPr>
                  <w:tcW w:w="1766"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项目取消原木、枝丫材加工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5</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锤刨机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OBFS-90</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5</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0</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p>
              </w:tc>
              <w:tc>
                <w:tcPr>
                  <w:tcW w:w="1766"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原木剥皮机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XXB-260</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5</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0</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p>
              </w:tc>
              <w:tc>
                <w:tcPr>
                  <w:tcW w:w="1766"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7</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干燥机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OBD-32-X4.0</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套</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87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干燥工序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筛</w:t>
                  </w:r>
                  <w:r>
                    <w:rPr>
                      <w:rFonts w:hint="default" w:ascii="Times New Roman" w:hAnsi="Times New Roman" w:cs="Times New Roman"/>
                      <w:color w:val="auto"/>
                      <w:szCs w:val="21"/>
                      <w:lang w:eastAsia="zh-CN"/>
                    </w:rPr>
                    <w:t>分机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OBSG-2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OBZD-10</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87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筛分工序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9</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风选机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0</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870"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新增工序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热能中心</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套</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87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rPr>
                    <w:t>热能供给工序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11</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拌胶搅拌罐</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rPr>
                    <w:t>10t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p>
              </w:tc>
              <w:tc>
                <w:tcPr>
                  <w:tcW w:w="87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胶水处理工序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现有项目未验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12</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胶储存罐</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rPr>
                    <w:t>40t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cs="Times New Roman"/>
                      <w:b w:val="0"/>
                      <w:bCs/>
                      <w:color w:val="auto"/>
                      <w:kern w:val="0"/>
                      <w:szCs w:val="21"/>
                      <w:lang w:val="en-US" w:eastAsia="zh-CN"/>
                    </w:rPr>
                    <w:t>6</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甲醛储罐</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30t</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870" w:type="dxa"/>
                  <w:vMerge w:val="restart"/>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胶水生产加工工序</w:t>
                  </w:r>
                </w:p>
              </w:tc>
              <w:tc>
                <w:tcPr>
                  <w:tcW w:w="1766"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新增工序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1053" w:type="dxa"/>
                  <w:vMerge w:val="restart"/>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反应釜</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25t</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1053"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10t</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锅炉</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1t/h</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vMerge w:val="continue"/>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施胶机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OBG-20-8</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870" w:type="dxa"/>
                  <w:vMerge w:val="restart"/>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施胶热压工序</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17</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铺装机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OBPZ-4.0-B</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18</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预压机</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OBYY-140-B48</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热压机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OBTLB-W18</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桥洞板专用压机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0</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桥洞板生产专用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21</w:t>
                  </w:r>
                </w:p>
              </w:tc>
              <w:tc>
                <w:tcPr>
                  <w:tcW w:w="1053"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锯床</w:t>
                  </w:r>
                </w:p>
              </w:tc>
              <w:tc>
                <w:tcPr>
                  <w:tcW w:w="997"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2</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22</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砂光机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0</w:t>
                  </w:r>
                </w:p>
              </w:tc>
              <w:tc>
                <w:tcPr>
                  <w:tcW w:w="750"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825"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870" w:type="dxa"/>
                  <w:vMerge w:val="continue"/>
                  <w:tcBorders>
                    <w:tl2br w:val="nil"/>
                    <w:tr2bl w:val="nil"/>
                  </w:tcBorders>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桥洞板生产使用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空压机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螺杆空压机</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87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w:t>
                  </w:r>
                </w:p>
              </w:tc>
              <w:tc>
                <w:tcPr>
                  <w:tcW w:w="1766"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现有项目已验</w:t>
                  </w:r>
                  <w:r>
                    <w:rPr>
                      <w:rFonts w:hint="default" w:ascii="Times New Roman" w:hAnsi="Times New Roman" w:cs="Times New Roman"/>
                      <w:color w:val="auto"/>
                      <w:szCs w:val="21"/>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38" w:type="dxa"/>
                  <w:tcBorders>
                    <w:tl2br w:val="nil"/>
                    <w:tr2bl w:val="nil"/>
                  </w:tcBorders>
                  <w:noWrap w:val="0"/>
                  <w:vAlign w:val="center"/>
                </w:tcPr>
                <w:p>
                  <w:pPr>
                    <w:keepNext w:val="0"/>
                    <w:keepLines w:val="0"/>
                    <w:pageBreakBefore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1053"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备用发电机</w:t>
                  </w:r>
                </w:p>
              </w:tc>
              <w:tc>
                <w:tcPr>
                  <w:tcW w:w="997"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58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台</w:t>
                  </w:r>
                </w:p>
              </w:tc>
              <w:tc>
                <w:tcPr>
                  <w:tcW w:w="661"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w:t>
                  </w:r>
                </w:p>
              </w:tc>
              <w:tc>
                <w:tcPr>
                  <w:tcW w:w="75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w:t>
                  </w:r>
                </w:p>
              </w:tc>
              <w:tc>
                <w:tcPr>
                  <w:tcW w:w="825"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w:t>
                  </w:r>
                </w:p>
              </w:tc>
              <w:tc>
                <w:tcPr>
                  <w:tcW w:w="870"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公用设施</w:t>
                  </w:r>
                </w:p>
              </w:tc>
              <w:tc>
                <w:tcPr>
                  <w:tcW w:w="1766" w:type="dxa"/>
                  <w:tcBorders>
                    <w:tl2br w:val="nil"/>
                    <w:tr2bl w:val="nil"/>
                  </w:tcBorders>
                  <w:noWrap w:val="0"/>
                  <w:vAlign w:val="center"/>
                </w:tcPr>
                <w:p>
                  <w:pPr>
                    <w:keepNext w:val="0"/>
                    <w:keepLines w:val="0"/>
                    <w:pageBreakBefore w:val="0"/>
                    <w:widowControl/>
                    <w:kinsoku/>
                    <w:wordWrap w:val="0"/>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eastAsia="zh-CN"/>
                    </w:rPr>
                    <w:t>现有项目已验</w:t>
                  </w:r>
                </w:p>
              </w:tc>
            </w:tr>
          </w:tbl>
          <w:p>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六、主要原辅材料及燃料种类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本次建设的桥洞板生产原辅材料及配套制胶生产所需原辅材料见下表。</w:t>
            </w:r>
          </w:p>
          <w:p>
            <w:pPr>
              <w:ind w:firstLine="211" w:firstLineChars="100"/>
              <w:jc w:val="center"/>
              <w:rPr>
                <w:rStyle w:val="50"/>
                <w:rFonts w:hint="default" w:ascii="Times New Roman" w:hAnsi="Times New Roman" w:cs="Times New Roman"/>
                <w:color w:val="auto"/>
                <w:kern w:val="0"/>
                <w:szCs w:val="20"/>
              </w:rPr>
            </w:pPr>
            <w:r>
              <w:rPr>
                <w:rFonts w:hint="default" w:ascii="Times New Roman" w:hAnsi="Times New Roman" w:cs="Times New Roman"/>
                <w:b/>
                <w:bCs/>
                <w:color w:val="auto"/>
                <w:szCs w:val="21"/>
              </w:rPr>
              <w:t>表2-</w:t>
            </w:r>
            <w:r>
              <w:rPr>
                <w:rFonts w:hint="eastAsia" w:cs="Times New Roman"/>
                <w:b/>
                <w:bCs/>
                <w:color w:val="auto"/>
                <w:szCs w:val="21"/>
                <w:lang w:val="en-US" w:eastAsia="zh-CN"/>
              </w:rPr>
              <w:t>7</w:t>
            </w:r>
            <w:r>
              <w:rPr>
                <w:rFonts w:hint="default" w:ascii="Times New Roman" w:hAnsi="Times New Roman" w:cs="Times New Roman"/>
                <w:b/>
                <w:bCs/>
                <w:color w:val="auto"/>
                <w:szCs w:val="21"/>
              </w:rPr>
              <w:t xml:space="preserve">  本项目主要原辅材料一览表</w:t>
            </w:r>
          </w:p>
          <w:tbl>
            <w:tblPr>
              <w:tblStyle w:val="39"/>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05"/>
              <w:gridCol w:w="1140"/>
              <w:gridCol w:w="990"/>
              <w:gridCol w:w="1080"/>
              <w:gridCol w:w="1065"/>
              <w:gridCol w:w="13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60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140"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990"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用量</w:t>
                  </w:r>
                </w:p>
              </w:tc>
              <w:tc>
                <w:tcPr>
                  <w:tcW w:w="1080"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sz w:val="21"/>
                      <w:szCs w:val="21"/>
                      <w:lang w:eastAsia="zh-CN"/>
                    </w:rPr>
                    <w:t>规格</w:t>
                  </w:r>
                </w:p>
              </w:tc>
              <w:tc>
                <w:tcPr>
                  <w:tcW w:w="106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sz w:val="21"/>
                      <w:szCs w:val="21"/>
                    </w:rPr>
                    <w:t>来源</w:t>
                  </w:r>
                </w:p>
              </w:tc>
              <w:tc>
                <w:tcPr>
                  <w:tcW w:w="134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w:t>
                  </w:r>
                </w:p>
              </w:tc>
              <w:tc>
                <w:tcPr>
                  <w:tcW w:w="7226" w:type="dxa"/>
                  <w:gridSpan w:val="6"/>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桥洞板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1</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家具厂下脚料</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万</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restar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本次改建桥洞板生产原辅材料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2</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氯化铵</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9.4</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25kg/袋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3</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石蜡</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9.4</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50kg/桶</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4</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尿素</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50kg/袋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5</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三聚氰胺</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6</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导热油</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t/次</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7</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机油</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二</w:t>
                  </w:r>
                </w:p>
              </w:tc>
              <w:tc>
                <w:tcPr>
                  <w:tcW w:w="7226" w:type="dxa"/>
                  <w:gridSpan w:val="6"/>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zCs w:val="21"/>
                      <w:lang w:eastAsia="zh-CN"/>
                    </w:rPr>
                    <w:t>脲醛树脂胶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60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尿素</w:t>
                  </w:r>
                </w:p>
              </w:tc>
              <w:tc>
                <w:tcPr>
                  <w:tcW w:w="114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990"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4600</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50kg/袋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c>
                <w:tcPr>
                  <w:tcW w:w="1346" w:type="dxa"/>
                  <w:vMerge w:val="restart"/>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项目生产脲醛树脂胶用于厂区内定向刨花板、桥洞板生产使用，不外售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60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甲醛</w:t>
                  </w:r>
                </w:p>
              </w:tc>
              <w:tc>
                <w:tcPr>
                  <w:tcW w:w="114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990"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6204</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160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三聚氰胺</w:t>
                  </w:r>
                </w:p>
              </w:tc>
              <w:tc>
                <w:tcPr>
                  <w:tcW w:w="114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990"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25kg/袋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4</w:t>
                  </w:r>
                </w:p>
              </w:tc>
              <w:tc>
                <w:tcPr>
                  <w:tcW w:w="160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氯化铵</w:t>
                  </w:r>
                </w:p>
              </w:tc>
              <w:tc>
                <w:tcPr>
                  <w:tcW w:w="114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990"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25kg/袋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5</w:t>
                  </w:r>
                </w:p>
              </w:tc>
              <w:tc>
                <w:tcPr>
                  <w:tcW w:w="160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片碱</w:t>
                  </w:r>
                </w:p>
              </w:tc>
              <w:tc>
                <w:tcPr>
                  <w:tcW w:w="114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990"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25kg/袋</w:t>
                  </w:r>
                </w:p>
              </w:tc>
              <w:tc>
                <w:tcPr>
                  <w:tcW w:w="1065"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vMerge w:val="continue"/>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w:t>
                  </w:r>
                </w:p>
              </w:tc>
              <w:tc>
                <w:tcPr>
                  <w:tcW w:w="7226" w:type="dxa"/>
                  <w:gridSpan w:val="6"/>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万kw·h/a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50</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6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当地电网</w:t>
                  </w:r>
                </w:p>
              </w:tc>
              <w:tc>
                <w:tcPr>
                  <w:tcW w:w="134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成型生物质</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00</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6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34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3</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天然气</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18万</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6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市政管网</w:t>
                  </w:r>
                </w:p>
              </w:tc>
              <w:tc>
                <w:tcPr>
                  <w:tcW w:w="134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160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自来水</w:t>
                  </w:r>
                </w:p>
              </w:tc>
              <w:tc>
                <w:tcPr>
                  <w:tcW w:w="114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/a</w:t>
                  </w:r>
                </w:p>
              </w:tc>
              <w:tc>
                <w:tcPr>
                  <w:tcW w:w="99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1311.5</w:t>
                  </w:r>
                </w:p>
              </w:tc>
              <w:tc>
                <w:tcPr>
                  <w:tcW w:w="1080"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65"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市政供水</w:t>
                  </w:r>
                </w:p>
              </w:tc>
              <w:tc>
                <w:tcPr>
                  <w:tcW w:w="134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w:t>
                  </w:r>
                </w:p>
              </w:tc>
            </w:tr>
          </w:tbl>
          <w:p>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line="360" w:lineRule="auto"/>
              <w:ind w:leftChars="0" w:firstLine="480" w:firstLineChars="200"/>
              <w:jc w:val="both"/>
              <w:textAlignment w:val="auto"/>
              <w:rPr>
                <w:rFonts w:hint="default" w:ascii="Times New Roman" w:hAnsi="Times New Roman" w:cs="Times New Roman"/>
                <w:b/>
                <w:bCs/>
                <w:color w:val="auto"/>
              </w:rPr>
            </w:pPr>
            <w:r>
              <w:rPr>
                <w:rFonts w:hint="default" w:ascii="Times New Roman" w:hAnsi="Times New Roman" w:cs="Times New Roman"/>
                <w:color w:val="auto"/>
                <w:sz w:val="24"/>
                <w:lang w:eastAsia="zh-CN"/>
              </w:rPr>
              <w:t>项目改建后全厂原辅材料消耗情况见下表。</w:t>
            </w:r>
          </w:p>
          <w:p>
            <w:pPr>
              <w:keepNext w:val="0"/>
              <w:keepLines w:val="0"/>
              <w:pageBreakBefore w:val="0"/>
              <w:widowControl w:val="0"/>
              <w:kinsoku/>
              <w:wordWrap/>
              <w:overflowPunct/>
              <w:topLinePunct w:val="0"/>
              <w:autoSpaceDE/>
              <w:autoSpaceDN/>
              <w:bidi w:val="0"/>
              <w:adjustRightInd/>
              <w:snapToGrid/>
              <w:spacing w:before="157" w:beforeLines="50"/>
              <w:ind w:firstLine="211" w:firstLineChars="100"/>
              <w:jc w:val="center"/>
              <w:textAlignment w:val="auto"/>
              <w:rPr>
                <w:rStyle w:val="50"/>
                <w:rFonts w:hint="default" w:ascii="Times New Roman" w:hAnsi="Times New Roman" w:cs="Times New Roman"/>
                <w:color w:val="auto"/>
                <w:kern w:val="0"/>
                <w:szCs w:val="20"/>
              </w:rPr>
            </w:pPr>
            <w:r>
              <w:rPr>
                <w:rFonts w:hint="default" w:ascii="Times New Roman" w:hAnsi="Times New Roman" w:cs="Times New Roman"/>
                <w:b/>
                <w:bCs/>
                <w:color w:val="auto"/>
                <w:szCs w:val="21"/>
              </w:rPr>
              <w:t>表2-</w:t>
            </w:r>
            <w:r>
              <w:rPr>
                <w:rFonts w:hint="eastAsia" w:ascii="Times New Roman" w:hAnsi="Times New Roman" w:cs="Times New Roman"/>
                <w:b/>
                <w:bCs/>
                <w:color w:val="auto"/>
                <w:szCs w:val="21"/>
                <w:lang w:val="en-US" w:eastAsia="zh-CN"/>
              </w:rPr>
              <w:t>8</w:t>
            </w:r>
            <w:r>
              <w:rPr>
                <w:rFonts w:hint="default" w:ascii="Times New Roman" w:hAnsi="Times New Roman" w:cs="Times New Roman"/>
                <w:b/>
                <w:bCs/>
                <w:color w:val="auto"/>
                <w:szCs w:val="21"/>
              </w:rPr>
              <w:t xml:space="preserve">  本</w:t>
            </w:r>
            <w:r>
              <w:rPr>
                <w:rFonts w:hint="default" w:ascii="Times New Roman" w:hAnsi="Times New Roman" w:cs="Times New Roman"/>
                <w:b/>
                <w:bCs/>
                <w:color w:val="auto"/>
                <w:lang w:eastAsia="zh-CN"/>
              </w:rPr>
              <w:t>项目建成后全厂</w:t>
            </w:r>
            <w:r>
              <w:rPr>
                <w:rFonts w:hint="default" w:ascii="Times New Roman" w:hAnsi="Times New Roman" w:cs="Times New Roman"/>
                <w:b/>
                <w:bCs/>
                <w:color w:val="auto"/>
              </w:rPr>
              <w:t>原辅材料</w:t>
            </w:r>
            <w:r>
              <w:rPr>
                <w:rFonts w:hint="default" w:ascii="Times New Roman" w:hAnsi="Times New Roman" w:cs="Times New Roman"/>
                <w:b/>
                <w:bCs/>
                <w:color w:val="auto"/>
                <w:lang w:eastAsia="zh-CN"/>
              </w:rPr>
              <w:t>及能源消耗</w:t>
            </w:r>
            <w:r>
              <w:rPr>
                <w:rFonts w:hint="default" w:ascii="Times New Roman" w:hAnsi="Times New Roman" w:cs="Times New Roman"/>
                <w:b/>
                <w:bCs/>
                <w:color w:val="auto"/>
              </w:rPr>
              <w:t>一览表</w:t>
            </w:r>
          </w:p>
          <w:tbl>
            <w:tblPr>
              <w:tblStyle w:val="39"/>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35"/>
              <w:gridCol w:w="1119"/>
              <w:gridCol w:w="1013"/>
              <w:gridCol w:w="692"/>
              <w:gridCol w:w="727"/>
              <w:gridCol w:w="1016"/>
              <w:gridCol w:w="792"/>
              <w:gridCol w:w="908"/>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119"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013"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c>
                <w:tcPr>
                  <w:tcW w:w="2435" w:type="dxa"/>
                  <w:gridSpan w:val="3"/>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用量</w:t>
                  </w:r>
                </w:p>
              </w:tc>
              <w:tc>
                <w:tcPr>
                  <w:tcW w:w="792"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规格</w:t>
                  </w:r>
                </w:p>
              </w:tc>
              <w:tc>
                <w:tcPr>
                  <w:tcW w:w="908"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来源</w:t>
                  </w:r>
                </w:p>
              </w:tc>
              <w:tc>
                <w:tcPr>
                  <w:tcW w:w="1143" w:type="dxa"/>
                  <w:vMerge w:val="restart"/>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rPr>
                  </w:pPr>
                </w:p>
              </w:tc>
              <w:tc>
                <w:tcPr>
                  <w:tcW w:w="1119"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rPr>
                  </w:pPr>
                </w:p>
              </w:tc>
              <w:tc>
                <w:tcPr>
                  <w:tcW w:w="1013"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rPr>
                  </w:pPr>
                </w:p>
              </w:tc>
              <w:tc>
                <w:tcPr>
                  <w:tcW w:w="692"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现有项目</w:t>
                  </w:r>
                </w:p>
              </w:tc>
              <w:tc>
                <w:tcPr>
                  <w:tcW w:w="727"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技改后全厂</w:t>
                  </w:r>
                </w:p>
              </w:tc>
              <w:tc>
                <w:tcPr>
                  <w:tcW w:w="101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增减量</w:t>
                  </w:r>
                </w:p>
              </w:tc>
              <w:tc>
                <w:tcPr>
                  <w:tcW w:w="792"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highlight w:val="none"/>
                      <w:lang w:eastAsia="zh-CN"/>
                    </w:rPr>
                  </w:pPr>
                </w:p>
              </w:tc>
              <w:tc>
                <w:tcPr>
                  <w:tcW w:w="908"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
                      <w:bCs/>
                      <w:color w:val="auto"/>
                      <w:sz w:val="21"/>
                      <w:szCs w:val="21"/>
                      <w:highlight w:val="none"/>
                      <w:lang w:eastAsia="zh-CN"/>
                    </w:rPr>
                  </w:pPr>
                </w:p>
              </w:tc>
              <w:tc>
                <w:tcPr>
                  <w:tcW w:w="1143" w:type="dxa"/>
                  <w:vMerge w:val="continue"/>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一</w:t>
                  </w:r>
                </w:p>
              </w:tc>
              <w:tc>
                <w:tcPr>
                  <w:tcW w:w="7410" w:type="dxa"/>
                  <w:gridSpan w:val="8"/>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eastAsia="zh-CN"/>
                    </w:rPr>
                    <w:t>定向刨花板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成品刨花</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4.5万</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4.5万</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外购成品</w:t>
                  </w:r>
                </w:p>
              </w:tc>
              <w:tc>
                <w:tcPr>
                  <w:tcW w:w="1143" w:type="dxa"/>
                  <w:vMerge w:val="restart"/>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直接外购成品刨花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2</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原木</w:t>
                  </w:r>
                  <w:r>
                    <w:rPr>
                      <w:rFonts w:hint="default" w:ascii="Times New Roman" w:hAnsi="Times New Roman" w:eastAsia="宋体" w:cs="Times New Roman"/>
                      <w:color w:val="auto"/>
                      <w:sz w:val="21"/>
                      <w:szCs w:val="21"/>
                      <w:highlight w:val="none"/>
                      <w:lang w:eastAsia="zh-CN"/>
                    </w:rPr>
                    <w:t>、枝丫材</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4.5万</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-4.5万</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3</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家具厂下脚料</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8.6</w:t>
                  </w:r>
                  <w:r>
                    <w:rPr>
                      <w:rFonts w:hint="default" w:ascii="Times New Roman" w:hAnsi="Times New Roman" w:eastAsia="宋体" w:cs="Times New Roman"/>
                      <w:i w:val="0"/>
                      <w:iCs w:val="0"/>
                      <w:color w:val="auto"/>
                      <w:kern w:val="0"/>
                      <w:sz w:val="21"/>
                      <w:szCs w:val="21"/>
                      <w:highlight w:val="none"/>
                      <w:u w:val="none"/>
                      <w:lang w:val="en-US" w:eastAsia="zh-CN" w:bidi="ar"/>
                    </w:rPr>
                    <w:t>万</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4.3万</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-4.3万</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restart"/>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r>
                    <w:rPr>
                      <w:rFonts w:hint="default" w:ascii="Times New Roman" w:hAnsi="Times New Roman" w:cs="Times New Roman"/>
                      <w:color w:val="auto"/>
                      <w:szCs w:val="21"/>
                      <w:highlight w:val="none"/>
                      <w:lang w:eastAsia="zh-CN"/>
                    </w:rPr>
                    <w:t>在建一条定向刨花板生产线取消建设，脲醛树脂胶厂区内自制，不外购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4</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脲醛树脂胶</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1.6万</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0.8</w:t>
                  </w:r>
                  <w:r>
                    <w:rPr>
                      <w:rFonts w:hint="default" w:ascii="Times New Roman" w:hAnsi="Times New Roman" w:eastAsia="宋体" w:cs="Times New Roman"/>
                      <w:i w:val="0"/>
                      <w:iCs w:val="0"/>
                      <w:color w:val="auto"/>
                      <w:kern w:val="0"/>
                      <w:sz w:val="21"/>
                      <w:szCs w:val="21"/>
                      <w:highlight w:val="none"/>
                      <w:u w:val="none"/>
                      <w:lang w:val="en-US" w:eastAsia="zh-CN" w:bidi="ar"/>
                    </w:rPr>
                    <w:t>万</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0.8</w:t>
                  </w:r>
                  <w:r>
                    <w:rPr>
                      <w:rFonts w:hint="default" w:ascii="Times New Roman" w:hAnsi="Times New Roman" w:eastAsia="宋体" w:cs="Times New Roman"/>
                      <w:i w:val="0"/>
                      <w:iCs w:val="0"/>
                      <w:color w:val="auto"/>
                      <w:kern w:val="0"/>
                      <w:sz w:val="21"/>
                      <w:szCs w:val="21"/>
                      <w:highlight w:val="none"/>
                      <w:u w:val="none"/>
                      <w:lang w:val="en-US" w:eastAsia="zh-CN" w:bidi="ar"/>
                    </w:rPr>
                    <w:t>万</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FF"/>
                      <w:kern w:val="2"/>
                      <w:sz w:val="21"/>
                      <w:szCs w:val="21"/>
                      <w:highlight w:val="none"/>
                      <w:lang w:val="en-US" w:eastAsia="zh-CN" w:bidi="ar-SA"/>
                    </w:rPr>
                    <w:t>厂区内生产</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5</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氯化铵</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6</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石蜡</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50kg/桶</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7</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尿素</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50kg/袋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8</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三聚氰胺</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9</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导热油</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t/次</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机油</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w:t>
                  </w:r>
                </w:p>
              </w:tc>
              <w:tc>
                <w:tcPr>
                  <w:tcW w:w="7410" w:type="dxa"/>
                  <w:gridSpan w:val="8"/>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桥洞板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家具厂下脚料</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rPr>
                    <w:t>万</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rPr>
                    <w:t>万</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restart"/>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2</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氯化铵</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9.4</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+9.4</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3</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石蜡</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9.4</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+9.4</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4</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尿素</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37.5</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+37.5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50kg/桶</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5</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三聚氰胺</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6</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导热油</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t/次</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7</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机油</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0.15</w:t>
                  </w:r>
                </w:p>
              </w:tc>
              <w:tc>
                <w:tcPr>
                  <w:tcW w:w="1016"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三</w:t>
                  </w:r>
                </w:p>
              </w:tc>
              <w:tc>
                <w:tcPr>
                  <w:tcW w:w="7410" w:type="dxa"/>
                  <w:gridSpan w:val="8"/>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val="0"/>
                      <w:color w:val="auto"/>
                      <w:szCs w:val="21"/>
                      <w:highlight w:val="none"/>
                      <w:lang w:eastAsia="zh-CN"/>
                    </w:rPr>
                    <w:t>脲醛树脂胶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c>
                <w:tcPr>
                  <w:tcW w:w="111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尿素</w:t>
                  </w:r>
                </w:p>
              </w:tc>
              <w:tc>
                <w:tcPr>
                  <w:tcW w:w="101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4600</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+4600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50kg/袋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restart"/>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本次新增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2</w:t>
                  </w:r>
                </w:p>
              </w:tc>
              <w:tc>
                <w:tcPr>
                  <w:tcW w:w="111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37%</w:t>
                  </w:r>
                  <w:r>
                    <w:rPr>
                      <w:rFonts w:hint="default" w:ascii="Times New Roman" w:hAnsi="Times New Roman" w:cs="Times New Roman"/>
                      <w:color w:val="auto"/>
                      <w:szCs w:val="21"/>
                    </w:rPr>
                    <w:t>甲醛</w:t>
                  </w:r>
                </w:p>
              </w:tc>
              <w:tc>
                <w:tcPr>
                  <w:tcW w:w="101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6204</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+6204</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3</w:t>
                  </w:r>
                </w:p>
              </w:tc>
              <w:tc>
                <w:tcPr>
                  <w:tcW w:w="111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三聚氰胺</w:t>
                  </w:r>
                </w:p>
              </w:tc>
              <w:tc>
                <w:tcPr>
                  <w:tcW w:w="101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225</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+225</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4</w:t>
                  </w:r>
                </w:p>
              </w:tc>
              <w:tc>
                <w:tcPr>
                  <w:tcW w:w="111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氯化铵</w:t>
                  </w:r>
                </w:p>
              </w:tc>
              <w:tc>
                <w:tcPr>
                  <w:tcW w:w="101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5</w:t>
                  </w:r>
                </w:p>
              </w:tc>
              <w:tc>
                <w:tcPr>
                  <w:tcW w:w="111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片碱</w:t>
                  </w:r>
                </w:p>
              </w:tc>
              <w:tc>
                <w:tcPr>
                  <w:tcW w:w="1013"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t/a</w:t>
                  </w:r>
                </w:p>
              </w:tc>
              <w:tc>
                <w:tcPr>
                  <w:tcW w:w="692"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0</w:t>
                  </w:r>
                </w:p>
              </w:tc>
              <w:tc>
                <w:tcPr>
                  <w:tcW w:w="727"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016" w:type="dxa"/>
                  <w:tcBorders>
                    <w:tl2br w:val="nil"/>
                    <w:tr2bl w:val="nil"/>
                  </w:tcBorders>
                  <w:noWrap w:val="0"/>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25kg/袋</w:t>
                  </w:r>
                </w:p>
              </w:tc>
              <w:tc>
                <w:tcPr>
                  <w:tcW w:w="908" w:type="dxa"/>
                  <w:tcBorders>
                    <w:tl2br w:val="nil"/>
                    <w:tr2bl w:val="nil"/>
                  </w:tcBorders>
                  <w:noWrap w:val="0"/>
                  <w:vAlign w:val="center"/>
                </w:tcPr>
                <w:p>
                  <w:pPr>
                    <w:keepNext w:val="0"/>
                    <w:keepLines w:val="0"/>
                    <w:pageBreakBefore w:val="0"/>
                    <w:kinsoku/>
                    <w:wordWrap/>
                    <w:overflowPunct w:val="0"/>
                    <w:topLinePunct/>
                    <w:autoSpaceDE w:val="0"/>
                    <w:autoSpaceDN w:val="0"/>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四</w:t>
                  </w:r>
                </w:p>
              </w:tc>
              <w:tc>
                <w:tcPr>
                  <w:tcW w:w="7410" w:type="dxa"/>
                  <w:gridSpan w:val="8"/>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color w:val="auto"/>
                      <w:sz w:val="21"/>
                      <w:szCs w:val="21"/>
                      <w:highlight w:val="none"/>
                    </w:rPr>
                    <w:t>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万kw·h/a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c>
                <w:tcPr>
                  <w:tcW w:w="101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08"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当地电网</w:t>
                  </w:r>
                </w:p>
              </w:tc>
              <w:tc>
                <w:tcPr>
                  <w:tcW w:w="1143" w:type="dxa"/>
                  <w:vMerge w:val="restart"/>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rPr>
                    <w:t>2</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天然气</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18万</w:t>
                  </w:r>
                </w:p>
              </w:tc>
              <w:tc>
                <w:tcPr>
                  <w:tcW w:w="101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+18万</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08"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cs="Times New Roman"/>
                      <w:color w:val="auto"/>
                      <w:szCs w:val="21"/>
                      <w:highlight w:val="yellow"/>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 w:val="21"/>
                      <w:szCs w:val="21"/>
                      <w:lang w:val="en-US" w:eastAsia="zh-CN"/>
                    </w:rPr>
                    <w:t>3</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成型生物质</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8000</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5500</w:t>
                  </w:r>
                </w:p>
              </w:tc>
              <w:tc>
                <w:tcPr>
                  <w:tcW w:w="101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-2500</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8"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外购</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535"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1119"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自来水</w:t>
                  </w:r>
                </w:p>
              </w:tc>
              <w:tc>
                <w:tcPr>
                  <w:tcW w:w="1013"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692"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4536</w:t>
                  </w:r>
                </w:p>
              </w:tc>
              <w:tc>
                <w:tcPr>
                  <w:tcW w:w="727"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1311.5</w:t>
                  </w:r>
                </w:p>
              </w:tc>
              <w:tc>
                <w:tcPr>
                  <w:tcW w:w="1016" w:type="dxa"/>
                  <w:tcBorders>
                    <w:tl2br w:val="nil"/>
                    <w:tr2bl w:val="nil"/>
                  </w:tcBorders>
                  <w:noWrap w:val="0"/>
                  <w:vAlign w:val="center"/>
                </w:tcPr>
                <w:p>
                  <w:pPr>
                    <w:pStyle w:val="158"/>
                    <w:keepNext w:val="0"/>
                    <w:keepLines w:val="0"/>
                    <w:pageBreakBefore w:val="0"/>
                    <w:kinsoku/>
                    <w:wordWrap/>
                    <w:bidi w:val="0"/>
                    <w:adjustRightInd w:val="0"/>
                    <w:snapToGrid w:val="0"/>
                    <w:spacing w:line="240" w:lineRule="auto"/>
                    <w:ind w:left="0" w:right="0" w:firstLine="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2316</w:t>
                  </w:r>
                </w:p>
              </w:tc>
              <w:tc>
                <w:tcPr>
                  <w:tcW w:w="792" w:type="dxa"/>
                  <w:tcBorders>
                    <w:tl2br w:val="nil"/>
                    <w:tr2bl w:val="nil"/>
                  </w:tcBorders>
                  <w:shd w:val="clear" w:color="auto" w:fill="auto"/>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8" w:type="dxa"/>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市政供水</w:t>
                  </w:r>
                </w:p>
              </w:tc>
              <w:tc>
                <w:tcPr>
                  <w:tcW w:w="1143" w:type="dxa"/>
                  <w:vMerge w:val="continue"/>
                  <w:tcBorders>
                    <w:tl2br w:val="nil"/>
                    <w:tr2bl w:val="nil"/>
                  </w:tcBorders>
                  <w:noWrap w:val="0"/>
                  <w:vAlign w:val="center"/>
                </w:tcPr>
                <w:p>
                  <w:pPr>
                    <w:keepNext w:val="0"/>
                    <w:keepLines w:val="0"/>
                    <w:pageBreakBefore w:val="0"/>
                    <w:kinsoku/>
                    <w:wordWrap/>
                    <w:bidi w:val="0"/>
                    <w:adjustRightInd w:val="0"/>
                    <w:snapToGrid w:val="0"/>
                    <w:spacing w:line="240" w:lineRule="auto"/>
                    <w:jc w:val="center"/>
                    <w:rPr>
                      <w:rFonts w:hint="default" w:ascii="Times New Roman" w:hAnsi="Times New Roman" w:eastAsia="宋体" w:cs="Times New Roman"/>
                      <w:bCs/>
                      <w:color w:val="auto"/>
                      <w:sz w:val="21"/>
                      <w:szCs w:val="21"/>
                    </w:rPr>
                  </w:pPr>
                </w:p>
              </w:tc>
            </w:tr>
          </w:tbl>
          <w:p>
            <w:pPr>
              <w:pStyle w:val="164"/>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jc w:val="both"/>
              <w:textAlignment w:val="baseline"/>
              <w:rPr>
                <w:rFonts w:hint="eastAsia" w:ascii="宋体" w:hAnsi="宋体" w:eastAsia="宋体" w:cs="宋体"/>
                <w:b/>
                <w:bCs/>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1</w:t>
            </w:r>
            <w:r>
              <w:rPr>
                <w:rFonts w:hint="eastAsia" w:ascii="宋体" w:hAnsi="宋体" w:eastAsia="宋体" w:cs="宋体"/>
                <w:b/>
                <w:bCs/>
                <w:color w:val="auto"/>
                <w:lang w:eastAsia="zh-CN"/>
              </w:rPr>
              <w:t>）</w:t>
            </w:r>
            <w:r>
              <w:rPr>
                <w:rFonts w:hint="eastAsia" w:ascii="宋体" w:hAnsi="宋体" w:eastAsia="宋体" w:cs="宋体"/>
                <w:b/>
                <w:bCs/>
                <w:color w:val="auto"/>
              </w:rPr>
              <w:t>主要原辅材料性质</w:t>
            </w:r>
            <w:r>
              <w:rPr>
                <w:rFonts w:hint="eastAsia" w:ascii="宋体" w:hAnsi="宋体" w:eastAsia="宋体" w:cs="宋体"/>
                <w:b/>
                <w:bCs/>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固化剂（氯化铵）：氯化铵无色立方晶体或白色结晶。味咸凉而微苦。相对密度1.527。易溶于水，溶于液氨，微溶于醇，不溶于丙酮和乙醚。加热至100℃时开始挥发，337.8℃时离解为氨和氯化氢，遇冷后又重新化合生成颗粒极小的氯化铵而呈白色浓雾，不易下沉，也极不易再溶解于水。加热至350℃升华，沸点520℃。吸湿性小，但在潮湿的阴雨天气也能吸潮结块。水溶液呈弱酸性，加热时酸性增强。对黑色金属和其它金属有腐蚀性，特别对铜腐蚀更大，对生铁无腐蚀作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防水剂（石蜡）：固体，在日光下观察不显荧光，无嗅无味。密度比重0.86-0.905</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25℃</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不溶于水、甘油、冷乙醇，溶于苯、乙醚、氯仿、二硫化碳、热乙醇。与除蓖麻油外大多数脂肪油能任意混合，樟脑、薄荷脑及大多数天然或人造麝香均能被溶解。对光、热、酸等稳定，但长时间接触光和热会慢慢氧化。用于制造洗衣粉、合成洗涤剂、合成石油蛋白、农药乳化剂等。石蜡为石油炼制的直馏馏分，经分子筛或尿素络合脱芳烃、不饱和烃和支链烃后的精制品，化学性质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尿素：尿素又称脲或碳酰胺，分子式</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NH</w:t>
            </w:r>
            <w:r>
              <w:rPr>
                <w:rFonts w:hint="default" w:ascii="Times New Roman" w:hAnsi="Times New Roman" w:cs="Times New Roman"/>
                <w:b w:val="0"/>
                <w:bCs w:val="0"/>
                <w:color w:val="auto"/>
                <w:sz w:val="24"/>
                <w:highlight w:val="none"/>
                <w:vertAlign w:val="subscript"/>
              </w:rPr>
              <w:t>2</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vertAlign w:val="subscript"/>
              </w:rPr>
              <w:t>2</w:t>
            </w:r>
            <w:r>
              <w:rPr>
                <w:rFonts w:hint="default" w:ascii="Times New Roman" w:hAnsi="Times New Roman" w:cs="Times New Roman"/>
                <w:b w:val="0"/>
                <w:bCs w:val="0"/>
                <w:color w:val="auto"/>
                <w:sz w:val="24"/>
                <w:highlight w:val="none"/>
              </w:rPr>
              <w:t>CO，相对分子量为60，无色晶体。大量存在于人类和哺乳动物的尿中。密度1.335，熔点132.7℃。加热温度超过熔点即分解。水溶液呈中性，用做肥料、动物饲料、炸药、稳定剂和制脲醛树脂等的原料，由氨和二氧化碳在高温和压力下作用而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三聚氰胺：</w:t>
            </w:r>
            <w:r>
              <w:rPr>
                <w:rFonts w:hint="default" w:ascii="Times New Roman" w:hAnsi="Times New Roman" w:cs="Times New Roman"/>
                <w:b w:val="0"/>
                <w:bCs w:val="0"/>
                <w:color w:val="auto"/>
                <w:kern w:val="0"/>
                <w:sz w:val="24"/>
                <w:highlight w:val="none"/>
              </w:rPr>
              <w:t>俗称密胺、蛋白精。是一种三嗪类含氮杂环有机化合物，被用作化工原料。它是白色单斜晶体，几乎无味，不可燃，在常温下性质稳定。微溶于水（</w:t>
            </w:r>
            <w:r>
              <w:rPr>
                <w:rFonts w:hint="default" w:ascii="Times New Roman" w:hAnsi="Times New Roman" w:eastAsia="ArialMT" w:cs="Times New Roman"/>
                <w:b w:val="0"/>
                <w:bCs w:val="0"/>
                <w:color w:val="auto"/>
                <w:kern w:val="0"/>
                <w:sz w:val="24"/>
                <w:highlight w:val="none"/>
              </w:rPr>
              <w:t>3.1g/L</w:t>
            </w:r>
            <w:r>
              <w:rPr>
                <w:rFonts w:hint="default" w:ascii="Times New Roman" w:hAnsi="Times New Roman" w:cs="Times New Roman"/>
                <w:b w:val="0"/>
                <w:bCs w:val="0"/>
                <w:color w:val="auto"/>
                <w:kern w:val="0"/>
                <w:sz w:val="24"/>
                <w:highlight w:val="none"/>
              </w:rPr>
              <w:t>常温），可溶于甲醇、甲醛、乙酸、热乙二醇、甘油、吡啶等，不溶于丙酮、醚类、对身体有害，不可用于食品加工或食品添加物。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cs="Times New Roman"/>
                <w:b w:val="0"/>
                <w:bCs w:val="0"/>
                <w:color w:val="auto"/>
                <w:sz w:val="24"/>
                <w:highlight w:val="none"/>
                <w:lang w:eastAsia="zh-CN"/>
              </w:rPr>
              <w:t>甲醛：又名蚁醛，是一种有机化合物，化学式CH</w:t>
            </w:r>
            <w:r>
              <w:rPr>
                <w:rFonts w:hint="default" w:ascii="Times New Roman" w:hAnsi="Times New Roman" w:cs="Times New Roman"/>
                <w:b w:val="0"/>
                <w:bCs w:val="0"/>
                <w:color w:val="auto"/>
                <w:sz w:val="24"/>
                <w:highlight w:val="none"/>
                <w:vertAlign w:val="subscript"/>
                <w:lang w:eastAsia="zh-CN"/>
              </w:rPr>
              <w:t>2</w:t>
            </w:r>
            <w:r>
              <w:rPr>
                <w:rFonts w:hint="default" w:ascii="Times New Roman" w:hAnsi="Times New Roman" w:cs="Times New Roman"/>
                <w:b w:val="0"/>
                <w:bCs w:val="0"/>
                <w:color w:val="auto"/>
                <w:sz w:val="24"/>
                <w:highlight w:val="none"/>
                <w:lang w:eastAsia="zh-CN"/>
              </w:rPr>
              <w:t>O，相对分子质量30.03，熔点-92℃，沸点-19.5℃，相对密度0.815g/cm³。35～40%的甲醛水溶液即为人们所熟知的福尔马林溶液。甲醛气体无色，低浓度时不易察觉，很容易被其它气味所掩盖，如空气清新剂等，浓度较高时，有强烈刺激性和窒息性的气味，对人眼、鼻等有刺激作用。甲醛是目前严重危害人体健康的有毒气体，长期处于甲醛浓度较高的环境中，患者可能会出现头晕、头痛、流泪、恶心呕吐，咳嗽胸闷、白血病等情况，严重的会导致死亡。甲醛具有还原性，尤其在碱性溶液中，还原能力更强，能燃烧，蒸气与空气形成爆炸性混合物，爆炸极限7%—73%（体积百分比），燃点约300℃。甲醛在石油化工、医药、轻纺、生物化工以及能源、交通运输等行业均有广泛用途，可用作消毒剂和防腐剂，也可用于制备酚醛树脂、脲醛树脂、三聚氰胺树脂、乌洛托品、季戊四醇等多种产品。甲醛对黏膜有强烈的刺激性并有催泪作用，能使蛋白质凝固</w:t>
            </w:r>
            <w:r>
              <w:rPr>
                <w:rFonts w:hint="default" w:ascii="Times New Roman" w:hAnsi="Times New Roman" w:eastAsia="宋体" w:cs="Times New Roman"/>
                <w:b w:val="0"/>
                <w:bCs w:val="0"/>
                <w:color w:val="auto"/>
                <w:sz w:val="24"/>
                <w:highlight w:val="none"/>
                <w:lang w:eastAsia="zh-CN"/>
              </w:rPr>
              <w:t>，触及皮肤易使皮肤发硬甚至局部组织坏死。</w:t>
            </w:r>
          </w:p>
          <w:p>
            <w:pPr>
              <w:pStyle w:val="164"/>
              <w:keepNext w:val="0"/>
              <w:keepLines w:val="0"/>
              <w:pageBreakBefore w:val="0"/>
              <w:widowControl w:val="0"/>
              <w:kinsoku/>
              <w:wordWrap/>
              <w:overflowPunct/>
              <w:topLinePunct w:val="0"/>
              <w:bidi w:val="0"/>
              <w:adjustRightInd w:val="0"/>
              <w:spacing w:line="360" w:lineRule="auto"/>
              <w:ind w:firstLine="480" w:firstLineChars="200"/>
              <w:jc w:val="both"/>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rPr>
              <w:t>导热油：导热油具有抗热裂化和化学氧化的性能，传热效率好，散热快，热稳定性很好。导热油作为工业传热介质具有以下特点：在几乎常压的条件下，可以获得很高的操作温度。即可以大大降低高温加热系统的操作压力和安全要求，提高了系统和设备的可靠性；可以在更宽的温度范围内满足不同温度加热、冷却的工艺需求，或在同一个系统中用同一种导热油同时实现高温加热和低温冷却的工艺要求。密度约890kg/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（20℃），自燃温度＞320℃，储存于密闭容器，放在凉爽、通风良好的地方,使用适当加注标签及可封闭的容器。储存温度：长期储存（3个月以上）-15～50℃；短期储存-20～60℃。</w:t>
            </w:r>
          </w:p>
          <w:p>
            <w:pPr>
              <w:pStyle w:val="164"/>
              <w:numPr>
                <w:ilvl w:val="0"/>
                <w:numId w:val="4"/>
              </w:numPr>
              <w:spacing w:line="360" w:lineRule="auto"/>
              <w:ind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物料平衡</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auto"/>
                <w:spacing w:val="4"/>
                <w:sz w:val="24"/>
                <w:lang w:eastAsia="zh-CN"/>
              </w:rPr>
            </w:pPr>
            <w:r>
              <w:rPr>
                <w:rFonts w:hint="default" w:ascii="Times New Roman" w:hAnsi="Times New Roman" w:eastAsia="宋体" w:cs="Times New Roman"/>
                <w:color w:val="auto"/>
                <w:spacing w:val="4"/>
                <w:sz w:val="24"/>
                <w:lang w:eastAsia="zh-CN"/>
              </w:rPr>
              <w:t>①脲醛树脂胶物料平衡</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lang w:eastAsia="zh-CN"/>
              </w:rPr>
              <w:t>本</w:t>
            </w:r>
            <w:r>
              <w:rPr>
                <w:rFonts w:hint="default" w:ascii="Times New Roman" w:hAnsi="Times New Roman" w:cs="Times New Roman"/>
                <w:color w:val="auto"/>
                <w:spacing w:val="4"/>
                <w:sz w:val="24"/>
              </w:rPr>
              <w:t>项目</w:t>
            </w:r>
            <w:r>
              <w:rPr>
                <w:rFonts w:hint="default" w:ascii="Times New Roman" w:hAnsi="Times New Roman" w:cs="Times New Roman"/>
                <w:color w:val="auto"/>
                <w:spacing w:val="4"/>
                <w:sz w:val="24"/>
                <w:lang w:eastAsia="zh-CN"/>
              </w:rPr>
              <w:t>脲醛树脂胶生产</w:t>
            </w:r>
            <w:r>
              <w:rPr>
                <w:rFonts w:hint="default" w:ascii="Times New Roman" w:hAnsi="Times New Roman" w:cs="Times New Roman"/>
                <w:color w:val="auto"/>
                <w:spacing w:val="4"/>
                <w:sz w:val="24"/>
              </w:rPr>
              <w:t>物料平衡见</w:t>
            </w:r>
            <w:r>
              <w:rPr>
                <w:rFonts w:hint="default" w:ascii="Times New Roman" w:hAnsi="Times New Roman" w:cs="Times New Roman"/>
                <w:color w:val="auto"/>
                <w:spacing w:val="4"/>
                <w:sz w:val="24"/>
                <w:lang w:eastAsia="zh-CN"/>
              </w:rPr>
              <w:t>下</w:t>
            </w:r>
            <w:r>
              <w:rPr>
                <w:rFonts w:hint="default" w:ascii="Times New Roman" w:hAnsi="Times New Roman" w:cs="Times New Roman"/>
                <w:color w:val="auto"/>
                <w:spacing w:val="4"/>
                <w:sz w:val="24"/>
              </w:rPr>
              <w:t>表。</w:t>
            </w:r>
          </w:p>
          <w:p>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 xml:space="preserve">2-9  </w:t>
            </w:r>
            <w:r>
              <w:rPr>
                <w:rFonts w:hint="default" w:ascii="Times New Roman" w:hAnsi="Times New Roman" w:cs="Times New Roman"/>
                <w:b/>
                <w:bCs/>
                <w:color w:val="auto"/>
                <w:sz w:val="21"/>
                <w:szCs w:val="21"/>
                <w:lang w:eastAsia="zh-CN"/>
              </w:rPr>
              <w:t>本项目脲醛树脂胶物料平衡表</w:t>
            </w:r>
          </w:p>
          <w:tbl>
            <w:tblPr>
              <w:tblStyle w:val="39"/>
              <w:tblW w:w="7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5"/>
              <w:gridCol w:w="960"/>
              <w:gridCol w:w="658"/>
              <w:gridCol w:w="960"/>
              <w:gridCol w:w="815"/>
              <w:gridCol w:w="571"/>
              <w:gridCol w:w="560"/>
              <w:gridCol w:w="771"/>
              <w:gridCol w:w="117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3988" w:type="dxa"/>
                  <w:gridSpan w:val="5"/>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投入（t/a）</w:t>
                  </w:r>
                </w:p>
              </w:tc>
              <w:tc>
                <w:tcPr>
                  <w:tcW w:w="3941" w:type="dxa"/>
                  <w:gridSpan w:val="5"/>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原料名称</w:t>
                  </w:r>
                </w:p>
              </w:tc>
              <w:tc>
                <w:tcPr>
                  <w:tcW w:w="658"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用量</w:t>
                  </w: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具体成分</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含量</w:t>
                  </w:r>
                </w:p>
              </w:tc>
              <w:tc>
                <w:tcPr>
                  <w:tcW w:w="57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5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77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产生量</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具体成分</w:t>
                  </w:r>
                </w:p>
              </w:tc>
              <w:tc>
                <w:tcPr>
                  <w:tcW w:w="869"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37%甲醛</w:t>
                  </w:r>
                </w:p>
              </w:tc>
              <w:tc>
                <w:tcPr>
                  <w:tcW w:w="658"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6204</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甲醛</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2295.48</w:t>
                  </w:r>
                </w:p>
              </w:tc>
              <w:tc>
                <w:tcPr>
                  <w:tcW w:w="57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脲醛树脂胶</w:t>
                  </w:r>
                </w:p>
              </w:tc>
              <w:tc>
                <w:tcPr>
                  <w:tcW w:w="771"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11000</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脲醛树脂胶聚合体</w:t>
                  </w:r>
                </w:p>
              </w:tc>
              <w:tc>
                <w:tcPr>
                  <w:tcW w:w="8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5760.28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658"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3908.52</w:t>
                  </w:r>
                </w:p>
              </w:tc>
              <w:tc>
                <w:tcPr>
                  <w:tcW w:w="57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5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7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8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5206</w:t>
                  </w:r>
                  <w:r>
                    <w:rPr>
                      <w:rFonts w:hint="default" w:ascii="Times New Roman" w:hAnsi="Times New Roman" w:eastAsia="宋体" w:cs="Times New Roman"/>
                      <w:i w:val="0"/>
                      <w:iCs w:val="0"/>
                      <w:color w:val="auto"/>
                      <w:kern w:val="0"/>
                      <w:sz w:val="21"/>
                      <w:szCs w:val="21"/>
                      <w:u w:val="none"/>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9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98%尿素</w:t>
                  </w:r>
                </w:p>
              </w:tc>
              <w:tc>
                <w:tcPr>
                  <w:tcW w:w="658"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4600</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尿素</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4508</w:t>
                  </w:r>
                </w:p>
              </w:tc>
              <w:tc>
                <w:tcPr>
                  <w:tcW w:w="57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5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7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游离甲醛</w:t>
                  </w:r>
                </w:p>
              </w:tc>
              <w:tc>
                <w:tcPr>
                  <w:tcW w:w="8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658"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92</w:t>
                  </w:r>
                </w:p>
              </w:tc>
              <w:tc>
                <w:tcPr>
                  <w:tcW w:w="57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771"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67.414</w:t>
                  </w:r>
                </w:p>
              </w:tc>
              <w:tc>
                <w:tcPr>
                  <w:tcW w:w="1170"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储罐甲醛</w:t>
                  </w:r>
                </w:p>
              </w:tc>
              <w:tc>
                <w:tcPr>
                  <w:tcW w:w="869"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95%三聚氰胺</w:t>
                  </w:r>
                </w:p>
              </w:tc>
              <w:tc>
                <w:tcPr>
                  <w:tcW w:w="658"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三聚氰胺</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213.75</w:t>
                  </w:r>
                </w:p>
              </w:tc>
              <w:tc>
                <w:tcPr>
                  <w:tcW w:w="5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560"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7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170"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反应釜甲醛</w:t>
                  </w:r>
                </w:p>
              </w:tc>
              <w:tc>
                <w:tcPr>
                  <w:tcW w:w="869"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658"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11.25</w:t>
                  </w:r>
                </w:p>
              </w:tc>
              <w:tc>
                <w:tcPr>
                  <w:tcW w:w="57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5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7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170"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反应釜氨</w:t>
                  </w:r>
                </w:p>
              </w:tc>
              <w:tc>
                <w:tcPr>
                  <w:tcW w:w="869"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30%氢氧化钠溶液</w:t>
                  </w:r>
                </w:p>
              </w:tc>
              <w:tc>
                <w:tcPr>
                  <w:tcW w:w="658"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氢氧化钠</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57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p>
              </w:tc>
              <w:tc>
                <w:tcPr>
                  <w:tcW w:w="5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771"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170"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w:t>
                  </w:r>
                </w:p>
              </w:tc>
              <w:tc>
                <w:tcPr>
                  <w:tcW w:w="869"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658"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固废</w:t>
                  </w:r>
                </w:p>
              </w:tc>
              <w:tc>
                <w:tcPr>
                  <w:tcW w:w="771"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1.586</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废胶</w:t>
                  </w:r>
                </w:p>
              </w:tc>
              <w:tc>
                <w:tcPr>
                  <w:tcW w:w="8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96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99%氯化铵</w:t>
                  </w:r>
                </w:p>
              </w:tc>
              <w:tc>
                <w:tcPr>
                  <w:tcW w:w="658" w:type="dxa"/>
                  <w:vMerge w:val="restar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氯化铵</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5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5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7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869"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658" w:type="dxa"/>
                  <w:vMerge w:val="continue"/>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6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7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56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77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869"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rPr>
              <w:tc>
                <w:tcPr>
                  <w:tcW w:w="59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658"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11069</w:t>
                  </w: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81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11069</w:t>
                  </w:r>
                </w:p>
              </w:tc>
              <w:tc>
                <w:tcPr>
                  <w:tcW w:w="5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56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7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11069</w:t>
                  </w:r>
                </w:p>
              </w:tc>
              <w:tc>
                <w:tcPr>
                  <w:tcW w:w="117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869"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11069</w:t>
                  </w:r>
                </w:p>
              </w:tc>
            </w:tr>
          </w:tbl>
          <w:p>
            <w:pPr>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Times New Roman" w:hAnsi="Times New Roman" w:cs="Times New Roman"/>
                <w:color w:val="auto"/>
                <w:spacing w:val="4"/>
                <w:sz w:val="24"/>
                <w:lang w:eastAsia="zh-CN"/>
              </w:rPr>
            </w:pPr>
            <w:r>
              <w:rPr>
                <w:rFonts w:hint="default" w:ascii="Times New Roman" w:hAnsi="Times New Roman" w:cs="Times New Roman"/>
                <w:color w:val="auto"/>
                <w:spacing w:val="4"/>
                <w:sz w:val="21"/>
                <w:szCs w:val="21"/>
                <w:lang w:eastAsia="zh-CN"/>
              </w:rPr>
              <w:t>注：</w:t>
            </w:r>
            <w:r>
              <w:rPr>
                <w:rFonts w:hint="default" w:ascii="Times New Roman" w:hAnsi="Times New Roman" w:eastAsia="宋体" w:cs="Times New Roman"/>
                <w:i w:val="0"/>
                <w:iCs w:val="0"/>
                <w:color w:val="auto"/>
                <w:kern w:val="0"/>
                <w:sz w:val="21"/>
                <w:szCs w:val="21"/>
                <w:u w:val="none"/>
                <w:lang w:val="en-US" w:eastAsia="zh-CN" w:bidi="ar"/>
              </w:rPr>
              <w:t>脲醛树脂胶中游离甲醛量按《木材工业胶粘剂用脲醛、酚醛、三聚氰胺甲醛树脂》（GB/T14732-2017）中规定的0.3%计</w:t>
            </w:r>
            <w:r>
              <w:rPr>
                <w:rFonts w:hint="default" w:ascii="Times New Roman" w:hAnsi="Times New Roman" w:cs="Times New Roman"/>
                <w:color w:val="auto"/>
                <w:sz w:val="21"/>
                <w:szCs w:val="21"/>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lang w:eastAsia="zh-CN"/>
              </w:rPr>
              <w:t>本</w:t>
            </w:r>
            <w:r>
              <w:rPr>
                <w:rFonts w:hint="default" w:ascii="Times New Roman" w:hAnsi="Times New Roman" w:cs="Times New Roman"/>
                <w:color w:val="auto"/>
                <w:spacing w:val="4"/>
                <w:sz w:val="24"/>
              </w:rPr>
              <w:t>项目</w:t>
            </w:r>
            <w:r>
              <w:rPr>
                <w:rFonts w:hint="default" w:ascii="Times New Roman" w:hAnsi="Times New Roman" w:cs="Times New Roman"/>
                <w:color w:val="auto"/>
                <w:spacing w:val="4"/>
                <w:sz w:val="24"/>
                <w:lang w:eastAsia="zh-CN"/>
              </w:rPr>
              <w:t>脲醛树脂胶生产</w:t>
            </w:r>
            <w:r>
              <w:rPr>
                <w:rFonts w:hint="eastAsia" w:ascii="Times New Roman" w:hAnsi="Times New Roman" w:cs="Times New Roman"/>
                <w:color w:val="auto"/>
                <w:spacing w:val="4"/>
                <w:sz w:val="24"/>
                <w:lang w:eastAsia="zh-CN"/>
              </w:rPr>
              <w:t>水</w:t>
            </w:r>
            <w:r>
              <w:rPr>
                <w:rFonts w:hint="default" w:ascii="Times New Roman" w:hAnsi="Times New Roman" w:cs="Times New Roman"/>
                <w:color w:val="auto"/>
                <w:spacing w:val="4"/>
                <w:sz w:val="24"/>
              </w:rPr>
              <w:t>平衡见</w:t>
            </w:r>
            <w:r>
              <w:rPr>
                <w:rFonts w:hint="default" w:ascii="Times New Roman" w:hAnsi="Times New Roman" w:cs="Times New Roman"/>
                <w:color w:val="auto"/>
                <w:spacing w:val="4"/>
                <w:sz w:val="24"/>
                <w:lang w:eastAsia="zh-CN"/>
              </w:rPr>
              <w:t>下</w:t>
            </w:r>
            <w:r>
              <w:rPr>
                <w:rFonts w:hint="default" w:ascii="Times New Roman" w:hAnsi="Times New Roman" w:cs="Times New Roman"/>
                <w:color w:val="auto"/>
                <w:spacing w:val="4"/>
                <w:sz w:val="24"/>
              </w:rPr>
              <w:t>表。</w:t>
            </w:r>
          </w:p>
          <w:p>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 xml:space="preserve">2-10  </w:t>
            </w:r>
            <w:r>
              <w:rPr>
                <w:rFonts w:hint="default" w:ascii="Times New Roman" w:hAnsi="Times New Roman" w:eastAsia="宋体" w:cs="Times New Roman"/>
                <w:b/>
                <w:bCs/>
                <w:color w:val="auto"/>
                <w:sz w:val="21"/>
                <w:szCs w:val="21"/>
                <w:lang w:eastAsia="zh-CN"/>
              </w:rPr>
              <w:t>本项目脲醛树脂胶</w:t>
            </w:r>
            <w:r>
              <w:rPr>
                <w:rFonts w:hint="eastAsia" w:ascii="Times New Roman" w:hAnsi="Times New Roman" w:eastAsia="宋体" w:cs="Times New Roman"/>
                <w:b/>
                <w:bCs/>
                <w:color w:val="auto"/>
                <w:sz w:val="21"/>
                <w:szCs w:val="21"/>
                <w:lang w:eastAsia="zh-CN"/>
              </w:rPr>
              <w:t>水</w:t>
            </w:r>
            <w:r>
              <w:rPr>
                <w:rFonts w:hint="default" w:ascii="Times New Roman" w:hAnsi="Times New Roman" w:eastAsia="宋体" w:cs="Times New Roman"/>
                <w:b/>
                <w:bCs/>
                <w:color w:val="auto"/>
                <w:sz w:val="21"/>
                <w:szCs w:val="21"/>
                <w:lang w:eastAsia="zh-CN"/>
              </w:rPr>
              <w:t>平衡表</w:t>
            </w:r>
          </w:p>
          <w:tbl>
            <w:tblPr>
              <w:tblStyle w:val="39"/>
              <w:tblW w:w="7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565"/>
              <w:gridCol w:w="1095"/>
              <w:gridCol w:w="786"/>
              <w:gridCol w:w="149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5" w:type="dxa"/>
                  <w:gridSpan w:val="3"/>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进料</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3493" w:type="dxa"/>
                  <w:gridSpan w:val="3"/>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出料</w:t>
                  </w:r>
                  <w:r>
                    <w:rPr>
                      <w:rFonts w:hint="default" w:ascii="Times New Roman" w:hAnsi="Times New Roman" w:eastAsia="宋体" w:cs="Times New Roman"/>
                      <w:b/>
                      <w:bCs/>
                      <w:i w:val="0"/>
                      <w:iCs w:val="0"/>
                      <w:color w:val="auto"/>
                      <w:kern w:val="0"/>
                      <w:sz w:val="21"/>
                      <w:szCs w:val="21"/>
                      <w:u w:val="none"/>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56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09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sz w:val="21"/>
                      <w:szCs w:val="21"/>
                      <w:u w:val="none"/>
                      <w:lang w:eastAsia="zh-CN"/>
                    </w:rPr>
                    <w:t>进料量</w:t>
                  </w:r>
                </w:p>
              </w:tc>
              <w:tc>
                <w:tcPr>
                  <w:tcW w:w="786"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4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213"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kern w:val="2"/>
                      <w:sz w:val="21"/>
                      <w:szCs w:val="21"/>
                      <w:u w:val="none"/>
                      <w:lang w:val="en-US" w:eastAsia="zh-CN" w:bidi="ar-SA"/>
                    </w:rPr>
                  </w:pPr>
                  <w:r>
                    <w:rPr>
                      <w:rFonts w:hint="eastAsia" w:ascii="Times New Roman" w:hAnsi="Times New Roman" w:eastAsia="宋体" w:cs="Times New Roman"/>
                      <w:b/>
                      <w:bCs/>
                      <w:i w:val="0"/>
                      <w:iCs w:val="0"/>
                      <w:color w:val="auto"/>
                      <w:sz w:val="21"/>
                      <w:szCs w:val="21"/>
                      <w:u w:val="none"/>
                      <w:lang w:eastAsia="zh-CN"/>
                    </w:rPr>
                    <w:t>出料量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56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37%甲醛</w:t>
                  </w:r>
                  <w:r>
                    <w:rPr>
                      <w:rFonts w:hint="eastAsia" w:ascii="Times New Roman" w:hAnsi="Times New Roman" w:eastAsia="宋体" w:cs="Times New Roman"/>
                      <w:i w:val="0"/>
                      <w:iCs w:val="0"/>
                      <w:color w:val="auto"/>
                      <w:kern w:val="0"/>
                      <w:sz w:val="21"/>
                      <w:szCs w:val="21"/>
                      <w:u w:val="none"/>
                      <w:lang w:val="en-US" w:eastAsia="zh-CN" w:bidi="ar"/>
                    </w:rPr>
                    <w:t>带水</w:t>
                  </w:r>
                </w:p>
              </w:tc>
              <w:tc>
                <w:tcPr>
                  <w:tcW w:w="109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3908.52</w:t>
                  </w:r>
                </w:p>
              </w:tc>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进入产品</w:t>
                  </w:r>
                </w:p>
              </w:tc>
              <w:tc>
                <w:tcPr>
                  <w:tcW w:w="121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56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氢氧化钠溶液带水</w:t>
                  </w:r>
                </w:p>
              </w:tc>
              <w:tc>
                <w:tcPr>
                  <w:tcW w:w="109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14</w:t>
                  </w:r>
                </w:p>
              </w:tc>
              <w:tc>
                <w:tcPr>
                  <w:tcW w:w="786"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w:t>
                  </w:r>
                </w:p>
              </w:tc>
              <w:tc>
                <w:tcPr>
                  <w:tcW w:w="149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进入废气</w:t>
                  </w:r>
                </w:p>
              </w:tc>
              <w:tc>
                <w:tcPr>
                  <w:tcW w:w="121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56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甲醛与尿素反应生成水</w:t>
                  </w:r>
                </w:p>
              </w:tc>
              <w:tc>
                <w:tcPr>
                  <w:tcW w:w="109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1350</w:t>
                  </w:r>
                </w:p>
              </w:tc>
              <w:tc>
                <w:tcPr>
                  <w:tcW w:w="786"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494"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213"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256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109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5272.52</w:t>
                  </w:r>
                </w:p>
              </w:tc>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49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213" w:type="dxa"/>
                  <w:noWrap/>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5272.52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96" w:firstLineChars="200"/>
              <w:textAlignment w:val="auto"/>
              <w:rPr>
                <w:rFonts w:hint="default" w:ascii="Times New Roman" w:hAnsi="Times New Roman" w:cs="Times New Roman"/>
                <w:color w:val="auto"/>
                <w:spacing w:val="4"/>
                <w:sz w:val="24"/>
                <w:lang w:eastAsia="zh-CN"/>
              </w:rPr>
            </w:pPr>
            <w:r>
              <w:rPr>
                <w:rFonts w:hint="default" w:ascii="Calibri" w:hAnsi="Calibri" w:cs="Calibri"/>
                <w:color w:val="auto"/>
                <w:spacing w:val="4"/>
                <w:sz w:val="24"/>
                <w:lang w:eastAsia="zh-CN"/>
              </w:rPr>
              <w:t>②</w:t>
            </w:r>
            <w:r>
              <w:rPr>
                <w:rFonts w:hint="default" w:ascii="Times New Roman" w:hAnsi="Times New Roman" w:cs="Times New Roman"/>
                <w:color w:val="auto"/>
                <w:spacing w:val="4"/>
                <w:sz w:val="24"/>
                <w:lang w:eastAsia="zh-CN"/>
              </w:rPr>
              <w:t>产品物料平衡</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lang w:eastAsia="zh-CN"/>
              </w:rPr>
              <w:t>本</w:t>
            </w:r>
            <w:r>
              <w:rPr>
                <w:rFonts w:hint="default" w:ascii="Times New Roman" w:hAnsi="Times New Roman" w:cs="Times New Roman"/>
                <w:color w:val="auto"/>
                <w:spacing w:val="4"/>
                <w:sz w:val="24"/>
              </w:rPr>
              <w:t>项目</w:t>
            </w:r>
            <w:r>
              <w:rPr>
                <w:rFonts w:hint="default" w:ascii="Times New Roman" w:hAnsi="Times New Roman" w:cs="Times New Roman"/>
                <w:color w:val="auto"/>
                <w:spacing w:val="4"/>
                <w:sz w:val="24"/>
                <w:lang w:eastAsia="zh-CN"/>
              </w:rPr>
              <w:t>桥洞板生产物料平衡见下</w:t>
            </w:r>
            <w:r>
              <w:rPr>
                <w:rFonts w:hint="default" w:ascii="Times New Roman" w:hAnsi="Times New Roman" w:cs="Times New Roman"/>
                <w:color w:val="auto"/>
                <w:spacing w:val="4"/>
                <w:sz w:val="24"/>
              </w:rPr>
              <w:t>表。</w:t>
            </w:r>
          </w:p>
          <w:p>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 xml:space="preserve">2-11  </w:t>
            </w:r>
            <w:r>
              <w:rPr>
                <w:rFonts w:hint="default" w:ascii="Times New Roman" w:hAnsi="Times New Roman" w:eastAsia="宋体" w:cs="Times New Roman"/>
                <w:b/>
                <w:bCs/>
                <w:color w:val="auto"/>
                <w:sz w:val="21"/>
                <w:szCs w:val="21"/>
                <w:lang w:eastAsia="zh-CN"/>
              </w:rPr>
              <w:t>本项目桥洞力学板物料平衡表</w:t>
            </w:r>
          </w:p>
          <w:tbl>
            <w:tblPr>
              <w:tblStyle w:val="39"/>
              <w:tblW w:w="79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8"/>
              <w:gridCol w:w="1885"/>
              <w:gridCol w:w="1133"/>
              <w:gridCol w:w="674"/>
              <w:gridCol w:w="2479"/>
              <w:gridCol w:w="1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3656" w:type="dxa"/>
                  <w:gridSpan w:val="3"/>
                  <w:noWrap w:val="0"/>
                  <w:vAlign w:val="center"/>
                </w:tcPr>
                <w:p>
                  <w:pPr>
                    <w:spacing w:line="0" w:lineRule="atLeast"/>
                    <w:jc w:val="center"/>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cs="Times New Roman"/>
                      <w:b/>
                      <w:bCs/>
                      <w:color w:val="auto"/>
                      <w:spacing w:val="0"/>
                      <w:sz w:val="21"/>
                      <w:szCs w:val="21"/>
                      <w:highlight w:val="none"/>
                    </w:rPr>
                    <w:t>投入</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lang w:val="en-US" w:eastAsia="zh-CN"/>
                    </w:rPr>
                    <w:t>t/a</w:t>
                  </w:r>
                  <w:r>
                    <w:rPr>
                      <w:rFonts w:hint="default" w:ascii="Times New Roman" w:hAnsi="Times New Roman" w:cs="Times New Roman"/>
                      <w:b/>
                      <w:bCs/>
                      <w:color w:val="auto"/>
                      <w:spacing w:val="0"/>
                      <w:sz w:val="21"/>
                      <w:szCs w:val="21"/>
                      <w:highlight w:val="none"/>
                      <w:lang w:eastAsia="zh-CN"/>
                    </w:rPr>
                    <w:t>）</w:t>
                  </w:r>
                </w:p>
              </w:tc>
              <w:tc>
                <w:tcPr>
                  <w:tcW w:w="4267" w:type="dxa"/>
                  <w:gridSpan w:val="3"/>
                  <w:noWrap w:val="0"/>
                  <w:vAlign w:val="center"/>
                </w:tcPr>
                <w:p>
                  <w:pPr>
                    <w:spacing w:line="0" w:lineRule="atLeast"/>
                    <w:jc w:val="center"/>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产出</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lang w:val="en-US" w:eastAsia="zh-CN"/>
                    </w:rPr>
                    <w:t>t/a</w:t>
                  </w:r>
                  <w:r>
                    <w:rPr>
                      <w:rFonts w:hint="default" w:ascii="Times New Roman" w:hAnsi="Times New Roman" w:cs="Times New Roman"/>
                      <w:b/>
                      <w:bCs/>
                      <w:color w:val="auto"/>
                      <w:spacing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序号</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原料名称</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用量</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序号</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名称</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产生量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家具厂下脚料</w:t>
                  </w:r>
                  <w:r>
                    <w:rPr>
                      <w:rFonts w:hint="eastAsia" w:ascii="Times New Roman" w:hAnsi="Times New Roman" w:eastAsia="宋体" w:cs="Times New Roman"/>
                      <w:i w:val="0"/>
                      <w:iCs w:val="0"/>
                      <w:color w:val="auto"/>
                      <w:sz w:val="21"/>
                      <w:szCs w:val="21"/>
                      <w:u w:val="none"/>
                      <w:lang w:val="en-US" w:eastAsia="zh-CN"/>
                    </w:rPr>
                    <w:t>（含水15%）</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21450</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桥洞力学板</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22500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氯化铵</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9.4</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粉尘产生量</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石蜡</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9.4</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有机废气产生量</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8.5071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尿素</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37.5</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泥沙、金属等杂质</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三聚氰胺</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7.5</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边角料、不合格品</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脲醛胶</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3000</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蒸汽</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1827.0929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3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合计</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1133"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24513.8</w:t>
                  </w:r>
                </w:p>
              </w:tc>
              <w:tc>
                <w:tcPr>
                  <w:tcW w:w="67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合计</w:t>
                  </w:r>
                </w:p>
              </w:tc>
              <w:tc>
                <w:tcPr>
                  <w:tcW w:w="2479"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111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24513.8</w:t>
                  </w:r>
                </w:p>
              </w:tc>
            </w:tr>
          </w:tbl>
          <w:p>
            <w:pPr>
              <w:pStyle w:val="38"/>
              <w:keepNext w:val="0"/>
              <w:keepLines w:val="0"/>
              <w:pageBreakBefore w:val="0"/>
              <w:widowControl w:val="0"/>
              <w:kinsoku/>
              <w:wordWrap/>
              <w:overflowPunct/>
              <w:topLinePunct w:val="0"/>
              <w:autoSpaceDE/>
              <w:autoSpaceDN/>
              <w:bidi w:val="0"/>
              <w:adjustRightInd/>
              <w:snapToGrid/>
              <w:spacing w:line="240" w:lineRule="auto"/>
              <w:ind w:left="0" w:leftChars="0" w:firstLine="436" w:firstLineChars="200"/>
              <w:textAlignment w:val="auto"/>
              <w:rPr>
                <w:rFonts w:hint="default" w:ascii="Times New Roman" w:hAnsi="Times New Roman" w:eastAsia="宋体" w:cs="Times New Roman"/>
                <w:color w:val="auto"/>
                <w:spacing w:val="4"/>
                <w:sz w:val="21"/>
                <w:szCs w:val="21"/>
                <w:lang w:eastAsia="zh-CN"/>
              </w:rPr>
            </w:pPr>
            <w:r>
              <w:rPr>
                <w:rFonts w:hint="default" w:ascii="Times New Roman" w:hAnsi="Times New Roman" w:cs="Times New Roman"/>
                <w:color w:val="auto"/>
                <w:spacing w:val="4"/>
                <w:sz w:val="21"/>
                <w:szCs w:val="21"/>
                <w:lang w:eastAsia="zh-CN"/>
              </w:rPr>
              <w:t>注：</w:t>
            </w:r>
            <w:r>
              <w:rPr>
                <w:rFonts w:hint="default" w:ascii="Times New Roman" w:hAnsi="Times New Roman" w:cs="Times New Roman"/>
                <w:color w:val="auto"/>
                <w:sz w:val="21"/>
                <w:szCs w:val="21"/>
                <w:lang w:val="en-US"/>
              </w:rPr>
              <w:t>木料</w:t>
            </w:r>
            <w:r>
              <w:rPr>
                <w:rFonts w:hint="default" w:ascii="Times New Roman" w:hAnsi="Times New Roman" w:cs="Times New Roman"/>
                <w:color w:val="auto"/>
                <w:sz w:val="21"/>
                <w:szCs w:val="21"/>
                <w:lang w:val="en-US" w:eastAsia="zh-CN"/>
              </w:rPr>
              <w:t>原料密度取</w:t>
            </w:r>
            <w:r>
              <w:rPr>
                <w:rFonts w:hint="default" w:ascii="Times New Roman" w:hAnsi="Times New Roman" w:cs="Times New Roman"/>
                <w:color w:val="auto"/>
                <w:sz w:val="21"/>
                <w:szCs w:val="21"/>
                <w:lang w:val="en-US"/>
              </w:rPr>
              <w:t>平均值按照0.</w:t>
            </w:r>
            <w:r>
              <w:rPr>
                <w:rFonts w:hint="default"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lang w:val="en-US"/>
              </w:rPr>
              <w:t>g/cm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lang w:val="en-US"/>
              </w:rPr>
              <w:t>计算，</w:t>
            </w:r>
            <w:r>
              <w:rPr>
                <w:rFonts w:hint="default" w:ascii="Times New Roman" w:hAnsi="Times New Roman" w:cs="Times New Roman"/>
                <w:color w:val="auto"/>
                <w:sz w:val="21"/>
                <w:szCs w:val="21"/>
                <w:lang w:val="en-US" w:eastAsia="zh-CN"/>
              </w:rPr>
              <w:t>桥洞板</w:t>
            </w:r>
            <w:r>
              <w:rPr>
                <w:rFonts w:hint="default" w:ascii="Times New Roman" w:hAnsi="Times New Roman" w:cs="Times New Roman"/>
                <w:color w:val="auto"/>
                <w:sz w:val="21"/>
                <w:szCs w:val="21"/>
                <w:lang w:val="en-US"/>
              </w:rPr>
              <w:t>密度</w:t>
            </w:r>
            <w:r>
              <w:rPr>
                <w:rFonts w:hint="default" w:ascii="Times New Roman" w:hAnsi="Times New Roman" w:cs="Times New Roman"/>
                <w:color w:val="auto"/>
                <w:sz w:val="21"/>
                <w:szCs w:val="21"/>
                <w:lang w:val="en-US" w:eastAsia="zh-CN"/>
              </w:rPr>
              <w:t>约</w:t>
            </w:r>
            <w:r>
              <w:rPr>
                <w:rFonts w:hint="default" w:ascii="Times New Roman" w:hAnsi="Times New Roman" w:cs="Times New Roman"/>
                <w:color w:val="auto"/>
                <w:sz w:val="21"/>
                <w:szCs w:val="21"/>
                <w:lang w:val="en-US"/>
              </w:rPr>
              <w:t>为</w:t>
            </w:r>
            <w:r>
              <w:rPr>
                <w:rFonts w:hint="default" w:ascii="Times New Roman" w:hAnsi="Times New Roman" w:cs="Times New Roman"/>
                <w:color w:val="auto"/>
                <w:sz w:val="21"/>
                <w:szCs w:val="21"/>
                <w:lang w:val="en-US" w:eastAsia="zh-CN"/>
              </w:rPr>
              <w:t>0.</w:t>
            </w:r>
            <w:r>
              <w:rPr>
                <w:rFonts w:hint="eastAsia" w:hAnsi="Times New Roman" w:cs="Times New Roman"/>
                <w:color w:val="auto"/>
                <w:sz w:val="21"/>
                <w:szCs w:val="21"/>
                <w:lang w:val="en-US" w:eastAsia="zh-CN"/>
              </w:rPr>
              <w:t>445</w:t>
            </w:r>
            <w:r>
              <w:rPr>
                <w:rFonts w:hint="default" w:ascii="Times New Roman" w:hAnsi="Times New Roman" w:cs="Times New Roman"/>
                <w:color w:val="auto"/>
                <w:sz w:val="21"/>
                <w:szCs w:val="21"/>
                <w:lang w:val="en-US"/>
              </w:rPr>
              <w:t>g/cm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lang w:eastAsia="zh-CN"/>
              </w:rPr>
              <w:t>现有</w:t>
            </w:r>
            <w:r>
              <w:rPr>
                <w:rFonts w:hint="default" w:ascii="Times New Roman" w:hAnsi="Times New Roman" w:cs="Times New Roman"/>
                <w:color w:val="auto"/>
                <w:spacing w:val="4"/>
                <w:sz w:val="24"/>
              </w:rPr>
              <w:t>项目</w:t>
            </w:r>
            <w:r>
              <w:rPr>
                <w:rFonts w:hint="default" w:ascii="Times New Roman" w:hAnsi="Times New Roman" w:cs="Times New Roman"/>
                <w:color w:val="auto"/>
                <w:spacing w:val="4"/>
                <w:sz w:val="24"/>
                <w:lang w:eastAsia="zh-CN"/>
              </w:rPr>
              <w:t>定向刨花板生产物料平衡见下</w:t>
            </w:r>
            <w:r>
              <w:rPr>
                <w:rFonts w:hint="default" w:ascii="Times New Roman" w:hAnsi="Times New Roman" w:cs="Times New Roman"/>
                <w:color w:val="auto"/>
                <w:spacing w:val="4"/>
                <w:sz w:val="24"/>
              </w:rPr>
              <w:t>表。</w:t>
            </w:r>
          </w:p>
          <w:p>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 xml:space="preserve">2-12  </w:t>
            </w:r>
            <w:r>
              <w:rPr>
                <w:rFonts w:hint="default" w:ascii="Times New Roman" w:hAnsi="Times New Roman" w:eastAsia="宋体" w:cs="Times New Roman"/>
                <w:b/>
                <w:bCs/>
                <w:color w:val="auto"/>
                <w:sz w:val="21"/>
                <w:szCs w:val="21"/>
                <w:lang w:eastAsia="zh-CN"/>
              </w:rPr>
              <w:t>现有项目定向刨花板物料平衡表</w:t>
            </w:r>
          </w:p>
          <w:tbl>
            <w:tblPr>
              <w:tblStyle w:val="39"/>
              <w:tblW w:w="792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41"/>
              <w:gridCol w:w="1948"/>
              <w:gridCol w:w="1101"/>
              <w:gridCol w:w="730"/>
              <w:gridCol w:w="2464"/>
              <w:gridCol w:w="1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3690" w:type="dxa"/>
                  <w:gridSpan w:val="3"/>
                  <w:noWrap w:val="0"/>
                  <w:vAlign w:val="center"/>
                </w:tcPr>
                <w:p>
                  <w:pPr>
                    <w:spacing w:line="0" w:lineRule="atLeast"/>
                    <w:jc w:val="center"/>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cs="Times New Roman"/>
                      <w:b/>
                      <w:bCs/>
                      <w:color w:val="auto"/>
                      <w:spacing w:val="0"/>
                      <w:sz w:val="21"/>
                      <w:szCs w:val="21"/>
                      <w:highlight w:val="none"/>
                    </w:rPr>
                    <w:t>投入</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lang w:val="en-US" w:eastAsia="zh-CN"/>
                    </w:rPr>
                    <w:t>t/a</w:t>
                  </w:r>
                  <w:r>
                    <w:rPr>
                      <w:rFonts w:hint="default" w:ascii="Times New Roman" w:hAnsi="Times New Roman" w:cs="Times New Roman"/>
                      <w:b/>
                      <w:bCs/>
                      <w:color w:val="auto"/>
                      <w:spacing w:val="0"/>
                      <w:sz w:val="21"/>
                      <w:szCs w:val="21"/>
                      <w:highlight w:val="none"/>
                      <w:lang w:eastAsia="zh-CN"/>
                    </w:rPr>
                    <w:t>）</w:t>
                  </w:r>
                </w:p>
              </w:tc>
              <w:tc>
                <w:tcPr>
                  <w:tcW w:w="4235" w:type="dxa"/>
                  <w:gridSpan w:val="3"/>
                  <w:noWrap w:val="0"/>
                  <w:vAlign w:val="center"/>
                </w:tcPr>
                <w:p>
                  <w:pPr>
                    <w:spacing w:line="0" w:lineRule="atLeast"/>
                    <w:jc w:val="center"/>
                    <w:rPr>
                      <w:rFonts w:hint="default" w:ascii="Times New Roman" w:hAnsi="Times New Roman" w:cs="Times New Roman"/>
                      <w:b/>
                      <w:bCs/>
                      <w:color w:val="auto"/>
                      <w:spacing w:val="0"/>
                      <w:sz w:val="21"/>
                      <w:szCs w:val="21"/>
                      <w:highlight w:val="none"/>
                    </w:rPr>
                  </w:pPr>
                  <w:r>
                    <w:rPr>
                      <w:rFonts w:hint="default" w:ascii="Times New Roman" w:hAnsi="Times New Roman" w:cs="Times New Roman"/>
                      <w:b/>
                      <w:bCs/>
                      <w:color w:val="auto"/>
                      <w:spacing w:val="0"/>
                      <w:sz w:val="21"/>
                      <w:szCs w:val="21"/>
                      <w:highlight w:val="none"/>
                    </w:rPr>
                    <w:t>产出</w:t>
                  </w:r>
                  <w:r>
                    <w:rPr>
                      <w:rFonts w:hint="default" w:ascii="Times New Roman" w:hAnsi="Times New Roman" w:cs="Times New Roman"/>
                      <w:b/>
                      <w:bCs/>
                      <w:color w:val="auto"/>
                      <w:spacing w:val="0"/>
                      <w:sz w:val="21"/>
                      <w:szCs w:val="21"/>
                      <w:highlight w:val="none"/>
                      <w:lang w:eastAsia="zh-CN"/>
                    </w:rPr>
                    <w:t>（</w:t>
                  </w:r>
                  <w:r>
                    <w:rPr>
                      <w:rFonts w:hint="default" w:ascii="Times New Roman" w:hAnsi="Times New Roman" w:cs="Times New Roman"/>
                      <w:b/>
                      <w:bCs/>
                      <w:color w:val="auto"/>
                      <w:spacing w:val="0"/>
                      <w:sz w:val="21"/>
                      <w:szCs w:val="21"/>
                      <w:highlight w:val="none"/>
                      <w:lang w:val="en-US" w:eastAsia="zh-CN"/>
                    </w:rPr>
                    <w:t>t/a</w:t>
                  </w:r>
                  <w:r>
                    <w:rPr>
                      <w:rFonts w:hint="default" w:ascii="Times New Roman" w:hAnsi="Times New Roman" w:cs="Times New Roman"/>
                      <w:b/>
                      <w:bCs/>
                      <w:color w:val="auto"/>
                      <w:spacing w:val="0"/>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序号</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原料名称</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用量</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序号</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名称</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产生量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成品刨花（含水率45%）</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29250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定向刨花板（欧松板）</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500</w:t>
                  </w:r>
                  <w:r>
                    <w:rPr>
                      <w:rFonts w:hint="default" w:ascii="Times New Roman" w:hAnsi="Times New Roman" w:eastAsia="宋体" w:cs="Times New Roman"/>
                      <w:i w:val="0"/>
                      <w:iCs w:val="0"/>
                      <w:color w:val="auto"/>
                      <w:sz w:val="21"/>
                      <w:szCs w:val="21"/>
                      <w:u w:val="none"/>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家具厂下脚料</w:t>
                  </w:r>
                  <w:r>
                    <w:rPr>
                      <w:rFonts w:hint="eastAsia" w:ascii="Times New Roman" w:hAnsi="Times New Roman" w:eastAsia="宋体" w:cs="Times New Roman"/>
                      <w:i w:val="0"/>
                      <w:iCs w:val="0"/>
                      <w:color w:val="auto"/>
                      <w:sz w:val="21"/>
                      <w:szCs w:val="21"/>
                      <w:u w:val="none"/>
                      <w:lang w:val="en-US" w:eastAsia="zh-CN"/>
                    </w:rPr>
                    <w:t>（含水15%）</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27950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粉尘产生量</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138.9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3</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氯化铵</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25</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3</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有机废气产生量</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22.7216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4</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石蜡</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25</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4</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泥沙、金属等杂质</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5</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尿素</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100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5</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边角料、不合格品</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310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6</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三聚氰胺</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6</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蒸汽</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14895.87</w:t>
                  </w:r>
                  <w:r>
                    <w:rPr>
                      <w:rFonts w:hint="default" w:ascii="Times New Roman" w:hAnsi="Times New Roman" w:eastAsia="宋体" w:cs="Times New Roman"/>
                      <w:i w:val="0"/>
                      <w:iCs w:val="0"/>
                      <w:color w:val="auto"/>
                      <w:sz w:val="21"/>
                      <w:szCs w:val="21"/>
                      <w:u w:val="none"/>
                      <w:lang w:val="en-US" w:eastAsia="zh-CN"/>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7</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脲醛胶</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8000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6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合计</w:t>
                  </w:r>
                </w:p>
              </w:tc>
              <w:tc>
                <w:tcPr>
                  <w:tcW w:w="1948"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110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65370</w:t>
                  </w:r>
                </w:p>
              </w:tc>
              <w:tc>
                <w:tcPr>
                  <w:tcW w:w="730"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合计</w:t>
                  </w:r>
                </w:p>
              </w:tc>
              <w:tc>
                <w:tcPr>
                  <w:tcW w:w="2464"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c>
                <w:tcPr>
                  <w:tcW w:w="1041" w:type="dxa"/>
                  <w:noWrap w:val="0"/>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65370</w:t>
                  </w:r>
                </w:p>
              </w:tc>
            </w:tr>
          </w:tbl>
          <w:p>
            <w:pPr>
              <w:pStyle w:val="38"/>
              <w:keepNext w:val="0"/>
              <w:keepLines w:val="0"/>
              <w:pageBreakBefore w:val="0"/>
              <w:widowControl w:val="0"/>
              <w:kinsoku/>
              <w:wordWrap/>
              <w:overflowPunct/>
              <w:topLinePunct w:val="0"/>
              <w:autoSpaceDE/>
              <w:autoSpaceDN/>
              <w:bidi w:val="0"/>
              <w:adjustRightInd/>
              <w:snapToGrid/>
              <w:spacing w:after="0" w:line="240" w:lineRule="auto"/>
              <w:ind w:left="0" w:leftChars="0" w:firstLine="496"/>
              <w:textAlignment w:val="auto"/>
              <w:rPr>
                <w:rFonts w:hint="default" w:ascii="Times New Roman" w:hAnsi="Times New Roman" w:eastAsia="宋体" w:cs="Times New Roman"/>
                <w:color w:val="auto"/>
                <w:spacing w:val="4"/>
                <w:sz w:val="21"/>
                <w:szCs w:val="21"/>
                <w:lang w:eastAsia="zh-CN"/>
              </w:rPr>
            </w:pPr>
            <w:r>
              <w:rPr>
                <w:rFonts w:hint="default" w:ascii="Times New Roman" w:hAnsi="Times New Roman" w:cs="Times New Roman"/>
                <w:color w:val="auto"/>
                <w:spacing w:val="4"/>
                <w:sz w:val="21"/>
                <w:szCs w:val="21"/>
                <w:lang w:eastAsia="zh-CN"/>
              </w:rPr>
              <w:t>注：</w:t>
            </w:r>
            <w:r>
              <w:rPr>
                <w:rFonts w:hint="default" w:ascii="Times New Roman" w:hAnsi="Times New Roman" w:cs="Times New Roman"/>
                <w:color w:val="auto"/>
                <w:sz w:val="21"/>
                <w:szCs w:val="21"/>
                <w:lang w:val="en-US"/>
              </w:rPr>
              <w:t>木料</w:t>
            </w:r>
            <w:r>
              <w:rPr>
                <w:rFonts w:hint="default" w:ascii="Times New Roman" w:hAnsi="Times New Roman" w:cs="Times New Roman"/>
                <w:color w:val="auto"/>
                <w:sz w:val="21"/>
                <w:szCs w:val="21"/>
                <w:lang w:val="en-US" w:eastAsia="zh-CN"/>
              </w:rPr>
              <w:t>原料密度取</w:t>
            </w:r>
            <w:r>
              <w:rPr>
                <w:rFonts w:hint="default" w:ascii="Times New Roman" w:hAnsi="Times New Roman" w:cs="Times New Roman"/>
                <w:color w:val="auto"/>
                <w:sz w:val="21"/>
                <w:szCs w:val="21"/>
                <w:lang w:val="en-US"/>
              </w:rPr>
              <w:t>平均值按照0.</w:t>
            </w:r>
            <w:r>
              <w:rPr>
                <w:rFonts w:hint="default"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lang w:val="en-US"/>
              </w:rPr>
              <w:t>g/cm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lang w:val="en-US"/>
              </w:rPr>
              <w:t>计算，</w:t>
            </w:r>
            <w:r>
              <w:rPr>
                <w:rFonts w:hint="default" w:ascii="Times New Roman" w:hAnsi="Times New Roman" w:cs="Times New Roman"/>
                <w:color w:val="auto"/>
                <w:sz w:val="21"/>
                <w:szCs w:val="21"/>
                <w:lang w:val="en-US" w:eastAsia="zh-CN"/>
              </w:rPr>
              <w:t>定向刨花板</w:t>
            </w:r>
            <w:r>
              <w:rPr>
                <w:rFonts w:hint="default" w:ascii="Times New Roman" w:hAnsi="Times New Roman" w:cs="Times New Roman"/>
                <w:color w:val="auto"/>
                <w:sz w:val="21"/>
                <w:szCs w:val="21"/>
                <w:lang w:val="en-US"/>
              </w:rPr>
              <w:t>密度</w:t>
            </w:r>
            <w:r>
              <w:rPr>
                <w:rFonts w:hint="default" w:ascii="Times New Roman" w:hAnsi="Times New Roman" w:cs="Times New Roman"/>
                <w:color w:val="auto"/>
                <w:sz w:val="21"/>
                <w:szCs w:val="21"/>
                <w:lang w:val="en-US" w:eastAsia="zh-CN"/>
              </w:rPr>
              <w:t>约</w:t>
            </w:r>
            <w:r>
              <w:rPr>
                <w:rFonts w:hint="default" w:ascii="Times New Roman" w:hAnsi="Times New Roman" w:cs="Times New Roman"/>
                <w:color w:val="auto"/>
                <w:sz w:val="21"/>
                <w:szCs w:val="21"/>
                <w:lang w:val="en-US"/>
              </w:rPr>
              <w:t>为</w:t>
            </w:r>
            <w:r>
              <w:rPr>
                <w:rFonts w:hint="default" w:ascii="Times New Roman" w:hAnsi="Times New Roman" w:cs="Times New Roman"/>
                <w:color w:val="auto"/>
                <w:sz w:val="21"/>
                <w:szCs w:val="21"/>
                <w:lang w:val="en-US" w:eastAsia="zh-CN"/>
              </w:rPr>
              <w:t>0.</w:t>
            </w:r>
            <w:r>
              <w:rPr>
                <w:rFonts w:hint="eastAsia" w:hAnsi="Times New Roman" w:cs="Times New Roman"/>
                <w:color w:val="auto"/>
                <w:sz w:val="21"/>
                <w:szCs w:val="21"/>
                <w:lang w:val="en-US" w:eastAsia="zh-CN"/>
              </w:rPr>
              <w:t>625</w:t>
            </w:r>
            <w:r>
              <w:rPr>
                <w:rFonts w:hint="default" w:ascii="Times New Roman" w:hAnsi="Times New Roman" w:cs="Times New Roman"/>
                <w:color w:val="auto"/>
                <w:sz w:val="21"/>
                <w:szCs w:val="21"/>
                <w:lang w:val="en-US"/>
              </w:rPr>
              <w:t>g/cm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lang w:val="en-US"/>
              </w:rPr>
              <w:t>。</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③甲醛物料平衡</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本项目建成后全厂甲醛物料平衡见下图。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4"/>
                <w:highlight w:val="yellow"/>
                <w:lang w:eastAsia="zh-CN"/>
              </w:rPr>
            </w:pPr>
            <w:r>
              <w:rPr>
                <w:rFonts w:hint="default" w:ascii="Times New Roman" w:hAnsi="Times New Roman" w:cs="Times New Roman"/>
                <w:color w:val="auto"/>
                <w:sz w:val="24"/>
                <w:highlight w:val="none"/>
                <w:lang w:eastAsia="zh-CN"/>
              </w:rPr>
              <w:object>
                <v:shape id="_x0000_i1026" o:spt="75" type="#_x0000_t75" style="height:179pt;width:396.75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jc w:val="center"/>
              <w:textAlignment w:val="auto"/>
              <w:rPr>
                <w:rFonts w:hint="default" w:ascii="Times New Roman" w:hAnsi="Times New Roman" w:cs="Times New Roman"/>
                <w:b/>
                <w:bCs/>
                <w:color w:val="auto"/>
              </w:rPr>
            </w:pPr>
            <w:r>
              <w:rPr>
                <w:rFonts w:hint="eastAsia"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 xml:space="preserve">2-2  </w:t>
            </w:r>
            <w:r>
              <w:rPr>
                <w:rFonts w:hint="default" w:ascii="Times New Roman" w:hAnsi="Times New Roman" w:eastAsia="宋体" w:cs="Times New Roman"/>
                <w:b/>
                <w:bCs/>
                <w:color w:val="auto"/>
                <w:sz w:val="21"/>
                <w:szCs w:val="21"/>
                <w:lang w:eastAsia="zh-CN"/>
              </w:rPr>
              <w:t>全厂甲醛物料平衡图</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t>VOCs</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cs="Times New Roman"/>
                <w:color w:val="auto"/>
                <w:sz w:val="24"/>
                <w:highlight w:val="none"/>
                <w:lang w:eastAsia="zh-CN"/>
              </w:rPr>
              <w:t>建成后全厂</w:t>
            </w:r>
            <w:r>
              <w:rPr>
                <w:rFonts w:hint="default" w:ascii="Times New Roman" w:hAnsi="Times New Roman" w:cs="Times New Roman"/>
                <w:color w:val="auto"/>
                <w:sz w:val="24"/>
                <w:highlight w:val="none"/>
                <w:lang w:val="en-US" w:eastAsia="zh-CN"/>
              </w:rPr>
              <w:t>VOCs</w:t>
            </w:r>
            <w:r>
              <w:rPr>
                <w:rFonts w:hint="default" w:ascii="Times New Roman" w:hAnsi="Times New Roman" w:cs="Times New Roman"/>
                <w:color w:val="auto"/>
                <w:sz w:val="24"/>
                <w:highlight w:val="none"/>
                <w:lang w:eastAsia="zh-CN"/>
              </w:rPr>
              <w:t>平衡见下图。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object>
                <v:shape id="_x0000_i1027" o:spt="75" type="#_x0000_t75" style="height:204.35pt;width:390.55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7" r:id="rId17">
                  <o:LockedField>false</o:LockedField>
                </o:OLEObject>
              </w:objec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jc w:val="center"/>
              <w:textAlignment w:val="auto"/>
              <w:rPr>
                <w:rFonts w:hint="default" w:ascii="Times New Roman" w:hAnsi="Times New Roman" w:cs="Times New Roman"/>
                <w:b/>
                <w:bCs/>
                <w:color w:val="auto"/>
                <w:highlight w:val="none"/>
              </w:rPr>
            </w:pPr>
            <w:r>
              <w:rPr>
                <w:rFonts w:hint="eastAsia" w:ascii="Times New Roman" w:hAnsi="Times New Roman" w:eastAsia="宋体" w:cs="Times New Roman"/>
                <w:b/>
                <w:bCs/>
                <w:color w:val="auto"/>
                <w:sz w:val="21"/>
                <w:szCs w:val="21"/>
                <w:highlight w:val="none"/>
                <w:lang w:eastAsia="zh-CN"/>
              </w:rPr>
              <w:t>图</w:t>
            </w:r>
            <w:r>
              <w:rPr>
                <w:rFonts w:hint="eastAsia" w:ascii="Times New Roman" w:hAnsi="Times New Roman" w:eastAsia="宋体" w:cs="Times New Roman"/>
                <w:b/>
                <w:bCs/>
                <w:color w:val="auto"/>
                <w:sz w:val="21"/>
                <w:szCs w:val="21"/>
                <w:highlight w:val="none"/>
                <w:lang w:val="en-US" w:eastAsia="zh-CN"/>
              </w:rPr>
              <w:t xml:space="preserve">2-3  </w:t>
            </w:r>
            <w:r>
              <w:rPr>
                <w:rFonts w:hint="default" w:ascii="Times New Roman" w:hAnsi="Times New Roman" w:eastAsia="宋体" w:cs="Times New Roman"/>
                <w:b/>
                <w:bCs/>
                <w:color w:val="auto"/>
                <w:sz w:val="21"/>
                <w:szCs w:val="21"/>
                <w:highlight w:val="none"/>
                <w:lang w:eastAsia="zh-CN"/>
              </w:rPr>
              <w:t>全厂</w:t>
            </w:r>
            <w:r>
              <w:rPr>
                <w:rFonts w:hint="default" w:ascii="Times New Roman" w:hAnsi="Times New Roman" w:eastAsia="宋体" w:cs="Times New Roman"/>
                <w:b/>
                <w:bCs/>
                <w:color w:val="auto"/>
                <w:sz w:val="21"/>
                <w:szCs w:val="21"/>
                <w:highlight w:val="none"/>
                <w:lang w:val="en-US" w:eastAsia="zh-CN"/>
              </w:rPr>
              <w:t>VOCs</w:t>
            </w:r>
            <w:r>
              <w:rPr>
                <w:rFonts w:hint="default" w:ascii="Times New Roman" w:hAnsi="Times New Roman" w:cs="Times New Roman"/>
                <w:b/>
                <w:bCs/>
                <w:color w:val="auto"/>
                <w:highlight w:val="none"/>
              </w:rPr>
              <w:t>图</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七、水平衡</w:t>
            </w:r>
          </w:p>
          <w:p>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highlight w:val="none"/>
              </w:rPr>
              <w:t>项目运营期用水</w:t>
            </w:r>
            <w:r>
              <w:rPr>
                <w:rFonts w:hint="default" w:ascii="Times New Roman" w:hAnsi="Times New Roman" w:cs="Times New Roman"/>
                <w:color w:val="auto"/>
                <w:sz w:val="24"/>
                <w:highlight w:val="none"/>
                <w:lang w:eastAsia="zh-CN"/>
              </w:rPr>
              <w:t>主要</w:t>
            </w:r>
            <w:r>
              <w:rPr>
                <w:rFonts w:hint="default" w:ascii="Times New Roman" w:hAnsi="Times New Roman" w:cs="Times New Roman"/>
                <w:color w:val="auto"/>
                <w:sz w:val="24"/>
                <w:highlight w:val="none"/>
              </w:rPr>
              <w:t>包括</w:t>
            </w:r>
            <w:r>
              <w:rPr>
                <w:rFonts w:hint="eastAsia" w:cs="Times New Roman"/>
                <w:color w:val="auto"/>
                <w:sz w:val="24"/>
                <w:highlight w:val="none"/>
                <w:lang w:eastAsia="zh-CN"/>
              </w:rPr>
              <w:t>生活用水、</w:t>
            </w:r>
            <w:r>
              <w:rPr>
                <w:rFonts w:hint="default" w:ascii="Times New Roman" w:hAnsi="Times New Roman" w:cs="Times New Roman"/>
                <w:color w:val="auto"/>
                <w:sz w:val="24"/>
                <w:highlight w:val="none"/>
                <w:lang w:eastAsia="zh-CN"/>
              </w:rPr>
              <w:t>循环冷却用水</w:t>
            </w:r>
            <w:r>
              <w:rPr>
                <w:rFonts w:hint="eastAsia" w:cs="Times New Roman"/>
                <w:color w:val="auto"/>
                <w:sz w:val="24"/>
                <w:highlight w:val="none"/>
                <w:lang w:eastAsia="zh-CN"/>
              </w:rPr>
              <w:t>、溶液配制用水、锅炉用水</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导热油炉燃烧废气、热压废气依托现有水膜除尘装置处理，</w:t>
            </w:r>
            <w:r>
              <w:rPr>
                <w:rFonts w:hint="default" w:ascii="Times New Roman" w:hAnsi="Times New Roman" w:eastAsia="宋体" w:cs="Times New Roman"/>
                <w:color w:val="auto"/>
                <w:sz w:val="24"/>
              </w:rPr>
              <w:t>水膜除尘用水循环利用，不产生生产废水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其水量现有项目已考虑，本次不再进行计算。厂区地面定期进行清扫，不清洗。</w:t>
            </w:r>
            <w:r>
              <w:rPr>
                <w:rFonts w:hint="eastAsia" w:ascii="Times New Roman" w:hAnsi="Times New Roman" w:eastAsia="宋体" w:cs="Times New Roman"/>
                <w:b w:val="0"/>
                <w:bCs w:val="0"/>
                <w:color w:val="auto"/>
                <w:sz w:val="24"/>
                <w:highlight w:val="none"/>
                <w:lang w:eastAsia="zh-CN"/>
              </w:rPr>
              <w:t>项目制胶反应釜</w:t>
            </w:r>
            <w:r>
              <w:rPr>
                <w:rFonts w:hint="eastAsia" w:ascii="Times New Roman" w:hAnsi="Times New Roman" w:cs="Times New Roman"/>
                <w:color w:val="auto"/>
                <w:sz w:val="24"/>
                <w:szCs w:val="24"/>
                <w:lang w:eastAsia="zh-CN"/>
              </w:rPr>
              <w:t>内为脲醛胶乳液，水清洗效果不佳，因此，不考虑使用水进行清洗，停产期间，待其凝固后，定期清理废胶。</w:t>
            </w:r>
          </w:p>
          <w:p>
            <w:pPr>
              <w:spacing w:line="360" w:lineRule="auto"/>
              <w:ind w:firstLine="482" w:firstLineChars="200"/>
              <w:rPr>
                <w:rFonts w:hint="eastAsia"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（1）</w:t>
            </w:r>
            <w:r>
              <w:rPr>
                <w:rFonts w:hint="eastAsia" w:cs="Times New Roman"/>
                <w:b/>
                <w:bCs/>
                <w:color w:val="auto"/>
                <w:sz w:val="24"/>
                <w:szCs w:val="24"/>
                <w:lang w:eastAsia="zh-CN"/>
              </w:rPr>
              <w:t>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Calibri" w:hAnsi="Calibri" w:eastAsia="宋体" w:cs="Calibri"/>
                <w:b/>
                <w:bCs/>
                <w:color w:val="auto"/>
                <w:sz w:val="24"/>
                <w:szCs w:val="24"/>
                <w:highlight w:val="none"/>
              </w:rPr>
              <w:t>①</w:t>
            </w:r>
            <w:r>
              <w:rPr>
                <w:rFonts w:hint="default" w:ascii="Times New Roman" w:hAnsi="Times New Roman" w:eastAsia="宋体" w:cs="Times New Roman"/>
                <w:b/>
                <w:bCs/>
                <w:color w:val="auto"/>
                <w:sz w:val="24"/>
                <w:szCs w:val="24"/>
                <w:highlight w:val="none"/>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lang w:val="en-US" w:eastAsia="zh-CN"/>
              </w:rPr>
              <w:t>本次新增员工12人，厂区不</w:t>
            </w:r>
            <w:r>
              <w:rPr>
                <w:rFonts w:hint="default" w:ascii="Times New Roman" w:hAnsi="Times New Roman" w:eastAsia="宋体" w:cs="Times New Roman"/>
                <w:color w:val="auto"/>
                <w:sz w:val="24"/>
                <w:highlight w:val="none"/>
              </w:rPr>
              <w:t>提供住宿，</w:t>
            </w:r>
            <w:r>
              <w:rPr>
                <w:rFonts w:hint="default" w:ascii="Times New Roman" w:hAnsi="Times New Roman" w:eastAsia="宋体" w:cs="Times New Roman"/>
                <w:color w:val="auto"/>
                <w:sz w:val="24"/>
                <w:szCs w:val="21"/>
                <w:lang w:val="en-US" w:eastAsia="zh-CN"/>
              </w:rPr>
              <w:t>根据现有项目用水情况</w:t>
            </w:r>
            <w:r>
              <w:rPr>
                <w:rFonts w:hint="default" w:ascii="Times New Roman" w:hAnsi="Times New Roman" w:cs="Times New Roman"/>
                <w:color w:val="auto"/>
                <w:sz w:val="24"/>
                <w:szCs w:val="21"/>
              </w:rPr>
              <w:t>，办公</w:t>
            </w:r>
            <w:r>
              <w:rPr>
                <w:rFonts w:hint="default" w:ascii="Times New Roman" w:hAnsi="Times New Roman" w:cs="Times New Roman"/>
                <w:color w:val="auto"/>
                <w:sz w:val="24"/>
              </w:rPr>
              <w:t>生活用水量约1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0L/人·d，</w:t>
            </w:r>
            <w:r>
              <w:rPr>
                <w:rFonts w:hint="default" w:ascii="Times New Roman" w:hAnsi="Times New Roman" w:cs="Times New Roman"/>
                <w:color w:val="auto"/>
                <w:sz w:val="24"/>
                <w:szCs w:val="21"/>
              </w:rPr>
              <w:t>年工作3</w:t>
            </w:r>
            <w:r>
              <w:rPr>
                <w:rFonts w:hint="default" w:ascii="Times New Roman" w:hAnsi="Times New Roman" w:cs="Times New Roman"/>
                <w:color w:val="auto"/>
                <w:sz w:val="24"/>
                <w:szCs w:val="21"/>
                <w:lang w:val="en-US" w:eastAsia="zh-CN"/>
              </w:rPr>
              <w:t>00</w:t>
            </w:r>
            <w:r>
              <w:rPr>
                <w:rFonts w:hint="default" w:ascii="Times New Roman" w:hAnsi="Times New Roman" w:cs="Times New Roman"/>
                <w:color w:val="auto"/>
                <w:sz w:val="24"/>
                <w:szCs w:val="21"/>
              </w:rPr>
              <w:t>天，则用水量共计</w:t>
            </w:r>
            <w:r>
              <w:rPr>
                <w:rFonts w:hint="default" w:ascii="Times New Roman" w:hAnsi="Times New Roman" w:cs="Times New Roman"/>
                <w:color w:val="auto"/>
                <w:sz w:val="24"/>
                <w:szCs w:val="21"/>
                <w:lang w:val="en-US" w:eastAsia="zh-CN"/>
              </w:rPr>
              <w:t>1.2</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w:t>
            </w:r>
            <w:r>
              <w:rPr>
                <w:rFonts w:hint="default" w:ascii="Times New Roman" w:hAnsi="Times New Roman" w:cs="Times New Roman"/>
                <w:color w:val="auto"/>
                <w:sz w:val="24"/>
                <w:szCs w:val="21"/>
                <w:lang w:val="en-US" w:eastAsia="zh-CN"/>
              </w:rPr>
              <w:t>360</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/a）</w:t>
            </w:r>
            <w:r>
              <w:rPr>
                <w:rFonts w:hint="default" w:ascii="Times New Roman" w:hAnsi="Times New Roman" w:cs="Times New Roman"/>
                <w:color w:val="auto"/>
                <w:kern w:val="0"/>
                <w:sz w:val="24"/>
                <w:szCs w:val="21"/>
              </w:rPr>
              <w:t>。</w:t>
            </w:r>
            <w:r>
              <w:rPr>
                <w:rFonts w:hint="default" w:ascii="Times New Roman" w:hAnsi="Times New Roman" w:cs="Times New Roman"/>
                <w:color w:val="auto"/>
                <w:sz w:val="24"/>
              </w:rPr>
              <w:t>生活污水产生量约为用水量的80%，本项目</w:t>
            </w:r>
            <w:r>
              <w:rPr>
                <w:rFonts w:hint="default" w:ascii="Times New Roman" w:hAnsi="Times New Roman" w:cs="Times New Roman"/>
                <w:color w:val="auto"/>
                <w:sz w:val="24"/>
                <w:lang w:eastAsia="zh-CN"/>
              </w:rPr>
              <w:t>员工</w:t>
            </w:r>
            <w:r>
              <w:rPr>
                <w:rFonts w:hint="default" w:ascii="Times New Roman" w:hAnsi="Times New Roman" w:cs="Times New Roman"/>
                <w:color w:val="auto"/>
                <w:sz w:val="24"/>
              </w:rPr>
              <w:t>生活污水产生量为</w:t>
            </w:r>
            <w:r>
              <w:rPr>
                <w:rFonts w:hint="default" w:ascii="Times New Roman" w:hAnsi="Times New Roman" w:cs="Times New Roman"/>
                <w:color w:val="auto"/>
                <w:sz w:val="24"/>
                <w:lang w:val="en-US" w:eastAsia="zh-CN"/>
              </w:rPr>
              <w:t>0.96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val="en-US" w:eastAsia="zh-CN"/>
              </w:rPr>
              <w:t>288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b w:val="0"/>
                <w:bCs/>
                <w:color w:val="auto"/>
                <w:sz w:val="24"/>
                <w:lang w:eastAsia="zh-CN"/>
              </w:rPr>
              <w:t>生活污水经</w:t>
            </w:r>
            <w:r>
              <w:rPr>
                <w:rFonts w:hint="default" w:ascii="Times New Roman" w:hAnsi="Times New Roman" w:cs="Times New Roman"/>
                <w:b w:val="0"/>
                <w:bCs/>
                <w:color w:val="auto"/>
                <w:sz w:val="24"/>
                <w:lang w:val="en-US" w:eastAsia="zh-CN"/>
              </w:rPr>
              <w:t>厂区</w:t>
            </w:r>
            <w:r>
              <w:rPr>
                <w:rFonts w:hint="default" w:ascii="Times New Roman" w:hAnsi="Times New Roman" w:eastAsia="宋体" w:cs="Times New Roman"/>
                <w:b w:val="0"/>
                <w:bCs/>
                <w:color w:val="auto"/>
                <w:sz w:val="24"/>
                <w:lang w:val="en-US" w:eastAsia="zh-CN"/>
              </w:rPr>
              <w:t>预处理池</w:t>
            </w:r>
            <w:r>
              <w:rPr>
                <w:rFonts w:hint="default" w:ascii="Times New Roman" w:hAnsi="Times New Roman" w:cs="Times New Roman"/>
                <w:b w:val="0"/>
                <w:bCs/>
                <w:color w:val="auto"/>
                <w:sz w:val="24"/>
              </w:rPr>
              <w:t>处理</w:t>
            </w:r>
            <w:r>
              <w:rPr>
                <w:rFonts w:hint="default" w:ascii="Times New Roman" w:hAnsi="Times New Roman" w:cs="Times New Roman"/>
                <w:b w:val="0"/>
                <w:bCs/>
                <w:color w:val="auto"/>
                <w:sz w:val="24"/>
                <w:lang w:eastAsia="zh-CN"/>
              </w:rPr>
              <w:t>达</w:t>
            </w:r>
            <w:r>
              <w:rPr>
                <w:rFonts w:hint="default" w:ascii="Times New Roman" w:hAnsi="Times New Roman" w:eastAsia="宋体" w:cs="Times New Roman"/>
                <w:b w:val="0"/>
                <w:bCs/>
                <w:color w:val="auto"/>
                <w:sz w:val="24"/>
                <w:lang w:val="en-US" w:eastAsia="zh-CN"/>
              </w:rPr>
              <w:t>《污水综合排放标准》（GB8978-1996）中的三级标准限值</w:t>
            </w:r>
            <w:r>
              <w:rPr>
                <w:rFonts w:hint="default" w:ascii="Times New Roman" w:hAnsi="Times New Roman" w:cs="Times New Roman"/>
                <w:b w:val="0"/>
                <w:bCs/>
                <w:color w:val="auto"/>
                <w:sz w:val="24"/>
              </w:rPr>
              <w:t>后，经园区管网排入</w:t>
            </w:r>
            <w:r>
              <w:rPr>
                <w:rFonts w:hint="default" w:ascii="Times New Roman" w:hAnsi="Times New Roman" w:cs="Times New Roman"/>
                <w:b w:val="0"/>
                <w:bCs/>
                <w:color w:val="auto"/>
                <w:sz w:val="24"/>
                <w:lang w:val="en-US" w:eastAsia="zh-CN"/>
              </w:rPr>
              <w:t>蓬溪县</w:t>
            </w:r>
            <w:r>
              <w:rPr>
                <w:rFonts w:hint="default" w:ascii="Times New Roman" w:hAnsi="Times New Roman" w:cs="Times New Roman"/>
                <w:color w:val="auto"/>
                <w:sz w:val="24"/>
              </w:rPr>
              <w:t>经开区污水处理厂进行处理，尾水达《城镇污水处理厂污染物排放标准》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GB18918-2002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一级A标准后排入芝溪河</w:t>
            </w:r>
            <w:r>
              <w:rPr>
                <w:rFonts w:hint="default" w:ascii="Times New Roman" w:hAnsi="Times New Roman" w:cs="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Calibri" w:hAnsi="Calibri" w:eastAsia="宋体" w:cs="Calibri"/>
                <w:b/>
                <w:bCs/>
                <w:color w:val="auto"/>
                <w:sz w:val="24"/>
                <w:highlight w:val="none"/>
              </w:rPr>
              <w:t>②</w:t>
            </w:r>
            <w:r>
              <w:rPr>
                <w:rFonts w:hint="default" w:ascii="Times New Roman" w:hAnsi="Times New Roman" w:eastAsia="宋体" w:cs="Times New Roman"/>
                <w:b/>
                <w:bCs/>
                <w:color w:val="auto"/>
                <w:sz w:val="24"/>
                <w:highlight w:val="none"/>
              </w:rPr>
              <w:t>循环冷却水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w:t>
            </w:r>
            <w:r>
              <w:rPr>
                <w:rFonts w:hint="default" w:ascii="Times New Roman" w:hAnsi="Times New Roman" w:eastAsia="宋体" w:cs="Times New Roman"/>
                <w:b w:val="0"/>
                <w:bCs w:val="0"/>
                <w:color w:val="auto"/>
                <w:sz w:val="24"/>
                <w:highlight w:val="none"/>
                <w:lang w:val="en-US" w:eastAsia="zh-CN"/>
              </w:rPr>
              <w:t>制胶</w:t>
            </w:r>
            <w:r>
              <w:rPr>
                <w:rFonts w:hint="default" w:ascii="Times New Roman" w:hAnsi="Times New Roman" w:eastAsia="宋体" w:cs="Times New Roman"/>
                <w:b w:val="0"/>
                <w:bCs w:val="0"/>
                <w:color w:val="auto"/>
                <w:sz w:val="24"/>
                <w:highlight w:val="none"/>
              </w:rPr>
              <w:t>生产过程中需使用大量冷却水，冷却用水采用自来水，冷却系统主要由循环水池、循环泵、冷凝器组成，循环水量约</w:t>
            </w:r>
            <w:r>
              <w:rPr>
                <w:rFonts w:hint="default" w:ascii="Times New Roman" w:hAnsi="Times New Roman" w:eastAsia="宋体" w:cs="Times New Roman"/>
                <w:b w:val="0"/>
                <w:bCs w:val="0"/>
                <w:color w:val="auto"/>
                <w:sz w:val="24"/>
                <w:highlight w:val="none"/>
                <w:lang w:val="en-US" w:eastAsia="zh-CN"/>
              </w:rPr>
              <w:t>40</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/d。冷却过程中，损失水量</w:t>
            </w:r>
            <w:r>
              <w:rPr>
                <w:rFonts w:hint="default" w:ascii="Times New Roman" w:hAnsi="Times New Roman" w:eastAsia="宋体" w:cs="Times New Roman"/>
                <w:b w:val="0"/>
                <w:bCs w:val="0"/>
                <w:color w:val="auto"/>
                <w:sz w:val="24"/>
                <w:highlight w:val="none"/>
                <w:lang w:eastAsia="zh-CN"/>
              </w:rPr>
              <w:t>约</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由新鲜水补充，项目冷却循环系统需补充冷却水水量为2m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cs="Times New Roman"/>
                <w:color w:val="auto"/>
                <w:sz w:val="24"/>
                <w:szCs w:val="21"/>
              </w:rPr>
              <w:t>（</w:t>
            </w:r>
            <w:r>
              <w:rPr>
                <w:rFonts w:hint="default" w:ascii="Times New Roman" w:hAnsi="Times New Roman" w:cs="Times New Roman"/>
                <w:color w:val="auto"/>
                <w:sz w:val="24"/>
                <w:szCs w:val="21"/>
                <w:lang w:val="en-US" w:eastAsia="zh-CN"/>
              </w:rPr>
              <w:t>600</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/a）</w:t>
            </w:r>
            <w:r>
              <w:rPr>
                <w:rFonts w:hint="default" w:ascii="Times New Roman" w:hAnsi="Times New Roman" w:eastAsia="宋体" w:cs="Times New Roman"/>
                <w:b w:val="0"/>
                <w:bCs w:val="0"/>
                <w:color w:val="auto"/>
                <w:sz w:val="24"/>
                <w:highlight w:val="none"/>
              </w:rPr>
              <w:t>，该部分水可循环使用，不外排。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Calibri" w:hAnsi="Calibri" w:eastAsia="宋体" w:cs="Calibri"/>
                <w:b/>
                <w:bCs/>
                <w:color w:val="auto"/>
                <w:sz w:val="24"/>
                <w:highlight w:val="none"/>
              </w:rPr>
              <w:t>③</w:t>
            </w:r>
            <w:r>
              <w:rPr>
                <w:rFonts w:hint="default" w:ascii="Times New Roman" w:hAnsi="Times New Roman" w:eastAsia="宋体" w:cs="Times New Roman"/>
                <w:b/>
                <w:bCs/>
                <w:color w:val="auto"/>
                <w:sz w:val="24"/>
                <w:highlight w:val="none"/>
              </w:rPr>
              <w:t>溶液配制用水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yellow"/>
              </w:rPr>
            </w:pPr>
            <w:r>
              <w:rPr>
                <w:rFonts w:hint="default" w:ascii="Times New Roman" w:hAnsi="Times New Roman" w:eastAsia="宋体" w:cs="Times New Roman"/>
                <w:b w:val="0"/>
                <w:bCs w:val="0"/>
                <w:color w:val="auto"/>
                <w:sz w:val="24"/>
                <w:highlight w:val="none"/>
                <w:lang w:val="en-US" w:eastAsia="zh-CN"/>
              </w:rPr>
              <w:t>项目制胶工序使用</w:t>
            </w:r>
            <w:r>
              <w:rPr>
                <w:rFonts w:hint="default" w:ascii="Times New Roman" w:hAnsi="Times New Roman" w:eastAsia="宋体" w:cs="Times New Roman"/>
                <w:b w:val="0"/>
                <w:bCs w:val="0"/>
                <w:color w:val="auto"/>
                <w:sz w:val="24"/>
                <w:highlight w:val="none"/>
              </w:rPr>
              <w:t>氢氧化钠溶液</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需添加自来水溶解配制至为的</w:t>
            </w:r>
            <w:r>
              <w:rPr>
                <w:rFonts w:hint="default" w:ascii="Times New Roman" w:hAnsi="Times New Roman" w:eastAsia="宋体" w:cs="Times New Roman"/>
                <w:b w:val="0"/>
                <w:bCs w:val="0"/>
                <w:color w:val="auto"/>
                <w:sz w:val="24"/>
                <w:highlight w:val="none"/>
              </w:rPr>
              <w:t>30%氢氧化钠溶液</w:t>
            </w:r>
            <w:r>
              <w:rPr>
                <w:rFonts w:hint="default" w:ascii="Times New Roman" w:hAnsi="Times New Roman" w:eastAsia="宋体" w:cs="Times New Roman"/>
                <w:b w:val="0"/>
                <w:bCs w:val="0"/>
                <w:color w:val="auto"/>
                <w:sz w:val="24"/>
                <w:highlight w:val="none"/>
                <w:lang w:val="en-US" w:eastAsia="zh-CN"/>
              </w:rPr>
              <w:t>，则</w:t>
            </w:r>
            <w:r>
              <w:rPr>
                <w:rFonts w:hint="default" w:ascii="Times New Roman" w:hAnsi="Times New Roman" w:eastAsia="宋体" w:cs="Times New Roman"/>
                <w:b w:val="0"/>
                <w:bCs w:val="0"/>
                <w:color w:val="auto"/>
                <w:sz w:val="24"/>
                <w:highlight w:val="none"/>
              </w:rPr>
              <w:t>自来水用水量为</w:t>
            </w:r>
            <w:r>
              <w:rPr>
                <w:rFonts w:hint="default" w:ascii="Times New Roman" w:hAnsi="Times New Roman" w:eastAsia="宋体" w:cs="Times New Roman"/>
                <w:b w:val="0"/>
                <w:bCs w:val="0"/>
                <w:color w:val="auto"/>
                <w:sz w:val="24"/>
                <w:highlight w:val="none"/>
                <w:lang w:val="en-US" w:eastAsia="zh-CN"/>
              </w:rPr>
              <w:t>14</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0.</w:t>
            </w:r>
            <w:r>
              <w:rPr>
                <w:rFonts w:hint="default" w:ascii="Times New Roman" w:hAnsi="Times New Roman" w:eastAsia="宋体" w:cs="Times New Roman"/>
                <w:b w:val="0"/>
                <w:bCs w:val="0"/>
                <w:color w:val="auto"/>
                <w:sz w:val="24"/>
                <w:highlight w:val="none"/>
                <w:lang w:val="en-US" w:eastAsia="zh-CN"/>
              </w:rPr>
              <w:t>05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此部分水进脲醛树脂胶内，不外排</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宋体" w:hAnsi="宋体" w:eastAsia="宋体" w:cs="宋体"/>
                <w:b/>
                <w:bCs/>
                <w:color w:val="auto"/>
                <w:sz w:val="24"/>
                <w:highlight w:val="none"/>
              </w:rPr>
              <w:t>④</w:t>
            </w:r>
            <w:r>
              <w:rPr>
                <w:rFonts w:hint="default" w:ascii="Times New Roman" w:hAnsi="Times New Roman" w:eastAsia="宋体" w:cs="Times New Roman"/>
                <w:b/>
                <w:bCs/>
                <w:color w:val="auto"/>
                <w:sz w:val="24"/>
                <w:highlight w:val="none"/>
                <w:lang w:val="en-US" w:eastAsia="zh-CN"/>
              </w:rPr>
              <w:t>锅炉用水</w:t>
            </w:r>
          </w:p>
          <w:p>
            <w:pPr>
              <w:spacing w:line="360" w:lineRule="auto"/>
              <w:ind w:firstLine="480" w:firstLineChars="200"/>
              <w:rPr>
                <w:rFonts w:hint="eastAsia" w:ascii="Times New Roman" w:hAnsi="Times New Roman" w:cs="Times New Roman"/>
                <w:b/>
                <w:bCs/>
                <w:color w:val="auto"/>
                <w:sz w:val="24"/>
                <w:szCs w:val="24"/>
                <w:highlight w:val="none"/>
                <w:lang w:eastAsia="zh-CN"/>
              </w:rPr>
            </w:pPr>
            <w:r>
              <w:rPr>
                <w:rFonts w:hint="default" w:ascii="Times New Roman" w:hAnsi="Times New Roman" w:eastAsia="宋体" w:cs="Times New Roman"/>
                <w:b w:val="0"/>
                <w:bCs w:val="0"/>
                <w:color w:val="auto"/>
                <w:sz w:val="24"/>
                <w:highlight w:val="none"/>
                <w:lang w:val="en-US" w:eastAsia="zh-CN"/>
              </w:rPr>
              <w:t>项目锅炉需使用软水，本项目设置1台蒸汽锅炉，</w:t>
            </w:r>
            <w:r>
              <w:rPr>
                <w:rFonts w:hint="default" w:ascii="Times New Roman" w:hAnsi="Times New Roman" w:eastAsia="宋体" w:cs="Times New Roman"/>
                <w:b w:val="0"/>
                <w:bCs/>
                <w:color w:val="auto"/>
                <w:sz w:val="24"/>
                <w:szCs w:val="24"/>
                <w:highlight w:val="none"/>
                <w:lang w:val="en-US" w:eastAsia="zh-CN"/>
              </w:rPr>
              <w:t>锅炉</w:t>
            </w:r>
            <w:r>
              <w:rPr>
                <w:rFonts w:hint="default" w:ascii="Times New Roman" w:hAnsi="Times New Roman" w:cs="Times New Roman"/>
                <w:b w:val="0"/>
                <w:bCs/>
                <w:color w:val="auto"/>
                <w:sz w:val="24"/>
                <w:szCs w:val="24"/>
                <w:highlight w:val="none"/>
                <w:lang w:val="en-US" w:eastAsia="zh-CN"/>
              </w:rPr>
              <w:t>循环水量约</w:t>
            </w:r>
            <w:r>
              <w:rPr>
                <w:rFonts w:hint="default" w:ascii="Times New Roman" w:hAnsi="Times New Roman" w:eastAsia="宋体" w:cs="Times New Roman"/>
                <w:b w:val="0"/>
                <w:bCs/>
                <w:color w:val="auto"/>
                <w:sz w:val="24"/>
                <w:szCs w:val="24"/>
                <w:highlight w:val="none"/>
                <w:lang w:val="en-US" w:eastAsia="zh-CN"/>
              </w:rPr>
              <w:t>为1m³/h，</w:t>
            </w:r>
            <w:r>
              <w:rPr>
                <w:rFonts w:hint="default" w:ascii="Times New Roman" w:hAnsi="Times New Roman" w:cs="Times New Roman"/>
                <w:b w:val="0"/>
                <w:bCs/>
                <w:color w:val="auto"/>
                <w:sz w:val="24"/>
                <w:szCs w:val="24"/>
                <w:highlight w:val="none"/>
                <w:lang w:val="en-US" w:eastAsia="zh-CN"/>
              </w:rPr>
              <w:t>日循环水量为8m³/d，</w:t>
            </w:r>
            <w:r>
              <w:rPr>
                <w:rFonts w:hint="default" w:ascii="Times New Roman" w:hAnsi="Times New Roman" w:eastAsia="宋体" w:cs="Times New Roman"/>
                <w:b w:val="0"/>
                <w:bCs/>
                <w:color w:val="auto"/>
                <w:sz w:val="24"/>
                <w:szCs w:val="24"/>
                <w:highlight w:val="none"/>
                <w:lang w:val="en-US" w:eastAsia="zh-CN"/>
              </w:rPr>
              <w:t>锅炉运行时间为</w:t>
            </w:r>
            <w:r>
              <w:rPr>
                <w:rFonts w:hint="default" w:ascii="Times New Roman" w:hAnsi="Times New Roman" w:cs="Times New Roman"/>
                <w:b w:val="0"/>
                <w:bCs/>
                <w:color w:val="auto"/>
                <w:sz w:val="24"/>
                <w:szCs w:val="24"/>
                <w:highlight w:val="none"/>
                <w:lang w:val="en-US" w:eastAsia="zh-CN"/>
              </w:rPr>
              <w:t>2400</w:t>
            </w:r>
            <w:r>
              <w:rPr>
                <w:rFonts w:hint="default" w:ascii="Times New Roman" w:hAnsi="Times New Roman" w:eastAsia="宋体" w:cs="Times New Roman"/>
                <w:b w:val="0"/>
                <w:bCs/>
                <w:color w:val="auto"/>
                <w:sz w:val="24"/>
                <w:szCs w:val="24"/>
                <w:highlight w:val="none"/>
                <w:lang w:val="en-US" w:eastAsia="zh-CN"/>
              </w:rPr>
              <w:t>小时，则锅炉</w:t>
            </w:r>
            <w:r>
              <w:rPr>
                <w:rFonts w:hint="default" w:ascii="Times New Roman" w:hAnsi="Times New Roman" w:cs="Times New Roman"/>
                <w:b w:val="0"/>
                <w:bCs/>
                <w:color w:val="auto"/>
                <w:sz w:val="24"/>
                <w:szCs w:val="24"/>
                <w:highlight w:val="none"/>
                <w:lang w:val="en-US" w:eastAsia="zh-CN"/>
              </w:rPr>
              <w:t>循环水</w:t>
            </w:r>
            <w:r>
              <w:rPr>
                <w:rFonts w:hint="default" w:ascii="Times New Roman" w:hAnsi="Times New Roman" w:eastAsia="宋体" w:cs="Times New Roman"/>
                <w:b w:val="0"/>
                <w:bCs/>
                <w:color w:val="auto"/>
                <w:sz w:val="24"/>
                <w:szCs w:val="24"/>
                <w:highlight w:val="none"/>
                <w:lang w:val="en-US" w:eastAsia="zh-CN"/>
              </w:rPr>
              <w:t>量为</w:t>
            </w:r>
            <w:r>
              <w:rPr>
                <w:rFonts w:hint="default" w:ascii="Times New Roman" w:hAnsi="Times New Roman"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（2400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。锅炉蒸汽间接加热反应釜，经管道冷凝回流后循环使用，损耗量约为5%，则锅炉补充损耗水量为</w:t>
            </w:r>
            <w:r>
              <w:rPr>
                <w:rFonts w:hint="default" w:ascii="Times New Roman" w:hAnsi="Times New Roman" w:cs="Times New Roman"/>
                <w:b w:val="0"/>
                <w:bCs/>
                <w:color w:val="auto"/>
                <w:sz w:val="24"/>
                <w:szCs w:val="24"/>
                <w:highlight w:val="none"/>
                <w:lang w:val="en-US" w:eastAsia="zh-CN"/>
              </w:rPr>
              <w:t>0.4</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（120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lang w:val="en-US" w:eastAsia="zh-CN"/>
              </w:rPr>
              <w:t>锅炉使用过程因水质原因会导致内部结构，影响正常使用，因此，锅炉需定期</w:t>
            </w:r>
            <w:r>
              <w:rPr>
                <w:rFonts w:hint="default" w:ascii="Times New Roman" w:hAnsi="Times New Roman" w:cs="Times New Roman"/>
                <w:b w:val="0"/>
                <w:bCs/>
                <w:color w:val="auto"/>
                <w:sz w:val="24"/>
                <w:szCs w:val="24"/>
                <w:lang w:val="en-US" w:eastAsia="zh-CN"/>
              </w:rPr>
              <w:t>排水</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拟定排水量为0.5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（150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项目锅炉补充软水量为排水量，则补充用水为</w:t>
            </w:r>
            <w:r>
              <w:rPr>
                <w:rFonts w:hint="default" w:ascii="Times New Roman" w:hAnsi="Times New Roman" w:eastAsia="宋体" w:cs="Times New Roman"/>
                <w:b w:val="0"/>
                <w:bCs/>
                <w:color w:val="auto"/>
                <w:sz w:val="24"/>
                <w:szCs w:val="24"/>
                <w:lang w:val="en-US" w:eastAsia="zh-CN"/>
              </w:rPr>
              <w:t>0.9</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（270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）。锅炉补充用水为软水装置制备的软水，本项目软水制备装置采用反渗透进行制备软水，制备率约80%。则软水装置用水量为</w:t>
            </w:r>
            <w:r>
              <w:rPr>
                <w:rFonts w:hint="default" w:ascii="Times New Roman" w:hAnsi="Times New Roman" w:cs="Times New Roman"/>
                <w:b w:val="0"/>
                <w:bCs/>
                <w:color w:val="auto"/>
                <w:sz w:val="24"/>
                <w:szCs w:val="24"/>
                <w:lang w:val="en-US" w:eastAsia="zh-CN"/>
              </w:rPr>
              <w:t>1.125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337.5</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。软水制备浓水量为0.225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67.5</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lang w:eastAsia="zh-CN"/>
              </w:rPr>
              <w:t>经</w:t>
            </w:r>
            <w:r>
              <w:rPr>
                <w:rFonts w:hint="default" w:ascii="Times New Roman" w:hAnsi="Times New Roman" w:cs="Times New Roman"/>
                <w:b w:val="0"/>
                <w:bCs/>
                <w:color w:val="auto"/>
                <w:sz w:val="24"/>
                <w:lang w:val="en-US" w:eastAsia="zh-CN"/>
              </w:rPr>
              <w:t>厂区</w:t>
            </w:r>
            <w:r>
              <w:rPr>
                <w:rFonts w:hint="default" w:ascii="Times New Roman" w:hAnsi="Times New Roman" w:eastAsia="宋体" w:cs="Times New Roman"/>
                <w:b w:val="0"/>
                <w:bCs/>
                <w:color w:val="auto"/>
                <w:sz w:val="24"/>
                <w:lang w:val="en-US" w:eastAsia="zh-CN"/>
              </w:rPr>
              <w:t>预处理池</w:t>
            </w:r>
            <w:r>
              <w:rPr>
                <w:rFonts w:hint="default" w:ascii="Times New Roman" w:hAnsi="Times New Roman" w:cs="Times New Roman"/>
                <w:b w:val="0"/>
                <w:bCs/>
                <w:color w:val="auto"/>
                <w:sz w:val="24"/>
              </w:rPr>
              <w:t>处理</w:t>
            </w:r>
            <w:r>
              <w:rPr>
                <w:rFonts w:hint="default" w:ascii="Times New Roman" w:hAnsi="Times New Roman" w:cs="Times New Roman"/>
                <w:b w:val="0"/>
                <w:bCs/>
                <w:color w:val="auto"/>
                <w:sz w:val="24"/>
                <w:lang w:eastAsia="zh-CN"/>
              </w:rPr>
              <w:t>达</w:t>
            </w:r>
            <w:r>
              <w:rPr>
                <w:rFonts w:hint="default" w:ascii="Times New Roman" w:hAnsi="Times New Roman" w:eastAsia="宋体" w:cs="Times New Roman"/>
                <w:b w:val="0"/>
                <w:bCs/>
                <w:color w:val="auto"/>
                <w:sz w:val="24"/>
                <w:lang w:val="en-US" w:eastAsia="zh-CN"/>
              </w:rPr>
              <w:t>《污水综合排放标准》（GB8978-1996）中的三级标准限值</w:t>
            </w:r>
            <w:r>
              <w:rPr>
                <w:rFonts w:hint="default" w:ascii="Times New Roman" w:hAnsi="Times New Roman" w:cs="Times New Roman"/>
                <w:b w:val="0"/>
                <w:bCs/>
                <w:color w:val="auto"/>
                <w:sz w:val="24"/>
              </w:rPr>
              <w:t>后，经园区管网排入</w:t>
            </w:r>
            <w:r>
              <w:rPr>
                <w:rFonts w:hint="default" w:ascii="Times New Roman" w:hAnsi="Times New Roman" w:cs="Times New Roman"/>
                <w:b w:val="0"/>
                <w:bCs/>
                <w:color w:val="auto"/>
                <w:sz w:val="24"/>
                <w:lang w:val="en-US" w:eastAsia="zh-CN"/>
              </w:rPr>
              <w:t>蓬溪县</w:t>
            </w:r>
            <w:r>
              <w:rPr>
                <w:rFonts w:hint="default" w:ascii="Times New Roman" w:hAnsi="Times New Roman" w:cs="Times New Roman"/>
                <w:color w:val="auto"/>
                <w:sz w:val="24"/>
              </w:rPr>
              <w:t>经开区污水处理厂进行处理，尾水达《城镇污水处理厂污染物排放标准》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GB18918-2002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w:t>
            </w:r>
            <w:r>
              <w:rPr>
                <w:rFonts w:hint="default" w:ascii="Times New Roman" w:hAnsi="Times New Roman" w:eastAsia="宋体" w:cs="Times New Roman"/>
                <w:color w:val="auto"/>
                <w:sz w:val="24"/>
              </w:rPr>
              <w:t>级A标准后排入芝溪河</w:t>
            </w:r>
            <w:r>
              <w:rPr>
                <w:rFonts w:hint="default" w:ascii="Times New Roman" w:hAnsi="Times New Roman" w:eastAsia="宋体" w:cs="Times New Roman"/>
                <w:color w:val="auto"/>
                <w:sz w:val="24"/>
                <w:lang w:eastAsia="zh-CN"/>
              </w:rPr>
              <w:t>。</w:t>
            </w:r>
          </w:p>
          <w:p>
            <w:pPr>
              <w:spacing w:line="360" w:lineRule="auto"/>
              <w:ind w:firstLine="482" w:firstLineChars="200"/>
              <w:rPr>
                <w:rFonts w:hint="eastAsia"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）排水</w:t>
            </w:r>
          </w:p>
          <w:p>
            <w:pPr>
              <w:spacing w:line="360" w:lineRule="auto"/>
              <w:ind w:firstLine="480" w:firstLineChars="200"/>
              <w:rPr>
                <w:rFonts w:hint="eastAsia" w:ascii="Times New Roman" w:hAnsi="Times New Roman" w:cs="Times New Roman"/>
                <w:b/>
                <w:bCs/>
                <w:color w:val="auto"/>
                <w:sz w:val="24"/>
                <w:szCs w:val="24"/>
                <w:highlight w:val="none"/>
                <w:lang w:eastAsia="zh-CN"/>
              </w:rPr>
            </w:pPr>
            <w:r>
              <w:rPr>
                <w:rFonts w:hint="default" w:ascii="Times New Roman" w:hAnsi="Times New Roman" w:eastAsia="宋体" w:cs="Times New Roman"/>
                <w:b w:val="0"/>
                <w:bCs w:val="0"/>
                <w:color w:val="auto"/>
                <w:sz w:val="24"/>
                <w:highlight w:val="none"/>
              </w:rPr>
              <w:t>项目排水采用雨污分流制，厂区雨水排入雨水管网。项目建成实施后，溶液配制用水进入产品，循环冷却水循环使用不外排</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软水制备浓水、锅炉排水、生活污水</w:t>
            </w:r>
            <w:r>
              <w:rPr>
                <w:rFonts w:hint="default" w:ascii="Times New Roman" w:hAnsi="Times New Roman" w:cs="Times New Roman"/>
                <w:b w:val="0"/>
                <w:bCs/>
                <w:color w:val="auto"/>
                <w:sz w:val="24"/>
                <w:highlight w:val="none"/>
                <w:lang w:eastAsia="zh-CN"/>
              </w:rPr>
              <w:t>经</w:t>
            </w:r>
            <w:r>
              <w:rPr>
                <w:rFonts w:hint="default" w:ascii="Times New Roman" w:hAnsi="Times New Roman" w:cs="Times New Roman"/>
                <w:b w:val="0"/>
                <w:bCs/>
                <w:color w:val="auto"/>
                <w:sz w:val="24"/>
                <w:highlight w:val="none"/>
                <w:lang w:val="en-US" w:eastAsia="zh-CN"/>
              </w:rPr>
              <w:t>厂区</w:t>
            </w:r>
            <w:r>
              <w:rPr>
                <w:rFonts w:hint="default" w:ascii="Times New Roman" w:hAnsi="Times New Roman" w:eastAsia="宋体" w:cs="Times New Roman"/>
                <w:b w:val="0"/>
                <w:bCs/>
                <w:color w:val="auto"/>
                <w:sz w:val="24"/>
                <w:highlight w:val="none"/>
                <w:lang w:val="en-US" w:eastAsia="zh-CN"/>
              </w:rPr>
              <w:t>预处理池</w:t>
            </w:r>
            <w:r>
              <w:rPr>
                <w:rFonts w:hint="default" w:ascii="Times New Roman" w:hAnsi="Times New Roman" w:cs="Times New Roman"/>
                <w:b w:val="0"/>
                <w:bCs/>
                <w:color w:val="auto"/>
                <w:sz w:val="24"/>
                <w:highlight w:val="none"/>
              </w:rPr>
              <w:t>处理</w:t>
            </w:r>
            <w:r>
              <w:rPr>
                <w:rFonts w:hint="default" w:ascii="Times New Roman" w:hAnsi="Times New Roman" w:cs="Times New Roman"/>
                <w:b w:val="0"/>
                <w:bCs/>
                <w:color w:val="auto"/>
                <w:sz w:val="24"/>
                <w:highlight w:val="none"/>
                <w:lang w:eastAsia="zh-CN"/>
              </w:rPr>
              <w:t>达</w:t>
            </w:r>
            <w:r>
              <w:rPr>
                <w:rFonts w:hint="default" w:ascii="Times New Roman" w:hAnsi="Times New Roman" w:eastAsia="宋体" w:cs="Times New Roman"/>
                <w:b w:val="0"/>
                <w:bCs/>
                <w:color w:val="auto"/>
                <w:sz w:val="24"/>
                <w:highlight w:val="none"/>
                <w:lang w:val="en-US" w:eastAsia="zh-CN"/>
              </w:rPr>
              <w:t>《污水综合</w:t>
            </w:r>
            <w:r>
              <w:rPr>
                <w:rFonts w:hint="default" w:ascii="Times New Roman" w:hAnsi="Times New Roman" w:eastAsia="宋体" w:cs="Times New Roman"/>
                <w:b w:val="0"/>
                <w:bCs/>
                <w:color w:val="auto"/>
                <w:sz w:val="24"/>
                <w:lang w:val="en-US" w:eastAsia="zh-CN"/>
              </w:rPr>
              <w:t>排放标准》（GB8978-1996）中的三级标准限值</w:t>
            </w:r>
            <w:r>
              <w:rPr>
                <w:rFonts w:hint="default" w:ascii="Times New Roman" w:hAnsi="Times New Roman" w:cs="Times New Roman"/>
                <w:b w:val="0"/>
                <w:bCs/>
                <w:color w:val="auto"/>
                <w:sz w:val="24"/>
              </w:rPr>
              <w:t>后，经园区管网排入</w:t>
            </w:r>
            <w:r>
              <w:rPr>
                <w:rFonts w:hint="default" w:ascii="Times New Roman" w:hAnsi="Times New Roman" w:cs="Times New Roman"/>
                <w:b w:val="0"/>
                <w:bCs/>
                <w:color w:val="auto"/>
                <w:sz w:val="24"/>
                <w:lang w:val="en-US" w:eastAsia="zh-CN"/>
              </w:rPr>
              <w:t>蓬溪县</w:t>
            </w:r>
            <w:r>
              <w:rPr>
                <w:rFonts w:hint="default" w:ascii="Times New Roman" w:hAnsi="Times New Roman" w:cs="Times New Roman"/>
                <w:color w:val="auto"/>
                <w:sz w:val="24"/>
              </w:rPr>
              <w:t>经开区污水处理厂进行处理，尾水达《城镇污水处理厂污染物排放标准》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GB18918-2002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w:t>
            </w:r>
            <w:r>
              <w:rPr>
                <w:rFonts w:hint="default" w:ascii="Times New Roman" w:hAnsi="Times New Roman" w:eastAsia="宋体" w:cs="Times New Roman"/>
                <w:color w:val="auto"/>
                <w:sz w:val="24"/>
              </w:rPr>
              <w:t>级A标准后排入芝溪河</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由于项目生产设施及堆场均设置在车间内，因此，本次未考虑收集初期雨水，仅设置雨水截断阀，发生泄</w:t>
            </w:r>
            <w:r>
              <w:rPr>
                <w:rFonts w:hint="eastAsia" w:cs="Times New Roman"/>
                <w:color w:val="auto"/>
                <w:sz w:val="24"/>
                <w:lang w:val="en-US" w:eastAsia="zh-CN"/>
              </w:rPr>
              <w:t>漏</w:t>
            </w:r>
            <w:r>
              <w:rPr>
                <w:rFonts w:hint="default" w:ascii="Times New Roman" w:hAnsi="Times New Roman" w:eastAsia="宋体" w:cs="Times New Roman"/>
                <w:color w:val="auto"/>
                <w:sz w:val="24"/>
                <w:lang w:val="en-US" w:eastAsia="zh-CN"/>
              </w:rPr>
              <w:t>、火灾等事故时，将初期雨水泵入事故池。</w:t>
            </w:r>
          </w:p>
          <w:p>
            <w:pPr>
              <w:widowControl/>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本项目给排水情况见下表</w:t>
            </w:r>
            <w:r>
              <w:rPr>
                <w:rFonts w:hint="default" w:ascii="Times New Roman" w:hAnsi="Times New Roman" w:cs="Times New Roman"/>
                <w:color w:val="auto"/>
                <w:sz w:val="24"/>
                <w:szCs w:val="24"/>
                <w:highlight w:val="none"/>
              </w:rPr>
              <w:t>。</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w:t>
            </w:r>
            <w:r>
              <w:rPr>
                <w:rFonts w:hint="eastAsia" w:cs="Times New Roman"/>
                <w:b/>
                <w:bCs/>
                <w:color w:val="auto"/>
                <w:szCs w:val="21"/>
                <w:lang w:eastAsia="zh-CN"/>
              </w:rPr>
              <w:t>本</w:t>
            </w:r>
            <w:r>
              <w:rPr>
                <w:rFonts w:hint="default" w:ascii="Times New Roman" w:hAnsi="Times New Roman" w:cs="Times New Roman"/>
                <w:b/>
                <w:bCs/>
                <w:color w:val="auto"/>
                <w:szCs w:val="21"/>
              </w:rPr>
              <w:t>项目</w:t>
            </w:r>
            <w:r>
              <w:rPr>
                <w:rFonts w:hint="eastAsia" w:cs="Times New Roman"/>
                <w:b/>
                <w:bCs/>
                <w:color w:val="auto"/>
                <w:szCs w:val="21"/>
                <w:lang w:eastAsia="zh-CN"/>
              </w:rPr>
              <w:t>用水及</w:t>
            </w:r>
            <w:r>
              <w:rPr>
                <w:rFonts w:hint="default" w:ascii="Times New Roman" w:hAnsi="Times New Roman" w:cs="Times New Roman"/>
                <w:b/>
                <w:bCs/>
                <w:color w:val="auto"/>
                <w:szCs w:val="21"/>
              </w:rPr>
              <w:t>排水情况一览表</w:t>
            </w:r>
          </w:p>
          <w:tbl>
            <w:tblPr>
              <w:tblStyle w:val="39"/>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750"/>
              <w:gridCol w:w="1230"/>
              <w:gridCol w:w="1215"/>
              <w:gridCol w:w="1110"/>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类别</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规模</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用水标准</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新鲜用水量（m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/d）</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排水量（m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/d）</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生活用水</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rPr>
                    <w:t>人</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0L/人·d</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1.2</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0.96</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预处理池-污水管网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循环冷却水</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循环水池冷却后使用，不外排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溶液配制用水</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0.05</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进入脲醛树脂胶，不外排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锅炉用水</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1.125</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0.725</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预处理池-污水管网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合计</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23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21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4.375</w:t>
                  </w:r>
                </w:p>
              </w:tc>
              <w:tc>
                <w:tcPr>
                  <w:tcW w:w="11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1.685</w:t>
                  </w:r>
                </w:p>
              </w:tc>
              <w:tc>
                <w:tcPr>
                  <w:tcW w:w="21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r>
          </w:tbl>
          <w:p>
            <w:pPr>
              <w:pStyle w:val="164"/>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jc w:val="both"/>
              <w:textAlignment w:val="baseline"/>
              <w:rPr>
                <w:rFonts w:hint="eastAsia" w:ascii="宋体" w:hAnsi="宋体" w:eastAsia="宋体" w:cs="宋体"/>
                <w:color w:val="auto"/>
              </w:rPr>
            </w:pPr>
            <w:r>
              <w:rPr>
                <w:rFonts w:hint="eastAsia" w:ascii="宋体" w:hAnsi="宋体" w:eastAsia="宋体" w:cs="宋体"/>
                <w:color w:val="auto"/>
                <w:sz w:val="24"/>
                <w:szCs w:val="24"/>
                <w:highlight w:val="none"/>
                <w:lang w:eastAsia="zh-CN"/>
              </w:rPr>
              <w:t>本项目水平衡</w:t>
            </w:r>
            <w:r>
              <w:rPr>
                <w:rFonts w:hint="eastAsia" w:ascii="宋体" w:hAnsi="宋体" w:eastAsia="宋体" w:cs="宋体"/>
                <w:color w:val="auto"/>
                <w:sz w:val="24"/>
                <w:szCs w:val="24"/>
                <w:highlight w:val="none"/>
              </w:rPr>
              <w:t>关系见</w:t>
            </w:r>
            <w:r>
              <w:rPr>
                <w:rFonts w:hint="eastAsia" w:ascii="宋体" w:hAnsi="宋体" w:eastAsia="宋体" w:cs="宋体"/>
                <w:color w:val="auto"/>
                <w:sz w:val="24"/>
                <w:szCs w:val="24"/>
                <w:highlight w:val="none"/>
                <w:lang w:eastAsia="zh-CN"/>
              </w:rPr>
              <w:t>下</w:t>
            </w:r>
            <w:r>
              <w:rPr>
                <w:rFonts w:hint="eastAsia" w:ascii="宋体" w:hAnsi="宋体" w:eastAsia="宋体" w:cs="宋体"/>
                <w:color w:val="auto"/>
                <w:sz w:val="24"/>
                <w:szCs w:val="24"/>
                <w:highlight w:val="none"/>
              </w:rPr>
              <w:t>图</w:t>
            </w:r>
            <w:r>
              <w:rPr>
                <w:rFonts w:hint="eastAsia" w:ascii="宋体" w:hAnsi="宋体" w:eastAsia="宋体" w:cs="宋体"/>
                <w:color w:val="auto"/>
                <w:sz w:val="24"/>
                <w:szCs w:val="24"/>
                <w:highlight w:val="none"/>
                <w:lang w:eastAsia="zh-CN"/>
              </w:rPr>
              <w:t>。</w:t>
            </w:r>
          </w:p>
          <w:p>
            <w:pPr>
              <w:pStyle w:val="164"/>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spacing w:val="4"/>
                <w:sz w:val="24"/>
                <w:lang w:eastAsia="zh-CN"/>
              </w:rPr>
              <w:object>
                <v:shape id="_x0000_i1028" o:spt="75" type="#_x0000_t75" style="height:210.35pt;width:395.2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28" r:id="rId19">
                  <o:LockedField>false</o:LockedField>
                </o:OLEObject>
              </w:object>
            </w:r>
          </w:p>
          <w:p>
            <w:pPr>
              <w:pStyle w:val="164"/>
              <w:keepNext w:val="0"/>
              <w:keepLines w:val="0"/>
              <w:pageBreakBefore w:val="0"/>
              <w:widowControl w:val="0"/>
              <w:kinsoku/>
              <w:wordWrap/>
              <w:overflowPunct/>
              <w:topLinePunct w:val="0"/>
              <w:autoSpaceDE w:val="0"/>
              <w:autoSpaceDN w:val="0"/>
              <w:bidi w:val="0"/>
              <w:adjustRightInd w:val="0"/>
              <w:snapToGrid/>
              <w:spacing w:after="157" w:afterLines="50"/>
              <w:jc w:val="center"/>
              <w:textAlignment w:val="baseline"/>
              <w:rPr>
                <w:rFonts w:hint="default" w:ascii="Times New Roman" w:hAnsi="Times New Roman" w:cs="Times New Roman"/>
                <w:b/>
                <w:color w:val="auto"/>
                <w:kern w:val="2"/>
                <w:sz w:val="21"/>
                <w:szCs w:val="21"/>
                <w:highlight w:val="none"/>
                <w:lang w:val="en-US" w:eastAsia="zh-CN"/>
              </w:rPr>
            </w:pPr>
            <w:r>
              <w:rPr>
                <w:rFonts w:hint="default" w:ascii="Times New Roman" w:hAnsi="Times New Roman" w:cs="Times New Roman"/>
                <w:b/>
                <w:color w:val="auto"/>
                <w:kern w:val="2"/>
                <w:sz w:val="21"/>
                <w:szCs w:val="21"/>
                <w:highlight w:val="none"/>
              </w:rPr>
              <w:t>图2-</w:t>
            </w:r>
            <w:r>
              <w:rPr>
                <w:rFonts w:hint="eastAsia" w:ascii="Times New Roman" w:hAnsi="Times New Roman" w:cs="Times New Roman"/>
                <w:b/>
                <w:color w:val="auto"/>
                <w:kern w:val="2"/>
                <w:sz w:val="21"/>
                <w:szCs w:val="21"/>
                <w:highlight w:val="none"/>
                <w:lang w:val="en-US" w:eastAsia="zh-CN"/>
              </w:rPr>
              <w:t>4</w:t>
            </w:r>
            <w:r>
              <w:rPr>
                <w:rFonts w:hint="default" w:ascii="Times New Roman" w:hAnsi="Times New Roman" w:cs="Times New Roman"/>
                <w:b/>
                <w:color w:val="auto"/>
                <w:kern w:val="2"/>
                <w:sz w:val="21"/>
                <w:szCs w:val="21"/>
                <w:highlight w:val="none"/>
              </w:rPr>
              <w:t xml:space="preserve">  水平衡图</w:t>
            </w:r>
            <w:r>
              <w:rPr>
                <w:rFonts w:hint="eastAsia" w:ascii="Times New Roman" w:hAns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rPr>
              <w:t xml:space="preserve">  单位：</w:t>
            </w:r>
            <w:r>
              <w:rPr>
                <w:rFonts w:hint="default" w:ascii="Times New Roman" w:hAnsi="Times New Roman" w:cs="Times New Roman"/>
                <w:b/>
                <w:color w:val="auto"/>
                <w:kern w:val="2"/>
                <w:sz w:val="21"/>
                <w:szCs w:val="21"/>
                <w:highlight w:val="none"/>
                <w:lang w:val="en-US" w:eastAsia="zh-CN"/>
              </w:rPr>
              <w:t>m</w:t>
            </w:r>
            <w:r>
              <w:rPr>
                <w:rFonts w:hint="default" w:ascii="Times New Roman" w:hAnsi="Times New Roman" w:cs="Times New Roman"/>
                <w:b/>
                <w:color w:val="auto"/>
                <w:kern w:val="2"/>
                <w:sz w:val="21"/>
                <w:szCs w:val="21"/>
                <w:highlight w:val="none"/>
                <w:vertAlign w:val="superscript"/>
                <w:lang w:val="en-US" w:eastAsia="zh-CN"/>
              </w:rPr>
              <w:t>3</w:t>
            </w:r>
            <w:r>
              <w:rPr>
                <w:rFonts w:hint="default" w:ascii="Times New Roman" w:hAnsi="Times New Roman" w:cs="Times New Roman"/>
                <w:b/>
                <w:color w:val="auto"/>
                <w:kern w:val="2"/>
                <w:sz w:val="21"/>
                <w:szCs w:val="21"/>
                <w:highlight w:val="none"/>
              </w:rPr>
              <w:t>/</w:t>
            </w:r>
            <w:r>
              <w:rPr>
                <w:rFonts w:hint="default" w:ascii="Times New Roman" w:hAnsi="Times New Roman" w:cs="Times New Roman"/>
                <w:b/>
                <w:color w:val="auto"/>
                <w:kern w:val="2"/>
                <w:sz w:val="21"/>
                <w:szCs w:val="21"/>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pacing w:val="4"/>
                <w:sz w:val="24"/>
                <w:highlight w:val="none"/>
                <w:lang w:eastAsia="zh-CN"/>
              </w:rPr>
            </w:pPr>
            <w:r>
              <w:rPr>
                <w:rFonts w:hint="default" w:ascii="Times New Roman" w:hAnsi="Times New Roman" w:cs="Times New Roman"/>
                <w:color w:val="auto"/>
                <w:spacing w:val="4"/>
                <w:sz w:val="24"/>
                <w:highlight w:val="none"/>
                <w:lang w:eastAsia="zh-CN"/>
              </w:rPr>
              <w:t>项目建成后全厂水平衡图如下：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4"/>
                <w:sz w:val="24"/>
                <w:lang w:eastAsia="zh-CN"/>
              </w:rPr>
            </w:pPr>
            <w:r>
              <w:rPr>
                <w:rFonts w:hint="default" w:ascii="Times New Roman" w:hAnsi="Times New Roman" w:cs="Times New Roman"/>
                <w:color w:val="auto"/>
                <w:spacing w:val="4"/>
                <w:sz w:val="24"/>
                <w:lang w:eastAsia="zh-CN"/>
              </w:rPr>
              <w:object>
                <v:shape id="_x0000_i1029" o:spt="75" type="#_x0000_t75" style="height:249.75pt;width:390.05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9" r:id="rId21">
                  <o:LockedField>false</o:LockedField>
                </o:OLEObject>
              </w:object>
            </w:r>
          </w:p>
          <w:p>
            <w:pPr>
              <w:pStyle w:val="164"/>
              <w:keepNext w:val="0"/>
              <w:keepLines w:val="0"/>
              <w:pageBreakBefore w:val="0"/>
              <w:widowControl w:val="0"/>
              <w:kinsoku/>
              <w:wordWrap/>
              <w:overflowPunct/>
              <w:topLinePunct w:val="0"/>
              <w:autoSpaceDE w:val="0"/>
              <w:autoSpaceDN w:val="0"/>
              <w:bidi w:val="0"/>
              <w:adjustRightInd w:val="0"/>
              <w:snapToGrid/>
              <w:spacing w:after="157" w:afterLines="50"/>
              <w:jc w:val="center"/>
              <w:textAlignment w:val="baseline"/>
              <w:rPr>
                <w:rFonts w:hint="default" w:ascii="Times New Roman" w:hAnsi="Times New Roman" w:cs="Times New Roman"/>
                <w:b/>
                <w:color w:val="auto"/>
                <w:kern w:val="2"/>
                <w:sz w:val="21"/>
                <w:szCs w:val="21"/>
                <w:highlight w:val="none"/>
                <w:lang w:val="en-US" w:eastAsia="zh-CN"/>
              </w:rPr>
            </w:pPr>
            <w:r>
              <w:rPr>
                <w:rFonts w:hint="eastAsia" w:ascii="Times New Roman" w:hAnsi="Times New Roman" w:eastAsia="宋体" w:cs="Times New Roman"/>
                <w:b/>
                <w:bCs/>
                <w:color w:val="auto"/>
                <w:sz w:val="21"/>
                <w:szCs w:val="21"/>
                <w:highlight w:val="none"/>
                <w:lang w:eastAsia="zh-CN"/>
              </w:rPr>
              <w:t>图</w:t>
            </w:r>
            <w:r>
              <w:rPr>
                <w:rFonts w:hint="eastAsia" w:ascii="Times New Roman" w:hAnsi="Times New Roman" w:eastAsia="宋体" w:cs="Times New Roman"/>
                <w:b/>
                <w:bCs/>
                <w:color w:val="auto"/>
                <w:sz w:val="21"/>
                <w:szCs w:val="21"/>
                <w:highlight w:val="none"/>
                <w:lang w:val="en-US" w:eastAsia="zh-CN"/>
              </w:rPr>
              <w:t xml:space="preserve">2-5  </w:t>
            </w:r>
            <w:r>
              <w:rPr>
                <w:rFonts w:hint="default" w:ascii="Times New Roman" w:hAnsi="Times New Roman" w:eastAsia="宋体" w:cs="Times New Roman"/>
                <w:b/>
                <w:bCs/>
                <w:color w:val="auto"/>
                <w:sz w:val="21"/>
                <w:szCs w:val="21"/>
                <w:highlight w:val="none"/>
                <w:lang w:eastAsia="zh-CN"/>
              </w:rPr>
              <w:t>全厂水平衡</w:t>
            </w:r>
            <w:r>
              <w:rPr>
                <w:rFonts w:hint="default" w:ascii="Times New Roman" w:hAnsi="Times New Roman" w:cs="Times New Roman"/>
                <w:b/>
                <w:bCs/>
                <w:color w:val="auto"/>
                <w:highlight w:val="none"/>
              </w:rPr>
              <w:t>图</w:t>
            </w:r>
            <w:r>
              <w:rPr>
                <w:rFonts w:hint="eastAsia" w:ascii="Times New Roman" w:hAns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rPr>
              <w:t xml:space="preserve">  单位：</w:t>
            </w:r>
            <w:r>
              <w:rPr>
                <w:rFonts w:hint="default" w:ascii="Times New Roman" w:hAnsi="Times New Roman" w:cs="Times New Roman"/>
                <w:b/>
                <w:color w:val="auto"/>
                <w:kern w:val="2"/>
                <w:sz w:val="21"/>
                <w:szCs w:val="21"/>
                <w:highlight w:val="none"/>
                <w:lang w:val="en-US" w:eastAsia="zh-CN"/>
              </w:rPr>
              <w:t>m</w:t>
            </w:r>
            <w:r>
              <w:rPr>
                <w:rFonts w:hint="default" w:ascii="Times New Roman" w:hAnsi="Times New Roman" w:cs="Times New Roman"/>
                <w:b/>
                <w:color w:val="auto"/>
                <w:kern w:val="2"/>
                <w:sz w:val="21"/>
                <w:szCs w:val="21"/>
                <w:highlight w:val="none"/>
                <w:vertAlign w:val="superscript"/>
                <w:lang w:val="en-US" w:eastAsia="zh-CN"/>
              </w:rPr>
              <w:t>3</w:t>
            </w:r>
            <w:r>
              <w:rPr>
                <w:rFonts w:hint="default" w:ascii="Times New Roman" w:hAnsi="Times New Roman" w:cs="Times New Roman"/>
                <w:b/>
                <w:color w:val="auto"/>
                <w:kern w:val="2"/>
                <w:sz w:val="21"/>
                <w:szCs w:val="21"/>
                <w:highlight w:val="none"/>
              </w:rPr>
              <w:t>/</w:t>
            </w:r>
            <w:r>
              <w:rPr>
                <w:rFonts w:hint="default" w:ascii="Times New Roman" w:hAnsi="Times New Roman" w:cs="Times New Roman"/>
                <w:b/>
                <w:color w:val="auto"/>
                <w:kern w:val="2"/>
                <w:sz w:val="21"/>
                <w:szCs w:val="21"/>
                <w:highlight w:val="none"/>
                <w:lang w:val="en-US" w:eastAsia="zh-CN"/>
              </w:rPr>
              <w:t>d</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六、劳动定员及工作制度</w:t>
            </w:r>
          </w:p>
          <w:p>
            <w:pPr>
              <w:adjustRightInd w:val="0"/>
              <w:snapToGrid w:val="0"/>
              <w:spacing w:line="360" w:lineRule="auto"/>
              <w:ind w:firstLine="496" w:firstLineChars="207"/>
              <w:rPr>
                <w:rFonts w:hint="default" w:ascii="Times New Roman" w:hAnsi="Times New Roman" w:eastAsia="宋体" w:cs="Times New Roman"/>
                <w:color w:val="auto"/>
                <w:sz w:val="24"/>
                <w:highlight w:val="none"/>
                <w:lang w:eastAsia="zh-CN"/>
              </w:rPr>
            </w:pPr>
            <w:r>
              <w:rPr>
                <w:rFonts w:hint="default" w:ascii="Times New Roman" w:hAnsi="Times New Roman" w:cs="Times New Roman"/>
                <w:bCs/>
                <w:color w:val="auto"/>
                <w:sz w:val="24"/>
              </w:rPr>
              <w:t>劳动定员：</w:t>
            </w:r>
            <w:r>
              <w:rPr>
                <w:rFonts w:hint="default" w:ascii="Times New Roman" w:hAnsi="Times New Roman" w:cs="Times New Roman"/>
                <w:color w:val="auto"/>
                <w:sz w:val="24"/>
                <w:highlight w:val="none"/>
              </w:rPr>
              <w:t>项目原有员工人数为</w:t>
            </w:r>
            <w:r>
              <w:rPr>
                <w:rFonts w:hint="default" w:ascii="Times New Roman" w:hAnsi="Times New Roman" w:cs="Times New Roman"/>
                <w:color w:val="auto"/>
                <w:sz w:val="24"/>
                <w:highlight w:val="none"/>
                <w:lang w:val="en-US" w:eastAsia="zh-CN"/>
              </w:rPr>
              <w:t>42</w:t>
            </w:r>
            <w:r>
              <w:rPr>
                <w:rFonts w:hint="default" w:ascii="Times New Roman" w:hAnsi="Times New Roman" w:cs="Times New Roman"/>
                <w:color w:val="auto"/>
                <w:sz w:val="24"/>
                <w:highlight w:val="none"/>
              </w:rPr>
              <w:t>人，</w:t>
            </w:r>
            <w:r>
              <w:rPr>
                <w:rFonts w:hint="eastAsia" w:ascii="Times New Roman" w:hAnsi="Times New Roman" w:eastAsia="宋体" w:cs="Times New Roman"/>
                <w:bCs/>
                <w:color w:val="auto"/>
                <w:sz w:val="24"/>
                <w:highlight w:val="none"/>
                <w:lang w:eastAsia="zh-CN"/>
              </w:rPr>
              <w:t>新增</w:t>
            </w:r>
            <w:r>
              <w:rPr>
                <w:rFonts w:hint="eastAsia" w:ascii="Times New Roman" w:hAnsi="Times New Roman" w:eastAsia="宋体" w:cs="Times New Roman"/>
                <w:bCs/>
                <w:color w:val="auto"/>
                <w:sz w:val="24"/>
                <w:highlight w:val="none"/>
                <w:lang w:val="en-US" w:eastAsia="zh-CN"/>
              </w:rPr>
              <w:t>12人</w:t>
            </w:r>
            <w:r>
              <w:rPr>
                <w:rFonts w:hint="default" w:ascii="Times New Roman" w:hAnsi="Times New Roman" w:cs="Times New Roman"/>
                <w:color w:val="auto"/>
                <w:sz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bCs/>
                <w:color w:val="auto"/>
                <w:sz w:val="24"/>
              </w:rPr>
              <w:t>工作制度：年工作</w:t>
            </w:r>
            <w:r>
              <w:rPr>
                <w:rFonts w:hint="default" w:ascii="Times New Roman" w:hAnsi="Times New Roman" w:cs="Times New Roman"/>
                <w:bCs/>
                <w:color w:val="auto"/>
                <w:sz w:val="24"/>
                <w:lang w:val="en-US" w:eastAsia="zh-CN"/>
              </w:rPr>
              <w:t>30</w:t>
            </w:r>
            <w:r>
              <w:rPr>
                <w:rFonts w:hint="default" w:ascii="Times New Roman" w:hAnsi="Times New Roman" w:cs="Times New Roman"/>
                <w:bCs/>
                <w:color w:val="auto"/>
                <w:sz w:val="24"/>
              </w:rPr>
              <w:t>0天</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每天3班，每班8小时</w:t>
            </w:r>
            <w:r>
              <w:rPr>
                <w:rFonts w:hint="eastAsia" w:ascii="Times New Roman" w:hAnsi="Times New Roman" w:cs="Times New Roman"/>
                <w:color w:val="auto"/>
                <w:sz w:val="24"/>
                <w:highlight w:val="none"/>
                <w:lang w:eastAsia="zh-CN"/>
              </w:rPr>
              <w:t>。</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七、平面布置</w:t>
            </w:r>
          </w:p>
          <w:p>
            <w:pPr>
              <w:adjustRightInd w:val="0"/>
              <w:snapToGrid w:val="0"/>
              <w:spacing w:line="360" w:lineRule="auto"/>
              <w:ind w:firstLine="482" w:firstLineChars="200"/>
              <w:jc w:val="left"/>
              <w:rPr>
                <w:rFonts w:hint="default" w:ascii="Times New Roman" w:hAnsi="Times New Roman" w:cs="Times New Roman"/>
                <w:bCs/>
                <w:color w:val="auto"/>
                <w:sz w:val="24"/>
              </w:rPr>
            </w:pPr>
            <w:r>
              <w:rPr>
                <w:rFonts w:hint="default" w:ascii="Times New Roman" w:hAnsi="Times New Roman" w:cs="Times New Roman"/>
                <w:b/>
                <w:color w:val="auto"/>
                <w:sz w:val="24"/>
              </w:rPr>
              <w:t>1、本项目平面布置</w:t>
            </w:r>
          </w:p>
          <w:p>
            <w:pPr>
              <w:adjustRightInd w:val="0"/>
              <w:snapToGrid w:val="0"/>
              <w:spacing w:line="360" w:lineRule="auto"/>
              <w:ind w:firstLine="480" w:firstLineChars="200"/>
              <w:jc w:val="left"/>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）现有项目平面布置</w:t>
            </w:r>
          </w:p>
          <w:p>
            <w:pPr>
              <w:adjustRightInd w:val="0"/>
              <w:snapToGrid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现有</w:t>
            </w:r>
            <w:r>
              <w:rPr>
                <w:rFonts w:hint="default" w:ascii="Times New Roman" w:hAnsi="Times New Roman" w:cs="Times New Roman"/>
                <w:bCs/>
                <w:color w:val="auto"/>
                <w:sz w:val="24"/>
              </w:rPr>
              <w:t>项目共有车间</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座，分别租赁的欧尚佳美的5#车间和6#车间。其中5#车间</w:t>
            </w:r>
            <w:r>
              <w:rPr>
                <w:rFonts w:hint="default" w:ascii="Times New Roman" w:hAnsi="Times New Roman" w:cs="Times New Roman"/>
                <w:bCs/>
                <w:color w:val="auto"/>
                <w:sz w:val="24"/>
                <w:lang w:eastAsia="zh-CN"/>
              </w:rPr>
              <w:t>实际建设办公区、原料仓库及原料加工区，车间西北侧为办公区，东侧设置削片机、西侧设置粉碎机；</w:t>
            </w:r>
            <w:r>
              <w:rPr>
                <w:rFonts w:hint="default" w:ascii="Times New Roman" w:hAnsi="Times New Roman" w:cs="Times New Roman"/>
                <w:bCs/>
                <w:color w:val="auto"/>
                <w:sz w:val="24"/>
              </w:rPr>
              <w:t>6#车间</w:t>
            </w:r>
            <w:r>
              <w:rPr>
                <w:rFonts w:hint="default" w:ascii="Times New Roman" w:hAnsi="Times New Roman" w:cs="Times New Roman"/>
                <w:bCs/>
                <w:color w:val="auto"/>
                <w:sz w:val="24"/>
                <w:lang w:eastAsia="zh-CN"/>
              </w:rPr>
              <w:t>设置</w:t>
            </w:r>
            <w:r>
              <w:rPr>
                <w:rFonts w:hint="default" w:ascii="Times New Roman" w:hAnsi="Times New Roman" w:cs="Times New Roman"/>
                <w:bCs/>
                <w:color w:val="auto"/>
                <w:sz w:val="24"/>
              </w:rPr>
              <w:t>生产线一条</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布置热能中心、木料加工区、木料干燥、木料筛选区、胶水预处理及施胶区、刨花板压制区、裁边及成品打包区等，</w:t>
            </w:r>
            <w:r>
              <w:rPr>
                <w:rFonts w:hint="default" w:ascii="Times New Roman" w:hAnsi="Times New Roman" w:cs="Times New Roman"/>
                <w:bCs/>
                <w:color w:val="auto"/>
                <w:sz w:val="24"/>
                <w:lang w:eastAsia="zh-CN"/>
              </w:rPr>
              <w:t>车间西北侧设置危废暂存间</w:t>
            </w:r>
            <w:r>
              <w:rPr>
                <w:rFonts w:hint="default" w:ascii="Times New Roman" w:hAnsi="Times New Roman" w:cs="Times New Roman"/>
                <w:bCs/>
                <w:color w:val="auto"/>
                <w:sz w:val="24"/>
              </w:rPr>
              <w:t>。</w:t>
            </w:r>
          </w:p>
          <w:p>
            <w:pPr>
              <w:adjustRightInd w:val="0"/>
              <w:snapToGrid w:val="0"/>
              <w:spacing w:line="360" w:lineRule="auto"/>
              <w:ind w:firstLine="480" w:firstLineChars="200"/>
              <w:jc w:val="left"/>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）本项目平面布置</w:t>
            </w:r>
          </w:p>
          <w:p>
            <w:pPr>
              <w:adjustRightInd w:val="0"/>
              <w:snapToGrid w:val="0"/>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rPr>
              <w:t>本项目在</w:t>
            </w:r>
            <w:r>
              <w:rPr>
                <w:rFonts w:hint="default" w:ascii="Times New Roman" w:hAnsi="Times New Roman" w:cs="Times New Roman"/>
                <w:bCs/>
                <w:color w:val="auto"/>
                <w:sz w:val="24"/>
                <w:lang w:eastAsia="zh-CN"/>
              </w:rPr>
              <w:t>车间内进行改建，将</w:t>
            </w:r>
            <w:r>
              <w:rPr>
                <w:rFonts w:hint="default" w:ascii="Times New Roman" w:hAnsi="Times New Roman" w:cs="Times New Roman"/>
                <w:bCs/>
                <w:color w:val="auto"/>
                <w:sz w:val="24"/>
                <w:lang w:val="en-US" w:eastAsia="zh-CN"/>
              </w:rPr>
              <w:t>5#车间仓库东北侧改建为脲醛胶生产区，设置甲醛罐、反应釜等，仓库南侧改建为桥洞板生产线，设置拌胶、桥洞板专用压机、锯边等设备；将6#车间东南侧筛分区空置区域设置桥洞板生产线导热油炉、干燥机等，南侧空地处增加风选设备。</w:t>
            </w:r>
          </w:p>
          <w:p>
            <w:pPr>
              <w:adjustRightInd w:val="0"/>
              <w:snapToGrid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本项目总体设计紧凑，同时兼顾了物流、人流的畅通，物料进出顺畅，管理方便。</w:t>
            </w:r>
          </w:p>
          <w:p>
            <w:pPr>
              <w:adjustRightInd w:val="0"/>
              <w:snapToGrid w:val="0"/>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2、合理性分析</w:t>
            </w:r>
          </w:p>
          <w:p>
            <w:pPr>
              <w:adjustRightInd w:val="0"/>
              <w:snapToGrid w:val="0"/>
              <w:spacing w:line="360" w:lineRule="auto"/>
              <w:ind w:firstLine="480" w:firstLineChars="200"/>
              <w:jc w:val="left"/>
              <w:rPr>
                <w:rFonts w:hint="default" w:ascii="Times New Roman" w:hAnsi="Times New Roman" w:cs="Times New Roman"/>
                <w:color w:val="auto"/>
                <w:sz w:val="24"/>
                <w:szCs w:val="32"/>
              </w:rPr>
            </w:pPr>
            <w:r>
              <w:rPr>
                <w:rFonts w:hint="default" w:ascii="Times New Roman" w:hAnsi="Times New Roman" w:cs="Times New Roman"/>
                <w:color w:val="auto"/>
                <w:sz w:val="24"/>
                <w:szCs w:val="32"/>
              </w:rPr>
              <w:t>项目平面布置尽量做到了运输及物流合理、管理方便，同时以尽量发挥设施作用、最大限度节约土地的原则，整体布局紧凑。根据项目总平面布置图，整个厂区形状较规则，厂内已规划完善生产区与办公区，办公区与生产车间分开布局。项目总体功能布局清晰；车间内按照产品配置相应的机器设备，且设备按项目生产要求的工艺流程合理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Cs/>
                <w:color w:val="auto"/>
                <w:sz w:val="24"/>
              </w:rPr>
            </w:pPr>
            <w:r>
              <w:rPr>
                <w:rFonts w:hint="default" w:ascii="Times New Roman" w:hAnsi="Times New Roman" w:cs="Times New Roman"/>
                <w:b/>
                <w:color w:val="auto"/>
                <w:sz w:val="24"/>
                <w:highlight w:val="none"/>
              </w:rPr>
              <w:t>因此，本项目总平面布置合理</w:t>
            </w:r>
            <w:r>
              <w:rPr>
                <w:rFonts w:hint="default" w:ascii="Times New Roman" w:hAnsi="Times New Roman" w:cs="Times New Roman"/>
                <w:bCs/>
                <w:color w:val="auto"/>
                <w:sz w:val="24"/>
                <w:highlight w:val="none"/>
              </w:rPr>
              <w:t>（项目平面布置见附图）。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3" w:type="dxa"/>
            <w:noWrap w:val="0"/>
            <w:vAlign w:val="center"/>
          </w:tcPr>
          <w:p>
            <w:pPr>
              <w:pStyle w:val="34"/>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161" w:type="dxa"/>
            <w:noWrap w:val="0"/>
            <w:vAlign w:val="top"/>
          </w:tcPr>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一、施工期工艺流程及产排污环节</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本项目在已建房屋进行</w:t>
            </w:r>
            <w:r>
              <w:rPr>
                <w:rFonts w:hint="default" w:ascii="Times New Roman" w:hAnsi="Times New Roman" w:cs="Times New Roman"/>
                <w:bCs/>
                <w:color w:val="auto"/>
                <w:sz w:val="24"/>
                <w:lang w:eastAsia="zh-CN"/>
              </w:rPr>
              <w:t>装修改造</w:t>
            </w:r>
            <w:r>
              <w:rPr>
                <w:rFonts w:hint="default" w:ascii="Times New Roman" w:hAnsi="Times New Roman" w:cs="Times New Roman"/>
                <w:bCs/>
                <w:color w:val="auto"/>
                <w:sz w:val="24"/>
              </w:rPr>
              <w:t>和设备安装，不涉及土建。施工期工艺流程及产污位置见下图。</w:t>
            </w:r>
          </w:p>
          <w:p>
            <w:pPr>
              <w:spacing w:line="360" w:lineRule="auto"/>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rPr>
              <w:drawing>
                <wp:inline distT="0" distB="0" distL="114300" distR="114300">
                  <wp:extent cx="3729990" cy="759460"/>
                  <wp:effectExtent l="0" t="0" r="3810" b="254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3"/>
                          <a:stretch>
                            <a:fillRect/>
                          </a:stretch>
                        </pic:blipFill>
                        <pic:spPr>
                          <a:xfrm>
                            <a:off x="0" y="0"/>
                            <a:ext cx="3729990" cy="759460"/>
                          </a:xfrm>
                          <a:prstGeom prst="rect">
                            <a:avLst/>
                          </a:prstGeom>
                          <a:noFill/>
                          <a:ln>
                            <a:noFill/>
                          </a:ln>
                        </pic:spPr>
                      </pic:pic>
                    </a:graphicData>
                  </a:graphic>
                </wp:inline>
              </w:drawing>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mc:AlternateContent>
                <mc:Choice Requires="wps">
                  <w:drawing>
                    <wp:anchor distT="0" distB="0" distL="114300" distR="114300" simplePos="0" relativeHeight="251659264" behindDoc="0" locked="0" layoutInCell="1" allowOverlap="1">
                      <wp:simplePos x="0" y="0"/>
                      <wp:positionH relativeFrom="column">
                        <wp:posOffset>-2923540</wp:posOffset>
                      </wp:positionH>
                      <wp:positionV relativeFrom="paragraph">
                        <wp:posOffset>22860</wp:posOffset>
                      </wp:positionV>
                      <wp:extent cx="352425" cy="9525"/>
                      <wp:effectExtent l="0" t="30480" r="9525" b="36195"/>
                      <wp:wrapNone/>
                      <wp:docPr id="1" name="自选图形 566"/>
                      <wp:cNvGraphicFramePr/>
                      <a:graphic xmlns:a="http://schemas.openxmlformats.org/drawingml/2006/main">
                        <a:graphicData uri="http://schemas.microsoft.com/office/word/2010/wordprocessingShape">
                          <wps:wsp>
                            <wps:cNvCnPr/>
                            <wps:spPr>
                              <a:xfrm>
                                <a:off x="0" y="0"/>
                                <a:ext cx="35242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6" o:spid="_x0000_s1026" o:spt="32" type="#_x0000_t32" style="position:absolute;left:0pt;margin-left:-230.2pt;margin-top:1.8pt;height:0.75pt;width:27.75pt;z-index:251659264;mso-width-relative:page;mso-height-relative:page;" filled="f" stroked="t" coordsize="21600,21600" o:gfxdata="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5c4CPaAAAACQEA&#10;AA8AAAAAAAAAAQAgAAAAIgAAAGRycy9kb3ducmV2LnhtbFBLAQIUABQAAAAIAIdO4kBnd/sd3wEA&#10;AJ0DAAAOAAAAAAAAAAEAIAAAACkBAABkcnMvZTJvRG9jLnhtbFBLBQYAAAAABgAGAFkBAAB6BQAA&#10;AAA=&#10;">
                      <v:fill on="f" focussize="0,0"/>
                      <v:stroke color="#000000" joinstyle="round" endarrow="block"/>
                      <v:imagedata o:title=""/>
                      <o:lock v:ext="edit" aspectratio="f"/>
                    </v:shape>
                  </w:pict>
                </mc:Fallback>
              </mc:AlternateContent>
            </w:r>
            <w:r>
              <w:rPr>
                <w:rFonts w:hint="default" w:ascii="Times New Roman" w:hAnsi="Times New Roman" w:cs="Times New Roman"/>
                <w:b/>
                <w:color w:val="auto"/>
                <w:szCs w:val="21"/>
              </w:rPr>
              <w:t>图2-</w:t>
            </w:r>
            <w:r>
              <w:rPr>
                <w:rFonts w:hint="eastAsia" w:cs="Times New Roman"/>
                <w:b/>
                <w:color w:val="auto"/>
                <w:szCs w:val="21"/>
                <w:lang w:val="en-US" w:eastAsia="zh-CN"/>
              </w:rPr>
              <w:t>6</w:t>
            </w:r>
            <w:r>
              <w:rPr>
                <w:rFonts w:hint="default" w:ascii="Times New Roman" w:hAnsi="Times New Roman" w:cs="Times New Roman"/>
                <w:b/>
                <w:color w:val="auto"/>
                <w:szCs w:val="21"/>
              </w:rPr>
              <w:t xml:space="preserve">  施工期工艺流程图及产污环节</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1、装饰工程施工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在对建构筑物的内外表面进行装修时，钻机、电锤等产生噪声，扬尘。废弃物料及</w:t>
            </w:r>
            <w:r>
              <w:rPr>
                <w:rFonts w:hint="default" w:ascii="Times New Roman" w:hAnsi="Times New Roman" w:cs="Times New Roman"/>
                <w:color w:val="auto"/>
                <w:sz w:val="24"/>
                <w:lang w:eastAsia="zh-CN"/>
              </w:rPr>
              <w:t>生活污水</w:t>
            </w:r>
            <w:r>
              <w:rPr>
                <w:rFonts w:hint="default" w:ascii="Times New Roman" w:hAnsi="Times New Roman" w:cs="Times New Roman"/>
                <w:color w:val="auto"/>
                <w:sz w:val="24"/>
              </w:rPr>
              <w:t>。项目在施工期以噪声、扬尘、装饰废气、固体废弃物（生活垃圾、建筑弃渣及其他废料）和生活污水为主要污染物。</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2、设备安装</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设备安装主要是对设备进行现场安装、调试等，在整个过程中主要的污染物为设备安装及调试噪声、设备包装废物、员工生活污水等。</w:t>
            </w:r>
          </w:p>
          <w:p>
            <w:pPr>
              <w:pStyle w:val="10"/>
              <w:rPr>
                <w:rFonts w:hint="default" w:ascii="Times New Roman" w:hAnsi="Times New Roman" w:cs="Times New Roman"/>
                <w:b/>
                <w:bCs/>
                <w:color w:val="auto"/>
                <w:szCs w:val="24"/>
              </w:rPr>
            </w:pPr>
            <w:r>
              <w:rPr>
                <w:rFonts w:hint="default" w:ascii="Times New Roman" w:hAnsi="Times New Roman" w:cs="Times New Roman"/>
                <w:b/>
                <w:bCs/>
                <w:color w:val="auto"/>
                <w:szCs w:val="24"/>
              </w:rPr>
              <w:t>二、营运期工艺流程及产排污环节</w:t>
            </w:r>
          </w:p>
          <w:p>
            <w:pPr>
              <w:adjustRightInd w:val="0"/>
              <w:snapToGrid w:val="0"/>
              <w:spacing w:line="360" w:lineRule="auto"/>
              <w:ind w:firstLine="48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1、工艺流程</w:t>
            </w:r>
          </w:p>
          <w:p>
            <w:pPr>
              <w:adjustRightInd w:val="0"/>
              <w:snapToGrid w:val="0"/>
              <w:spacing w:line="360" w:lineRule="auto"/>
              <w:ind w:firstLine="480" w:firstLineChars="200"/>
              <w:rPr>
                <w:rFonts w:hint="default" w:ascii="Times New Roman" w:hAnsi="Times New Roman" w:cs="Times New Roman"/>
                <w:b w:val="0"/>
                <w:bCs w:val="0"/>
                <w:color w:val="auto"/>
                <w:sz w:val="24"/>
                <w:lang w:eastAsia="zh-CN"/>
              </w:rPr>
            </w:pPr>
            <w:r>
              <w:rPr>
                <w:rFonts w:hint="default" w:ascii="Times New Roman" w:hAnsi="Times New Roman" w:cs="Times New Roman"/>
                <w:color w:val="auto"/>
                <w:sz w:val="24"/>
                <w:lang w:eastAsia="zh-CN"/>
              </w:rPr>
              <w:t>现有项目预计建设两条定向刨花板生产线，实际仅建设一条，并进行验收，本项目将未建的定向刨花板生产线取消，改为桥洞板生产，并增加定向刨花板风选工序，配套制胶生产，本项目建成后厂区主要进行定向刨花板、桥洞板生产，配套制胶。</w:t>
            </w:r>
          </w:p>
          <w:p>
            <w:pPr>
              <w:adjustRightInd w:val="0"/>
              <w:snapToGrid w:val="0"/>
              <w:spacing w:line="360" w:lineRule="auto"/>
              <w:ind w:firstLine="482" w:firstLineChars="200"/>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）定向刨花板生产工艺流程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object>
                <v:shape id="_x0000_i1030" o:spt="75" type="#_x0000_t75" style="height:350.55pt;width:340.2pt;" o:ole="t" filled="f" o:preferrelative="t" stroked="f" coordsize="21600,21600">
                  <v:path/>
                  <v:fill on="f" focussize="0,0"/>
                  <v:stroke on="f"/>
                  <v:imagedata r:id="rId25" o:title=""/>
                  <o:lock v:ext="edit" aspectratio="f"/>
                  <w10:wrap type="none"/>
                  <w10:anchorlock/>
                </v:shape>
                <o:OLEObject Type="Embed" ProgID="Visio.Drawing.15" ShapeID="_x0000_i1030" DrawAspect="Content" ObjectID="_1468075730" r:id="rId24">
                  <o:LockedField>false</o:LockedField>
                </o:OLEObject>
              </w:object>
            </w:r>
          </w:p>
          <w:p>
            <w:pPr>
              <w:numPr>
                <w:ilvl w:val="0"/>
                <w:numId w:val="0"/>
              </w:numPr>
              <w:tabs>
                <w:tab w:val="left" w:pos="0"/>
              </w:tabs>
              <w:autoSpaceDE w:val="0"/>
              <w:autoSpaceDN w:val="0"/>
              <w:spacing w:line="360" w:lineRule="auto"/>
              <w:ind w:leftChars="0"/>
              <w:jc w:val="center"/>
              <w:rPr>
                <w:rFonts w:hint="default" w:ascii="Times New Roman" w:hAnsi="Times New Roman" w:cs="Times New Roman"/>
                <w:b/>
                <w:bCs/>
                <w:color w:val="auto"/>
              </w:rPr>
            </w:pPr>
            <w:r>
              <w:rPr>
                <w:rFonts w:hint="eastAsia" w:ascii="Times New Roman" w:hAnsi="Times New Roman" w:cs="Times New Roman"/>
                <w:b/>
                <w:bCs/>
                <w:color w:val="auto"/>
                <w:lang w:eastAsia="zh-CN"/>
              </w:rPr>
              <w:t>图</w:t>
            </w:r>
            <w:r>
              <w:rPr>
                <w:rFonts w:hint="eastAsia" w:ascii="Times New Roman" w:hAnsi="Times New Roman" w:cs="Times New Roman"/>
                <w:b/>
                <w:bCs/>
                <w:color w:val="auto"/>
                <w:lang w:val="en-US" w:eastAsia="zh-CN"/>
              </w:rPr>
              <w:t xml:space="preserve">2-7  </w:t>
            </w:r>
            <w:r>
              <w:rPr>
                <w:rFonts w:hint="default" w:ascii="Times New Roman" w:hAnsi="Times New Roman" w:cs="Times New Roman"/>
                <w:b/>
                <w:bCs/>
                <w:color w:val="auto"/>
                <w:lang w:eastAsia="zh-CN"/>
              </w:rPr>
              <w:t>定向刨花板生产</w:t>
            </w:r>
            <w:r>
              <w:rPr>
                <w:rFonts w:hint="default" w:ascii="Times New Roman" w:hAnsi="Times New Roman" w:cs="Times New Roman"/>
                <w:b/>
                <w:bCs/>
                <w:color w:val="auto"/>
              </w:rPr>
              <w:t>工艺流程及产污环节图</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工艺流程说明：</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①削片</w:t>
            </w:r>
            <w:r>
              <w:rPr>
                <w:rFonts w:hint="default" w:ascii="Times New Roman" w:hAnsi="Times New Roman" w:eastAsia="宋体" w:cs="Times New Roman"/>
                <w:bCs/>
                <w:color w:val="auto"/>
                <w:kern w:val="2"/>
                <w:sz w:val="24"/>
                <w:szCs w:val="24"/>
                <w:lang w:val="en-US" w:eastAsia="zh-CN" w:bidi="ar-SA"/>
              </w:rPr>
              <w:t>：部分木料为外厂购置的边角木料，直接进入削片工序。将木料经削片机削成片状（木片规格：长*宽*高为20~30*10~20*2~10mm）。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②粉碎：</w:t>
            </w:r>
            <w:r>
              <w:rPr>
                <w:rFonts w:hint="default" w:ascii="Times New Roman" w:hAnsi="Times New Roman" w:eastAsia="宋体" w:cs="Times New Roman"/>
                <w:color w:val="auto"/>
                <w:kern w:val="2"/>
                <w:sz w:val="24"/>
                <w:szCs w:val="24"/>
                <w:lang w:val="en-US" w:eastAsia="zh-CN" w:bidi="ar-SA"/>
              </w:rPr>
              <w:t>将备好的木片原料经输送带送至粉碎机进行粉碎加工，加工成合格的碎渣状。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③干燥</w:t>
            </w:r>
            <w:r>
              <w:rPr>
                <w:rFonts w:hint="default" w:ascii="Times New Roman" w:hAnsi="Times New Roman" w:eastAsia="宋体" w:cs="Times New Roman"/>
                <w:bCs/>
                <w:color w:val="auto"/>
                <w:kern w:val="2"/>
                <w:sz w:val="24"/>
                <w:szCs w:val="24"/>
                <w:lang w:val="en-US" w:eastAsia="zh-CN" w:bidi="ar-SA"/>
              </w:rPr>
              <w:t>：通过输送带将粉碎好的木料、外购的成品刨花输送至干燥机，刨花干燥采用</w:t>
            </w:r>
            <w:r>
              <w:rPr>
                <w:rFonts w:hint="default" w:ascii="Times New Roman" w:hAnsi="Times New Roman" w:eastAsia="宋体" w:cs="Times New Roman"/>
                <w:color w:val="auto"/>
                <w:kern w:val="2"/>
                <w:sz w:val="24"/>
                <w:szCs w:val="22"/>
                <w:lang w:val="en-US" w:eastAsia="zh-CN" w:bidi="ar-SA"/>
              </w:rPr>
              <w:t>热能中心</w:t>
            </w:r>
            <w:r>
              <w:rPr>
                <w:rFonts w:hint="default" w:ascii="Times New Roman" w:hAnsi="Times New Roman" w:eastAsia="宋体" w:cs="Times New Roman"/>
                <w:bCs/>
                <w:color w:val="auto"/>
                <w:kern w:val="2"/>
                <w:sz w:val="24"/>
                <w:szCs w:val="24"/>
                <w:lang w:val="en-US" w:eastAsia="zh-CN" w:bidi="ar-SA"/>
              </w:rPr>
              <w:t>生物质热风，即将</w:t>
            </w:r>
            <w:r>
              <w:rPr>
                <w:rFonts w:hint="default" w:ascii="Times New Roman" w:hAnsi="Times New Roman" w:eastAsia="宋体" w:cs="Times New Roman"/>
                <w:color w:val="auto"/>
                <w:kern w:val="2"/>
                <w:sz w:val="24"/>
                <w:szCs w:val="22"/>
                <w:lang w:val="en-US" w:eastAsia="zh-CN" w:bidi="ar-SA"/>
              </w:rPr>
              <w:t>热能中心</w:t>
            </w:r>
            <w:r>
              <w:rPr>
                <w:rFonts w:hint="default" w:ascii="Times New Roman" w:hAnsi="Times New Roman" w:eastAsia="宋体" w:cs="Times New Roman"/>
                <w:bCs/>
                <w:color w:val="auto"/>
                <w:kern w:val="2"/>
                <w:sz w:val="24"/>
                <w:szCs w:val="24"/>
                <w:lang w:val="en-US" w:eastAsia="zh-CN" w:bidi="ar-SA"/>
              </w:rPr>
              <w:t>燃烧后的热烟气通入干燥机，对木料进行干燥处理，干燥风筒进口温度110℃左右，出口温度30℃左右。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主要污染物：干燥烟尘废气、噪声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④刨花分选</w:t>
            </w:r>
            <w:r>
              <w:rPr>
                <w:rFonts w:hint="default" w:ascii="Times New Roman" w:hAnsi="Times New Roman" w:eastAsia="宋体" w:cs="Times New Roman"/>
                <w:bCs/>
                <w:color w:val="auto"/>
                <w:kern w:val="2"/>
                <w:sz w:val="24"/>
                <w:szCs w:val="24"/>
                <w:lang w:val="en-US" w:eastAsia="zh-CN" w:bidi="ar-SA"/>
              </w:rPr>
              <w:t>：将干燥后的刨花先经筛分机进行筛选，再经风选机进行风力分选，将通过筛分机、风选机去除杂质后的干刨花送至进入料仓备用。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主要污染物：筛选粉尘、噪声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⑤拌胶、施胶：</w:t>
            </w:r>
            <w:r>
              <w:rPr>
                <w:rFonts w:hint="default" w:ascii="Times New Roman" w:hAnsi="Times New Roman" w:eastAsia="宋体" w:cs="Times New Roman"/>
                <w:bCs/>
                <w:color w:val="auto"/>
                <w:kern w:val="2"/>
                <w:sz w:val="24"/>
                <w:szCs w:val="24"/>
                <w:lang w:val="en-US" w:eastAsia="zh-CN" w:bidi="ar-SA"/>
              </w:rPr>
              <w:t>定量混合脲醛胶、石蜡防水剂、氯化铵固化剂（板材使用脲醛树脂胶，其用量为干刨花的7%~9%；同时为了提高产品的耐水性能，生产工艺中添加了石蜡，其数量为干刨花的1%；为了增强脲醛胶的粘接性能，添加氯化铵，其数量为干刨花的1%），在物料移动下进行混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主要污染物：有机废气、甲醛、噪声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⑥铺装与热压：</w:t>
            </w:r>
            <w:r>
              <w:rPr>
                <w:rFonts w:hint="default" w:ascii="Times New Roman" w:hAnsi="Times New Roman" w:eastAsia="宋体" w:cs="Times New Roman"/>
                <w:bCs/>
                <w:color w:val="auto"/>
                <w:kern w:val="2"/>
                <w:sz w:val="24"/>
                <w:szCs w:val="24"/>
                <w:lang w:val="en-US" w:eastAsia="zh-CN" w:bidi="ar-SA"/>
              </w:rPr>
              <w:t>干刨花料仓底部安装有旋转式给料器，经给料器送出的刨花连续不断地进入铺装机储料仓内，储料仓内的刨花在头道扫平辊的作用下完成头道扫平，扫平后的刨花厚度达到260mm（平均厚度），经头道扫平的刨花在二道扫平辊的作用下，</w:t>
            </w:r>
            <w:r>
              <w:rPr>
                <w:rFonts w:hint="eastAsia" w:cs="Times New Roman"/>
                <w:bCs/>
                <w:color w:val="auto"/>
                <w:kern w:val="2"/>
                <w:sz w:val="24"/>
                <w:szCs w:val="24"/>
                <w:lang w:val="en-US" w:eastAsia="zh-CN" w:bidi="ar-SA"/>
              </w:rPr>
              <w:t>使</w:t>
            </w:r>
            <w:r>
              <w:rPr>
                <w:rFonts w:hint="default" w:ascii="Times New Roman" w:hAnsi="Times New Roman" w:eastAsia="宋体" w:cs="Times New Roman"/>
                <w:bCs/>
                <w:color w:val="auto"/>
                <w:kern w:val="2"/>
                <w:sz w:val="24"/>
                <w:szCs w:val="24"/>
                <w:lang w:val="en-US" w:eastAsia="zh-CN" w:bidi="ar-SA"/>
              </w:rPr>
              <w:t>刨花厚度达到260mm，板坯回收料仓设在板坯运输机下，对于成型不合格的板坯进行回收。刨花毛坯经连续平压热压机进行预压、热压。热压机热介质为成型生物质导热油炉，热压的温度、压力和时间等参数由PLC自动控制系统控制。热压温度一般为165~185℃。掉落的沾染有脲醛胶的边角料回收后与原料下角料一起经削片、粉碎处理，不产生固废。</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压制好的连续毛板带经横向分割，锯成一定长度的毛板块，经过测厚和称重，不合格板被送出生产线，合格毛坯经晾板至温度降至70℃以后，送到中间贮存区域贮存，以提高板材的稳定。中间贮存时间为2~3天。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主要污染物：有机废气、甲醛、噪声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⑦毛坯处理工段：</w:t>
            </w:r>
            <w:r>
              <w:rPr>
                <w:rFonts w:hint="default" w:ascii="Times New Roman" w:hAnsi="Times New Roman" w:eastAsia="宋体" w:cs="Times New Roman"/>
                <w:bCs/>
                <w:color w:val="auto"/>
                <w:kern w:val="2"/>
                <w:sz w:val="24"/>
                <w:szCs w:val="24"/>
                <w:lang w:val="en-US" w:eastAsia="zh-CN" w:bidi="ar-SA"/>
              </w:rPr>
              <w:t>本工段包含砂光、检验等，以取得定厚、表面光洁的刨花板。</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毛板用叉车放在辊台上，送至升降推板器上逐张推入砂光机内，定厚打磨毛边表层以增加表面光洁度，又使板材达到规定的厚度，之后根据要求按一定尺寸进行锯边，最终产品经检验等后，运入成品库待售。</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主要污染物：裁边、打磨粉尘、噪声。</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）桥洞力学板生产工艺流程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object>
                <v:shape id="_x0000_i1031" o:spt="75" type="#_x0000_t75" style="height:311pt;width:359.45pt;" o:ole="t" filled="f" o:preferrelative="t" stroked="f" coordsize="21600,21600">
                  <v:path/>
                  <v:fill on="f" focussize="0,0"/>
                  <v:stroke on="f"/>
                  <v:imagedata r:id="rId27" o:title=""/>
                  <o:lock v:ext="edit" aspectratio="f"/>
                  <w10:wrap type="none"/>
                  <w10:anchorlock/>
                </v:shape>
                <o:OLEObject Type="Embed" ProgID="Visio.Drawing.15" ShapeID="_x0000_i1031" DrawAspect="Content" ObjectID="_1468075731" r:id="rId26">
                  <o:LockedField>false</o:LockedField>
                </o:OLEObject>
              </w:object>
            </w:r>
          </w:p>
          <w:p>
            <w:pPr>
              <w:numPr>
                <w:ilvl w:val="0"/>
                <w:numId w:val="0"/>
              </w:numPr>
              <w:tabs>
                <w:tab w:val="left" w:pos="0"/>
              </w:tabs>
              <w:autoSpaceDE w:val="0"/>
              <w:autoSpaceDN w:val="0"/>
              <w:spacing w:line="360" w:lineRule="auto"/>
              <w:ind w:leftChars="0"/>
              <w:jc w:val="center"/>
              <w:rPr>
                <w:rFonts w:hint="default" w:ascii="Times New Roman" w:hAnsi="Times New Roman" w:cs="Times New Roman"/>
                <w:b/>
                <w:bCs/>
                <w:color w:val="auto"/>
              </w:rPr>
            </w:pPr>
            <w:r>
              <w:rPr>
                <w:rFonts w:hint="eastAsia" w:ascii="Times New Roman" w:hAnsi="Times New Roman" w:cs="Times New Roman"/>
                <w:b/>
                <w:bCs/>
                <w:color w:val="auto"/>
                <w:lang w:eastAsia="zh-CN"/>
              </w:rPr>
              <w:t>图</w:t>
            </w:r>
            <w:r>
              <w:rPr>
                <w:rFonts w:hint="eastAsia" w:ascii="Times New Roman" w:hAnsi="Times New Roman" w:cs="Times New Roman"/>
                <w:b/>
                <w:bCs/>
                <w:color w:val="auto"/>
                <w:lang w:val="en-US" w:eastAsia="zh-CN"/>
              </w:rPr>
              <w:t xml:space="preserve">2-8  </w:t>
            </w:r>
            <w:r>
              <w:rPr>
                <w:rFonts w:hint="default" w:ascii="Times New Roman" w:hAnsi="Times New Roman" w:cs="Times New Roman"/>
                <w:b/>
                <w:bCs/>
                <w:color w:val="auto"/>
                <w:lang w:eastAsia="zh-CN"/>
              </w:rPr>
              <w:t>桥洞力学板生产</w:t>
            </w:r>
            <w:r>
              <w:rPr>
                <w:rFonts w:hint="default" w:ascii="Times New Roman" w:hAnsi="Times New Roman" w:cs="Times New Roman"/>
                <w:b/>
                <w:bCs/>
                <w:color w:val="auto"/>
              </w:rPr>
              <w:t>工艺流程及产污环节图</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工艺流程说明：</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①削片</w:t>
            </w:r>
            <w:r>
              <w:rPr>
                <w:rFonts w:hint="default" w:ascii="Times New Roman" w:hAnsi="Times New Roman" w:eastAsia="宋体" w:cs="Times New Roman"/>
                <w:bCs/>
                <w:color w:val="auto"/>
                <w:kern w:val="2"/>
                <w:sz w:val="24"/>
                <w:szCs w:val="24"/>
                <w:lang w:val="en-US" w:eastAsia="zh-CN" w:bidi="ar-SA"/>
              </w:rPr>
              <w:t>：木料为外厂购置的边角木料，直接进入削片工序。将木料经削片机削成片状（木片规格：长*宽*高为20~30*10~20*2~10mm）。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②粉碎：</w:t>
            </w:r>
            <w:r>
              <w:rPr>
                <w:rFonts w:hint="default" w:ascii="Times New Roman" w:hAnsi="Times New Roman" w:eastAsia="宋体" w:cs="Times New Roman"/>
                <w:color w:val="auto"/>
                <w:kern w:val="2"/>
                <w:sz w:val="24"/>
                <w:szCs w:val="24"/>
                <w:lang w:val="en-US" w:eastAsia="zh-CN" w:bidi="ar-SA"/>
              </w:rPr>
              <w:t>将备好的木片原料经输送带送至粉碎机进行粉碎加工，加工成合格的碎渣状。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③干燥</w:t>
            </w:r>
            <w:r>
              <w:rPr>
                <w:rFonts w:hint="default" w:ascii="Times New Roman" w:hAnsi="Times New Roman" w:eastAsia="宋体" w:cs="Times New Roman"/>
                <w:bCs/>
                <w:color w:val="auto"/>
                <w:kern w:val="2"/>
                <w:sz w:val="24"/>
                <w:szCs w:val="24"/>
                <w:lang w:val="en-US" w:eastAsia="zh-CN" w:bidi="ar-SA"/>
              </w:rPr>
              <w:t>：通过输送带将粉碎好的木料输送至干燥机，刨花干燥采用生物质导热油炉对干燥机进行间接加热，对木料进行干燥处理，干燥机风筒温度110℃左右，出口温度30℃左右。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2"/>
                <w:lang w:eastAsia="zh-CN"/>
              </w:rPr>
            </w:pPr>
            <w:r>
              <w:rPr>
                <w:rFonts w:hint="default" w:ascii="Times New Roman" w:hAnsi="Times New Roman" w:eastAsia="宋体" w:cs="Times New Roman"/>
                <w:b w:val="0"/>
                <w:bCs w:val="0"/>
                <w:color w:val="auto"/>
                <w:sz w:val="24"/>
                <w:szCs w:val="22"/>
              </w:rPr>
              <w:t>主要污染物：干燥废气、</w:t>
            </w:r>
            <w:r>
              <w:rPr>
                <w:rFonts w:hint="default" w:ascii="Times New Roman" w:hAnsi="Times New Roman" w:eastAsia="宋体" w:cs="Times New Roman"/>
                <w:b w:val="0"/>
                <w:bCs w:val="0"/>
                <w:color w:val="auto"/>
                <w:sz w:val="24"/>
                <w:szCs w:val="22"/>
                <w:lang w:eastAsia="zh-CN"/>
              </w:rPr>
              <w:t>生物质颗粒燃烧废气、</w:t>
            </w:r>
            <w:r>
              <w:rPr>
                <w:rFonts w:hint="default" w:ascii="Times New Roman" w:hAnsi="Times New Roman" w:eastAsia="宋体" w:cs="Times New Roman"/>
                <w:b w:val="0"/>
                <w:bCs w:val="0"/>
                <w:color w:val="auto"/>
                <w:sz w:val="24"/>
                <w:szCs w:val="22"/>
              </w:rPr>
              <w:t>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④分选</w:t>
            </w:r>
            <w:r>
              <w:rPr>
                <w:rFonts w:hint="default" w:ascii="Times New Roman" w:hAnsi="Times New Roman" w:eastAsia="宋体" w:cs="Times New Roman"/>
                <w:bCs/>
                <w:color w:val="auto"/>
                <w:kern w:val="2"/>
                <w:sz w:val="24"/>
                <w:szCs w:val="24"/>
                <w:lang w:val="en-US" w:eastAsia="zh-CN" w:bidi="ar-SA"/>
              </w:rPr>
              <w:t>：将干燥后的木屑先经筛分机进行筛选，再经风选机进行风力分选，将通过筛分机、风选机去除杂质后的干木屑送至料仓备用。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w:t>
            </w:r>
            <w:r>
              <w:rPr>
                <w:rFonts w:hint="default" w:ascii="Times New Roman" w:hAnsi="Times New Roman" w:eastAsia="宋体" w:cs="Times New Roman"/>
                <w:b w:val="0"/>
                <w:bCs w:val="0"/>
                <w:color w:val="auto"/>
                <w:sz w:val="24"/>
                <w:szCs w:val="22"/>
                <w:lang w:eastAsia="zh-CN"/>
              </w:rPr>
              <w:t>分选</w:t>
            </w:r>
            <w:r>
              <w:rPr>
                <w:rFonts w:hint="default" w:ascii="Times New Roman" w:hAnsi="Times New Roman" w:eastAsia="宋体" w:cs="Times New Roman"/>
                <w:b w:val="0"/>
                <w:bCs w:val="0"/>
                <w:color w:val="auto"/>
                <w:sz w:val="24"/>
                <w:szCs w:val="22"/>
              </w:rPr>
              <w:t>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⑤拌胶</w:t>
            </w:r>
            <w:r>
              <w:rPr>
                <w:rFonts w:hint="eastAsia" w:ascii="Times New Roman" w:hAnsi="Times New Roman" w:eastAsia="宋体" w:cs="Times New Roman"/>
                <w:b/>
                <w:bCs/>
                <w:color w:val="auto"/>
                <w:kern w:val="2"/>
                <w:sz w:val="24"/>
                <w:szCs w:val="24"/>
                <w:lang w:val="en-US" w:eastAsia="zh-CN" w:bidi="ar-SA"/>
              </w:rPr>
              <w:t>、施胶</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木屑进入拌胶机后与脲醛树脂胶、石蜡、氯化铵均匀混合（石蜡主要作为防水材料，提高刨花板的防水、防潮性能；氯化铵作为固化剂</w:t>
            </w:r>
            <w:r>
              <w:rPr>
                <w:rFonts w:hint="default" w:ascii="Times New Roman" w:hAnsi="Times New Roman" w:eastAsia="宋体" w:cs="Times New Roman"/>
                <w:bCs/>
                <w:color w:val="auto"/>
                <w:kern w:val="2"/>
                <w:sz w:val="24"/>
                <w:szCs w:val="24"/>
                <w:lang w:val="en-US" w:eastAsia="zh-CN" w:bidi="ar-SA"/>
              </w:rPr>
              <w:t>增强脲醛胶的粘接性能</w:t>
            </w:r>
            <w:r>
              <w:rPr>
                <w:rFonts w:hint="default" w:ascii="Times New Roman" w:hAnsi="Times New Roman" w:eastAsia="宋体" w:cs="Times New Roman"/>
                <w:b w:val="0"/>
                <w:bCs w:val="0"/>
                <w:color w:val="auto"/>
                <w:kern w:val="2"/>
                <w:sz w:val="24"/>
                <w:szCs w:val="24"/>
                <w:lang w:val="en-US" w:eastAsia="zh-CN" w:bidi="ar-SA"/>
              </w:rPr>
              <w:t>），拌胶机为密闭设备，拌胶混合过程无需添加溶剂，不需要员工直接接触产品。各料仓、储罐均使用管道连接拌胶机。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主要污染物：有机废气、甲醛、噪声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⑥热压</w:t>
            </w:r>
            <w:r>
              <w:rPr>
                <w:rFonts w:hint="eastAsia" w:ascii="Times New Roman" w:hAnsi="Times New Roman" w:eastAsia="宋体" w:cs="Times New Roman"/>
                <w:b/>
                <w:bCs/>
                <w:color w:val="auto"/>
                <w:kern w:val="2"/>
                <w:sz w:val="24"/>
                <w:szCs w:val="24"/>
                <w:lang w:val="en-US" w:eastAsia="zh-CN" w:bidi="ar-SA"/>
              </w:rPr>
              <w:t>、脱模</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拌胶后的物料经给料器送入桥洞板专用压机模具内，进行热压，</w:t>
            </w:r>
            <w:r>
              <w:rPr>
                <w:rFonts w:hint="default" w:ascii="Times New Roman" w:hAnsi="Times New Roman" w:eastAsia="宋体" w:cs="Times New Roman"/>
                <w:bCs/>
                <w:color w:val="auto"/>
                <w:kern w:val="2"/>
                <w:sz w:val="24"/>
                <w:szCs w:val="24"/>
                <w:lang w:val="en-US" w:eastAsia="zh-CN" w:bidi="ar-SA"/>
              </w:rPr>
              <w:t>热压机热介质为成型生物质导热油炉，热压的温度、压力和时间等参数由PLC自动控制系统控制。热压温度一般为165~185℃。</w:t>
            </w:r>
            <w:r>
              <w:rPr>
                <w:rFonts w:hint="default" w:ascii="Times New Roman" w:hAnsi="Times New Roman" w:eastAsia="宋体" w:cs="Times New Roman"/>
                <w:b w:val="0"/>
                <w:bCs w:val="0"/>
                <w:color w:val="auto"/>
                <w:kern w:val="2"/>
                <w:sz w:val="24"/>
                <w:szCs w:val="24"/>
                <w:lang w:val="en-US" w:eastAsia="zh-CN" w:bidi="ar-SA"/>
              </w:rPr>
              <w:t>桥洞板被压机压成工艺要求的密度，将热压完成的毛板</w:t>
            </w:r>
            <w:r>
              <w:rPr>
                <w:rFonts w:hint="eastAsia" w:ascii="Times New Roman" w:hAnsi="Times New Roman" w:eastAsia="宋体" w:cs="Times New Roman"/>
                <w:b w:val="0"/>
                <w:bCs w:val="0"/>
                <w:color w:val="auto"/>
                <w:kern w:val="2"/>
                <w:sz w:val="24"/>
                <w:szCs w:val="24"/>
                <w:lang w:val="en-US" w:eastAsia="zh-CN" w:bidi="ar-SA"/>
              </w:rPr>
              <w:t>从</w:t>
            </w:r>
            <w:r>
              <w:rPr>
                <w:rFonts w:hint="default" w:ascii="Times New Roman" w:hAnsi="Times New Roman" w:eastAsia="宋体" w:cs="Times New Roman"/>
                <w:b w:val="0"/>
                <w:bCs w:val="0"/>
                <w:color w:val="auto"/>
                <w:kern w:val="2"/>
                <w:sz w:val="24"/>
                <w:szCs w:val="24"/>
                <w:lang w:val="en-US" w:eastAsia="zh-CN" w:bidi="ar-SA"/>
              </w:rPr>
              <w:t>桥洞板专用压机模具内抽出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进入下一个工序。</w:t>
            </w:r>
            <w:r>
              <w:rPr>
                <w:rFonts w:hint="default" w:ascii="Times New Roman" w:hAnsi="Times New Roman" w:eastAsia="宋体" w:cs="Times New Roman"/>
                <w:bCs/>
                <w:color w:val="auto"/>
                <w:kern w:val="2"/>
                <w:sz w:val="24"/>
                <w:szCs w:val="24"/>
                <w:lang w:val="en-US" w:eastAsia="zh-CN" w:bidi="ar-SA"/>
              </w:rPr>
              <w:t>掉落的沾染有脲醛胶的边角料回收后与原料下角料一起经削片、粉碎处理。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rPr>
              <w:t>主要污染物：有机废气、甲醛、噪声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⑦毛坯处理工段：</w:t>
            </w:r>
            <w:r>
              <w:rPr>
                <w:rFonts w:hint="default" w:ascii="Times New Roman" w:hAnsi="Times New Roman" w:eastAsia="宋体" w:cs="Times New Roman"/>
                <w:bCs/>
                <w:color w:val="auto"/>
                <w:kern w:val="2"/>
                <w:sz w:val="24"/>
                <w:szCs w:val="24"/>
                <w:lang w:val="en-US" w:eastAsia="zh-CN" w:bidi="ar-SA"/>
              </w:rPr>
              <w:t>本工段包含砂光、检验等，以取得定厚、表面光洁的桥洞板。</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毛板用叉车放在辊台上，送至升降推板器上逐张推入砂光机内，定厚打磨毛边表层以增加表面光洁度，又使板材达到规定的厚度，之后根据要求按一定尺寸进行锯边，最终产品经检验等后，运入成品库待售。</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eastAsia="宋体" w:cs="Times New Roman"/>
                <w:b w:val="0"/>
                <w:bCs w:val="0"/>
                <w:color w:val="auto"/>
                <w:sz w:val="24"/>
                <w:szCs w:val="22"/>
              </w:rPr>
              <w:t>主要污染物：裁边、打磨粉尘、噪声</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val="0"/>
              <w:numPr>
                <w:ilvl w:val="0"/>
                <w:numId w:val="5"/>
              </w:numPr>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脲醛树脂胶生产工艺流程</w:t>
            </w:r>
          </w:p>
          <w:p>
            <w:pPr>
              <w:keepNext w:val="0"/>
              <w:keepLines w:val="0"/>
              <w:pageBreakBefore w:val="0"/>
              <w:widowControl w:val="0"/>
              <w:numPr>
                <w:ilvl w:val="0"/>
                <w:numId w:val="0"/>
              </w:numPr>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val="0"/>
                <w:bCs w:val="0"/>
                <w:color w:val="auto"/>
                <w:kern w:val="2"/>
                <w:sz w:val="24"/>
                <w:szCs w:val="24"/>
                <w:lang w:val="en-US" w:eastAsia="zh-CN" w:bidi="ar-SA"/>
              </w:rPr>
              <w:t>项目所制备胶液为脲醛树脂胶，年产脲醛树脂11000t自用，脲醛树脂由尿素与甲醛经过二级反应生成，第一个阶段羟甲基脲生成，为加成反应阶段，然后再与甲醛反应生成二羟甲基脲；第二阶段树脂化，为缩聚反应阶段，羟甲基脲中含有活泼的羟甲基，可进一步缩合生成聚合物。项目制胶过程中加入三聚氰胺对胶水改性，并捕捉游离甲醛，该胶中的游离甲醛含量在0.3%以下。制胶工艺流程见下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object>
                <v:shape id="_x0000_i1032" o:spt="75" type="#_x0000_t75" style="height:213.85pt;width:352.4pt;" o:ole="t" filled="f" o:preferrelative="t" stroked="f" coordsize="21600,21600">
                  <v:path/>
                  <v:fill on="f" focussize="0,0"/>
                  <v:stroke on="f"/>
                  <v:imagedata r:id="rId29" o:title=""/>
                  <o:lock v:ext="edit" aspectratio="f"/>
                  <w10:wrap type="none"/>
                  <w10:anchorlock/>
                </v:shape>
                <o:OLEObject Type="Embed" ProgID="Visio.Drawing.15" ShapeID="_x0000_i1032" DrawAspect="Content" ObjectID="_1468075732" r:id="rId28">
                  <o:LockedField>false</o:LockedField>
                </o:OLEObject>
              </w:objec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jc w:val="center"/>
              <w:textAlignment w:val="auto"/>
              <w:rPr>
                <w:rFonts w:hint="default" w:ascii="Times New Roman" w:hAnsi="Times New Roman" w:cs="Times New Roman"/>
                <w:b/>
                <w:bCs/>
                <w:color w:val="auto"/>
              </w:rPr>
            </w:pPr>
            <w:r>
              <w:rPr>
                <w:rFonts w:hint="eastAsia" w:ascii="Times New Roman" w:hAnsi="Times New Roman" w:cs="Times New Roman"/>
                <w:b/>
                <w:bCs/>
                <w:color w:val="auto"/>
                <w:lang w:eastAsia="zh-CN"/>
              </w:rPr>
              <w:t>图</w:t>
            </w:r>
            <w:r>
              <w:rPr>
                <w:rFonts w:hint="eastAsia" w:ascii="Times New Roman" w:hAnsi="Times New Roman" w:cs="Times New Roman"/>
                <w:b/>
                <w:bCs/>
                <w:color w:val="auto"/>
                <w:lang w:val="en-US" w:eastAsia="zh-CN"/>
              </w:rPr>
              <w:t xml:space="preserve">2-9  </w:t>
            </w:r>
            <w:r>
              <w:rPr>
                <w:rFonts w:hint="default" w:ascii="Times New Roman" w:hAnsi="Times New Roman" w:cs="Times New Roman"/>
                <w:b/>
                <w:bCs/>
                <w:color w:val="auto"/>
                <w:lang w:eastAsia="zh-CN"/>
              </w:rPr>
              <w:t>脲醛树脂胶生产</w:t>
            </w:r>
            <w:r>
              <w:rPr>
                <w:rFonts w:hint="default" w:ascii="Times New Roman" w:hAnsi="Times New Roman" w:cs="Times New Roman"/>
                <w:b/>
                <w:bCs/>
                <w:color w:val="auto"/>
              </w:rPr>
              <w:t>工艺流程及产污环节图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b/>
                <w:bCs/>
                <w:color w:val="auto"/>
                <w:sz w:val="24"/>
              </w:rPr>
            </w:pPr>
            <w:r>
              <w:rPr>
                <w:rFonts w:hint="default" w:ascii="Times New Roman" w:hAnsi="Times New Roman" w:eastAsia="宋体" w:cs="Times New Roman"/>
                <w:color w:val="auto"/>
                <w:sz w:val="24"/>
                <w:szCs w:val="24"/>
              </w:rPr>
              <w:t>本项目以尿素与甲醛、三聚氰胺为主要原材料，在片碱、</w:t>
            </w:r>
            <w:r>
              <w:rPr>
                <w:rFonts w:hint="default" w:ascii="Times New Roman" w:hAnsi="Times New Roman" w:eastAsia="宋体" w:cs="Times New Roman"/>
                <w:color w:val="auto"/>
                <w:sz w:val="24"/>
                <w:szCs w:val="24"/>
                <w:lang w:eastAsia="zh-CN"/>
              </w:rPr>
              <w:t>氯化铵</w:t>
            </w:r>
            <w:r>
              <w:rPr>
                <w:rFonts w:hint="default" w:ascii="Times New Roman" w:hAnsi="Times New Roman" w:eastAsia="宋体" w:cs="Times New Roman"/>
                <w:color w:val="auto"/>
                <w:sz w:val="24"/>
                <w:szCs w:val="24"/>
              </w:rPr>
              <w:t>的催化下发生反应，并在反应釜中可加成缩聚得到线性脲醛低聚物。</w:t>
            </w:r>
            <w:r>
              <w:rPr>
                <w:rFonts w:hint="default" w:ascii="Times New Roman" w:hAnsi="Times New Roman" w:cs="Times New Roman"/>
                <w:color w:val="auto"/>
                <w:sz w:val="24"/>
              </w:rPr>
              <w:t>原辅料添加次序及各反应参数如下：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object>
                <v:shape id="_x0000_i1033" o:spt="75" type="#_x0000_t75" style="height:371.95pt;width:361.15pt;" o:ole="t" filled="f" o:preferrelative="t" stroked="f" coordsize="21600,21600">
                  <v:path/>
                  <v:fill on="f" focussize="0,0"/>
                  <v:stroke on="f"/>
                  <v:imagedata r:id="rId31" o:title=""/>
                  <o:lock v:ext="edit" aspectratio="f"/>
                  <w10:wrap type="none"/>
                  <w10:anchorlock/>
                </v:shape>
                <o:OLEObject Type="Embed" ProgID="Visio.Drawing.15" ShapeID="_x0000_i1033" DrawAspect="Content" ObjectID="_1468075733" r:id="rId30">
                  <o:LockedField>false</o:LockedField>
                </o:OLEObject>
              </w:object>
            </w:r>
          </w:p>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jc w:val="center"/>
              <w:textAlignment w:val="auto"/>
              <w:rPr>
                <w:rFonts w:hint="default" w:ascii="Times New Roman" w:hAnsi="Times New Roman" w:cs="Times New Roman"/>
                <w:b/>
                <w:bCs/>
                <w:color w:val="auto"/>
              </w:rPr>
            </w:pPr>
            <w:r>
              <w:rPr>
                <w:rFonts w:hint="eastAsia"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 xml:space="preserve">2-10  </w:t>
            </w:r>
            <w:r>
              <w:rPr>
                <w:rFonts w:hint="default" w:ascii="Times New Roman" w:hAnsi="Times New Roman" w:eastAsia="宋体" w:cs="Times New Roman"/>
                <w:b/>
                <w:bCs/>
                <w:color w:val="auto"/>
                <w:sz w:val="21"/>
                <w:szCs w:val="21"/>
              </w:rPr>
              <w:t>原辅料添加次序及反应参数示意</w:t>
            </w:r>
            <w:r>
              <w:rPr>
                <w:rFonts w:hint="default" w:ascii="Times New Roman" w:hAnsi="Times New Roman" w:cs="Times New Roman"/>
                <w:b/>
                <w:bCs/>
                <w:color w:val="auto"/>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工艺流程说明：</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脲醛树脂是甲醛与尿素聚合反应产生</w:t>
            </w:r>
            <w:r>
              <w:rPr>
                <w:rFonts w:hint="eastAsia" w:ascii="Times New Roman" w:hAnsi="Times New Roman" w:cs="Times New Roman"/>
                <w:color w:val="auto"/>
                <w:sz w:val="24"/>
                <w:szCs w:val="24"/>
                <w:lang w:eastAsia="zh-CN"/>
              </w:rPr>
              <w:t>，反应过程中会产生副产物水</w:t>
            </w:r>
            <w:r>
              <w:rPr>
                <w:rFonts w:hint="default" w:ascii="Times New Roman" w:hAnsi="Times New Roman" w:cs="Times New Roman"/>
                <w:color w:val="auto"/>
                <w:sz w:val="24"/>
                <w:szCs w:val="24"/>
              </w:rPr>
              <w:t>。化学反应方程式如下：</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第一步生成聚合前体：</w:t>
            </w:r>
          </w:p>
          <w:p>
            <w:pPr>
              <w:pStyle w:val="34"/>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34" o:spt="75" type="#_x0000_t75" style="height:119.45pt;width:397.15pt;" o:ole="t" filled="f" o:preferrelative="t" stroked="f" coordsize="21600,21600">
                  <v:path/>
                  <v:fill on="f" focussize="0,0"/>
                  <v:stroke on="f"/>
                  <v:imagedata r:id="rId33" o:title=""/>
                  <o:lock v:ext="edit" aspectratio="f"/>
                  <w10:wrap type="none"/>
                  <w10:anchorlock/>
                </v:shape>
                <o:OLEObject Type="Embed" ProgID="Visio.Drawing.15" ShapeID="_x0000_i1034" DrawAspect="Content" ObjectID="_1468075734" r:id="rId32">
                  <o:LockedField>false</o:LockedField>
                </o:OLEObject>
              </w:objec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此阶段是在弱碱性条件下进行，用30%烧碱溶液将甲醛水溶液的pH值调至6.5～7.5，然后根据摩尔比确定加入尿素量，由于尿素的加入，会使反应液的温度降至10℃左右，然后再升温到</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℃，保持加热30min。</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第二步聚合：</w:t>
            </w:r>
          </w:p>
          <w:p>
            <w:pPr>
              <w:pStyle w:val="34"/>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firstLine="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35" o:spt="75" type="#_x0000_t75" style="height:270.15pt;width:396.8pt;" o:ole="t" filled="f" o:preferrelative="t" stroked="f" coordsize="21600,21600">
                  <v:path/>
                  <v:fill on="f" focussize="0,0"/>
                  <v:stroke on="f"/>
                  <v:imagedata r:id="rId35" o:title=""/>
                  <o:lock v:ext="edit" aspectratio="f"/>
                  <w10:wrap type="none"/>
                  <w10:anchorlock/>
                </v:shape>
                <o:OLEObject Type="Embed" ProgID="Visio.Drawing.15" ShapeID="_x0000_i1035" DrawAspect="Content" ObjectID="_1468075735" r:id="rId34">
                  <o:LockedField>false</o:LockedField>
                </o:OLEObject>
              </w:objec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default" w:ascii="Times New Roman" w:hAnsi="Times New Roman" w:cs="Times New Roman"/>
                <w:color w:val="auto"/>
              </w:rPr>
            </w:pPr>
            <w:r>
              <w:rPr>
                <w:rFonts w:hint="default" w:ascii="Times New Roman" w:hAnsi="Times New Roman" w:cs="Times New Roman"/>
                <w:color w:val="auto"/>
                <w:sz w:val="24"/>
                <w:szCs w:val="24"/>
              </w:rPr>
              <w:t>此阶段用少量</w:t>
            </w:r>
            <w:r>
              <w:rPr>
                <w:rFonts w:hint="default" w:ascii="Times New Roman" w:hAnsi="Times New Roman" w:cs="Times New Roman"/>
                <w:color w:val="auto"/>
                <w:sz w:val="24"/>
                <w:szCs w:val="24"/>
                <w:lang w:eastAsia="zh-CN"/>
              </w:rPr>
              <w:t>氯化铵</w:t>
            </w:r>
            <w:r>
              <w:rPr>
                <w:rFonts w:hint="default" w:ascii="Times New Roman" w:hAnsi="Times New Roman" w:cs="Times New Roman"/>
                <w:color w:val="auto"/>
                <w:sz w:val="24"/>
                <w:szCs w:val="24"/>
              </w:rPr>
              <w:t>溶液调至pH值5.0～5.2左右，根据使用要求控制好加合程度，避免凝胶，当达到预定的反应终点即用碱中和。</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工艺流程：</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本项目工业甲醛为37%的甲醛水溶液，由专用槽车运到厂区后，输送至甲醛贮罐待用。尿素为工业用级别尿素，由于尿素较易分解，因此不在厂内进行大批量贮存，</w:t>
            </w:r>
            <w:r>
              <w:rPr>
                <w:rFonts w:hint="default" w:ascii="Times New Roman" w:hAnsi="Times New Roman" w:cs="Times New Roman"/>
                <w:color w:val="auto"/>
                <w:sz w:val="24"/>
                <w:szCs w:val="24"/>
                <w:lang w:eastAsia="zh-CN"/>
              </w:rPr>
              <w:t>外购</w:t>
            </w:r>
            <w:r>
              <w:rPr>
                <w:rFonts w:hint="default" w:ascii="Times New Roman" w:hAnsi="Times New Roman" w:cs="Times New Roman"/>
                <w:color w:val="auto"/>
                <w:sz w:val="24"/>
                <w:szCs w:val="24"/>
              </w:rPr>
              <w:t>的尿素均为袋装，小批量的待用品在车间投料处存放，生产时通过提升机及计量斗进行投加。氢氧化钠为固体，使用前需要在生产车间内专用桶内用水配制30%的氢氧化钠溶液。外购</w:t>
            </w:r>
            <w:r>
              <w:rPr>
                <w:rFonts w:hint="default" w:ascii="Times New Roman" w:hAnsi="Times New Roman" w:cs="Times New Roman"/>
                <w:color w:val="auto"/>
                <w:sz w:val="24"/>
                <w:szCs w:val="24"/>
                <w:lang w:eastAsia="zh-CN"/>
              </w:rPr>
              <w:t>三聚氰胺、氯化铵</w:t>
            </w:r>
            <w:r>
              <w:rPr>
                <w:rFonts w:hint="default" w:ascii="Times New Roman" w:hAnsi="Times New Roman" w:cs="Times New Roman"/>
                <w:color w:val="auto"/>
                <w:sz w:val="24"/>
                <w:szCs w:val="24"/>
              </w:rPr>
              <w:t>均为固体</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袋装。其中</w:t>
            </w:r>
            <w:r>
              <w:rPr>
                <w:rFonts w:hint="default" w:ascii="Times New Roman" w:hAnsi="Times New Roman" w:cs="Times New Roman"/>
                <w:color w:val="auto"/>
                <w:sz w:val="24"/>
                <w:szCs w:val="24"/>
                <w:lang w:eastAsia="zh-CN"/>
              </w:rPr>
              <w:t>氯化铵</w:t>
            </w:r>
            <w:r>
              <w:rPr>
                <w:rFonts w:hint="default" w:ascii="Times New Roman" w:hAnsi="Times New Roman" w:cs="Times New Roman"/>
                <w:color w:val="auto"/>
                <w:sz w:val="24"/>
                <w:szCs w:val="24"/>
              </w:rPr>
              <w:t>及氢氧化钠主要用于调节搅拌罐内的</w:t>
            </w:r>
            <w:r>
              <w:rPr>
                <w:rFonts w:hint="default" w:ascii="Times New Roman" w:hAnsi="Times New Roman" w:cs="Times New Roman"/>
                <w:color w:val="auto"/>
                <w:sz w:val="24"/>
                <w:szCs w:val="24"/>
                <w:lang w:val="en-US" w:eastAsia="zh-CN"/>
              </w:rPr>
              <w:t>pH。</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①加入原料</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将甲醛计量打入反应釜内，再投入</w:t>
            </w:r>
            <w:r>
              <w:rPr>
                <w:rFonts w:hint="eastAsia" w:ascii="Times New Roman" w:hAnsi="Times New Roman" w:cs="Times New Roman"/>
                <w:color w:val="auto"/>
                <w:sz w:val="24"/>
                <w:szCs w:val="24"/>
                <w:lang w:eastAsia="zh-CN"/>
              </w:rPr>
              <w:t>浓度为</w:t>
            </w:r>
            <w:r>
              <w:rPr>
                <w:rFonts w:hint="default" w:ascii="Times New Roman" w:hAnsi="Times New Roman" w:cs="Times New Roman"/>
                <w:color w:val="auto"/>
                <w:sz w:val="24"/>
                <w:szCs w:val="24"/>
              </w:rPr>
              <w:t>20%</w:t>
            </w:r>
            <w:r>
              <w:rPr>
                <w:rFonts w:hint="eastAsia" w:ascii="Times New Roman" w:hAnsi="Times New Roman" w:cs="Times New Roman"/>
                <w:color w:val="auto"/>
                <w:sz w:val="24"/>
                <w:szCs w:val="24"/>
                <w:lang w:eastAsia="zh-CN"/>
              </w:rPr>
              <w:t>的</w:t>
            </w:r>
            <w:r>
              <w:rPr>
                <w:rFonts w:hint="default" w:ascii="Times New Roman" w:hAnsi="Times New Roman" w:cs="Times New Roman"/>
                <w:color w:val="auto"/>
                <w:sz w:val="24"/>
                <w:szCs w:val="24"/>
              </w:rPr>
              <w:t>氢氧化钠</w:t>
            </w:r>
            <w:r>
              <w:rPr>
                <w:rFonts w:hint="eastAsia" w:ascii="Times New Roman" w:hAnsi="Times New Roman" w:cs="Times New Roman"/>
                <w:color w:val="auto"/>
                <w:sz w:val="24"/>
                <w:szCs w:val="24"/>
                <w:lang w:eastAsia="zh-CN"/>
              </w:rPr>
              <w:t>溶液</w:t>
            </w:r>
            <w:r>
              <w:rPr>
                <w:rFonts w:hint="default" w:ascii="Times New Roman" w:hAnsi="Times New Roman" w:cs="Times New Roman"/>
                <w:color w:val="auto"/>
                <w:sz w:val="24"/>
                <w:szCs w:val="24"/>
              </w:rPr>
              <w:t>调节pH值至</w:t>
            </w:r>
            <w:r>
              <w:rPr>
                <w:rFonts w:hint="default"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左右，再第一次加入尿素，</w:t>
            </w:r>
            <w:r>
              <w:rPr>
                <w:rFonts w:hint="default" w:ascii="Times New Roman" w:hAnsi="Times New Roman" w:eastAsia="宋体" w:cs="Times New Roman"/>
                <w:color w:val="auto"/>
                <w:spacing w:val="-2"/>
                <w:kern w:val="2"/>
                <w:sz w:val="24"/>
                <w:szCs w:val="20"/>
                <w:lang w:val="en-US" w:eastAsia="zh-CN" w:bidi="ar-SA"/>
              </w:rPr>
              <w:t>在搅拌的情况下，反应釜内温度经蒸汽夹套加热至40</w:t>
            </w:r>
            <w:r>
              <w:rPr>
                <w:rFonts w:hint="default" w:ascii="Times New Roman" w:hAnsi="Times New Roman" w:eastAsia="宋体" w:cs="Times New Roman"/>
                <w:color w:val="auto"/>
                <w:spacing w:val="-2"/>
                <w:kern w:val="2"/>
                <w:sz w:val="24"/>
                <w:szCs w:val="24"/>
                <w:lang w:val="en-US" w:eastAsia="zh-CN" w:bidi="ar-SA"/>
              </w:rPr>
              <w:t>℃后，反应釜内加入尿素（第一次，</w:t>
            </w:r>
            <w:r>
              <w:rPr>
                <w:rFonts w:hint="default" w:ascii="Times New Roman" w:hAnsi="Times New Roman" w:cs="Times New Roman"/>
                <w:color w:val="auto"/>
                <w:sz w:val="24"/>
                <w:szCs w:val="24"/>
              </w:rPr>
              <w:t>为总尿素的30%</w:t>
            </w:r>
            <w:r>
              <w:rPr>
                <w:rFonts w:hint="default" w:ascii="Times New Roman" w:hAnsi="Times New Roman" w:eastAsia="宋体" w:cs="Times New Roman"/>
                <w:color w:val="auto"/>
                <w:spacing w:val="-2"/>
                <w:kern w:val="2"/>
                <w:sz w:val="24"/>
                <w:szCs w:val="24"/>
                <w:lang w:val="en-US" w:eastAsia="zh-CN" w:bidi="ar-SA"/>
              </w:rPr>
              <w:t>），</w:t>
            </w:r>
            <w:r>
              <w:rPr>
                <w:rFonts w:hint="default" w:ascii="Times New Roman" w:hAnsi="Times New Roman" w:eastAsia="宋体" w:cs="Times New Roman"/>
                <w:color w:val="auto"/>
                <w:spacing w:val="-2"/>
                <w:kern w:val="2"/>
                <w:sz w:val="24"/>
                <w:szCs w:val="20"/>
                <w:lang w:val="en-US" w:eastAsia="zh-CN" w:bidi="ar-SA"/>
              </w:rPr>
              <w:t>尿素为颗粒状，包装方式为袋装，将尿素拆包后人工投加到地坑中，通过螺旋提升机提升到反应釜中，</w:t>
            </w:r>
            <w:r>
              <w:rPr>
                <w:rFonts w:hint="default" w:ascii="Times New Roman" w:hAnsi="Times New Roman" w:cs="Times New Roman"/>
                <w:color w:val="auto"/>
                <w:sz w:val="24"/>
                <w:szCs w:val="24"/>
              </w:rPr>
              <w:t>搅拌反应15min。</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②搅拌、加热</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a.升温混合</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eastAsia="宋体" w:cs="Times New Roman"/>
                <w:color w:val="auto"/>
                <w:lang w:eastAsia="zh-CN"/>
              </w:rPr>
            </w:pPr>
            <w:r>
              <w:rPr>
                <w:rFonts w:hint="default" w:ascii="Times New Roman" w:hAnsi="Times New Roman" w:cs="Times New Roman"/>
                <w:color w:val="auto"/>
                <w:sz w:val="24"/>
                <w:szCs w:val="24"/>
              </w:rPr>
              <w:t>利用</w:t>
            </w:r>
            <w:r>
              <w:rPr>
                <w:rFonts w:hint="default" w:ascii="Times New Roman" w:hAnsi="Times New Roman" w:cs="Times New Roman"/>
                <w:color w:val="auto"/>
                <w:sz w:val="24"/>
                <w:szCs w:val="24"/>
                <w:lang w:eastAsia="zh-CN"/>
              </w:rPr>
              <w:t>天然气</w:t>
            </w:r>
            <w:r>
              <w:rPr>
                <w:rFonts w:hint="default" w:ascii="Times New Roman" w:hAnsi="Times New Roman" w:cs="Times New Roman"/>
                <w:color w:val="auto"/>
                <w:sz w:val="24"/>
                <w:szCs w:val="24"/>
              </w:rPr>
              <w:t>锅炉通入蒸汽</w:t>
            </w:r>
            <w:r>
              <w:rPr>
                <w:rFonts w:hint="default" w:ascii="Times New Roman" w:hAnsi="Times New Roman" w:cs="Times New Roman"/>
                <w:color w:val="auto"/>
                <w:sz w:val="24"/>
                <w:szCs w:val="24"/>
                <w:lang w:eastAsia="zh-CN"/>
              </w:rPr>
              <w:t>间接</w:t>
            </w:r>
            <w:r>
              <w:rPr>
                <w:rFonts w:hint="default" w:ascii="Times New Roman" w:hAnsi="Times New Roman" w:cs="Times New Roman"/>
                <w:color w:val="auto"/>
                <w:sz w:val="24"/>
                <w:szCs w:val="24"/>
              </w:rPr>
              <w:t>加热反应釜，使反应釜在常压下30min内升温至</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℃，保温30min。此环节由于加温，反应釜内会挥发少量的甲醛，冷凝气经反应釜</w:t>
            </w:r>
            <w:r>
              <w:rPr>
                <w:rFonts w:hint="default" w:ascii="Times New Roman" w:hAnsi="Times New Roman" w:cs="Times New Roman"/>
                <w:color w:val="auto"/>
                <w:sz w:val="24"/>
                <w:szCs w:val="24"/>
                <w:lang w:eastAsia="zh-CN"/>
              </w:rPr>
              <w:t>上方配套的</w:t>
            </w:r>
            <w:r>
              <w:rPr>
                <w:rFonts w:hint="default" w:ascii="Times New Roman" w:hAnsi="Times New Roman" w:cs="Times New Roman"/>
                <w:color w:val="auto"/>
                <w:sz w:val="24"/>
                <w:szCs w:val="24"/>
              </w:rPr>
              <w:t>冷凝回流装置冷凝至25℃以下</w:t>
            </w:r>
            <w:r>
              <w:rPr>
                <w:rFonts w:hint="eastAsia" w:ascii="Times New Roman" w:hAnsi="Times New Roman" w:cs="Times New Roman"/>
                <w:color w:val="auto"/>
                <w:sz w:val="24"/>
                <w:szCs w:val="24"/>
                <w:lang w:eastAsia="zh-CN"/>
              </w:rPr>
              <w:t>，蒸汽被冷凝成水，部分甲醛溶于冷凝水</w:t>
            </w:r>
            <w:r>
              <w:rPr>
                <w:rFonts w:hint="default" w:ascii="Times New Roman" w:hAnsi="Times New Roman" w:cs="Times New Roman"/>
                <w:color w:val="auto"/>
                <w:sz w:val="24"/>
                <w:szCs w:val="24"/>
              </w:rPr>
              <w:t>成为液态，回流至反应釜内。在甲醛添加的环节以及升温混合过程中，反应釜保持密闭，通过反应釜排气口排气保压，使反应釜内保持常压状态</w:t>
            </w:r>
            <w:r>
              <w:rPr>
                <w:rFonts w:hint="default" w:ascii="Times New Roman" w:hAnsi="Times New Roman" w:cs="Times New Roman"/>
                <w:color w:val="auto"/>
                <w:sz w:val="24"/>
                <w:szCs w:val="24"/>
                <w:lang w:eastAsia="zh-CN"/>
              </w:rPr>
              <w:t>。</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b.加成反应</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羟甲基脲生成阶段，加入尿素，</w:t>
            </w:r>
            <w:r>
              <w:rPr>
                <w:rFonts w:hint="default" w:ascii="Times New Roman" w:hAnsi="Times New Roman" w:eastAsia="宋体" w:cs="Times New Roman"/>
                <w:b w:val="0"/>
                <w:bCs w:val="0"/>
                <w:color w:val="auto"/>
                <w:kern w:val="2"/>
                <w:sz w:val="24"/>
                <w:szCs w:val="24"/>
                <w:lang w:val="en-US" w:eastAsia="zh-CN" w:bidi="ar-SA"/>
              </w:rPr>
              <w:t>生成稳定的一羟甲基脲，然后再与甲醛反应生成二羟甲基脲</w:t>
            </w:r>
            <w:r>
              <w:rPr>
                <w:rFonts w:hint="default" w:ascii="Times New Roman" w:hAnsi="Times New Roman" w:cs="Times New Roman"/>
                <w:color w:val="auto"/>
                <w:sz w:val="24"/>
                <w:szCs w:val="24"/>
              </w:rPr>
              <w:t>。</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rPr>
              <w:t>.缩聚反应</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树脂化阶段，羟甲基脲中含有活泼的羟甲基，进一步缩合生成聚合物，缩聚反应过程</w:t>
            </w:r>
            <w:r>
              <w:rPr>
                <w:rFonts w:hint="default" w:ascii="Times New Roman" w:hAnsi="Times New Roman" w:cs="Times New Roman"/>
                <w:color w:val="auto"/>
                <w:sz w:val="24"/>
                <w:szCs w:val="24"/>
                <w:lang w:eastAsia="zh-CN"/>
              </w:rPr>
              <w:t>泵</w:t>
            </w:r>
            <w:r>
              <w:rPr>
                <w:rFonts w:hint="default" w:ascii="Times New Roman" w:hAnsi="Times New Roman" w:cs="Times New Roman"/>
                <w:color w:val="auto"/>
                <w:sz w:val="24"/>
                <w:szCs w:val="24"/>
              </w:rPr>
              <w:t>入少量</w:t>
            </w:r>
            <w:r>
              <w:rPr>
                <w:rFonts w:hint="default" w:ascii="Times New Roman" w:hAnsi="Times New Roman" w:cs="Times New Roman"/>
                <w:color w:val="auto"/>
                <w:sz w:val="24"/>
                <w:szCs w:val="24"/>
                <w:lang w:eastAsia="zh-CN"/>
              </w:rPr>
              <w:t>氯化铵</w:t>
            </w:r>
            <w:r>
              <w:rPr>
                <w:rFonts w:hint="default" w:ascii="Times New Roman" w:hAnsi="Times New Roman" w:cs="Times New Roman"/>
                <w:color w:val="auto"/>
                <w:sz w:val="24"/>
                <w:szCs w:val="24"/>
              </w:rPr>
              <w:t>使pH值</w:t>
            </w:r>
            <w:r>
              <w:rPr>
                <w:rFonts w:hint="default" w:ascii="Times New Roman" w:hAnsi="Times New Roman" w:cs="Times New Roman"/>
                <w:color w:val="auto"/>
                <w:sz w:val="24"/>
                <w:szCs w:val="24"/>
                <w:lang w:eastAsia="zh-CN"/>
              </w:rPr>
              <w:t>调节至</w:t>
            </w:r>
            <w:r>
              <w:rPr>
                <w:rFonts w:hint="default" w:ascii="Times New Roman" w:hAnsi="Times New Roman" w:cs="Times New Roman"/>
                <w:color w:val="auto"/>
                <w:sz w:val="24"/>
                <w:szCs w:val="24"/>
                <w:lang w:val="en-US" w:eastAsia="zh-CN"/>
              </w:rPr>
              <w:t>5.1</w:t>
            </w:r>
            <w:r>
              <w:rPr>
                <w:rFonts w:hint="default" w:ascii="Times New Roman" w:hAnsi="Times New Roman" w:cs="Times New Roman"/>
                <w:color w:val="auto"/>
                <w:sz w:val="24"/>
                <w:szCs w:val="24"/>
              </w:rPr>
              <w:t>。常压下用蒸汽升温，反应过程控制温度91℃～93℃，反应时间为</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min。</w:t>
            </w:r>
            <w:r>
              <w:rPr>
                <w:rFonts w:hint="default" w:ascii="Times New Roman" w:hAnsi="Times New Roman" w:cs="Times New Roman"/>
                <w:color w:val="auto"/>
                <w:sz w:val="24"/>
                <w:szCs w:val="24"/>
                <w:lang w:eastAsia="zh-CN"/>
              </w:rPr>
              <w:t>然后</w:t>
            </w:r>
            <w:r>
              <w:rPr>
                <w:rFonts w:hint="default" w:ascii="Times New Roman" w:hAnsi="Times New Roman" w:cs="Times New Roman"/>
                <w:color w:val="auto"/>
                <w:sz w:val="24"/>
                <w:szCs w:val="24"/>
              </w:rPr>
              <w:t>加入</w:t>
            </w:r>
            <w:r>
              <w:rPr>
                <w:rFonts w:hint="default" w:ascii="Times New Roman" w:hAnsi="Times New Roman" w:cs="Times New Roman"/>
                <w:color w:val="auto"/>
                <w:sz w:val="24"/>
                <w:szCs w:val="24"/>
                <w:lang w:eastAsia="zh-CN"/>
              </w:rPr>
              <w:t>氢氧化钠溶液</w:t>
            </w:r>
            <w:r>
              <w:rPr>
                <w:rFonts w:hint="default" w:ascii="Times New Roman" w:hAnsi="Times New Roman" w:cs="Times New Roman"/>
                <w:color w:val="auto"/>
                <w:sz w:val="24"/>
                <w:szCs w:val="24"/>
              </w:rPr>
              <w:t>，调节pH至</w:t>
            </w:r>
            <w:r>
              <w:rPr>
                <w:rFonts w:hint="default" w:ascii="Times New Roman" w:hAnsi="Times New Roman" w:cs="Times New Roman"/>
                <w:color w:val="auto"/>
                <w:sz w:val="24"/>
                <w:szCs w:val="24"/>
                <w:lang w:val="en-US" w:eastAsia="zh-CN"/>
              </w:rPr>
              <w:t>7.0</w:t>
            </w: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eastAsia="zh-CN"/>
              </w:rPr>
              <w:t>中</w:t>
            </w:r>
            <w:r>
              <w:rPr>
                <w:rFonts w:hint="default" w:ascii="Times New Roman" w:hAnsi="Times New Roman" w:cs="Times New Roman"/>
                <w:color w:val="auto"/>
                <w:sz w:val="24"/>
                <w:szCs w:val="24"/>
              </w:rPr>
              <w:t>性条件下，三聚氰胺与缩聚反应产物羟甲基脲进一步聚合成改性脲醛树脂胶，三聚氰胺起到封闭脲醛树脂胶亲水的作用。接着打开冷却器进行降温，当温度降至85℃时停止降温，同时第三次加入尿素，保温20min，</w:t>
            </w:r>
            <w:r>
              <w:rPr>
                <w:rFonts w:hint="default" w:ascii="Times New Roman" w:hAnsi="Times New Roman" w:eastAsia="宋体" w:cs="Times New Roman"/>
                <w:color w:val="auto"/>
                <w:spacing w:val="-2"/>
                <w:kern w:val="2"/>
                <w:sz w:val="24"/>
                <w:szCs w:val="24"/>
                <w:lang w:val="en-US" w:eastAsia="zh-CN" w:bidi="ar-SA"/>
              </w:rPr>
              <w:t>降低游离甲醛的含量。</w:t>
            </w:r>
            <w:r>
              <w:rPr>
                <w:rFonts w:hint="default" w:ascii="Times New Roman" w:hAnsi="Times New Roman" w:cs="Times New Roman"/>
                <w:color w:val="auto"/>
                <w:sz w:val="24"/>
                <w:szCs w:val="24"/>
              </w:rPr>
              <w:t>然后加碱液调节pH至7.</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eastAsia="宋体" w:cs="Times New Roman"/>
                <w:color w:val="auto"/>
                <w:spacing w:val="-2"/>
                <w:kern w:val="2"/>
                <w:sz w:val="24"/>
                <w:szCs w:val="20"/>
                <w:lang w:val="en-US" w:eastAsia="zh-CN" w:bidi="ar-SA"/>
              </w:rPr>
              <w:t>反应结束后，</w:t>
            </w:r>
            <w:r>
              <w:rPr>
                <w:rFonts w:hint="default" w:ascii="Times New Roman" w:hAnsi="Times New Roman" w:eastAsia="宋体" w:cs="Times New Roman"/>
                <w:color w:val="auto"/>
                <w:spacing w:val="-2"/>
                <w:kern w:val="2"/>
                <w:sz w:val="24"/>
                <w:szCs w:val="24"/>
                <w:lang w:val="en-US" w:eastAsia="zh-CN" w:bidi="ar-SA"/>
              </w:rPr>
              <w:t>夹套通入冷却水，冷却反应釜，当釜内物料温度降至40℃时，停止冷却。</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rPr>
            </w:pPr>
            <w:r>
              <w:rPr>
                <w:rFonts w:hint="default" w:ascii="Times New Roman" w:hAnsi="Times New Roman" w:cs="Times New Roman"/>
                <w:color w:val="auto"/>
                <w:sz w:val="24"/>
                <w:szCs w:val="24"/>
              </w:rPr>
              <w:t>③</w:t>
            </w:r>
            <w:r>
              <w:rPr>
                <w:rFonts w:hint="eastAsia" w:ascii="Times New Roman" w:hAnsi="Times New Roman" w:cs="Times New Roman"/>
                <w:color w:val="auto"/>
                <w:sz w:val="24"/>
                <w:szCs w:val="24"/>
                <w:lang w:eastAsia="zh-CN"/>
              </w:rPr>
              <w:t>过滤、</w:t>
            </w:r>
            <w:r>
              <w:rPr>
                <w:rFonts w:hint="default" w:ascii="Times New Roman" w:hAnsi="Times New Roman" w:cs="Times New Roman"/>
                <w:color w:val="auto"/>
                <w:sz w:val="24"/>
                <w:szCs w:val="24"/>
              </w:rPr>
              <w:t>装罐</w:t>
            </w:r>
          </w:p>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624"/>
              </w:tabs>
              <w:spacing w:before="0" w:beforeAutospacing="0" w:after="0" w:afterAutospacing="0" w:line="360" w:lineRule="auto"/>
              <w:ind w:lef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釜内物料降温至40℃后，打开反应釜底阀，物料通过密闭管道输送至密闭过滤设备进行过滤，时间为0.5h，每台反应釜配备1台过滤设备，经过滤得到的下层粘稠液体为脲醛树脂胶，由密闭管道泵送至储罐暂存。过滤工序是在密闭的过滤设备中进行的，该过程不产生废气。根据建设单位提供的资料，定期对过滤网内的滤渣进行</w:t>
            </w:r>
            <w:r>
              <w:rPr>
                <w:rFonts w:hint="eastAsia" w:ascii="Times New Roman" w:hAnsi="Times New Roman" w:cs="Times New Roman"/>
                <w:color w:val="auto"/>
                <w:sz w:val="24"/>
                <w:szCs w:val="24"/>
                <w:lang w:eastAsia="zh-CN"/>
              </w:rPr>
              <w:t>人工</w:t>
            </w:r>
            <w:r>
              <w:rPr>
                <w:rFonts w:hint="default" w:ascii="Times New Roman" w:hAnsi="Times New Roman" w:cs="Times New Roman"/>
                <w:color w:val="auto"/>
                <w:sz w:val="24"/>
                <w:szCs w:val="24"/>
              </w:rPr>
              <w:t>清理，清理频次为每月一次。</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rPr>
              <w:t>单个反应釜生产1批脲醛树脂胶所需时间约为4.</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h，最终得到的产品为乳液状，原辅材料中的水分都存留在最终的产品中，生产过程无废水排放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主要</w:t>
            </w:r>
            <w:r>
              <w:rPr>
                <w:rFonts w:hint="default" w:ascii="Times New Roman" w:hAnsi="Times New Roman" w:cs="Times New Roman"/>
                <w:color w:val="auto"/>
                <w:sz w:val="24"/>
                <w:szCs w:val="24"/>
              </w:rPr>
              <w:t>污染物为反应釜冷凝回流装置外排的不凝气体，主要成分为甲醛</w:t>
            </w:r>
            <w:r>
              <w:rPr>
                <w:rFonts w:hint="default" w:ascii="Times New Roman" w:hAnsi="Times New Roman" w:cs="Times New Roman"/>
                <w:color w:val="auto"/>
                <w:sz w:val="24"/>
                <w:szCs w:val="24"/>
                <w:lang w:eastAsia="zh-CN"/>
              </w:rPr>
              <w:t>、水蒸气、氨气；甲醛罐在日常装卸过程中会有“大小呼吸作用”，有呼吸废气排放。</w:t>
            </w:r>
            <w:r>
              <w:rPr>
                <w:rFonts w:hint="eastAsia" w:ascii="Times New Roman" w:hAnsi="Times New Roman" w:cs="Times New Roman"/>
                <w:color w:val="auto"/>
                <w:sz w:val="24"/>
                <w:szCs w:val="24"/>
                <w:lang w:eastAsia="zh-CN"/>
              </w:rPr>
              <w:t>反应釜内为脲醛胶乳液，水清洗效果不佳，因此，不考虑使用水进行清洗，停产期间，待其凝固后，定期</w:t>
            </w:r>
            <w:r>
              <w:rPr>
                <w:rFonts w:hint="eastAsia" w:cs="Times New Roman"/>
                <w:color w:val="auto"/>
                <w:sz w:val="24"/>
                <w:szCs w:val="24"/>
                <w:lang w:eastAsia="zh-CN"/>
              </w:rPr>
              <w:t>人工</w:t>
            </w:r>
            <w:r>
              <w:rPr>
                <w:rFonts w:hint="eastAsia" w:ascii="Times New Roman" w:hAnsi="Times New Roman" w:cs="Times New Roman"/>
                <w:color w:val="auto"/>
                <w:sz w:val="24"/>
                <w:szCs w:val="24"/>
                <w:lang w:eastAsia="zh-CN"/>
              </w:rPr>
              <w:t>清理废胶。</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w:t>
            </w:r>
            <w:r>
              <w:rPr>
                <w:rFonts w:hint="default" w:ascii="Times New Roman" w:hAnsi="Times New Roman" w:cs="Times New Roman"/>
                <w:b/>
                <w:color w:val="auto"/>
                <w:sz w:val="24"/>
                <w:lang w:eastAsia="zh-CN"/>
              </w:rPr>
              <w:t>运营期</w:t>
            </w:r>
            <w:r>
              <w:rPr>
                <w:rFonts w:hint="default" w:ascii="Times New Roman" w:hAnsi="Times New Roman" w:cs="Times New Roman"/>
                <w:b/>
                <w:color w:val="auto"/>
                <w:sz w:val="24"/>
              </w:rPr>
              <w:t>主要污染工序</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本项目营运期主要污染工序见下表。</w:t>
            </w:r>
          </w:p>
          <w:p>
            <w:pPr>
              <w:pStyle w:val="168"/>
              <w:spacing w:beforeLines="0" w:line="240" w:lineRule="auto"/>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表2-</w:t>
            </w:r>
            <w:r>
              <w:rPr>
                <w:rFonts w:hint="eastAsia" w:eastAsia="宋体" w:cs="Times New Roman"/>
                <w:b/>
                <w:bCs/>
                <w:color w:val="auto"/>
                <w:sz w:val="21"/>
                <w:szCs w:val="24"/>
                <w:lang w:val="en-US" w:eastAsia="zh-CN"/>
              </w:rPr>
              <w:t>8</w:t>
            </w:r>
            <w:r>
              <w:rPr>
                <w:rFonts w:hint="default" w:ascii="Times New Roman" w:hAnsi="Times New Roman" w:eastAsia="宋体" w:cs="Times New Roman"/>
                <w:b/>
                <w:bCs/>
                <w:color w:val="auto"/>
                <w:sz w:val="21"/>
                <w:szCs w:val="24"/>
              </w:rPr>
              <w:t xml:space="preserve">  本项目营运期主要污染工序一览表</w:t>
            </w:r>
          </w:p>
          <w:tbl>
            <w:tblPr>
              <w:tblStyle w:val="39"/>
              <w:tblW w:w="793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04"/>
              <w:gridCol w:w="1974"/>
              <w:gridCol w:w="2476"/>
              <w:gridCol w:w="569"/>
              <w:gridCol w:w="2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kern w:val="21"/>
                      <w:sz w:val="21"/>
                      <w:szCs w:val="21"/>
                    </w:rPr>
                  </w:pPr>
                  <w:r>
                    <w:rPr>
                      <w:rFonts w:hint="default" w:ascii="Times New Roman" w:hAnsi="Times New Roman" w:eastAsia="宋体" w:cs="Times New Roman"/>
                      <w:b/>
                      <w:bCs/>
                      <w:color w:val="auto"/>
                      <w:kern w:val="21"/>
                      <w:sz w:val="21"/>
                      <w:szCs w:val="21"/>
                    </w:rPr>
                    <w:t>类型</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kern w:val="21"/>
                      <w:sz w:val="21"/>
                      <w:szCs w:val="21"/>
                    </w:rPr>
                  </w:pPr>
                  <w:r>
                    <w:rPr>
                      <w:rFonts w:hint="default" w:ascii="Times New Roman" w:hAnsi="Times New Roman" w:eastAsia="宋体" w:cs="Times New Roman"/>
                      <w:b/>
                      <w:bCs/>
                      <w:color w:val="auto"/>
                      <w:kern w:val="21"/>
                      <w:sz w:val="21"/>
                      <w:szCs w:val="21"/>
                    </w:rPr>
                    <w:t>污染源</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kern w:val="21"/>
                      <w:sz w:val="21"/>
                      <w:szCs w:val="21"/>
                    </w:rPr>
                  </w:pPr>
                  <w:r>
                    <w:rPr>
                      <w:rFonts w:hint="default" w:ascii="Times New Roman" w:hAnsi="Times New Roman" w:eastAsia="宋体" w:cs="Times New Roman"/>
                      <w:b/>
                      <w:bCs/>
                      <w:color w:val="auto"/>
                      <w:kern w:val="21"/>
                      <w:sz w:val="21"/>
                      <w:szCs w:val="21"/>
                    </w:rPr>
                    <w:t>主要污染物</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kern w:val="21"/>
                      <w:sz w:val="21"/>
                      <w:szCs w:val="21"/>
                    </w:rPr>
                  </w:pPr>
                  <w:r>
                    <w:rPr>
                      <w:rFonts w:hint="default" w:ascii="Times New Roman" w:hAnsi="Times New Roman" w:eastAsia="宋体" w:cs="Times New Roman"/>
                      <w:b/>
                      <w:bCs/>
                      <w:color w:val="auto"/>
                      <w:kern w:val="21"/>
                      <w:sz w:val="21"/>
                      <w:szCs w:val="21"/>
                    </w:rPr>
                    <w:t>产生特征</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kern w:val="21"/>
                      <w:sz w:val="21"/>
                      <w:szCs w:val="21"/>
                      <w:highlight w:val="yellow"/>
                    </w:rPr>
                  </w:pPr>
                  <w:r>
                    <w:rPr>
                      <w:rFonts w:hint="default" w:ascii="Times New Roman" w:hAnsi="Times New Roman" w:eastAsia="宋体" w:cs="Times New Roman"/>
                      <w:b/>
                      <w:bCs/>
                      <w:color w:val="auto"/>
                      <w:kern w:val="21"/>
                      <w:sz w:val="21"/>
                      <w:szCs w:val="21"/>
                    </w:rPr>
                    <w:t>环保措施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废气</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反应釜</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甲醛、氨、有机废气</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热能中心燃烧处理</w:t>
                  </w:r>
                  <w:r>
                    <w:rPr>
                      <w:rFonts w:hint="default"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SNCR脱硝+</w:t>
                  </w:r>
                  <w:r>
                    <w:rPr>
                      <w:rFonts w:hint="default" w:ascii="Times New Roman" w:hAnsi="Times New Roman" w:eastAsia="宋体" w:cs="Times New Roman"/>
                      <w:color w:val="auto"/>
                      <w:kern w:val="21"/>
                      <w:sz w:val="21"/>
                      <w:szCs w:val="21"/>
                      <w:lang w:eastAsia="zh-CN"/>
                    </w:rPr>
                    <w:t>依托现有</w:t>
                  </w:r>
                  <w:r>
                    <w:rPr>
                      <w:rFonts w:hint="default" w:ascii="Times New Roman" w:hAnsi="Times New Roman" w:eastAsia="宋体" w:cs="Times New Roman"/>
                      <w:color w:val="auto"/>
                      <w:kern w:val="21"/>
                      <w:sz w:val="21"/>
                      <w:szCs w:val="21"/>
                    </w:rPr>
                    <w:t>旋风除尘</w:t>
                  </w:r>
                  <w:r>
                    <w:rPr>
                      <w:rFonts w:hint="eastAsia"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rPr>
                    <w:t>水膜除尘</w:t>
                  </w:r>
                  <w:r>
                    <w:rPr>
                      <w:rFonts w:hint="default"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25m高</w:t>
                  </w:r>
                  <w:r>
                    <w:rPr>
                      <w:rFonts w:hint="default" w:ascii="Times New Roman" w:hAnsi="Times New Roman" w:eastAsia="宋体" w:cs="Times New Roman"/>
                      <w:color w:val="auto"/>
                      <w:kern w:val="21"/>
                      <w:sz w:val="21"/>
                      <w:szCs w:val="21"/>
                      <w:lang w:eastAsia="zh-CN"/>
                    </w:rPr>
                    <w:t>排气筒</w:t>
                  </w:r>
                  <w:r>
                    <w:rPr>
                      <w:rFonts w:hint="default" w:ascii="Times New Roman" w:hAnsi="Times New Roman" w:eastAsia="宋体" w:cs="Times New Roman"/>
                      <w:color w:val="auto"/>
                      <w:kern w:val="21"/>
                      <w:sz w:val="21"/>
                      <w:szCs w:val="21"/>
                    </w:rPr>
                    <w:t>（</w:t>
                  </w:r>
                  <w:r>
                    <w:rPr>
                      <w:rFonts w:hint="default" w:ascii="Times New Roman" w:hAnsi="Times New Roman" w:eastAsia="宋体" w:cs="Times New Roman"/>
                      <w:color w:val="auto"/>
                      <w:kern w:val="21"/>
                      <w:sz w:val="21"/>
                      <w:szCs w:val="21"/>
                      <w:lang w:eastAsia="zh-CN"/>
                    </w:rPr>
                    <w:t>1#</w:t>
                  </w:r>
                  <w:r>
                    <w:rPr>
                      <w:rFonts w:hint="default" w:ascii="Times New Roman" w:hAnsi="Times New Roman" w:eastAsia="宋体" w:cs="Times New Roman"/>
                      <w:color w:val="auto"/>
                      <w:kern w:val="2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eastAsia" w:ascii="Times New Roman" w:hAnsi="Times New Roman" w:eastAsia="宋体" w:cs="Times New Roman"/>
                      <w:color w:val="auto"/>
                      <w:kern w:val="21"/>
                      <w:sz w:val="21"/>
                      <w:szCs w:val="21"/>
                      <w:lang w:eastAsia="zh-CN"/>
                    </w:rPr>
                    <w:t>热能中心</w:t>
                  </w:r>
                  <w:r>
                    <w:rPr>
                      <w:rFonts w:hint="default" w:ascii="Times New Roman" w:hAnsi="Times New Roman" w:eastAsia="宋体" w:cs="Times New Roman"/>
                      <w:color w:val="auto"/>
                      <w:kern w:val="21"/>
                      <w:sz w:val="21"/>
                      <w:szCs w:val="21"/>
                      <w:lang w:eastAsia="zh-CN"/>
                    </w:rPr>
                    <w:t>生物质燃烧</w:t>
                  </w:r>
                  <w:r>
                    <w:rPr>
                      <w:rFonts w:hint="eastAsia" w:ascii="Times New Roman" w:hAnsi="Times New Roman" w:eastAsia="宋体" w:cs="Times New Roman"/>
                      <w:color w:val="auto"/>
                      <w:kern w:val="21"/>
                      <w:sz w:val="21"/>
                      <w:szCs w:val="21"/>
                      <w:lang w:eastAsia="zh-CN"/>
                    </w:rPr>
                    <w:t>、木屑</w:t>
                  </w:r>
                  <w:r>
                    <w:rPr>
                      <w:rFonts w:hint="default" w:ascii="Times New Roman" w:hAnsi="Times New Roman" w:eastAsia="宋体" w:cs="Times New Roman"/>
                      <w:color w:val="auto"/>
                      <w:kern w:val="21"/>
                      <w:sz w:val="21"/>
                      <w:szCs w:val="21"/>
                      <w:lang w:eastAsia="zh-CN"/>
                    </w:rPr>
                    <w:t>干燥</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颗粒物、氮氧化物、二氧化硫、汞及其化合物、有机废气</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粉碎</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颗粒物</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lang w:eastAsia="zh-CN"/>
                    </w:rPr>
                    <w:t>旋风除尘</w:t>
                  </w:r>
                  <w:r>
                    <w:rPr>
                      <w:rFonts w:hint="default" w:ascii="Times New Roman" w:hAnsi="Times New Roman" w:eastAsia="宋体" w:cs="Times New Roman"/>
                      <w:color w:val="auto"/>
                      <w:kern w:val="21"/>
                      <w:sz w:val="21"/>
                      <w:szCs w:val="21"/>
                    </w:rPr>
                    <w:t>+布袋除尘+15m高排气筒（</w:t>
                  </w:r>
                  <w:r>
                    <w:rPr>
                      <w:rFonts w:hint="default" w:ascii="Times New Roman" w:hAnsi="Times New Roman" w:eastAsia="宋体" w:cs="Times New Roman"/>
                      <w:color w:val="auto"/>
                      <w:kern w:val="21"/>
                      <w:sz w:val="21"/>
                      <w:szCs w:val="21"/>
                      <w:lang w:val="en-US" w:eastAsia="zh-CN"/>
                    </w:rPr>
                    <w:t>2</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筛分</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颗粒物</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rPr>
                    <w:t>布袋除尘+15m高排气筒（</w:t>
                  </w:r>
                  <w:r>
                    <w:rPr>
                      <w:rFonts w:hint="default" w:ascii="Times New Roman" w:hAnsi="Times New Roman" w:eastAsia="宋体" w:cs="Times New Roman"/>
                      <w:color w:val="auto"/>
                      <w:kern w:val="21"/>
                      <w:sz w:val="21"/>
                      <w:szCs w:val="21"/>
                      <w:lang w:val="en-US" w:eastAsia="zh-CN"/>
                    </w:rPr>
                    <w:t>2</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风选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颗粒物</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eastAsia="zh-CN"/>
                    </w:rPr>
                    <w:t>旋风</w:t>
                  </w:r>
                  <w:r>
                    <w:rPr>
                      <w:rFonts w:hint="default" w:ascii="Times New Roman" w:hAnsi="Times New Roman" w:eastAsia="宋体" w:cs="Times New Roman"/>
                      <w:color w:val="auto"/>
                      <w:kern w:val="21"/>
                      <w:sz w:val="21"/>
                      <w:szCs w:val="21"/>
                    </w:rPr>
                    <w:t>除尘+15m高排气筒（</w:t>
                  </w:r>
                  <w:r>
                    <w:rPr>
                      <w:rFonts w:hint="default" w:ascii="Times New Roman" w:hAnsi="Times New Roman" w:eastAsia="宋体" w:cs="Times New Roman"/>
                      <w:color w:val="auto"/>
                      <w:kern w:val="21"/>
                      <w:sz w:val="21"/>
                      <w:szCs w:val="21"/>
                      <w:lang w:val="en-US" w:eastAsia="zh-CN"/>
                    </w:rPr>
                    <w:t>4</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锯边砂光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颗粒物</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eastAsia="zh-CN"/>
                    </w:rPr>
                    <w:t>布袋除尘</w:t>
                  </w:r>
                  <w:r>
                    <w:rPr>
                      <w:rFonts w:hint="default" w:ascii="Times New Roman" w:hAnsi="Times New Roman" w:eastAsia="宋体" w:cs="Times New Roman"/>
                      <w:color w:val="auto"/>
                      <w:kern w:val="21"/>
                      <w:sz w:val="21"/>
                      <w:szCs w:val="21"/>
                    </w:rPr>
                    <w:t>+15m高排气筒（</w:t>
                  </w:r>
                  <w:r>
                    <w:rPr>
                      <w:rFonts w:hint="default" w:ascii="Times New Roman" w:hAnsi="Times New Roman" w:eastAsia="宋体" w:cs="Times New Roman"/>
                      <w:color w:val="auto"/>
                      <w:kern w:val="21"/>
                      <w:sz w:val="21"/>
                      <w:szCs w:val="21"/>
                      <w:lang w:val="en-US" w:eastAsia="zh-CN"/>
                    </w:rPr>
                    <w:t>5</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甲醛储罐大小呼吸</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甲醛、有机废气</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二级</w:t>
                  </w:r>
                  <w:r>
                    <w:rPr>
                      <w:rFonts w:hint="default" w:ascii="Times New Roman" w:hAnsi="Times New Roman" w:eastAsia="宋体" w:cs="Times New Roman"/>
                      <w:color w:val="auto"/>
                      <w:kern w:val="21"/>
                      <w:sz w:val="21"/>
                      <w:szCs w:val="21"/>
                    </w:rPr>
                    <w:t>活性炭吸附装置+15m高排气筒</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lang w:val="en-US" w:eastAsia="zh-CN"/>
                    </w:rPr>
                    <w:t>6#</w:t>
                  </w:r>
                  <w:r>
                    <w:rPr>
                      <w:rFonts w:hint="default" w:ascii="Times New Roman" w:hAnsi="Times New Roman" w:eastAsia="宋体" w:cs="Times New Roman"/>
                      <w:color w:val="auto"/>
                      <w:kern w:val="21"/>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val="en-US" w:eastAsia="zh-CN"/>
                    </w:rPr>
                    <w:t>桥洞板</w:t>
                  </w:r>
                  <w:r>
                    <w:rPr>
                      <w:rFonts w:hint="default" w:ascii="Times New Roman" w:hAnsi="Times New Roman" w:eastAsia="宋体" w:cs="Times New Roman"/>
                      <w:color w:val="auto"/>
                      <w:kern w:val="21"/>
                      <w:sz w:val="21"/>
                      <w:szCs w:val="21"/>
                      <w:lang w:eastAsia="zh-CN"/>
                    </w:rPr>
                    <w:t>拌胶、热压</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甲醛、有机废气</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lang w:eastAsia="zh-CN"/>
                    </w:rPr>
                    <w:t>低氮燃烧装置</w:t>
                  </w:r>
                  <w:r>
                    <w:rPr>
                      <w:rFonts w:hint="default" w:ascii="Times New Roman" w:hAnsi="Times New Roman" w:eastAsia="宋体" w:cs="Times New Roman"/>
                      <w:color w:val="auto"/>
                      <w:kern w:val="21"/>
                      <w:sz w:val="21"/>
                      <w:szCs w:val="21"/>
                    </w:rPr>
                    <w:t>+15m高排气筒</w:t>
                  </w:r>
                  <w:r>
                    <w:rPr>
                      <w:rFonts w:hint="default"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天然气锅炉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颗粒物、氮氧化物、二氧化硫</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eastAsia" w:ascii="Times New Roman" w:hAnsi="Times New Roman" w:eastAsia="宋体" w:cs="Times New Roman"/>
                      <w:color w:val="auto"/>
                      <w:kern w:val="21"/>
                      <w:sz w:val="21"/>
                      <w:szCs w:val="21"/>
                      <w:lang w:eastAsia="zh-CN"/>
                    </w:rPr>
                    <w:t>员工办公生活</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eastAsia" w:ascii="Times New Roman" w:hAnsi="Times New Roman" w:eastAsia="宋体" w:cs="Times New Roman"/>
                      <w:color w:val="auto"/>
                      <w:kern w:val="21"/>
                      <w:sz w:val="21"/>
                      <w:szCs w:val="21"/>
                      <w:lang w:eastAsia="zh-CN"/>
                    </w:rPr>
                    <w:t>生活污水：</w:t>
                  </w:r>
                  <w:r>
                    <w:rPr>
                      <w:rFonts w:hint="default" w:ascii="Times New Roman" w:hAnsi="Times New Roman" w:eastAsia="宋体" w:cs="Times New Roman"/>
                      <w:color w:val="auto"/>
                      <w:kern w:val="21"/>
                      <w:sz w:val="21"/>
                      <w:szCs w:val="21"/>
                      <w:lang w:eastAsia="zh-CN"/>
                    </w:rPr>
                    <w:t>COD、BOD</w:t>
                  </w:r>
                  <w:r>
                    <w:rPr>
                      <w:rFonts w:hint="default" w:ascii="Times New Roman" w:hAnsi="Times New Roman" w:eastAsia="宋体" w:cs="Times New Roman"/>
                      <w:color w:val="auto"/>
                      <w:kern w:val="21"/>
                      <w:sz w:val="21"/>
                      <w:szCs w:val="21"/>
                      <w:vertAlign w:val="subscript"/>
                      <w:lang w:eastAsia="zh-CN"/>
                    </w:rPr>
                    <w:t>5</w:t>
                  </w:r>
                  <w:r>
                    <w:rPr>
                      <w:rFonts w:hint="default" w:ascii="Times New Roman" w:hAnsi="Times New Roman" w:eastAsia="宋体" w:cs="Times New Roman"/>
                      <w:color w:val="auto"/>
                      <w:kern w:val="21"/>
                      <w:sz w:val="21"/>
                      <w:szCs w:val="21"/>
                      <w:lang w:eastAsia="zh-CN"/>
                    </w:rPr>
                    <w:t>、NH</w:t>
                  </w:r>
                  <w:r>
                    <w:rPr>
                      <w:rFonts w:hint="default" w:ascii="Times New Roman" w:hAnsi="Times New Roman" w:eastAsia="宋体" w:cs="Times New Roman"/>
                      <w:color w:val="auto"/>
                      <w:kern w:val="21"/>
                      <w:sz w:val="21"/>
                      <w:szCs w:val="21"/>
                      <w:vertAlign w:val="subscript"/>
                      <w:lang w:eastAsia="zh-CN"/>
                    </w:rPr>
                    <w:t>3</w:t>
                  </w:r>
                  <w:r>
                    <w:rPr>
                      <w:rFonts w:hint="default" w:ascii="Times New Roman" w:hAnsi="Times New Roman" w:eastAsia="宋体" w:cs="Times New Roman"/>
                      <w:color w:val="auto"/>
                      <w:kern w:val="21"/>
                      <w:sz w:val="21"/>
                      <w:szCs w:val="21"/>
                      <w:lang w:eastAsia="zh-CN"/>
                    </w:rPr>
                    <w:t>-N、SS等</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cs="Times New Roman"/>
                      <w:color w:val="auto"/>
                      <w:sz w:val="21"/>
                      <w:szCs w:val="21"/>
                      <w:highlight w:val="none"/>
                      <w:lang w:eastAsia="zh-CN"/>
                    </w:rPr>
                    <w:t>依托厂区已建预处理池</w:t>
                  </w:r>
                  <w:r>
                    <w:rPr>
                      <w:rFonts w:hint="default" w:ascii="Times New Roman" w:hAnsi="Times New Roman" w:cs="Times New Roman"/>
                      <w:color w:val="auto"/>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highlight w:val="none"/>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软水制备</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软水制备浓水</w:t>
                  </w:r>
                  <w:r>
                    <w:rPr>
                      <w:rFonts w:hint="eastAsia"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kern w:val="21"/>
                      <w:sz w:val="21"/>
                      <w:szCs w:val="21"/>
                      <w:lang w:val="en-US" w:eastAsia="zh-CN"/>
                    </w:rPr>
                    <w:t>SS、盐类</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锅炉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锅炉排水</w:t>
                  </w:r>
                  <w:r>
                    <w:rPr>
                      <w:rFonts w:hint="eastAsia"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lang w:eastAsia="zh-CN"/>
                    </w:rPr>
                    <w:t>COD、SS</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pStyle w:val="34"/>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default" w:ascii="Times New Roman" w:hAnsi="Times New Roman"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eastAsia" w:ascii="Times New Roman" w:hAnsi="Times New Roman" w:eastAsia="宋体" w:cs="Times New Roman"/>
                      <w:color w:val="auto"/>
                      <w:kern w:val="21"/>
                      <w:sz w:val="21"/>
                      <w:szCs w:val="21"/>
                      <w:lang w:eastAsia="zh-CN"/>
                    </w:rPr>
                    <w:t>反应釜</w:t>
                  </w:r>
                  <w:r>
                    <w:rPr>
                      <w:rFonts w:hint="default" w:ascii="Times New Roman" w:hAnsi="Times New Roman" w:eastAsia="宋体" w:cs="Times New Roman"/>
                      <w:color w:val="auto"/>
                      <w:kern w:val="21"/>
                      <w:sz w:val="21"/>
                      <w:szCs w:val="21"/>
                      <w:lang w:eastAsia="zh-CN"/>
                    </w:rPr>
                    <w:t>循环冷却</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循环冷却水</w:t>
                  </w:r>
                  <w:r>
                    <w:rPr>
                      <w:rFonts w:hint="eastAsia"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lang w:eastAsia="zh-CN"/>
                    </w:rPr>
                    <w:t>SS</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水膜除尘</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水膜除尘废水</w:t>
                  </w:r>
                  <w:r>
                    <w:rPr>
                      <w:rFonts w:hint="eastAsia" w:ascii="Times New Roman" w:hAnsi="Times New Roman" w:eastAsia="宋体" w:cs="Times New Roman"/>
                      <w:color w:val="auto"/>
                      <w:kern w:val="21"/>
                      <w:sz w:val="21"/>
                      <w:szCs w:val="21"/>
                      <w:lang w:eastAsia="zh-CN"/>
                    </w:rPr>
                    <w:t>：</w:t>
                  </w:r>
                  <w:r>
                    <w:rPr>
                      <w:rFonts w:hint="default" w:ascii="Times New Roman" w:hAnsi="Times New Roman" w:eastAsia="宋体" w:cs="Times New Roman"/>
                      <w:color w:val="auto"/>
                      <w:kern w:val="21"/>
                      <w:sz w:val="21"/>
                      <w:szCs w:val="21"/>
                      <w:lang w:eastAsia="zh-CN"/>
                    </w:rPr>
                    <w:t>SS</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噪声</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设备</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LAeq</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选用低噪声设备、厂房隔声、基础减震、距离衰减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r>
                    <w:rPr>
                      <w:rFonts w:hint="default" w:ascii="Times New Roman" w:hAnsi="Times New Roman" w:eastAsia="宋体" w:cs="Times New Roman"/>
                      <w:color w:val="auto"/>
                      <w:kern w:val="21"/>
                      <w:sz w:val="21"/>
                      <w:szCs w:val="21"/>
                    </w:rPr>
                    <w:t>固废</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锯边</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边角料</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收集后回用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检验</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不合格品</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cs="Times New Roman"/>
                      <w:b w:val="0"/>
                      <w:bCs/>
                      <w:color w:val="auto"/>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除尘器</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收集的粉尘</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外售其他企业综合利用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原料</w:t>
                  </w:r>
                  <w:r>
                    <w:rPr>
                      <w:rFonts w:hint="eastAsia" w:ascii="Times New Roman" w:hAnsi="Times New Roman" w:eastAsia="宋体" w:cs="Times New Roman"/>
                      <w:color w:val="auto"/>
                      <w:kern w:val="21"/>
                      <w:sz w:val="21"/>
                      <w:szCs w:val="21"/>
                      <w:lang w:eastAsia="zh-CN"/>
                    </w:rPr>
                    <w:t>筛选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val="en-US" w:eastAsia="zh-CN"/>
                    </w:rPr>
                    <w:t>金属、石块等杂质</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间断</w:t>
                  </w:r>
                </w:p>
              </w:tc>
              <w:tc>
                <w:tcPr>
                  <w:tcW w:w="2516" w:type="dxa"/>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外售其他企业综合利用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包装、拆包</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废包装材料</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外售至废品回收部门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生物质锅炉、热能中心</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灰渣</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外售用于制作有机肥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水膜除尘器</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沉渣</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pStyle w:val="156"/>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反应釜清理</w:t>
                  </w:r>
                  <w:r>
                    <w:rPr>
                      <w:rFonts w:hint="eastAsia" w:ascii="Times New Roman" w:hAnsi="Times New Roman" w:eastAsia="宋体" w:cs="Times New Roman"/>
                      <w:color w:val="auto"/>
                      <w:kern w:val="21"/>
                      <w:sz w:val="21"/>
                      <w:szCs w:val="21"/>
                      <w:lang w:eastAsia="zh-CN"/>
                    </w:rPr>
                    <w:t>、胶水过滤</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废胶</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废气治理</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废活性炭</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jc w:val="center"/>
                    <w:rPr>
                      <w:rFonts w:hint="default" w:ascii="Times New Roman" w:hAnsi="Times New Roman" w:cs="Times New Roman"/>
                      <w:b w:val="0"/>
                      <w:bCs/>
                      <w:color w:val="auto"/>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设备维护</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废机油、废机油桶</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color w:val="auto"/>
                      <w:kern w:val="21"/>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设备维护</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含油手套</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color w:val="auto"/>
                      <w:kern w:val="21"/>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97" w:hRule="atLeast"/>
                <w:jc w:val="center"/>
              </w:trPr>
              <w:tc>
                <w:tcPr>
                  <w:tcW w:w="4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rPr>
                  </w:pP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导热油炉</w:t>
                  </w:r>
                </w:p>
              </w:tc>
              <w:tc>
                <w:tcPr>
                  <w:tcW w:w="24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eastAsia="zh-CN"/>
                    </w:rPr>
                    <w:t>废导热油</w:t>
                  </w:r>
                </w:p>
              </w:tc>
              <w:tc>
                <w:tcPr>
                  <w:tcW w:w="56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1"/>
                      <w:sz w:val="21"/>
                      <w:szCs w:val="21"/>
                      <w:lang w:eastAsia="zh-CN"/>
                    </w:rPr>
                  </w:pPr>
                  <w:r>
                    <w:rPr>
                      <w:rFonts w:hint="default" w:ascii="Times New Roman" w:hAnsi="Times New Roman" w:eastAsia="宋体" w:cs="Times New Roman"/>
                      <w:color w:val="auto"/>
                      <w:kern w:val="21"/>
                      <w:sz w:val="21"/>
                      <w:szCs w:val="21"/>
                      <w:lang w:eastAsia="zh-CN"/>
                    </w:rPr>
                    <w:t>间断</w:t>
                  </w:r>
                </w:p>
              </w:tc>
              <w:tc>
                <w:tcPr>
                  <w:tcW w:w="25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rPr>
                      <w:rFonts w:hint="default" w:ascii="Times New Roman" w:hAnsi="Times New Roman" w:cs="Times New Roman"/>
                      <w:color w:val="auto"/>
                      <w:kern w:val="21"/>
                      <w:sz w:val="21"/>
                      <w:szCs w:val="21"/>
                      <w:highlight w:val="yellow"/>
                    </w:rPr>
                  </w:pPr>
                </w:p>
              </w:tc>
            </w:tr>
          </w:tbl>
          <w:p>
            <w:pPr>
              <w:pStyle w:val="158"/>
              <w:spacing w:line="360" w:lineRule="auto"/>
              <w:ind w:left="0" w:right="0" w:firstLine="0"/>
              <w:jc w:val="both"/>
              <w:rPr>
                <w:rFonts w:hint="default" w:ascii="Times New Roman" w:hAnsi="Times New Roman" w:cs="Times New Roman"/>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23" w:type="dxa"/>
            <w:noWrap w:val="0"/>
            <w:vAlign w:val="center"/>
          </w:tcPr>
          <w:p>
            <w:pPr>
              <w:pStyle w:val="34"/>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bCs/>
                <w:color w:val="auto"/>
                <w:kern w:val="2"/>
                <w:szCs w:val="24"/>
              </w:rPr>
              <w:t>与项目有关的原有环境污染问题</w:t>
            </w:r>
          </w:p>
        </w:tc>
        <w:tc>
          <w:tcPr>
            <w:tcW w:w="8161" w:type="dxa"/>
            <w:noWrap w:val="0"/>
            <w:vAlign w:val="top"/>
          </w:tcPr>
          <w:p>
            <w:pPr>
              <w:spacing w:line="360" w:lineRule="auto"/>
              <w:ind w:firstLine="482" w:firstLineChars="200"/>
              <w:jc w:val="left"/>
              <w:rPr>
                <w:rFonts w:hint="eastAsia" w:ascii="Times New Roman" w:hAnsi="Times New Roman" w:eastAsia="宋体" w:cs="Times New Roman"/>
                <w:b/>
                <w:bCs/>
                <w:color w:val="auto"/>
                <w:sz w:val="24"/>
                <w:lang w:eastAsia="zh-CN"/>
              </w:rPr>
            </w:pPr>
            <w:r>
              <w:rPr>
                <w:rFonts w:hint="default" w:ascii="Times New Roman" w:hAnsi="Times New Roman" w:cs="Times New Roman"/>
                <w:b/>
                <w:bCs/>
                <w:color w:val="auto"/>
                <w:sz w:val="24"/>
              </w:rPr>
              <w:t>1、现有项目概况</w:t>
            </w:r>
            <w:r>
              <w:rPr>
                <w:rFonts w:hint="eastAsia" w:cs="Times New Roman"/>
                <w:b/>
                <w:bCs/>
                <w:color w:val="auto"/>
                <w:sz w:val="24"/>
                <w:lang w:eastAsia="zh-CN"/>
              </w:rPr>
              <w:t>及环保手续</w:t>
            </w:r>
            <w:r>
              <w:rPr>
                <w:rFonts w:hint="default" w:ascii="Times New Roman" w:hAnsi="Times New Roman" w:cs="Times New Roman"/>
                <w:b/>
                <w:bCs/>
                <w:color w:val="auto"/>
                <w:sz w:val="24"/>
                <w:highlight w:val="none"/>
              </w:rPr>
              <w:t>履行情况</w:t>
            </w:r>
          </w:p>
          <w:p>
            <w:pPr>
              <w:adjustRightInd w:val="0"/>
              <w:snapToGrid w:val="0"/>
              <w:spacing w:line="360" w:lineRule="auto"/>
              <w:ind w:firstLine="496" w:firstLineChars="207"/>
              <w:rPr>
                <w:rFonts w:hint="default" w:ascii="Times New Roman" w:hAnsi="Times New Roman" w:cs="Times New Roman"/>
                <w:bCs/>
                <w:color w:val="auto"/>
                <w:sz w:val="24"/>
                <w:lang w:val="en-US" w:eastAsia="zh-CN"/>
              </w:rPr>
            </w:pPr>
            <w:r>
              <w:rPr>
                <w:rFonts w:hint="default" w:ascii="Times New Roman" w:hAnsi="Times New Roman" w:cs="Times New Roman"/>
                <w:color w:val="auto"/>
                <w:sz w:val="24"/>
                <w:lang w:eastAsia="zh-CN"/>
              </w:rPr>
              <w:t>四川乐辰木业有限公司</w:t>
            </w:r>
            <w:r>
              <w:rPr>
                <w:rFonts w:hint="default" w:ascii="Times New Roman" w:hAnsi="Times New Roman" w:cs="Times New Roman"/>
                <w:color w:val="auto"/>
                <w:sz w:val="24"/>
              </w:rPr>
              <w:t>位于四川省遂宁市蓬溪县上游工业园西华拓展区，于20</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月完成了《</w:t>
            </w:r>
            <w:r>
              <w:rPr>
                <w:rFonts w:hint="default" w:ascii="Times New Roman" w:hAnsi="Times New Roman" w:cs="Times New Roman"/>
                <w:bCs/>
                <w:color w:val="auto"/>
                <w:sz w:val="24"/>
              </w:rPr>
              <w:t>家具板材生产线建设项目</w:t>
            </w:r>
            <w:r>
              <w:rPr>
                <w:rFonts w:hint="default" w:ascii="Times New Roman" w:hAnsi="Times New Roman" w:cs="Times New Roman"/>
                <w:color w:val="auto"/>
                <w:sz w:val="24"/>
              </w:rPr>
              <w:t>环境影响报告</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rPr>
              <w:t>》（下文简称为“现有项目”）的编制</w:t>
            </w:r>
            <w:r>
              <w:rPr>
                <w:rFonts w:hint="default" w:ascii="Times New Roman" w:hAnsi="Times New Roman" w:cs="Times New Roman"/>
                <w:color w:val="auto"/>
                <w:sz w:val="24"/>
                <w:highlight w:val="none"/>
              </w:rPr>
              <w:t>，并</w:t>
            </w:r>
            <w:r>
              <w:rPr>
                <w:rFonts w:hint="default" w:ascii="Times New Roman" w:hAnsi="Times New Roman" w:cs="Times New Roman"/>
                <w:color w:val="auto"/>
                <w:sz w:val="24"/>
                <w:highlight w:val="none"/>
                <w:lang w:eastAsia="zh-CN"/>
              </w:rPr>
              <w:t>于</w:t>
            </w:r>
            <w:r>
              <w:rPr>
                <w:rFonts w:hint="default" w:ascii="Times New Roman" w:hAnsi="Times New Roman" w:eastAsia="宋体" w:cs="Times New Roman"/>
                <w:bCs/>
                <w:color w:val="auto"/>
                <w:sz w:val="24"/>
                <w:szCs w:val="24"/>
              </w:rPr>
              <w:t>202</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年</w:t>
            </w:r>
            <w:r>
              <w:rPr>
                <w:rFonts w:hint="default"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rPr>
              <w:t>月</w:t>
            </w:r>
            <w:r>
              <w:rPr>
                <w:rFonts w:hint="default" w:ascii="Times New Roman" w:hAnsi="Times New Roman" w:eastAsia="宋体" w:cs="Times New Roman"/>
                <w:bCs/>
                <w:color w:val="auto"/>
                <w:sz w:val="24"/>
                <w:szCs w:val="24"/>
                <w:lang w:val="en-US" w:eastAsia="zh-CN"/>
              </w:rPr>
              <w:t>9</w:t>
            </w:r>
            <w:r>
              <w:rPr>
                <w:rFonts w:hint="default" w:ascii="Times New Roman" w:hAnsi="Times New Roman" w:eastAsia="宋体" w:cs="Times New Roman"/>
                <w:bCs/>
                <w:color w:val="auto"/>
                <w:sz w:val="24"/>
                <w:szCs w:val="24"/>
              </w:rPr>
              <w:t>日</w:t>
            </w:r>
            <w:r>
              <w:rPr>
                <w:rFonts w:hint="default" w:ascii="Times New Roman" w:hAnsi="Times New Roman" w:cs="Times New Roman"/>
                <w:color w:val="auto"/>
                <w:sz w:val="24"/>
                <w:highlight w:val="none"/>
              </w:rPr>
              <w:t>取得</w:t>
            </w:r>
            <w:r>
              <w:rPr>
                <w:rFonts w:hint="default" w:ascii="Times New Roman" w:hAnsi="Times New Roman" w:cs="Times New Roman"/>
                <w:color w:val="auto"/>
                <w:sz w:val="24"/>
                <w:highlight w:val="none"/>
                <w:lang w:eastAsia="zh-CN"/>
              </w:rPr>
              <w:t>遂宁市蓬溪</w:t>
            </w:r>
            <w:r>
              <w:rPr>
                <w:rFonts w:hint="default" w:ascii="Times New Roman" w:hAnsi="Times New Roman" w:cs="Times New Roman"/>
                <w:color w:val="auto"/>
                <w:sz w:val="24"/>
                <w:highlight w:val="none"/>
              </w:rPr>
              <w:t>生态环境局出具的</w:t>
            </w:r>
            <w:r>
              <w:rPr>
                <w:rFonts w:hint="default" w:ascii="Times New Roman" w:hAnsi="Times New Roman" w:cs="Times New Roman"/>
                <w:color w:val="auto"/>
                <w:sz w:val="24"/>
                <w:highlight w:val="none"/>
                <w:lang w:eastAsia="zh-CN"/>
              </w:rPr>
              <w:t>环评批复</w:t>
            </w:r>
            <w:r>
              <w:rPr>
                <w:rFonts w:hint="default" w:ascii="Times New Roman" w:hAnsi="Times New Roman" w:cs="Times New Roman"/>
                <w:color w:val="auto"/>
                <w:sz w:val="24"/>
                <w:highlight w:val="none"/>
              </w:rPr>
              <w:t>（</w:t>
            </w:r>
            <w:r>
              <w:rPr>
                <w:rFonts w:hint="default" w:ascii="Times New Roman" w:hAnsi="Times New Roman" w:eastAsia="宋体" w:cs="Times New Roman"/>
                <w:bCs/>
                <w:color w:val="auto"/>
                <w:sz w:val="24"/>
                <w:szCs w:val="24"/>
                <w:highlight w:val="none"/>
                <w:lang w:eastAsia="zh-CN"/>
              </w:rPr>
              <w:t>遂蓬环函〔2021〕63号</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lang w:val="en-US" w:eastAsia="zh-CN"/>
              </w:rPr>
              <w:t>批复的建设内容为：购置刨皮机、削片机、热压机、粉碎机等机械设备用于家具板材的生产，该项目生产线共2条，其中一期年产6万立方米，二期年产10万立方米，共年产16万立方米。</w:t>
            </w:r>
          </w:p>
          <w:p>
            <w:pPr>
              <w:widowControl/>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bCs/>
                <w:color w:val="auto"/>
                <w:sz w:val="24"/>
                <w:lang w:val="en-US" w:eastAsia="zh-CN"/>
              </w:rPr>
              <w:t>取得环评批复后</w:t>
            </w:r>
            <w:r>
              <w:rPr>
                <w:rFonts w:hint="default" w:ascii="Times New Roman" w:hAnsi="Times New Roman" w:eastAsia="宋体" w:cs="Times New Roman"/>
                <w:bCs/>
                <w:color w:val="auto"/>
                <w:sz w:val="24"/>
              </w:rPr>
              <w:t>四川乐辰木业有限公司</w:t>
            </w:r>
            <w:r>
              <w:rPr>
                <w:rFonts w:hint="default" w:ascii="Times New Roman" w:hAnsi="Times New Roman" w:eastAsia="宋体" w:cs="Times New Roman"/>
                <w:bCs/>
                <w:color w:val="auto"/>
                <w:sz w:val="24"/>
                <w:lang w:val="en-US" w:eastAsia="zh-CN"/>
              </w:rPr>
              <w:t>随即开始建设，由于市场原因建设过程中对家具板材生产线建设项目进行分期建设，一期建设板材生产线一条，产能为8万立方米，已于2024年1月完成竣工环境保护验收，取得验收意见，剩余生产线尚未建设。</w:t>
            </w:r>
            <w:r>
              <w:rPr>
                <w:rFonts w:hint="default" w:ascii="Times New Roman" w:hAnsi="Times New Roman" w:cs="Times New Roman"/>
                <w:bCs/>
                <w:color w:val="auto"/>
                <w:sz w:val="24"/>
                <w:lang w:val="en-US" w:eastAsia="zh-CN"/>
              </w:rPr>
              <w:t>建设单位</w:t>
            </w:r>
            <w:r>
              <w:rPr>
                <w:rFonts w:hint="default" w:ascii="Times New Roman" w:hAnsi="Times New Roman" w:eastAsia="宋体" w:cs="Times New Roman"/>
                <w:color w:val="auto"/>
                <w:sz w:val="24"/>
                <w:szCs w:val="24"/>
              </w:rPr>
              <w:t>于2022年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日根据</w:t>
            </w:r>
            <w:r>
              <w:rPr>
                <w:rFonts w:hint="default" w:ascii="Times New Roman" w:hAnsi="Times New Roman" w:eastAsia="宋体" w:cs="Times New Roman"/>
                <w:color w:val="auto"/>
                <w:sz w:val="24"/>
                <w:szCs w:val="24"/>
                <w:lang w:eastAsia="zh-CN"/>
              </w:rPr>
              <w:t>现有项目</w:t>
            </w:r>
            <w:r>
              <w:rPr>
                <w:rFonts w:hint="default" w:ascii="Times New Roman" w:hAnsi="Times New Roman" w:eastAsia="宋体" w:cs="Times New Roman"/>
                <w:color w:val="auto"/>
                <w:sz w:val="24"/>
                <w:szCs w:val="24"/>
              </w:rPr>
              <w:t>情况</w:t>
            </w:r>
            <w:r>
              <w:rPr>
                <w:rFonts w:hint="default" w:ascii="Times New Roman" w:hAnsi="Times New Roman" w:eastAsia="宋体" w:cs="Times New Roman"/>
                <w:color w:val="auto"/>
                <w:sz w:val="24"/>
                <w:szCs w:val="24"/>
                <w:lang w:eastAsia="zh-CN"/>
              </w:rPr>
              <w:t>申请</w:t>
            </w:r>
            <w:r>
              <w:rPr>
                <w:rFonts w:hint="default" w:ascii="Times New Roman" w:hAnsi="Times New Roman" w:eastAsia="宋体" w:cs="Times New Roman"/>
                <w:color w:val="auto"/>
                <w:sz w:val="24"/>
                <w:szCs w:val="24"/>
              </w:rPr>
              <w:t>排污许可证（许可证编号为：</w:t>
            </w:r>
            <w:r>
              <w:rPr>
                <w:rFonts w:hint="default" w:ascii="Times New Roman" w:hAnsi="Times New Roman" w:eastAsia="宋体" w:cs="Times New Roman"/>
                <w:color w:val="auto"/>
                <w:sz w:val="24"/>
                <w:szCs w:val="24"/>
                <w:lang w:eastAsia="zh-CN"/>
              </w:rPr>
              <w:t>91510921MAACLQYWXE001Q</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ind w:firstLine="496" w:firstLineChars="207"/>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现有项目环保手续履行情况见下表。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ind w:leftChars="0"/>
              <w:jc w:val="center"/>
              <w:textAlignment w:val="auto"/>
              <w:rPr>
                <w:rFonts w:hint="default" w:ascii="Times New Roman" w:hAnsi="Times New Roman" w:eastAsia="宋体" w:cs="Times New Roman"/>
                <w:b/>
                <w:bCs/>
                <w:color w:val="auto"/>
                <w:kern w:val="2"/>
                <w:sz w:val="21"/>
                <w:szCs w:val="20"/>
                <w:lang w:val="en-US" w:eastAsia="zh-CN" w:bidi="ar-SA"/>
              </w:rPr>
            </w:pPr>
            <w:r>
              <w:rPr>
                <w:rFonts w:hint="eastAsia" w:ascii="Times New Roman" w:hAnsi="Times New Roman" w:eastAsia="宋体" w:cs="Times New Roman"/>
                <w:b/>
                <w:bCs/>
                <w:color w:val="auto"/>
                <w:kern w:val="2"/>
                <w:sz w:val="21"/>
                <w:szCs w:val="20"/>
                <w:lang w:val="en-US" w:eastAsia="zh-CN" w:bidi="ar-SA"/>
              </w:rPr>
              <w:t xml:space="preserve">表2-11  </w:t>
            </w:r>
            <w:r>
              <w:rPr>
                <w:rFonts w:hint="default" w:ascii="Times New Roman" w:hAnsi="Times New Roman" w:eastAsia="宋体" w:cs="Times New Roman"/>
                <w:b/>
                <w:bCs/>
                <w:color w:val="auto"/>
                <w:kern w:val="2"/>
                <w:sz w:val="21"/>
                <w:szCs w:val="20"/>
                <w:lang w:val="en-US" w:eastAsia="zh-CN" w:bidi="ar-SA"/>
              </w:rPr>
              <w:t>现有项目环保手续情况表</w:t>
            </w:r>
          </w:p>
          <w:tbl>
            <w:tblPr>
              <w:tblStyle w:val="39"/>
              <w:tblW w:w="79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7"/>
              <w:gridCol w:w="958"/>
              <w:gridCol w:w="1648"/>
              <w:gridCol w:w="1484"/>
              <w:gridCol w:w="1210"/>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5" w:hRule="atLeast"/>
                <w:tblHeader/>
                <w:jc w:val="center"/>
              </w:trPr>
              <w:tc>
                <w:tcPr>
                  <w:tcW w:w="807"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项目名称</w:t>
                  </w:r>
                </w:p>
              </w:tc>
              <w:tc>
                <w:tcPr>
                  <w:tcW w:w="958"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产品方案</w:t>
                  </w:r>
                </w:p>
              </w:tc>
              <w:tc>
                <w:tcPr>
                  <w:tcW w:w="1648"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环评情况</w:t>
                  </w:r>
                </w:p>
              </w:tc>
              <w:tc>
                <w:tcPr>
                  <w:tcW w:w="1484"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验收情况</w:t>
                  </w:r>
                </w:p>
              </w:tc>
              <w:tc>
                <w:tcPr>
                  <w:tcW w:w="1210"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排污许可证</w:t>
                  </w:r>
                </w:p>
              </w:tc>
              <w:tc>
                <w:tcPr>
                  <w:tcW w:w="1833"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25" w:hRule="atLeast"/>
                <w:tblHeader/>
                <w:jc w:val="center"/>
              </w:trPr>
              <w:tc>
                <w:tcPr>
                  <w:tcW w:w="807"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家具板材生产线建设项目</w:t>
                  </w:r>
                </w:p>
              </w:tc>
              <w:tc>
                <w:tcPr>
                  <w:tcW w:w="958"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eastAsia="zh-CN"/>
                    </w:rPr>
                    <w:t>两条家具板材生产线，年产</w:t>
                  </w:r>
                  <w:r>
                    <w:rPr>
                      <w:rFonts w:hint="default" w:ascii="Times New Roman" w:hAnsi="Times New Roman" w:eastAsia="宋体" w:cs="Times New Roman"/>
                      <w:color w:val="auto"/>
                      <w:szCs w:val="24"/>
                      <w:lang w:val="en-US" w:eastAsia="zh-CN"/>
                    </w:rPr>
                    <w:t>16万立方米</w:t>
                  </w:r>
                </w:p>
              </w:tc>
              <w:tc>
                <w:tcPr>
                  <w:tcW w:w="1648"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2021年10月9日取得</w:t>
                  </w:r>
                  <w:r>
                    <w:rPr>
                      <w:rFonts w:hint="default" w:ascii="Times New Roman" w:hAnsi="Times New Roman" w:eastAsia="宋体" w:cs="Times New Roman"/>
                      <w:color w:val="auto"/>
                      <w:szCs w:val="24"/>
                      <w:lang w:eastAsia="zh-CN"/>
                    </w:rPr>
                    <w:t>遂宁市蓬溪生态环境局（遂蓬环函〔2021〕63号）</w:t>
                  </w:r>
                </w:p>
              </w:tc>
              <w:tc>
                <w:tcPr>
                  <w:tcW w:w="1484"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2024年1月取得竣工环境保护验收意见</w:t>
                  </w:r>
                </w:p>
              </w:tc>
              <w:tc>
                <w:tcPr>
                  <w:tcW w:w="1210" w:type="dxa"/>
                  <w:tcBorders>
                    <w:tl2br w:val="nil"/>
                    <w:tr2bl w:val="nil"/>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证书编号：91510921MAACLQYWXE001Q</w:t>
                  </w:r>
                </w:p>
              </w:tc>
              <w:tc>
                <w:tcPr>
                  <w:tcW w:w="1833" w:type="dxa"/>
                  <w:tcBorders>
                    <w:tl2br w:val="nil"/>
                    <w:tr2bl w:val="nil"/>
                  </w:tcBorders>
                  <w:noWrap w:val="0"/>
                  <w:tcMar>
                    <w:left w:w="28" w:type="dxa"/>
                    <w:right w:w="28" w:type="dxa"/>
                  </w:tcMar>
                  <w:vAlign w:val="center"/>
                </w:tcPr>
                <w:p>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hint="default" w:ascii="Times New Roman" w:hAnsi="Times New Roman" w:eastAsia="宋体" w:cs="Times New Roman"/>
                      <w:color w:val="auto"/>
                      <w:kern w:val="0"/>
                      <w:sz w:val="24"/>
                      <w:szCs w:val="21"/>
                      <w:highlight w:val="yellow"/>
                      <w:lang w:val="en-US" w:eastAsia="zh-CN" w:bidi="ar-SA"/>
                    </w:rPr>
                  </w:pPr>
                  <w:r>
                    <w:rPr>
                      <w:rFonts w:hint="default" w:ascii="Times New Roman" w:hAnsi="Times New Roman" w:eastAsia="宋体" w:cs="Times New Roman"/>
                      <w:color w:val="auto"/>
                      <w:kern w:val="0"/>
                      <w:sz w:val="21"/>
                      <w:szCs w:val="21"/>
                      <w:lang w:val="en-US" w:eastAsia="zh-CN" w:bidi="ar-SA"/>
                    </w:rPr>
                    <w:t>2024年建成投产一条家具板材生产线，年产8万立方米，剩余生产线尚未建设验收。</w:t>
                  </w:r>
                </w:p>
              </w:tc>
            </w:tr>
          </w:tbl>
          <w:p>
            <w:pPr>
              <w:spacing w:line="360" w:lineRule="auto"/>
              <w:ind w:firstLine="480" w:firstLineChars="200"/>
              <w:rPr>
                <w:rFonts w:hint="default" w:ascii="Times New Roman" w:hAnsi="Times New Roman" w:cs="Times New Roman"/>
                <w:color w:val="auto"/>
                <w:sz w:val="24"/>
                <w:highlight w:val="none"/>
              </w:rPr>
            </w:pPr>
          </w:p>
          <w:p>
            <w:pPr>
              <w:adjustRightInd w:val="0"/>
              <w:snapToGrid w:val="0"/>
              <w:spacing w:line="360" w:lineRule="auto"/>
              <w:ind w:firstLine="482" w:firstLineChars="200"/>
              <w:rPr>
                <w:rFonts w:hint="default" w:ascii="Times New Roman" w:hAnsi="Times New Roman" w:cs="Times New Roman"/>
                <w:bCs/>
                <w:color w:val="auto"/>
                <w:sz w:val="24"/>
                <w:highlight w:val="none"/>
              </w:rPr>
            </w:pPr>
            <w:r>
              <w:rPr>
                <w:rFonts w:hint="default" w:ascii="Times New Roman" w:hAnsi="Times New Roman" w:cs="Times New Roman"/>
                <w:b/>
                <w:bCs/>
                <w:color w:val="auto"/>
                <w:sz w:val="24"/>
                <w:highlight w:val="none"/>
              </w:rPr>
              <w:t>2、现有项目污染物排放及治理情况</w:t>
            </w: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（1）废气</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木料加工粉尘</w:t>
            </w:r>
            <w:r>
              <w:rPr>
                <w:rFonts w:hint="default" w:ascii="Times New Roman" w:hAnsi="Times New Roman" w:cs="Times New Roman"/>
                <w:b/>
                <w:bCs/>
                <w:color w:val="auto"/>
                <w:sz w:val="24"/>
                <w:szCs w:val="24"/>
                <w:lang w:eastAsia="zh-CN"/>
              </w:rPr>
              <w:t>、筛选粉尘</w:t>
            </w:r>
            <w:r>
              <w:rPr>
                <w:rFonts w:hint="eastAsia" w:ascii="Times New Roman" w:hAnsi="Times New Roman" w:cs="Times New Roman"/>
                <w:b/>
                <w:bCs/>
                <w:color w:val="auto"/>
                <w:sz w:val="24"/>
                <w:szCs w:val="24"/>
                <w:lang w:eastAsia="zh-CN"/>
              </w:rPr>
              <w:t>：</w:t>
            </w:r>
          </w:p>
          <w:p>
            <w:pPr>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项目在木料加工处理阶段设置</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套脉冲式布袋除尘器，其中</w:t>
            </w:r>
            <w:r>
              <w:rPr>
                <w:rFonts w:hint="default" w:ascii="Times New Roman" w:hAnsi="Times New Roman" w:cs="Times New Roman"/>
                <w:color w:val="auto"/>
                <w:sz w:val="24"/>
                <w:szCs w:val="24"/>
                <w:lang w:eastAsia="zh-CN"/>
              </w:rPr>
              <w:t>粉碎</w:t>
            </w:r>
            <w:r>
              <w:rPr>
                <w:rFonts w:hint="default" w:ascii="Times New Roman" w:hAnsi="Times New Roman" w:cs="Times New Roman"/>
                <w:color w:val="auto"/>
                <w:sz w:val="24"/>
                <w:szCs w:val="24"/>
              </w:rPr>
              <w:t>工序产生的粉尘先经过旋风除尘器进行处理后，再通入1#脉冲式布袋除尘器</w:t>
            </w:r>
            <w:r>
              <w:rPr>
                <w:rFonts w:hint="default" w:ascii="Times New Roman" w:hAnsi="Times New Roman" w:cs="Times New Roman"/>
                <w:color w:val="auto"/>
                <w:sz w:val="24"/>
                <w:szCs w:val="24"/>
                <w:lang w:eastAsia="zh-CN"/>
              </w:rPr>
              <w:t>；切片工序设置集气罩，经</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脉冲式布袋除尘器进行处理</w:t>
            </w:r>
            <w:r>
              <w:rPr>
                <w:rFonts w:hint="default" w:ascii="Times New Roman" w:hAnsi="Times New Roman" w:cs="Times New Roman"/>
                <w:color w:val="auto"/>
                <w:sz w:val="24"/>
                <w:szCs w:val="24"/>
                <w:lang w:val="en-US" w:eastAsia="zh-CN"/>
              </w:rPr>
              <w:t>（此工序目前</w:t>
            </w:r>
            <w:r>
              <w:rPr>
                <w:rFonts w:hint="eastAsia" w:ascii="Times New Roman" w:hAnsi="Times New Roman" w:cs="Times New Roman"/>
                <w:color w:val="auto"/>
                <w:sz w:val="24"/>
                <w:szCs w:val="24"/>
                <w:lang w:val="en-US" w:eastAsia="zh-CN"/>
              </w:rPr>
              <w:t>已停用</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；其余筛选等工序产生的粉尘直接通入</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#脉冲布袋除尘器处理；此工序共设置</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台脉冲式布袋除尘器，经1根15m排气筒（2#）排放。削片工序使用喷淋进行湿式作业，降低粉尘产生，并在车间门口安装喷淋装置，控制粉尘排放。</w:t>
            </w:r>
          </w:p>
          <w:p>
            <w:pPr>
              <w:adjustRightInd w:val="0"/>
              <w:snapToGrid w:val="0"/>
              <w:spacing w:line="360" w:lineRule="auto"/>
              <w:ind w:firstLine="482" w:firstLineChars="200"/>
              <w:rPr>
                <w:rFonts w:hint="eastAsia" w:ascii="Times New Roman" w:hAnsi="Times New Roman" w:eastAsia="宋体" w:cs="Times New Roman"/>
                <w:b/>
                <w:bCs/>
                <w:color w:val="auto"/>
                <w:sz w:val="24"/>
                <w:lang w:eastAsia="zh-CN"/>
              </w:rPr>
            </w:pPr>
            <w:r>
              <w:rPr>
                <w:rFonts w:hint="default" w:ascii="Times New Roman" w:hAnsi="Times New Roman" w:cs="Times New Roman"/>
                <w:b/>
                <w:color w:val="auto"/>
                <w:sz w:val="24"/>
              </w:rPr>
              <w:t>裁边、砂光粉尘</w:t>
            </w:r>
            <w:r>
              <w:rPr>
                <w:rFonts w:hint="eastAsia" w:ascii="Times New Roman" w:hAnsi="Times New Roman" w:cs="Times New Roman"/>
                <w:b/>
                <w:color w:val="auto"/>
                <w:sz w:val="24"/>
                <w:lang w:eastAsia="zh-CN"/>
              </w:rPr>
              <w:t>：</w:t>
            </w:r>
          </w:p>
          <w:p>
            <w:pPr>
              <w:adjustRightInd w:val="0"/>
              <w:snapToGrid w:val="0"/>
              <w:spacing w:line="360" w:lineRule="auto"/>
              <w:ind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eastAsia="zh-CN"/>
              </w:rPr>
              <w:t>裁边砂光区</w:t>
            </w:r>
            <w:r>
              <w:rPr>
                <w:rFonts w:hint="default" w:ascii="Times New Roman" w:hAnsi="Times New Roman" w:cs="Times New Roman"/>
                <w:color w:val="auto"/>
                <w:sz w:val="24"/>
                <w:szCs w:val="24"/>
              </w:rPr>
              <w:t>设置1套</w:t>
            </w:r>
            <w:r>
              <w:rPr>
                <w:rFonts w:hint="default" w:ascii="Times New Roman" w:hAnsi="Times New Roman" w:cs="Times New Roman"/>
                <w:color w:val="auto"/>
                <w:sz w:val="24"/>
                <w:szCs w:val="24"/>
                <w:lang w:eastAsia="zh-CN"/>
              </w:rPr>
              <w:t>旋风除尘器</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#脉冲式布袋除尘器，用于</w:t>
            </w:r>
            <w:r>
              <w:rPr>
                <w:rFonts w:hint="default" w:ascii="Times New Roman" w:hAnsi="Times New Roman" w:cs="Times New Roman"/>
                <w:color w:val="auto"/>
                <w:sz w:val="24"/>
                <w:szCs w:val="24"/>
                <w:lang w:eastAsia="zh-CN"/>
              </w:rPr>
              <w:t>处理</w:t>
            </w:r>
            <w:r>
              <w:rPr>
                <w:rFonts w:hint="default" w:ascii="Times New Roman" w:hAnsi="Times New Roman" w:cs="Times New Roman"/>
                <w:color w:val="auto"/>
                <w:sz w:val="24"/>
                <w:szCs w:val="24"/>
              </w:rPr>
              <w:t>毛坯处理（裁边、砂光）产生的粉尘，除尘系统风机工作时，粉尘被集尘罩捕集，经抽风系统抽至</w:t>
            </w:r>
            <w:r>
              <w:rPr>
                <w:rFonts w:hint="default" w:ascii="Times New Roman" w:hAnsi="Times New Roman" w:cs="Times New Roman"/>
                <w:color w:val="auto"/>
                <w:sz w:val="24"/>
                <w:szCs w:val="24"/>
                <w:lang w:eastAsia="zh-CN"/>
              </w:rPr>
              <w:t>旋风</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布袋除尘器处理，处理后的气体通过15m排气筒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排放。</w:t>
            </w:r>
          </w:p>
          <w:p>
            <w:pPr>
              <w:adjustRightInd w:val="0"/>
              <w:snapToGrid w:val="0"/>
              <w:spacing w:line="360" w:lineRule="auto"/>
              <w:ind w:firstLine="482" w:firstLineChars="200"/>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kern w:val="0"/>
                <w:sz w:val="24"/>
                <w:lang w:eastAsia="zh-CN" w:bidi="ar"/>
              </w:rPr>
              <w:t>拌胶、施胶、铺装、预压、热压废气</w:t>
            </w:r>
            <w:r>
              <w:rPr>
                <w:rFonts w:hint="eastAsia" w:ascii="Times New Roman" w:hAnsi="Times New Roman" w:cs="Times New Roman"/>
                <w:b/>
                <w:bCs/>
                <w:color w:val="auto"/>
                <w:kern w:val="0"/>
                <w:sz w:val="24"/>
                <w:lang w:eastAsia="zh-CN" w:bidi="ar"/>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胶储存罐密闭设置，经密闭管道连接至施胶机内进行拌胶、施胶，施胶机、铺装机、热压机设置集气罩收集废气，将废气收集至</w:t>
            </w:r>
            <w:r>
              <w:rPr>
                <w:rFonts w:hint="default" w:ascii="Times New Roman" w:hAnsi="Times New Roman" w:cs="Times New Roman"/>
                <w:color w:val="auto"/>
                <w:sz w:val="24"/>
              </w:rPr>
              <w:t>热能中心</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热能中心</w:t>
            </w:r>
            <w:r>
              <w:rPr>
                <w:rFonts w:hint="default" w:ascii="Times New Roman" w:hAnsi="Times New Roman" w:cs="Times New Roman"/>
                <w:color w:val="auto"/>
                <w:sz w:val="24"/>
                <w:lang w:eastAsia="zh-CN"/>
              </w:rPr>
              <w:t>燃烧</w:t>
            </w:r>
            <w:r>
              <w:rPr>
                <w:rFonts w:hint="eastAsia" w:ascii="Times New Roman" w:hAnsi="Times New Roman" w:cs="Times New Roman"/>
                <w:color w:val="auto"/>
                <w:sz w:val="24"/>
                <w:lang w:eastAsia="zh-CN"/>
              </w:rPr>
              <w:t>废气</w:t>
            </w:r>
            <w:r>
              <w:rPr>
                <w:rFonts w:hint="default" w:ascii="Times New Roman" w:hAnsi="Times New Roman" w:cs="Times New Roman"/>
                <w:color w:val="auto"/>
                <w:sz w:val="24"/>
                <w:szCs w:val="24"/>
              </w:rPr>
              <w:t>采取SNCR进行脱氮处理，经脱氮处理后的烟气</w:t>
            </w:r>
            <w:r>
              <w:rPr>
                <w:rFonts w:hint="eastAsia" w:ascii="Times New Roman" w:hAnsi="Times New Roman" w:cs="Times New Roman"/>
                <w:color w:val="auto"/>
                <w:sz w:val="24"/>
                <w:szCs w:val="24"/>
                <w:lang w:eastAsia="zh-CN"/>
              </w:rPr>
              <w:t>经热能中心降尘池处理后</w:t>
            </w:r>
            <w:r>
              <w:rPr>
                <w:rFonts w:hint="default" w:ascii="Times New Roman" w:hAnsi="Times New Roman" w:cs="Times New Roman"/>
                <w:color w:val="auto"/>
                <w:sz w:val="24"/>
                <w:szCs w:val="24"/>
              </w:rPr>
              <w:t>通入木料干燥设施进行木料干燥后处理后，干燥废气经</w:t>
            </w:r>
            <w:r>
              <w:rPr>
                <w:rFonts w:hint="default" w:ascii="Times New Roman" w:hAnsi="Times New Roman" w:cs="Times New Roman"/>
                <w:color w:val="auto"/>
                <w:sz w:val="24"/>
                <w:szCs w:val="24"/>
                <w:lang w:val="en-US" w:eastAsia="zh-CN"/>
              </w:rPr>
              <w:t>2套</w:t>
            </w:r>
            <w:r>
              <w:rPr>
                <w:rFonts w:hint="default" w:ascii="Times New Roman" w:hAnsi="Times New Roman" w:cs="Times New Roman"/>
                <w:color w:val="auto"/>
                <w:sz w:val="24"/>
                <w:szCs w:val="24"/>
              </w:rPr>
              <w:t>旋风+水膜除尘+25m高排气筒</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排放。</w:t>
            </w:r>
          </w:p>
          <w:p>
            <w:pPr>
              <w:adjustRightInd w:val="0"/>
              <w:snapToGrid w:val="0"/>
              <w:spacing w:line="360" w:lineRule="auto"/>
              <w:ind w:firstLine="482" w:firstLineChars="200"/>
              <w:rPr>
                <w:rFonts w:hint="eastAsia" w:ascii="Times New Roman" w:hAnsi="Times New Roman" w:eastAsia="宋体" w:cs="Times New Roman"/>
                <w:b/>
                <w:bCs/>
                <w:color w:val="auto"/>
                <w:sz w:val="24"/>
                <w:lang w:eastAsia="zh-CN"/>
              </w:rPr>
            </w:pPr>
            <w:r>
              <w:rPr>
                <w:rFonts w:hint="default" w:ascii="Times New Roman" w:hAnsi="Times New Roman" w:cs="Times New Roman"/>
                <w:b/>
                <w:bCs/>
                <w:color w:val="auto"/>
                <w:sz w:val="24"/>
              </w:rPr>
              <w:t>热能中心、干燥废气</w:t>
            </w:r>
            <w:r>
              <w:rPr>
                <w:rFonts w:hint="eastAsia" w:ascii="Times New Roman" w:hAnsi="Times New Roman" w:cs="Times New Roman"/>
                <w:b/>
                <w:bCs/>
                <w:color w:val="auto"/>
                <w:sz w:val="24"/>
                <w:lang w:eastAsia="zh-CN"/>
              </w:rPr>
              <w:t>：</w:t>
            </w:r>
          </w:p>
          <w:p>
            <w:pPr>
              <w:adjustRightInd w:val="0"/>
              <w:snapToGrid w:val="0"/>
              <w:spacing w:line="360" w:lineRule="auto"/>
              <w:ind w:firstLine="480" w:firstLineChars="200"/>
              <w:rPr>
                <w:rFonts w:hint="eastAsia" w:cs="Times New Roman"/>
                <w:bCs/>
                <w:color w:val="auto"/>
                <w:sz w:val="24"/>
                <w:highlight w:val="none"/>
                <w:lang w:eastAsia="zh-CN"/>
              </w:rPr>
            </w:pPr>
            <w:r>
              <w:rPr>
                <w:rFonts w:hint="default" w:ascii="Times New Roman" w:hAnsi="Times New Roman" w:eastAsia="宋体" w:cs="Times New Roman"/>
                <w:color w:val="auto"/>
                <w:sz w:val="24"/>
                <w:lang w:eastAsia="zh-CN"/>
              </w:rPr>
              <w:t>本项目生物质颗粒燃烧</w:t>
            </w:r>
            <w:r>
              <w:rPr>
                <w:rFonts w:hint="eastAsia" w:ascii="Times New Roman" w:hAnsi="Times New Roman" w:eastAsia="宋体" w:cs="Times New Roman"/>
                <w:color w:val="auto"/>
                <w:sz w:val="24"/>
                <w:lang w:eastAsia="zh-CN"/>
              </w:rPr>
              <w:t>废气采用</w:t>
            </w:r>
            <w:r>
              <w:rPr>
                <w:rFonts w:hint="default" w:ascii="Times New Roman" w:hAnsi="Times New Roman" w:cs="Times New Roman"/>
                <w:color w:val="auto"/>
                <w:sz w:val="24"/>
                <w:szCs w:val="24"/>
              </w:rPr>
              <w:t>SNCR进行脱氮处理</w:t>
            </w:r>
            <w:r>
              <w:rPr>
                <w:rFonts w:hint="default" w:ascii="Times New Roman" w:hAnsi="Times New Roman" w:eastAsia="宋体" w:cs="Times New Roman"/>
                <w:color w:val="auto"/>
                <w:sz w:val="24"/>
                <w:lang w:eastAsia="zh-CN"/>
              </w:rPr>
              <w:t>，经脱氮处理后的烟气先经过降尘池后进入干燥机，与干燥产生的废气一起通过</w:t>
            </w:r>
            <w:r>
              <w:rPr>
                <w:rFonts w:hint="default" w:ascii="Times New Roman" w:hAnsi="Times New Roman" w:eastAsia="宋体" w:cs="Times New Roman"/>
                <w:color w:val="auto"/>
                <w:sz w:val="24"/>
                <w:lang w:val="en-US" w:eastAsia="zh-CN"/>
              </w:rPr>
              <w:t>2套</w:t>
            </w:r>
            <w:r>
              <w:rPr>
                <w:rFonts w:hint="default" w:ascii="Times New Roman" w:hAnsi="Times New Roman" w:eastAsia="宋体" w:cs="Times New Roman"/>
                <w:color w:val="auto"/>
                <w:sz w:val="24"/>
                <w:lang w:eastAsia="zh-CN"/>
              </w:rPr>
              <w:t>旋风除尘器</w:t>
            </w:r>
            <w:r>
              <w:rPr>
                <w:rFonts w:hint="default" w:ascii="Times New Roman" w:hAnsi="Times New Roman" w:eastAsia="宋体" w:cs="Times New Roman"/>
                <w:color w:val="auto"/>
                <w:sz w:val="24"/>
                <w:lang w:val="en-US" w:eastAsia="zh-CN"/>
              </w:rPr>
              <w:t>+水膜除尘处理后由1根</w:t>
            </w:r>
            <w:r>
              <w:rPr>
                <w:rFonts w:hint="default" w:ascii="Times New Roman" w:hAnsi="Times New Roman" w:eastAsia="宋体" w:cs="Times New Roman"/>
                <w:color w:val="auto"/>
                <w:sz w:val="24"/>
                <w:lang w:eastAsia="zh-CN"/>
              </w:rPr>
              <w:t>25m排气筒（</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）排放。</w:t>
            </w:r>
          </w:p>
          <w:p>
            <w:pPr>
              <w:keepNext w:val="0"/>
              <w:keepLines w:val="0"/>
              <w:pageBreakBefore w:val="0"/>
              <w:widowControl w:val="0"/>
              <w:tabs>
                <w:tab w:val="left" w:pos="1440"/>
                <w:tab w:val="left" w:pos="4368"/>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根据现有项目2024年例行监测（锡环检字（2024）第0705201号）、2025年例行监测（锡环检字（2025）第0402801号），现有项目废气监测结果如下。</w:t>
            </w:r>
          </w:p>
          <w:p>
            <w:pPr>
              <w:widowControl w:val="0"/>
              <w:numPr>
                <w:ilvl w:val="0"/>
                <w:numId w:val="0"/>
              </w:numPr>
              <w:tabs>
                <w:tab w:val="left" w:pos="0"/>
              </w:tabs>
              <w:spacing w:line="360" w:lineRule="auto"/>
              <w:ind w:leftChars="0"/>
              <w:jc w:val="center"/>
              <w:rPr>
                <w:rFonts w:hint="default" w:ascii="Times New Roman" w:hAnsi="Times New Roman" w:eastAsia="宋体" w:cs="Times New Roman"/>
                <w:b/>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表2-12  </w:t>
            </w:r>
            <w:r>
              <w:rPr>
                <w:rFonts w:hint="default" w:ascii="Times New Roman" w:hAnsi="Times New Roman" w:eastAsia="宋体" w:cs="Times New Roman"/>
                <w:b/>
                <w:bCs/>
                <w:color w:val="auto"/>
                <w:kern w:val="2"/>
                <w:sz w:val="21"/>
                <w:szCs w:val="21"/>
                <w:highlight w:val="none"/>
                <w:lang w:val="en-US" w:eastAsia="zh-CN" w:bidi="ar-SA"/>
              </w:rPr>
              <w:t>现有项目有</w:t>
            </w:r>
            <w:r>
              <w:rPr>
                <w:rFonts w:hint="default" w:ascii="Times New Roman" w:hAnsi="Times New Roman" w:eastAsia="宋体" w:cs="Times New Roman"/>
                <w:b/>
                <w:bCs/>
                <w:color w:val="auto"/>
                <w:kern w:val="2"/>
                <w:sz w:val="21"/>
                <w:szCs w:val="20"/>
                <w:highlight w:val="none"/>
                <w:lang w:val="en-US" w:eastAsia="zh-CN" w:bidi="ar-SA"/>
              </w:rPr>
              <w:t>组织</w:t>
            </w:r>
            <w:r>
              <w:rPr>
                <w:rFonts w:hint="default" w:ascii="Times New Roman" w:hAnsi="Times New Roman" w:eastAsia="宋体" w:cs="Times New Roman"/>
                <w:b/>
                <w:bCs/>
                <w:color w:val="auto"/>
                <w:kern w:val="2"/>
                <w:sz w:val="21"/>
                <w:szCs w:val="21"/>
                <w:highlight w:val="none"/>
                <w:lang w:val="en-US" w:eastAsia="zh-CN" w:bidi="ar-SA"/>
              </w:rPr>
              <w:t>废气监测结果及评价结果   单位：mg/m³</w:t>
            </w:r>
          </w:p>
          <w:tbl>
            <w:tblPr>
              <w:tblStyle w:val="40"/>
              <w:tblW w:w="79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0"/>
              <w:gridCol w:w="555"/>
              <w:gridCol w:w="525"/>
              <w:gridCol w:w="1751"/>
              <w:gridCol w:w="719"/>
              <w:gridCol w:w="719"/>
              <w:gridCol w:w="719"/>
              <w:gridCol w:w="719"/>
              <w:gridCol w:w="732"/>
              <w:gridCol w:w="449"/>
              <w:gridCol w:w="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监测点位</w:t>
                  </w:r>
                </w:p>
              </w:tc>
              <w:tc>
                <w:tcPr>
                  <w:tcW w:w="55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采样日期</w:t>
                  </w:r>
                </w:p>
              </w:tc>
              <w:tc>
                <w:tcPr>
                  <w:tcW w:w="2276" w:type="dxa"/>
                  <w:gridSpan w:val="2"/>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监测项目</w:t>
                  </w:r>
                </w:p>
              </w:tc>
              <w:tc>
                <w:tcPr>
                  <w:tcW w:w="3608" w:type="dxa"/>
                  <w:gridSpan w:val="5"/>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监测结果</w:t>
                  </w:r>
                </w:p>
              </w:tc>
              <w:tc>
                <w:tcPr>
                  <w:tcW w:w="44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shd w:val="clear" w:color="auto" w:fill="auto"/>
                      <w:vertAlign w:val="baseline"/>
                      <w:lang w:val="en-US" w:eastAsia="zh-CN"/>
                    </w:rPr>
                    <w:t>标准限值</w:t>
                  </w:r>
                </w:p>
              </w:tc>
              <w:tc>
                <w:tcPr>
                  <w:tcW w:w="5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color w:val="auto"/>
                      <w:sz w:val="21"/>
                      <w:szCs w:val="21"/>
                      <w:highlight w:val="none"/>
                      <w:shd w:val="clear" w:color="auto" w:fill="auto"/>
                      <w:vertAlign w:val="baseline"/>
                      <w:lang w:val="en-US" w:eastAsia="zh-CN"/>
                    </w:rPr>
                  </w:pPr>
                  <w:r>
                    <w:rPr>
                      <w:rFonts w:hint="default" w:ascii="Times New Roman" w:hAnsi="Times New Roman" w:eastAsia="宋体" w:cs="Times New Roman"/>
                      <w:b/>
                      <w:color w:val="auto"/>
                      <w:sz w:val="21"/>
                      <w:szCs w:val="21"/>
                      <w:highlight w:val="none"/>
                      <w:shd w:val="clear" w:color="auto" w:fill="auto"/>
                      <w:vertAlign w:val="baseline"/>
                      <w:lang w:val="en-US" w:eastAsia="zh-CN"/>
                    </w:rPr>
                    <w:t>单项判定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2276" w:type="dxa"/>
                  <w:gridSpan w:val="2"/>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
                    </w:rPr>
                    <w:t>第一次</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
                    </w:rPr>
                    <w:t>第二次</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第三次</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第四次</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平均值</w:t>
                  </w:r>
                </w:p>
              </w:tc>
              <w:tc>
                <w:tcPr>
                  <w:tcW w:w="44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p>
              </w:tc>
              <w:tc>
                <w:tcPr>
                  <w:tcW w:w="5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val="0"/>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有组织1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1# 排气筒废气</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（高度25m）</w:t>
                  </w:r>
                </w:p>
              </w:tc>
              <w:tc>
                <w:tcPr>
                  <w:tcW w:w="55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2024年</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日期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7月6日</w:t>
                  </w:r>
                  <w:r>
                    <w:rPr>
                      <w:rFonts w:hint="default" w:ascii="Times New Roman" w:hAnsi="Times New Roman" w:eastAsia="宋体" w:cs="Times New Roman"/>
                      <w:color w:val="auto"/>
                      <w:sz w:val="21"/>
                      <w:szCs w:val="21"/>
                      <w:highlight w:val="none"/>
                      <w:lang w:val="en-US" w:eastAsia="zh-CN"/>
                    </w:rPr>
                    <w:fldChar w:fldCharType="end"/>
                  </w: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59412</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60793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60494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61374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60518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0.310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0.345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0.331</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二氧化硫</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61143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59734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59347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58611</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59709</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未检出</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未检出</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未检出</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未检出</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未检出</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550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＜0.1834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＜0.1792</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＜0.1780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＜0.1758</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＜0.1791</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9.6</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氮氧化物</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61143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59734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59347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58611</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59709</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1.79</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1.99</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含氧量（%）</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17.6</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59412</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60793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60494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61374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60518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2.36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2.49</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折算浓度（mg/m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12.4</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0.153</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0.141</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甲醛</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含氧量（%）</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17.6</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59412</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60793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60494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61374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60518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0.7</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折算浓度（mg/m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0.0475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0.0304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0.0363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0.043</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0.0393</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2025年4月11日</w:t>
                  </w: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汞及其化合物</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63634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63560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63293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63317</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63451</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排放浓度（μg/m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0.047</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0.048</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2.99×10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3.05×10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3.04×10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3.04</w:t>
                  </w:r>
                  <w:r>
                    <w:rPr>
                      <w:rFonts w:hint="default"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-6</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3.03</w:t>
                  </w:r>
                  <w:r>
                    <w:rPr>
                      <w:rFonts w:hint="default"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-6</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w:t>
                  </w:r>
                  <w:r>
                    <w:rPr>
                      <w:rFonts w:hint="default"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有组织2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2# 排气筒废气</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（15m）</w:t>
                  </w:r>
                </w:p>
              </w:tc>
              <w:tc>
                <w:tcPr>
                  <w:tcW w:w="55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2024年7月6日</w:t>
                  </w: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19340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19453</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21011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21844</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20412</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8.8</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0.164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0.179</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0.172</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br w:type="page"/>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有组织3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3# 排气筒废气</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（15m）</w:t>
                  </w:r>
                </w:p>
              </w:tc>
              <w:tc>
                <w:tcPr>
                  <w:tcW w:w="55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2024年</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日期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7月7日</w:t>
                  </w:r>
                  <w:r>
                    <w:rPr>
                      <w:rFonts w:hint="default" w:ascii="Times New Roman" w:hAnsi="Times New Roman" w:eastAsia="宋体" w:cs="Times New Roman"/>
                      <w:color w:val="auto"/>
                      <w:sz w:val="21"/>
                      <w:szCs w:val="21"/>
                      <w:highlight w:val="none"/>
                      <w:lang w:val="en-US" w:eastAsia="zh-CN"/>
                    </w:rPr>
                    <w:fldChar w:fldCharType="end"/>
                  </w:r>
                </w:p>
              </w:tc>
              <w:tc>
                <w:tcPr>
                  <w:tcW w:w="525" w:type="dxa"/>
                  <w:vMerge w:val="restart"/>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标干流量（m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9266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9341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9360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9149</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9279</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7.1</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120</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7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55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5" w:type="dxa"/>
                  <w:vMerge w:val="continue"/>
                  <w:tcBorders>
                    <w:tl2br w:val="nil"/>
                    <w:tr2bl w:val="nil"/>
                  </w:tcBorders>
                  <w:noWrap w:val="0"/>
                  <w:vAlign w:val="center"/>
                </w:tcPr>
                <w:p>
                  <w:pPr>
                    <w:keepNext w:val="0"/>
                    <w:keepLines w:val="0"/>
                    <w:pageBreakBefore w:val="0"/>
                    <w:tabs>
                      <w:tab w:val="left" w:pos="1890"/>
                    </w:tabs>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17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0.0686</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0.0710</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0.0665</w:t>
                  </w:r>
                </w:p>
              </w:tc>
              <w:tc>
                <w:tcPr>
                  <w:tcW w:w="7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0.0686</w:t>
                  </w:r>
                </w:p>
              </w:tc>
              <w:tc>
                <w:tcPr>
                  <w:tcW w:w="7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0.0687</w:t>
                  </w:r>
                </w:p>
              </w:tc>
              <w:tc>
                <w:tcPr>
                  <w:tcW w:w="4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5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spacing w:before="157" w:beforeLines="50" w:line="240" w:lineRule="auto"/>
              <w:ind w:leftChars="0"/>
              <w:jc w:val="center"/>
              <w:textAlignment w:val="auto"/>
              <w:rPr>
                <w:rFonts w:hint="default" w:ascii="Times New Roman" w:hAnsi="Times New Roman" w:eastAsia="宋体" w:cs="Times New Roman"/>
                <w:b/>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表2-13  </w:t>
            </w:r>
            <w:r>
              <w:rPr>
                <w:rFonts w:hint="default" w:ascii="Times New Roman" w:hAnsi="Times New Roman" w:eastAsia="宋体" w:cs="Times New Roman"/>
                <w:b/>
                <w:bCs/>
                <w:color w:val="auto"/>
                <w:kern w:val="2"/>
                <w:sz w:val="21"/>
                <w:szCs w:val="21"/>
                <w:highlight w:val="none"/>
                <w:lang w:val="en-US" w:eastAsia="zh-CN" w:bidi="ar-SA"/>
              </w:rPr>
              <w:t>现有项目无</w:t>
            </w:r>
            <w:r>
              <w:rPr>
                <w:rFonts w:hint="default" w:ascii="Times New Roman" w:hAnsi="Times New Roman" w:eastAsia="宋体" w:cs="Times New Roman"/>
                <w:b/>
                <w:bCs/>
                <w:color w:val="auto"/>
                <w:kern w:val="2"/>
                <w:sz w:val="21"/>
                <w:szCs w:val="20"/>
                <w:highlight w:val="none"/>
                <w:lang w:val="en-US" w:eastAsia="zh-CN" w:bidi="ar-SA"/>
              </w:rPr>
              <w:t>组织</w:t>
            </w:r>
            <w:r>
              <w:rPr>
                <w:rFonts w:hint="default" w:ascii="Times New Roman" w:hAnsi="Times New Roman" w:eastAsia="宋体" w:cs="Times New Roman"/>
                <w:b/>
                <w:bCs/>
                <w:color w:val="auto"/>
                <w:kern w:val="2"/>
                <w:sz w:val="21"/>
                <w:szCs w:val="21"/>
                <w:highlight w:val="none"/>
                <w:lang w:val="en-US" w:eastAsia="zh-CN" w:bidi="ar-SA"/>
              </w:rPr>
              <w:t>废气监测结果及评价结果   单位：mg/m³</w:t>
            </w:r>
          </w:p>
          <w:tbl>
            <w:tblPr>
              <w:tblStyle w:val="40"/>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15"/>
              <w:gridCol w:w="675"/>
              <w:gridCol w:w="1050"/>
              <w:gridCol w:w="810"/>
              <w:gridCol w:w="690"/>
              <w:gridCol w:w="735"/>
              <w:gridCol w:w="735"/>
              <w:gridCol w:w="600"/>
              <w:gridCol w:w="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监测点位</w:t>
                  </w:r>
                </w:p>
              </w:tc>
              <w:tc>
                <w:tcPr>
                  <w:tcW w:w="67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采样日期</w:t>
                  </w:r>
                </w:p>
              </w:tc>
              <w:tc>
                <w:tcPr>
                  <w:tcW w:w="105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监测项目</w:t>
                  </w:r>
                </w:p>
              </w:tc>
              <w:tc>
                <w:tcPr>
                  <w:tcW w:w="297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监测结果</w:t>
                  </w:r>
                </w:p>
              </w:tc>
              <w:tc>
                <w:tcPr>
                  <w:tcW w:w="60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shd w:val="clear" w:color="auto" w:fill="auto"/>
                      <w:vertAlign w:val="baseline"/>
                      <w:lang w:val="en-US" w:eastAsia="zh-CN"/>
                    </w:rPr>
                    <w:t>标准限值</w:t>
                  </w:r>
                </w:p>
              </w:tc>
              <w:tc>
                <w:tcPr>
                  <w:tcW w:w="53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shd w:val="clear" w:color="auto" w:fill="auto"/>
                      <w:vertAlign w:val="baseline"/>
                      <w:lang w:val="en-US" w:eastAsia="zh-CN"/>
                    </w:rPr>
                  </w:pPr>
                  <w:r>
                    <w:rPr>
                      <w:rFonts w:hint="default" w:ascii="Times New Roman" w:hAnsi="Times New Roman" w:eastAsia="宋体" w:cs="Times New Roman"/>
                      <w:b/>
                      <w:color w:val="auto"/>
                      <w:sz w:val="21"/>
                      <w:szCs w:val="21"/>
                      <w:highlight w:val="none"/>
                      <w:shd w:val="clear" w:color="auto" w:fill="auto"/>
                      <w:vertAlign w:val="baseline"/>
                      <w:lang w:val="en-US" w:eastAsia="zh-CN"/>
                    </w:rPr>
                    <w:t>单项判定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5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第一次</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第二次</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第三次</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第四次</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53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1</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 项目生产区东北侧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2024年</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日期 \h \* MERGEFORMAT</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7月6日</w:t>
                  </w:r>
                  <w:r>
                    <w:rPr>
                      <w:rFonts w:hint="default" w:ascii="Times New Roman" w:hAnsi="Times New Roman" w:eastAsia="宋体" w:cs="Times New Roman"/>
                      <w:color w:val="auto"/>
                      <w:sz w:val="21"/>
                      <w:szCs w:val="21"/>
                      <w:highlight w:val="none"/>
                      <w:lang w:val="en-US" w:eastAsia="zh-CN"/>
                    </w:rPr>
                    <w:fldChar w:fldCharType="end"/>
                  </w:r>
                </w:p>
              </w:tc>
              <w:tc>
                <w:tcPr>
                  <w:tcW w:w="1050" w:type="dxa"/>
                  <w:vMerge w:val="restart"/>
                  <w:tcBorders>
                    <w:tl2br w:val="nil"/>
                    <w:tr2bl w:val="nil"/>
                  </w:tcBorders>
                  <w:noWrap w:val="0"/>
                  <w:vAlign w:val="center"/>
                </w:tcPr>
                <w:p>
                  <w:pPr>
                    <w:tabs>
                      <w:tab w:val="left" w:pos="189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p>
                  <w:pPr>
                    <w:tabs>
                      <w:tab w:val="left" w:pos="1890"/>
                    </w:tabs>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μg</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lang w:eastAsia="zh-CN"/>
                    </w:rPr>
                    <w:t>）</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143</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152</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141</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139</w:t>
                  </w:r>
                </w:p>
              </w:tc>
              <w:tc>
                <w:tcPr>
                  <w:tcW w:w="60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1000</w:t>
                  </w: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2</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项目生产区西侧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166</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171</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158</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165</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3</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项目生产区西南侧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226</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216</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213</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226</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4</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项目生产区南侧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186</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179</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194</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187</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1</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 项目生产区东北侧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restart"/>
                  <w:tcBorders>
                    <w:tl2br w:val="nil"/>
                    <w:tr2bl w:val="nil"/>
                  </w:tcBorders>
                  <w:noWrap w:val="0"/>
                  <w:vAlign w:val="center"/>
                </w:tcPr>
                <w:p>
                  <w:pPr>
                    <w:tabs>
                      <w:tab w:val="left" w:pos="189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非甲烷总烃</w:t>
                  </w:r>
                </w:p>
                <w:p>
                  <w:pPr>
                    <w:tabs>
                      <w:tab w:val="left" w:pos="1890"/>
                    </w:tabs>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lang w:eastAsia="zh-CN"/>
                    </w:rPr>
                    <w:t>）</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0.33</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0.30</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0.41</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0.34</w:t>
                  </w:r>
                </w:p>
              </w:tc>
              <w:tc>
                <w:tcPr>
                  <w:tcW w:w="60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2.0</w:t>
                  </w: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2</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项目生产区西侧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0.76</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0.78</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0.80</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0.76</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3</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项目生产区西南侧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0.61</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0.56</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0.77</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0.71</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4</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项目生产区南侧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0.55</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0.59</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0.58</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0.54</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1</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 项目生产区东北侧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restart"/>
                  <w:tcBorders>
                    <w:tl2br w:val="nil"/>
                    <w:tr2bl w:val="nil"/>
                  </w:tcBorders>
                  <w:noWrap w:val="0"/>
                  <w:vAlign w:val="center"/>
                </w:tcPr>
                <w:p>
                  <w:pPr>
                    <w:tabs>
                      <w:tab w:val="left" w:pos="1890"/>
                    </w:tabs>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甲醛</w:t>
                  </w:r>
                </w:p>
                <w:p>
                  <w:pPr>
                    <w:tabs>
                      <w:tab w:val="left" w:pos="1890"/>
                    </w:tabs>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lang w:eastAsia="zh-CN"/>
                    </w:rPr>
                    <w:t>）</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0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0.1</w:t>
                  </w: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2</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项目生产区西侧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3</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项目生产区西南侧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 REF </w:instrText>
                  </w:r>
                  <w:r>
                    <w:rPr>
                      <w:rFonts w:hint="default" w:ascii="Times New Roman" w:hAnsi="Times New Roman" w:eastAsia="宋体" w:cs="Times New Roman"/>
                      <w:b w:val="0"/>
                      <w:bCs w:val="0"/>
                      <w:color w:val="auto"/>
                      <w:sz w:val="21"/>
                      <w:szCs w:val="21"/>
                      <w:highlight w:val="none"/>
                      <w:lang w:eastAsia="zh-CN"/>
                    </w:rPr>
                    <w:instrText xml:space="preserve">无组织</w:instrText>
                  </w:r>
                  <w:r>
                    <w:rPr>
                      <w:rFonts w:hint="default" w:ascii="Times New Roman" w:hAnsi="Times New Roman" w:eastAsia="宋体" w:cs="Times New Roman"/>
                      <w:b w:val="0"/>
                      <w:bCs w:val="0"/>
                      <w:color w:val="auto"/>
                      <w:sz w:val="21"/>
                      <w:szCs w:val="21"/>
                      <w:highlight w:val="none"/>
                      <w:lang w:val="en-US" w:eastAsia="zh-CN"/>
                    </w:rPr>
                    <w:instrText xml:space="preserve">4</w:instrText>
                  </w:r>
                  <w:r>
                    <w:rPr>
                      <w:rFonts w:hint="default" w:ascii="Times New Roman" w:hAnsi="Times New Roman" w:eastAsia="宋体" w:cs="Times New Roman"/>
                      <w:b w:val="0"/>
                      <w:bCs w:val="0"/>
                      <w:color w:val="auto"/>
                      <w:sz w:val="21"/>
                      <w:szCs w:val="21"/>
                      <w:highlight w:val="none"/>
                    </w:rPr>
                    <w:instrText xml:space="preserve"> \h \* MERGEFORMAT</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 项目生产区南侧</w:t>
                  </w:r>
                  <w:r>
                    <w:rPr>
                      <w:rFonts w:hint="default" w:ascii="Times New Roman" w:hAnsi="Times New Roman" w:eastAsia="宋体" w:cs="Times New Roman"/>
                      <w:b w:val="0"/>
                      <w:bCs w:val="0"/>
                      <w:color w:val="auto"/>
                      <w:sz w:val="21"/>
                      <w:szCs w:val="21"/>
                      <w:highlight w:val="none"/>
                    </w:rPr>
                    <w:fldChar w:fldCharType="end"/>
                  </w:r>
                </w:p>
              </w:tc>
              <w:tc>
                <w:tcPr>
                  <w:tcW w:w="6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0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60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53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达标</w:t>
                  </w:r>
                </w:p>
              </w:tc>
            </w:tr>
          </w:tbl>
          <w:p>
            <w:pPr>
              <w:adjustRightInd w:val="0"/>
              <w:snapToGrid w:val="0"/>
              <w:spacing w:line="360" w:lineRule="auto"/>
              <w:ind w:firstLine="480" w:firstLineChars="200"/>
              <w:rPr>
                <w:rFonts w:hint="eastAsia" w:cs="Times New Roman"/>
                <w:bCs/>
                <w:color w:val="auto"/>
                <w:sz w:val="24"/>
                <w:highlight w:val="none"/>
                <w:lang w:eastAsia="zh-CN"/>
              </w:rPr>
            </w:pPr>
            <w:r>
              <w:rPr>
                <w:rFonts w:hint="default" w:ascii="Times New Roman" w:hAnsi="Times New Roman" w:eastAsia="宋体" w:cs="Times New Roman"/>
                <w:color w:val="auto"/>
                <w:kern w:val="0"/>
                <w:sz w:val="24"/>
                <w:szCs w:val="21"/>
                <w:highlight w:val="none"/>
                <w:lang w:val="en-US" w:eastAsia="zh-CN" w:bidi="ar-SA"/>
              </w:rPr>
              <w:t>现有项目</w:t>
            </w:r>
            <w:r>
              <w:rPr>
                <w:rFonts w:hint="default" w:ascii="Times New Roman" w:hAnsi="Times New Roman" w:eastAsia="宋体" w:cs="Times New Roman"/>
                <w:b w:val="0"/>
                <w:bCs w:val="0"/>
                <w:color w:val="auto"/>
                <w:kern w:val="0"/>
                <w:sz w:val="24"/>
                <w:szCs w:val="24"/>
                <w:lang w:val="en-US" w:eastAsia="zh-CN" w:bidi="ar-SA"/>
              </w:rPr>
              <w:t>有机废气、甲醛满足《四川省固定污染源大气挥发性有机物排放标准》（DB51/2377-2017）表3其他行业标准、表4、表5排放限值及无组织监控限值要求，颗粒物、氮氧化物、二氧化硫满足《大气污染物综合排放标准》（GB16297-1996）表二中的2级标准。</w:t>
            </w:r>
            <w:r>
              <w:rPr>
                <w:rFonts w:hint="default" w:ascii="Times New Roman" w:hAnsi="Times New Roman" w:eastAsia="宋体" w:cs="Times New Roman"/>
                <w:color w:val="auto"/>
                <w:kern w:val="0"/>
                <w:sz w:val="24"/>
                <w:szCs w:val="21"/>
                <w:lang w:val="en-US" w:eastAsia="zh-CN" w:bidi="ar-SA"/>
              </w:rPr>
              <w:t>项目</w:t>
            </w:r>
            <w:r>
              <w:rPr>
                <w:rFonts w:hint="default" w:ascii="Times New Roman" w:hAnsi="Times New Roman" w:eastAsia="宋体" w:cs="Times New Roman"/>
                <w:color w:val="auto"/>
                <w:kern w:val="0"/>
                <w:sz w:val="24"/>
                <w:szCs w:val="24"/>
                <w:lang w:val="en-US" w:eastAsia="zh-CN" w:bidi="ar-SA"/>
              </w:rPr>
              <w:t>无组织废气所测指标颗粒物监测结果满足《大气污染物综合排放标准》（GB 16297-1996）表2中其它无组织排放标准限值要求；非甲烷总烃监测结果满足《四川省固定污染源大气挥发性有机物排放标准》（DB51/2377-2017）表5中其他标准限值要求；甲醛监测结果满足《四川省固定污染源大气挥发性有机物排放标准》（DB51/2377-2017）表6中标准限值要求</w:t>
            </w:r>
            <w:r>
              <w:rPr>
                <w:rFonts w:hint="default" w:ascii="Times New Roman" w:hAnsi="Times New Roman" w:eastAsia="宋体" w:cs="Times New Roman"/>
                <w:color w:val="auto"/>
                <w:kern w:val="0"/>
                <w:sz w:val="24"/>
                <w:szCs w:val="21"/>
                <w:lang w:val="en-US" w:eastAsia="zh-CN" w:bidi="ar-SA"/>
              </w:rPr>
              <w:t>。</w:t>
            </w:r>
          </w:p>
          <w:p>
            <w:pPr>
              <w:adjustRightInd w:val="0"/>
              <w:snapToGrid w:val="0"/>
              <w:spacing w:line="360" w:lineRule="auto"/>
              <w:ind w:firstLine="482" w:firstLineChars="200"/>
              <w:rPr>
                <w:rFonts w:hint="default" w:ascii="Times New Roman" w:hAnsi="Times New Roman" w:cs="Times New Roman"/>
                <w:b/>
                <w:bCs/>
                <w:color w:val="auto"/>
                <w:sz w:val="24"/>
                <w:szCs w:val="22"/>
                <w:highlight w:val="none"/>
                <w:lang w:eastAsia="zh-CN"/>
              </w:rPr>
            </w:pPr>
            <w:r>
              <w:rPr>
                <w:rFonts w:hint="default" w:ascii="Times New Roman" w:hAnsi="Times New Roman" w:cs="Times New Roman"/>
                <w:b/>
                <w:bCs/>
                <w:color w:val="auto"/>
                <w:sz w:val="24"/>
                <w:szCs w:val="22"/>
                <w:highlight w:val="none"/>
                <w:lang w:val="en-US" w:eastAsia="zh-CN"/>
              </w:rPr>
              <w:t>现有项目</w:t>
            </w:r>
            <w:r>
              <w:rPr>
                <w:rFonts w:hint="default" w:ascii="Times New Roman" w:hAnsi="Times New Roman" w:cs="Times New Roman"/>
                <w:b/>
                <w:bCs/>
                <w:color w:val="auto"/>
                <w:sz w:val="24"/>
                <w:szCs w:val="22"/>
                <w:highlight w:val="none"/>
                <w:lang w:eastAsia="zh-CN"/>
              </w:rPr>
              <w:t>废气排放量：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napToGrid w:val="0"/>
                <w:color w:val="auto"/>
                <w:sz w:val="24"/>
                <w:szCs w:val="24"/>
                <w:highlight w:val="none"/>
              </w:rPr>
            </w:pPr>
            <w:r>
              <w:rPr>
                <w:rFonts w:hint="default" w:ascii="Times New Roman" w:hAnsi="Times New Roman" w:eastAsia="宋体" w:cs="Times New Roman"/>
                <w:snapToGrid w:val="0"/>
                <w:color w:val="auto"/>
                <w:sz w:val="24"/>
                <w:szCs w:val="21"/>
                <w:highlight w:val="none"/>
                <w:lang w:eastAsia="zh-CN"/>
              </w:rPr>
              <w:t>现有</w:t>
            </w:r>
            <w:r>
              <w:rPr>
                <w:rFonts w:hint="default" w:ascii="Times New Roman" w:hAnsi="Times New Roman" w:eastAsia="宋体" w:cs="Times New Roman"/>
                <w:snapToGrid w:val="0"/>
                <w:color w:val="auto"/>
                <w:sz w:val="24"/>
                <w:szCs w:val="21"/>
                <w:highlight w:val="none"/>
              </w:rPr>
              <w:t>项目</w:t>
            </w:r>
            <w:r>
              <w:rPr>
                <w:rFonts w:hint="default" w:ascii="Times New Roman" w:hAnsi="Times New Roman" w:eastAsia="宋体" w:cs="Times New Roman"/>
                <w:color w:val="auto"/>
                <w:sz w:val="24"/>
                <w:szCs w:val="21"/>
                <w:highlight w:val="none"/>
                <w:lang w:val="zh-CN"/>
              </w:rPr>
              <w:t>全年工作时间</w:t>
            </w:r>
            <w:r>
              <w:rPr>
                <w:rFonts w:hint="default" w:ascii="Times New Roman" w:hAnsi="Times New Roman" w:eastAsia="宋体" w:cs="Times New Roman"/>
                <w:color w:val="auto"/>
                <w:sz w:val="24"/>
                <w:szCs w:val="21"/>
                <w:highlight w:val="none"/>
                <w:lang w:val="en-US" w:eastAsia="zh-CN"/>
              </w:rPr>
              <w:t>300</w:t>
            </w:r>
            <w:r>
              <w:rPr>
                <w:rFonts w:hint="default" w:ascii="Times New Roman" w:hAnsi="Times New Roman" w:eastAsia="宋体" w:cs="Times New Roman"/>
                <w:color w:val="auto"/>
                <w:sz w:val="24"/>
                <w:szCs w:val="21"/>
                <w:highlight w:val="none"/>
                <w:lang w:val="zh-CN"/>
              </w:rPr>
              <w:t>天，热能中心、</w:t>
            </w:r>
            <w:r>
              <w:rPr>
                <w:rFonts w:hint="default" w:ascii="Times New Roman" w:hAnsi="Times New Roman" w:eastAsia="宋体" w:cs="Times New Roman"/>
                <w:color w:val="auto"/>
                <w:sz w:val="24"/>
                <w:szCs w:val="28"/>
                <w:highlight w:val="none"/>
                <w:lang w:eastAsia="zh-CN"/>
              </w:rPr>
              <w:t>铺装热压、锯边</w:t>
            </w:r>
            <w:r>
              <w:rPr>
                <w:rFonts w:hint="default" w:ascii="Times New Roman" w:hAnsi="Times New Roman" w:eastAsia="宋体" w:cs="Times New Roman"/>
                <w:color w:val="auto"/>
                <w:sz w:val="24"/>
                <w:szCs w:val="21"/>
                <w:highlight w:val="none"/>
                <w:lang w:val="zh-CN"/>
              </w:rPr>
              <w:t>每天工作</w:t>
            </w:r>
            <w:r>
              <w:rPr>
                <w:rFonts w:hint="default" w:ascii="Times New Roman" w:hAnsi="Times New Roman" w:eastAsia="宋体" w:cs="Times New Roman"/>
                <w:color w:val="auto"/>
                <w:sz w:val="24"/>
                <w:szCs w:val="28"/>
                <w:highlight w:val="none"/>
                <w:lang w:val="en-US" w:eastAsia="zh-CN"/>
              </w:rPr>
              <w:t>24</w:t>
            </w:r>
            <w:r>
              <w:rPr>
                <w:rFonts w:hint="default" w:ascii="Times New Roman" w:hAnsi="Times New Roman" w:eastAsia="宋体" w:cs="Times New Roman"/>
                <w:color w:val="auto"/>
                <w:sz w:val="24"/>
                <w:szCs w:val="28"/>
                <w:highlight w:val="none"/>
              </w:rPr>
              <w:t>小时</w:t>
            </w:r>
            <w:r>
              <w:rPr>
                <w:rFonts w:hint="default" w:ascii="Times New Roman" w:hAnsi="Times New Roman" w:eastAsia="宋体" w:cs="Times New Roman"/>
                <w:color w:val="auto"/>
                <w:sz w:val="24"/>
                <w:szCs w:val="28"/>
                <w:highlight w:val="none"/>
                <w:lang w:eastAsia="zh-CN"/>
              </w:rPr>
              <w:t>，木料加工每天工作</w:t>
            </w:r>
            <w:r>
              <w:rPr>
                <w:rFonts w:hint="default" w:ascii="Times New Roman" w:hAnsi="Times New Roman" w:eastAsia="宋体" w:cs="Times New Roman"/>
                <w:color w:val="auto"/>
                <w:sz w:val="24"/>
                <w:szCs w:val="28"/>
                <w:highlight w:val="none"/>
                <w:lang w:val="en-US" w:eastAsia="zh-CN"/>
              </w:rPr>
              <w:t>12小时，</w:t>
            </w:r>
            <w:r>
              <w:rPr>
                <w:rFonts w:hint="default" w:ascii="Times New Roman" w:hAnsi="Times New Roman" w:eastAsia="宋体" w:cs="Times New Roman"/>
                <w:color w:val="auto"/>
                <w:sz w:val="24"/>
                <w:szCs w:val="28"/>
                <w:highlight w:val="none"/>
                <w:lang w:eastAsia="zh-CN"/>
              </w:rPr>
              <w:t>氮氧化物、二氧化硫、挥发性有机物排放速率均</w:t>
            </w:r>
            <w:r>
              <w:rPr>
                <w:rFonts w:hint="default" w:ascii="Times New Roman" w:hAnsi="Times New Roman" w:eastAsia="宋体" w:cs="Times New Roman"/>
                <w:b w:val="0"/>
                <w:bCs w:val="0"/>
                <w:snapToGrid w:val="0"/>
                <w:color w:val="auto"/>
                <w:sz w:val="24"/>
                <w:szCs w:val="24"/>
                <w:highlight w:val="none"/>
                <w:lang w:val="en-US" w:eastAsia="zh-CN"/>
              </w:rPr>
              <w:t>按监测期间最大排放速率计算，项目监测期间生产工况为100%，</w:t>
            </w:r>
            <w:r>
              <w:rPr>
                <w:rFonts w:hint="default" w:ascii="Times New Roman" w:hAnsi="Times New Roman" w:eastAsia="宋体" w:cs="Times New Roman"/>
                <w:color w:val="auto"/>
                <w:sz w:val="24"/>
                <w:szCs w:val="21"/>
                <w:highlight w:val="none"/>
                <w:lang w:val="zh-CN"/>
              </w:rPr>
              <w:t>根据</w:t>
            </w:r>
            <w:r>
              <w:rPr>
                <w:rFonts w:hint="default" w:ascii="Times New Roman" w:hAnsi="Times New Roman" w:eastAsia="宋体" w:cs="Times New Roman"/>
                <w:color w:val="auto"/>
                <w:sz w:val="24"/>
                <w:szCs w:val="21"/>
                <w:highlight w:val="none"/>
                <w:lang w:val="zh-CN" w:eastAsia="zh-CN"/>
              </w:rPr>
              <w:t>现有项目2024年例行监测报告（锡环检字（2024）第0705201号）、2025年例行监测报告（锡环检字（2025）第0402801号），</w:t>
            </w:r>
            <w:r>
              <w:rPr>
                <w:rFonts w:hint="default" w:ascii="Times New Roman" w:hAnsi="Times New Roman" w:eastAsia="宋体" w:cs="Times New Roman"/>
                <w:b w:val="0"/>
                <w:bCs w:val="0"/>
                <w:snapToGrid w:val="0"/>
                <w:color w:val="auto"/>
                <w:sz w:val="24"/>
                <w:szCs w:val="24"/>
                <w:highlight w:val="none"/>
                <w:lang w:val="en-US" w:eastAsia="zh-CN"/>
              </w:rPr>
              <w:t>现有项目实际排放量如下：</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lang w:eastAsia="zh-CN"/>
              </w:rPr>
              <w:t>有机废气</w:t>
            </w:r>
            <w:r>
              <w:rPr>
                <w:rFonts w:hint="default" w:ascii="Times New Roman" w:hAnsi="Times New Roman" w:eastAsia="宋体" w:cs="Times New Roman"/>
                <w:color w:val="auto"/>
                <w:sz w:val="24"/>
                <w:szCs w:val="28"/>
                <w:highlight w:val="none"/>
                <w:lang w:val="en-US" w:eastAsia="zh-CN"/>
              </w:rPr>
              <w:t>排放</w:t>
            </w:r>
            <w:r>
              <w:rPr>
                <w:rFonts w:hint="default" w:ascii="Times New Roman" w:hAnsi="Times New Roman" w:eastAsia="宋体" w:cs="Times New Roman"/>
                <w:color w:val="auto"/>
                <w:sz w:val="24"/>
                <w:szCs w:val="28"/>
                <w:highlight w:val="none"/>
              </w:rPr>
              <w:t>量</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0.153</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-3</w:t>
            </w:r>
            <w:r>
              <w:rPr>
                <w:rFonts w:hint="default" w:ascii="Times New Roman" w:hAnsi="Times New Roman" w:eastAsia="宋体" w:cs="Times New Roman"/>
                <w:snapToGrid w:val="0"/>
                <w:color w:val="auto"/>
                <w:sz w:val="24"/>
                <w:szCs w:val="21"/>
                <w:highlight w:val="none"/>
                <w:lang w:val="en-US" w:eastAsia="zh-CN"/>
              </w:rPr>
              <w:t>=1.1016</w:t>
            </w:r>
            <w:r>
              <w:rPr>
                <w:rFonts w:hint="default" w:ascii="Times New Roman" w:hAnsi="Times New Roman" w:eastAsia="宋体" w:cs="Times New Roman"/>
                <w:color w:val="auto"/>
                <w:szCs w:val="21"/>
                <w:highlight w:val="none"/>
              </w:rPr>
              <w:t>t/a</w:t>
            </w:r>
          </w:p>
          <w:p>
            <w:pPr>
              <w:adjustRightInd w:val="0"/>
              <w:snapToGrid w:val="0"/>
              <w:spacing w:line="360" w:lineRule="auto"/>
              <w:ind w:firstLine="480" w:firstLineChars="2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4"/>
                <w:szCs w:val="28"/>
                <w:highlight w:val="none"/>
                <w:lang w:eastAsia="zh-CN"/>
              </w:rPr>
              <w:t>氮氧化物排放量：</w:t>
            </w:r>
            <w:r>
              <w:rPr>
                <w:rFonts w:hint="default" w:ascii="Times New Roman" w:hAnsi="Times New Roman" w:eastAsia="宋体" w:cs="Times New Roman"/>
                <w:color w:val="auto"/>
                <w:sz w:val="24"/>
                <w:szCs w:val="28"/>
                <w:highlight w:val="none"/>
                <w:lang w:val="en-US" w:eastAsia="zh-CN"/>
              </w:rPr>
              <w:t>2.08</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-3</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14.976</w:t>
            </w:r>
            <w:r>
              <w:rPr>
                <w:rFonts w:hint="default" w:ascii="Times New Roman" w:hAnsi="Times New Roman" w:eastAsia="宋体" w:cs="Times New Roman"/>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sz w:val="24"/>
                <w:szCs w:val="21"/>
                <w:lang w:val="en-US" w:eastAsia="zh-CN"/>
              </w:rPr>
            </w:pPr>
            <w:r>
              <w:rPr>
                <w:rFonts w:hint="default" w:ascii="Times New Roman" w:hAnsi="Times New Roman" w:eastAsia="宋体" w:cs="Times New Roman"/>
                <w:color w:val="auto"/>
                <w:sz w:val="24"/>
                <w:szCs w:val="28"/>
                <w:highlight w:val="none"/>
                <w:lang w:eastAsia="zh-CN"/>
              </w:rPr>
              <w:t>二氧化硫排放量：</w:t>
            </w:r>
            <w:r>
              <w:rPr>
                <w:rFonts w:hint="default" w:ascii="Times New Roman" w:hAnsi="Times New Roman" w:eastAsia="宋体" w:cs="Times New Roman"/>
                <w:color w:val="auto"/>
                <w:sz w:val="24"/>
                <w:szCs w:val="28"/>
                <w:highlight w:val="none"/>
                <w:lang w:val="en-US" w:eastAsia="zh-CN"/>
              </w:rPr>
              <w:t>0.1834</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w:t>
            </w:r>
            <w:r>
              <w:rPr>
                <w:rFonts w:hint="default" w:ascii="Times New Roman" w:hAnsi="Times New Roman" w:eastAsia="宋体" w:cs="Times New Roman"/>
                <w:snapToGrid w:val="0"/>
                <w:color w:val="auto"/>
                <w:sz w:val="24"/>
                <w:szCs w:val="21"/>
                <w:highlight w:val="none"/>
                <w:vertAlign w:val="superscript"/>
                <w:lang w:val="en-US" w:eastAsia="zh-CN"/>
              </w:rPr>
              <w:t>3</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1.3205</w:t>
            </w:r>
            <w:r>
              <w:rPr>
                <w:rFonts w:hint="default" w:ascii="Times New Roman" w:hAnsi="Times New Roman" w:eastAsia="宋体" w:cs="Times New Roman"/>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1"/>
                <w:lang w:eastAsia="zh-CN"/>
              </w:rPr>
            </w:pPr>
            <w:r>
              <w:rPr>
                <w:rFonts w:hint="default" w:ascii="Times New Roman" w:hAnsi="Times New Roman" w:eastAsia="宋体" w:cs="Times New Roman"/>
                <w:color w:val="auto"/>
                <w:sz w:val="24"/>
                <w:szCs w:val="21"/>
                <w:lang w:eastAsia="zh-CN"/>
              </w:rPr>
              <w:t>颗粒物排放量：</w:t>
            </w:r>
            <w:r>
              <w:rPr>
                <w:rFonts w:hint="default" w:ascii="Times New Roman" w:hAnsi="Times New Roman" w:eastAsia="宋体" w:cs="Times New Roman"/>
                <w:color w:val="auto"/>
                <w:sz w:val="24"/>
                <w:szCs w:val="28"/>
                <w:highlight w:val="none"/>
                <w:lang w:val="en-US" w:eastAsia="zh-CN"/>
              </w:rPr>
              <w:t>（0.345</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w:t>
            </w:r>
            <w:r>
              <w:rPr>
                <w:rFonts w:hint="default" w:ascii="Times New Roman" w:hAnsi="Times New Roman" w:eastAsia="宋体" w:cs="Times New Roman"/>
                <w:color w:val="auto"/>
                <w:sz w:val="24"/>
                <w:szCs w:val="28"/>
                <w:highlight w:val="none"/>
                <w:lang w:val="en-US" w:eastAsia="zh-CN"/>
              </w:rPr>
              <w:t>0.179</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12</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w:t>
            </w:r>
            <w:r>
              <w:rPr>
                <w:rFonts w:hint="default" w:ascii="Times New Roman" w:hAnsi="Times New Roman" w:eastAsia="宋体" w:cs="Times New Roman"/>
                <w:color w:val="auto"/>
                <w:sz w:val="24"/>
                <w:szCs w:val="28"/>
                <w:highlight w:val="none"/>
                <w:lang w:val="en-US" w:eastAsia="zh-CN"/>
              </w:rPr>
              <w:t>0.071</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eastAsia="zh-CN"/>
              </w:rPr>
              <w:t>）</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w:t>
            </w:r>
            <w:r>
              <w:rPr>
                <w:rFonts w:hint="default" w:ascii="Times New Roman" w:hAnsi="Times New Roman" w:eastAsia="宋体" w:cs="Times New Roman"/>
                <w:snapToGrid w:val="0"/>
                <w:color w:val="auto"/>
                <w:sz w:val="24"/>
                <w:szCs w:val="21"/>
                <w:highlight w:val="none"/>
                <w:vertAlign w:val="superscript"/>
                <w:lang w:val="en-US" w:eastAsia="zh-CN"/>
              </w:rPr>
              <w:t>3</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3.6396</w:t>
            </w:r>
            <w:r>
              <w:rPr>
                <w:rFonts w:hint="default" w:ascii="Times New Roman" w:hAnsi="Times New Roman" w:eastAsia="宋体" w:cs="Times New Roman"/>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1"/>
                <w:lang w:eastAsia="zh-CN"/>
              </w:rPr>
            </w:pPr>
            <w:r>
              <w:rPr>
                <w:rFonts w:hint="default" w:ascii="Times New Roman" w:hAnsi="Times New Roman" w:eastAsia="宋体" w:cs="Times New Roman"/>
                <w:color w:val="auto"/>
                <w:sz w:val="24"/>
                <w:szCs w:val="21"/>
                <w:lang w:eastAsia="zh-CN"/>
              </w:rPr>
              <w:t>甲醛排放量：</w:t>
            </w:r>
            <w:r>
              <w:rPr>
                <w:rFonts w:hint="default" w:ascii="Times New Roman" w:hAnsi="Times New Roman" w:eastAsia="宋体" w:cs="Times New Roman"/>
                <w:color w:val="auto"/>
                <w:sz w:val="24"/>
                <w:szCs w:val="28"/>
                <w:highlight w:val="none"/>
                <w:lang w:val="en-US" w:eastAsia="zh-CN"/>
              </w:rPr>
              <w:t>0.0475</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w:t>
            </w:r>
            <w:r>
              <w:rPr>
                <w:rFonts w:hint="default" w:ascii="Times New Roman" w:hAnsi="Times New Roman" w:eastAsia="宋体" w:cs="Times New Roman"/>
                <w:snapToGrid w:val="0"/>
                <w:color w:val="auto"/>
                <w:sz w:val="24"/>
                <w:szCs w:val="21"/>
                <w:highlight w:val="none"/>
                <w:vertAlign w:val="superscript"/>
                <w:lang w:val="en-US" w:eastAsia="zh-CN"/>
              </w:rPr>
              <w:t>3</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0.342</w:t>
            </w:r>
            <w:r>
              <w:rPr>
                <w:rFonts w:hint="default" w:ascii="Times New Roman" w:hAnsi="Times New Roman" w:eastAsia="宋体" w:cs="Times New Roman"/>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lang w:eastAsia="zh-CN"/>
              </w:rPr>
              <w:t>汞及其化合物排放量：</w:t>
            </w:r>
            <w:r>
              <w:rPr>
                <w:rFonts w:hint="default" w:ascii="Times New Roman" w:hAnsi="Times New Roman" w:eastAsia="宋体" w:cs="Times New Roman"/>
                <w:color w:val="auto"/>
                <w:sz w:val="24"/>
                <w:szCs w:val="28"/>
                <w:highlight w:val="none"/>
                <w:lang w:val="en-US" w:eastAsia="zh-CN"/>
              </w:rPr>
              <w:t>3.05</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10</w:t>
            </w:r>
            <w:r>
              <w:rPr>
                <w:rFonts w:hint="default" w:ascii="Times New Roman" w:hAnsi="Times New Roman" w:eastAsia="宋体" w:cs="Times New Roman"/>
                <w:snapToGrid w:val="0"/>
                <w:color w:val="auto"/>
                <w:sz w:val="24"/>
                <w:szCs w:val="21"/>
                <w:highlight w:val="none"/>
                <w:vertAlign w:val="superscript"/>
                <w:lang w:val="en-US" w:eastAsia="zh-CN"/>
              </w:rPr>
              <w:t>-6</w:t>
            </w:r>
            <w:r>
              <w:rPr>
                <w:rFonts w:hint="default" w:ascii="Times New Roman" w:hAnsi="Times New Roman" w:eastAsia="宋体" w:cs="Times New Roman"/>
                <w:snapToGrid w:val="0"/>
                <w:color w:val="auto"/>
                <w:sz w:val="24"/>
                <w:szCs w:val="21"/>
                <w:highlight w:val="none"/>
              </w:rPr>
              <w:t>kg/h×</w:t>
            </w:r>
            <w:r>
              <w:rPr>
                <w:rFonts w:hint="default" w:ascii="Times New Roman" w:hAnsi="Times New Roman" w:eastAsia="宋体" w:cs="Times New Roman"/>
                <w:snapToGrid w:val="0"/>
                <w:color w:val="auto"/>
                <w:sz w:val="24"/>
                <w:szCs w:val="21"/>
                <w:highlight w:val="none"/>
                <w:lang w:val="en-US" w:eastAsia="zh-CN"/>
              </w:rPr>
              <w:t>24</w:t>
            </w:r>
            <w:r>
              <w:rPr>
                <w:rFonts w:hint="default" w:ascii="Times New Roman" w:hAnsi="Times New Roman" w:eastAsia="宋体" w:cs="Times New Roman"/>
                <w:snapToGrid w:val="0"/>
                <w:color w:val="auto"/>
                <w:sz w:val="24"/>
                <w:szCs w:val="21"/>
                <w:highlight w:val="none"/>
              </w:rPr>
              <w:t>h×</w:t>
            </w:r>
            <w:r>
              <w:rPr>
                <w:rFonts w:hint="default" w:ascii="Times New Roman" w:hAnsi="Times New Roman" w:eastAsia="宋体" w:cs="Times New Roman"/>
                <w:snapToGrid w:val="0"/>
                <w:color w:val="auto"/>
                <w:sz w:val="24"/>
                <w:szCs w:val="21"/>
                <w:highlight w:val="none"/>
                <w:lang w:val="en-US" w:eastAsia="zh-CN"/>
              </w:rPr>
              <w:t>300</w:t>
            </w:r>
            <w:r>
              <w:rPr>
                <w:rFonts w:hint="default" w:ascii="Times New Roman" w:hAnsi="Times New Roman" w:eastAsia="宋体" w:cs="Times New Roman"/>
                <w:snapToGrid w:val="0"/>
                <w:color w:val="auto"/>
                <w:sz w:val="24"/>
                <w:szCs w:val="21"/>
                <w:highlight w:val="none"/>
              </w:rPr>
              <w:t>d×10</w:t>
            </w:r>
            <w:r>
              <w:rPr>
                <w:rFonts w:hint="default" w:ascii="Times New Roman" w:hAnsi="Times New Roman" w:eastAsia="宋体" w:cs="Times New Roman"/>
                <w:snapToGrid w:val="0"/>
                <w:color w:val="auto"/>
                <w:sz w:val="24"/>
                <w:szCs w:val="21"/>
                <w:highlight w:val="none"/>
                <w:vertAlign w:val="superscript"/>
              </w:rPr>
              <w:t>-</w:t>
            </w:r>
            <w:r>
              <w:rPr>
                <w:rFonts w:hint="default" w:ascii="Times New Roman" w:hAnsi="Times New Roman" w:eastAsia="宋体" w:cs="Times New Roman"/>
                <w:snapToGrid w:val="0"/>
                <w:color w:val="auto"/>
                <w:sz w:val="24"/>
                <w:szCs w:val="21"/>
                <w:highlight w:val="none"/>
                <w:vertAlign w:val="superscript"/>
                <w:lang w:val="en-US" w:eastAsia="zh-CN"/>
              </w:rPr>
              <w:t>3</w:t>
            </w:r>
            <w:r>
              <w:rPr>
                <w:rFonts w:hint="default" w:ascii="Times New Roman" w:hAnsi="Times New Roman" w:eastAsia="宋体" w:cs="Times New Roman"/>
                <w:snapToGrid w:val="0"/>
                <w:color w:val="auto"/>
                <w:sz w:val="24"/>
                <w:szCs w:val="21"/>
                <w:highlight w:val="none"/>
              </w:rPr>
              <w:t>=</w:t>
            </w:r>
            <w:r>
              <w:rPr>
                <w:rFonts w:hint="default" w:ascii="Times New Roman" w:hAnsi="Times New Roman" w:eastAsia="宋体" w:cs="Times New Roman"/>
                <w:snapToGrid w:val="0"/>
                <w:color w:val="auto"/>
                <w:sz w:val="24"/>
                <w:szCs w:val="21"/>
                <w:highlight w:val="none"/>
                <w:lang w:val="en-US" w:eastAsia="zh-CN"/>
              </w:rPr>
              <w:t>0.000022</w:t>
            </w:r>
            <w:r>
              <w:rPr>
                <w:rFonts w:hint="default" w:ascii="Times New Roman" w:hAnsi="Times New Roman" w:eastAsia="宋体" w:cs="Times New Roman"/>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sz w:val="24"/>
                <w:szCs w:val="21"/>
                <w:lang w:val="en-US" w:eastAsia="zh-CN"/>
              </w:rPr>
            </w:pPr>
            <w:r>
              <w:rPr>
                <w:rFonts w:hint="default" w:ascii="Times New Roman" w:hAnsi="Times New Roman" w:eastAsia="宋体" w:cs="Times New Roman"/>
                <w:snapToGrid w:val="0"/>
                <w:color w:val="auto"/>
                <w:sz w:val="24"/>
                <w:szCs w:val="21"/>
                <w:lang w:val="en-US" w:eastAsia="zh-CN"/>
              </w:rPr>
              <w:t>根据现有环评及验收，全厂已取得总量与实际排放量对比见下表。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beforeLines="0" w:line="240" w:lineRule="auto"/>
              <w:ind w:leftChars="0"/>
              <w:jc w:val="center"/>
              <w:textAlignment w:val="auto"/>
              <w:rPr>
                <w:rFonts w:hint="default" w:ascii="Times New Roman" w:hAnsi="Times New Roman" w:eastAsia="黑体" w:cs="Times New Roman"/>
                <w:snapToGrid w:val="0"/>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表2-14</w:t>
            </w:r>
            <w:r>
              <w:rPr>
                <w:rFonts w:hint="default" w:ascii="Times New Roman" w:hAnsi="Times New Roman" w:eastAsia="宋体" w:cs="Times New Roman"/>
                <w:b/>
                <w:bCs/>
                <w:color w:val="auto"/>
                <w:kern w:val="2"/>
                <w:sz w:val="21"/>
                <w:szCs w:val="20"/>
                <w:highlight w:val="none"/>
                <w:lang w:val="en-US" w:eastAsia="zh-CN" w:bidi="ar-SA"/>
              </w:rPr>
              <w:t xml:space="preserve">  现有项目污染物排放与总量控制指标对比情况</w:t>
            </w:r>
          </w:p>
          <w:tbl>
            <w:tblPr>
              <w:tblStyle w:val="40"/>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194"/>
              <w:gridCol w:w="780"/>
              <w:gridCol w:w="3079"/>
              <w:gridCol w:w="1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8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项目</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单位</w:t>
                  </w:r>
                </w:p>
              </w:tc>
              <w:tc>
                <w:tcPr>
                  <w:tcW w:w="3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全厂许可排放量</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现有实际排放量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大气污染物控制指标</w:t>
                  </w:r>
                </w:p>
              </w:tc>
              <w:tc>
                <w:tcPr>
                  <w:tcW w:w="1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有机废气</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t/a</w:t>
                  </w:r>
                </w:p>
              </w:tc>
              <w:tc>
                <w:tcPr>
                  <w:tcW w:w="3079" w:type="dxa"/>
                  <w:tcBorders>
                    <w:tl2br w:val="nil"/>
                    <w:tr2bl w:val="nil"/>
                  </w:tcBorders>
                  <w:noWrap w:val="0"/>
                  <w:vAlign w:val="center"/>
                </w:tcPr>
                <w:p>
                  <w:pPr>
                    <w:keepNext w:val="0"/>
                    <w:keepLines w:val="0"/>
                    <w:pageBreakBefore w:val="0"/>
                    <w:widowControl w:val="0"/>
                    <w:tabs>
                      <w:tab w:val="left" w:pos="3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2.223</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1.1016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1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氮氧化物</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3079" w:type="dxa"/>
                  <w:tcBorders>
                    <w:tl2br w:val="nil"/>
                    <w:tr2bl w:val="nil"/>
                  </w:tcBorders>
                  <w:noWrap w:val="0"/>
                  <w:vAlign w:val="center"/>
                </w:tcPr>
                <w:p>
                  <w:pPr>
                    <w:keepNext w:val="0"/>
                    <w:keepLines w:val="0"/>
                    <w:pageBreakBefore w:val="0"/>
                    <w:widowControl w:val="0"/>
                    <w:tabs>
                      <w:tab w:val="left" w:pos="3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29.952</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14.976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1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二氧化硫</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3079" w:type="dxa"/>
                  <w:tcBorders>
                    <w:tl2br w:val="nil"/>
                    <w:tr2bl w:val="nil"/>
                  </w:tcBorders>
                  <w:noWrap w:val="0"/>
                  <w:vAlign w:val="center"/>
                </w:tcPr>
                <w:p>
                  <w:pPr>
                    <w:keepNext w:val="0"/>
                    <w:keepLines w:val="0"/>
                    <w:pageBreakBefore w:val="0"/>
                    <w:widowControl w:val="0"/>
                    <w:tabs>
                      <w:tab w:val="left" w:pos="3300"/>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9.5184</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1.3205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s="Times New Roman"/>
                <w:color w:val="auto"/>
                <w:sz w:val="24"/>
                <w:szCs w:val="22"/>
                <w:highlight w:val="none"/>
                <w:lang w:val="en-US" w:eastAsia="zh-CN"/>
              </w:rPr>
            </w:pPr>
            <w:r>
              <w:rPr>
                <w:rFonts w:hint="default" w:ascii="Times New Roman" w:hAnsi="Times New Roman" w:eastAsia="宋体" w:cs="Times New Roman"/>
                <w:b w:val="0"/>
                <w:bCs w:val="0"/>
                <w:color w:val="auto"/>
                <w:kern w:val="2"/>
                <w:sz w:val="24"/>
                <w:szCs w:val="24"/>
                <w:lang w:val="zh-CN" w:eastAsia="zh-CN" w:bidi="zh-CN"/>
              </w:rPr>
              <w:t>现有工程各项大气污染物可做到达标排放，未超出总量控制指标要求，无需整改。</w:t>
            </w:r>
          </w:p>
          <w:p>
            <w:pPr>
              <w:adjustRightInd w:val="0"/>
              <w:snapToGrid w:val="0"/>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（2）废水</w:t>
            </w:r>
          </w:p>
          <w:p>
            <w:pPr>
              <w:adjustRightInd w:val="0"/>
              <w:snapToGrid w:val="0"/>
              <w:spacing w:line="360" w:lineRule="auto"/>
              <w:ind w:firstLine="482" w:firstLineChars="200"/>
              <w:rPr>
                <w:rFonts w:hint="default" w:ascii="Times New Roman" w:hAnsi="Times New Roman" w:eastAsia="宋体" w:cs="Times New Roman"/>
                <w:color w:val="auto"/>
                <w:sz w:val="24"/>
              </w:rPr>
            </w:pPr>
            <w:r>
              <w:rPr>
                <w:rFonts w:hint="default" w:ascii="Times New Roman" w:hAnsi="Times New Roman" w:cs="Times New Roman"/>
                <w:b/>
                <w:bCs w:val="0"/>
                <w:color w:val="auto"/>
                <w:kern w:val="0"/>
                <w:sz w:val="24"/>
              </w:rPr>
              <w:t>员工生活污水：</w:t>
            </w:r>
            <w:r>
              <w:rPr>
                <w:rFonts w:hint="default" w:ascii="Times New Roman" w:hAnsi="Times New Roman" w:cs="Times New Roman"/>
                <w:bCs/>
                <w:color w:val="auto"/>
                <w:sz w:val="24"/>
              </w:rPr>
              <w:t>生活污水排放量为</w:t>
            </w:r>
            <w:r>
              <w:rPr>
                <w:rFonts w:hint="default" w:ascii="Times New Roman" w:hAnsi="Times New Roman" w:eastAsia="宋体" w:cs="Times New Roman"/>
                <w:color w:val="auto"/>
                <w:sz w:val="24"/>
              </w:rPr>
              <w:t>5.712m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/d（1713.6m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cs="Times New Roman"/>
                <w:bCs/>
                <w:color w:val="auto"/>
                <w:sz w:val="24"/>
              </w:rPr>
              <w:t>。</w:t>
            </w:r>
            <w:r>
              <w:rPr>
                <w:rFonts w:hint="default" w:ascii="Times New Roman" w:hAnsi="Times New Roman" w:eastAsia="宋体" w:cs="Times New Roman"/>
                <w:color w:val="auto"/>
                <w:sz w:val="24"/>
              </w:rPr>
              <w:t>生活污水经租赁的厂区预处理池处理后，排入市政污水管网，最后进入蓬溪县经济开发</w:t>
            </w:r>
            <w:r>
              <w:rPr>
                <w:rFonts w:hint="default" w:ascii="Times New Roman" w:hAnsi="Times New Roman" w:eastAsia="宋体" w:cs="Times New Roman"/>
                <w:color w:val="auto"/>
                <w:sz w:val="24"/>
                <w:lang w:eastAsia="zh-CN"/>
              </w:rPr>
              <w:t>区废</w:t>
            </w:r>
            <w:r>
              <w:rPr>
                <w:rFonts w:hint="default" w:ascii="Times New Roman" w:hAnsi="Times New Roman" w:eastAsia="宋体" w:cs="Times New Roman"/>
                <w:color w:val="auto"/>
                <w:sz w:val="24"/>
              </w:rPr>
              <w:t>水处理厂处理达达到《城镇污水处理厂污染物排放标准》（GB18918-2002）中的一级A标准后排入</w:t>
            </w:r>
            <w:r>
              <w:rPr>
                <w:rFonts w:hint="default" w:ascii="Times New Roman" w:hAnsi="Times New Roman" w:eastAsia="宋体" w:cs="Times New Roman"/>
                <w:color w:val="auto"/>
                <w:sz w:val="24"/>
                <w:lang w:eastAsia="zh-CN"/>
              </w:rPr>
              <w:t>芝溪河</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color w:val="auto"/>
                <w:sz w:val="24"/>
                <w:lang w:eastAsia="zh-CN"/>
              </w:rPr>
              <w:t>水膜除尘用水</w:t>
            </w:r>
            <w:r>
              <w:rPr>
                <w:rFonts w:hint="default" w:ascii="Times New Roman" w:hAnsi="Times New Roman" w:eastAsia="宋体" w:cs="Times New Roman"/>
                <w:b/>
                <w:bCs/>
                <w:color w:val="auto"/>
                <w:sz w:val="24"/>
              </w:rPr>
              <w:t>：</w:t>
            </w:r>
            <w:r>
              <w:rPr>
                <w:rFonts w:hint="default" w:ascii="Times New Roman" w:hAnsi="Times New Roman" w:eastAsia="宋体" w:cs="Times New Roman"/>
                <w:color w:val="auto"/>
                <w:sz w:val="24"/>
              </w:rPr>
              <w:t>项目水膜除尘用水循环利用，不产生生产废水。</w:t>
            </w:r>
          </w:p>
          <w:p>
            <w:pPr>
              <w:widowControl/>
              <w:tabs>
                <w:tab w:val="left" w:pos="1440"/>
                <w:tab w:val="left" w:pos="4368"/>
              </w:tabs>
              <w:spacing w:line="360" w:lineRule="auto"/>
              <w:ind w:firstLine="480" w:firstLineChars="200"/>
              <w:jc w:val="left"/>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根据现有项目2024年例行监测（锡环检字（2024）第0705201号）、2025年例行监测（锡环检字（2025）第0402801号），现有项目废水监测结果如下。</w:t>
            </w:r>
          </w:p>
          <w:p>
            <w:pPr>
              <w:widowControl w:val="0"/>
              <w:numPr>
                <w:ilvl w:val="0"/>
                <w:numId w:val="0"/>
              </w:numPr>
              <w:tabs>
                <w:tab w:val="left" w:pos="0"/>
              </w:tabs>
              <w:spacing w:before="156" w:beforeLines="50" w:line="360" w:lineRule="auto"/>
              <w:ind w:leftChars="0"/>
              <w:jc w:val="center"/>
              <w:rPr>
                <w:rFonts w:hint="default"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 xml:space="preserve">表2-15  </w:t>
            </w:r>
            <w:r>
              <w:rPr>
                <w:rFonts w:hint="default" w:ascii="Times New Roman" w:hAnsi="Times New Roman" w:eastAsia="宋体" w:cs="Times New Roman"/>
                <w:b/>
                <w:bCs/>
                <w:color w:val="auto"/>
                <w:kern w:val="2"/>
                <w:sz w:val="21"/>
                <w:szCs w:val="20"/>
                <w:highlight w:val="none"/>
                <w:lang w:val="en-US" w:eastAsia="zh-CN" w:bidi="ar-SA"/>
              </w:rPr>
              <w:t>废水监测结果及评价结果</w:t>
            </w:r>
          </w:p>
          <w:tbl>
            <w:tblPr>
              <w:tblStyle w:val="39"/>
              <w:tblW w:w="79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4"/>
              <w:gridCol w:w="538"/>
              <w:gridCol w:w="1438"/>
              <w:gridCol w:w="845"/>
              <w:gridCol w:w="737"/>
              <w:gridCol w:w="833"/>
              <w:gridCol w:w="779"/>
              <w:gridCol w:w="691"/>
              <w:gridCol w:w="788"/>
              <w:gridCol w:w="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5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14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84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3040"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7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标准限值</w:t>
                  </w:r>
                </w:p>
              </w:tc>
              <w:tc>
                <w:tcPr>
                  <w:tcW w:w="7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单项判定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84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第一次</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第二次</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第三次</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第四次</w:t>
                  </w:r>
                </w:p>
              </w:tc>
              <w:tc>
                <w:tcPr>
                  <w:tcW w:w="7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fldChar w:fldCharType="begin"/>
                  </w:r>
                  <w:r>
                    <w:rPr>
                      <w:rFonts w:hint="default" w:ascii="Times New Roman" w:hAnsi="Times New Roman" w:eastAsia="宋体" w:cs="Times New Roman"/>
                      <w:b w:val="0"/>
                      <w:bCs w:val="0"/>
                      <w:color w:val="auto"/>
                      <w:sz w:val="21"/>
                      <w:szCs w:val="21"/>
                      <w:lang w:val="en-US" w:eastAsia="zh-CN"/>
                    </w:rPr>
                    <w:instrText xml:space="preserve"> REF 污水1 \h \* MERGEFORMAT</w:instrText>
                  </w:r>
                  <w:r>
                    <w:rPr>
                      <w:rFonts w:hint="default" w:ascii="Times New Roman" w:hAnsi="Times New Roman" w:eastAsia="宋体" w:cs="Times New Roman"/>
                      <w:b w:val="0"/>
                      <w:bCs w:val="0"/>
                      <w:color w:val="auto"/>
                      <w:sz w:val="21"/>
                      <w:szCs w:val="21"/>
                      <w:lang w:val="en-US" w:eastAsia="zh-CN"/>
                    </w:rPr>
                    <w:fldChar w:fldCharType="separate"/>
                  </w:r>
                  <w:r>
                    <w:rPr>
                      <w:rFonts w:hint="default" w:ascii="Times New Roman" w:hAnsi="Times New Roman" w:eastAsia="宋体" w:cs="Times New Roman"/>
                      <w:b w:val="0"/>
                      <w:bCs w:val="0"/>
                      <w:color w:val="auto"/>
                      <w:sz w:val="21"/>
                      <w:szCs w:val="21"/>
                      <w:lang w:val="en-US" w:eastAsia="zh-CN"/>
                    </w:rPr>
                    <w:t>1# 厂区废水排放口</w:t>
                  </w:r>
                  <w:r>
                    <w:rPr>
                      <w:rFonts w:hint="default" w:ascii="Times New Roman" w:hAnsi="Times New Roman" w:eastAsia="宋体" w:cs="Times New Roman"/>
                      <w:b w:val="0"/>
                      <w:bCs w:val="0"/>
                      <w:color w:val="auto"/>
                      <w:sz w:val="21"/>
                      <w:szCs w:val="21"/>
                      <w:lang w:val="en-US" w:eastAsia="zh-CN"/>
                    </w:rPr>
                    <w:fldChar w:fldCharType="end"/>
                  </w:r>
                  <w:r>
                    <w:rPr>
                      <w:rFonts w:hint="default" w:ascii="Times New Roman" w:hAnsi="Times New Roman" w:eastAsia="宋体" w:cs="Times New Roman"/>
                      <w:b w:val="0"/>
                      <w:bCs w:val="0"/>
                      <w:color w:val="auto"/>
                      <w:sz w:val="21"/>
                      <w:szCs w:val="21"/>
                      <w:lang w:val="en-US" w:eastAsia="zh-CN"/>
                    </w:rPr>
                    <w:br w:type="page"/>
                  </w:r>
                </w:p>
              </w:tc>
              <w:tc>
                <w:tcPr>
                  <w:tcW w:w="5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2024年7月6日</w:t>
                  </w: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7.4</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7.1</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7.2</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7.3</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6~9</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悬浮物</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化学需氧量</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119</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96</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139</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122</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色度</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五日生化需氧量</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33.9</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26.3</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43.9</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39.8</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氨氮</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22.5</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21.8</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21.4</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22.2</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总磷</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1.52</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1.60</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1.41</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1.46</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总氮</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24.3</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25.8</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23.8</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24.6</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甲醛</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未检出</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未检出</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未检出</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未检出</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2025年4月4日</w:t>
                  </w: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无量纲</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化学需氧量</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92</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83</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50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4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氨氮</w:t>
                  </w:r>
                </w:p>
              </w:tc>
              <w:tc>
                <w:tcPr>
                  <w:tcW w:w="8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mg/L</w:t>
                  </w:r>
                </w:p>
              </w:tc>
              <w:tc>
                <w:tcPr>
                  <w:tcW w:w="7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0.447</w:t>
                  </w:r>
                </w:p>
              </w:tc>
              <w:tc>
                <w:tcPr>
                  <w:tcW w:w="8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0.459</w:t>
                  </w:r>
                </w:p>
              </w:tc>
              <w:tc>
                <w:tcPr>
                  <w:tcW w:w="7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0.448</w:t>
                  </w:r>
                </w:p>
              </w:tc>
              <w:tc>
                <w:tcPr>
                  <w:tcW w:w="6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0.465</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7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color w:val="auto"/>
                <w:kern w:val="0"/>
                <w:sz w:val="24"/>
                <w:szCs w:val="21"/>
                <w:highlight w:val="none"/>
                <w:lang w:val="en-US" w:eastAsia="zh-CN" w:bidi="ar-SA"/>
              </w:rPr>
              <w:t>根据上表的监测结果可知，现有项目废水满足</w:t>
            </w:r>
            <w:r>
              <w:rPr>
                <w:rFonts w:hint="default" w:ascii="Times New Roman" w:hAnsi="Times New Roman" w:eastAsia="宋体" w:cs="Times New Roman"/>
                <w:bCs/>
                <w:color w:val="auto"/>
                <w:kern w:val="0"/>
                <w:sz w:val="24"/>
                <w:szCs w:val="24"/>
                <w:highlight w:val="none"/>
                <w:lang w:val="en-US" w:eastAsia="zh-CN" w:bidi="ar-SA"/>
              </w:rPr>
              <w:t>《污水综合排放标准》（GB 8978-1996）表4中其他三级标准</w:t>
            </w:r>
            <w:r>
              <w:rPr>
                <w:rFonts w:hint="default" w:ascii="Times New Roman" w:hAnsi="Times New Roman" w:eastAsia="宋体" w:cs="Times New Roman"/>
                <w:bCs/>
                <w:color w:val="auto"/>
                <w:kern w:val="0"/>
                <w:sz w:val="24"/>
                <w:szCs w:val="24"/>
                <w:lang w:val="en-US" w:eastAsia="zh-CN" w:bidi="ar-SA"/>
              </w:rPr>
              <w:t>；其中</w:t>
            </w:r>
            <w:r>
              <w:rPr>
                <w:rFonts w:hint="default" w:ascii="Times New Roman" w:hAnsi="Times New Roman" w:eastAsia="宋体" w:cs="Times New Roman"/>
                <w:color w:val="auto"/>
                <w:kern w:val="0"/>
                <w:sz w:val="24"/>
                <w:szCs w:val="24"/>
                <w:lang w:val="en-US" w:eastAsia="zh-CN" w:bidi="ar"/>
              </w:rPr>
              <w:t>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-N、TP的监测结果满足《污水排入城镇下水道水质标准》（GB/T 31962-2015）表1中B级标准。</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eastAsia="zh-CN"/>
              </w:rPr>
              <w:t>现有项目废水排放总量：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napToGrid w:val="0"/>
                <w:color w:val="auto"/>
                <w:sz w:val="24"/>
                <w:szCs w:val="24"/>
                <w:highlight w:val="none"/>
              </w:rPr>
            </w:pPr>
            <w:r>
              <w:rPr>
                <w:rFonts w:hint="default" w:ascii="Times New Roman" w:hAnsi="Times New Roman" w:eastAsia="宋体" w:cs="Times New Roman"/>
                <w:snapToGrid w:val="0"/>
                <w:color w:val="auto"/>
                <w:sz w:val="24"/>
                <w:highlight w:val="none"/>
                <w:lang w:eastAsia="zh-CN"/>
              </w:rPr>
              <w:t>现有</w:t>
            </w:r>
            <w:r>
              <w:rPr>
                <w:rFonts w:hint="default" w:ascii="Times New Roman" w:hAnsi="Times New Roman" w:eastAsia="宋体" w:cs="Times New Roman"/>
                <w:snapToGrid w:val="0"/>
                <w:color w:val="auto"/>
                <w:sz w:val="24"/>
                <w:highlight w:val="none"/>
              </w:rPr>
              <w:t>项目</w:t>
            </w:r>
            <w:r>
              <w:rPr>
                <w:rFonts w:hint="default" w:ascii="Times New Roman" w:hAnsi="Times New Roman" w:eastAsia="宋体" w:cs="Times New Roman"/>
                <w:snapToGrid w:val="0"/>
                <w:color w:val="auto"/>
                <w:sz w:val="24"/>
                <w:highlight w:val="none"/>
                <w:lang w:eastAsia="zh-CN"/>
              </w:rPr>
              <w:t>实际</w:t>
            </w:r>
            <w:r>
              <w:rPr>
                <w:rFonts w:hint="default" w:ascii="Times New Roman" w:hAnsi="Times New Roman" w:eastAsia="宋体" w:cs="Times New Roman"/>
                <w:snapToGrid w:val="0"/>
                <w:color w:val="auto"/>
                <w:sz w:val="24"/>
                <w:highlight w:val="none"/>
                <w:lang w:val="en-US" w:eastAsia="zh-CN"/>
              </w:rPr>
              <w:t>外排</w:t>
            </w:r>
            <w:r>
              <w:rPr>
                <w:rFonts w:hint="default" w:ascii="Times New Roman" w:hAnsi="Times New Roman" w:eastAsia="宋体" w:cs="Times New Roman"/>
                <w:snapToGrid w:val="0"/>
                <w:color w:val="auto"/>
                <w:sz w:val="24"/>
                <w:highlight w:val="none"/>
              </w:rPr>
              <w:t>废水</w:t>
            </w:r>
            <w:r>
              <w:rPr>
                <w:rFonts w:hint="default" w:ascii="Times New Roman" w:hAnsi="Times New Roman" w:eastAsia="宋体" w:cs="Times New Roman"/>
                <w:snapToGrid w:val="0"/>
                <w:color w:val="auto"/>
                <w:sz w:val="24"/>
                <w:highlight w:val="none"/>
                <w:lang w:val="en-US" w:eastAsia="zh-CN"/>
              </w:rPr>
              <w:t>量为1713.6</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r>
              <w:rPr>
                <w:rFonts w:hint="default" w:ascii="Times New Roman" w:hAnsi="Times New Roman" w:eastAsia="宋体" w:cs="Times New Roman"/>
                <w:b w:val="0"/>
                <w:bCs w:val="0"/>
                <w:snapToGrid w:val="0"/>
                <w:color w:val="auto"/>
                <w:sz w:val="24"/>
                <w:szCs w:val="24"/>
                <w:highlight w:val="none"/>
              </w:rPr>
              <w:t>。</w:t>
            </w:r>
            <w:r>
              <w:rPr>
                <w:rFonts w:hint="default" w:ascii="Times New Roman" w:hAnsi="Times New Roman" w:eastAsia="宋体" w:cs="Times New Roman"/>
                <w:b w:val="0"/>
                <w:bCs w:val="0"/>
                <w:snapToGrid w:val="0"/>
                <w:color w:val="auto"/>
                <w:sz w:val="24"/>
                <w:szCs w:val="24"/>
                <w:highlight w:val="none"/>
                <w:lang w:val="en-US" w:eastAsia="zh-CN"/>
              </w:rPr>
              <w:t>化学需氧量、氨氮、总磷的浓度均按监测期间最大浓度计算，</w:t>
            </w:r>
            <w:r>
              <w:rPr>
                <w:rFonts w:hint="default" w:ascii="Times New Roman" w:hAnsi="Times New Roman" w:eastAsia="宋体" w:cs="Times New Roman"/>
                <w:color w:val="auto"/>
                <w:sz w:val="24"/>
                <w:highlight w:val="none"/>
                <w:lang w:val="zh-CN"/>
              </w:rPr>
              <w:t>根据</w:t>
            </w:r>
            <w:r>
              <w:rPr>
                <w:rFonts w:hint="default" w:ascii="Times New Roman" w:hAnsi="Times New Roman" w:eastAsia="宋体" w:cs="Times New Roman"/>
                <w:color w:val="auto"/>
                <w:sz w:val="24"/>
                <w:highlight w:val="none"/>
                <w:lang w:val="zh-CN" w:eastAsia="zh-CN"/>
              </w:rPr>
              <w:t>现有项目2024年例行监测报告（锡环检字（2024）第0705201号）、2025年例行监测报告（锡环检字（2025）第0402801号）。水污染物</w:t>
            </w:r>
            <w:r>
              <w:rPr>
                <w:rFonts w:hint="default" w:ascii="Times New Roman" w:hAnsi="Times New Roman" w:eastAsia="宋体" w:cs="Times New Roman"/>
                <w:b w:val="0"/>
                <w:bCs w:val="0"/>
                <w:snapToGrid w:val="0"/>
                <w:color w:val="auto"/>
                <w:sz w:val="24"/>
                <w:szCs w:val="24"/>
                <w:highlight w:val="none"/>
                <w:lang w:val="en-US" w:eastAsia="zh-CN"/>
              </w:rPr>
              <w:t>实际排放量如下：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snapToGrid w:val="0"/>
                <w:color w:val="auto"/>
                <w:sz w:val="24"/>
                <w:szCs w:val="24"/>
                <w:highlight w:val="none"/>
                <w:lang w:val="en-US" w:eastAsia="zh-CN"/>
              </w:rPr>
            </w:pPr>
            <w:r>
              <w:rPr>
                <w:rFonts w:hint="default" w:ascii="Times New Roman" w:hAnsi="Times New Roman" w:eastAsia="宋体" w:cs="Times New Roman"/>
                <w:b w:val="0"/>
                <w:bCs w:val="0"/>
                <w:snapToGrid w:val="0"/>
                <w:color w:val="auto"/>
                <w:sz w:val="24"/>
                <w:szCs w:val="24"/>
                <w:highlight w:val="none"/>
                <w:lang w:val="en-US" w:eastAsia="zh-CN"/>
              </w:rPr>
              <w:t>化学需氧量：</w:t>
            </w:r>
            <w:r>
              <w:rPr>
                <w:rFonts w:hint="default" w:ascii="Times New Roman" w:hAnsi="Times New Roman" w:eastAsia="宋体" w:cs="Times New Roman"/>
                <w:b w:val="0"/>
                <w:bCs w:val="0"/>
                <w:color w:val="auto"/>
                <w:sz w:val="24"/>
                <w:szCs w:val="24"/>
                <w:highlight w:val="none"/>
                <w:lang w:val="en-US" w:eastAsia="zh-CN"/>
              </w:rPr>
              <w:t>1713.6</w:t>
            </w:r>
            <w:r>
              <w:rPr>
                <w:rFonts w:hint="default" w:ascii="Times New Roman" w:hAnsi="Times New Roman" w:eastAsia="宋体" w:cs="Times New Roman"/>
                <w:b w:val="0"/>
                <w:bCs w:val="0"/>
                <w:snapToGrid w:val="0"/>
                <w:color w:val="auto"/>
                <w:sz w:val="24"/>
                <w:szCs w:val="24"/>
                <w:highlight w:val="none"/>
              </w:rPr>
              <w:t>t/a</w:t>
            </w:r>
            <w:r>
              <w:rPr>
                <w:rFonts w:hint="default" w:ascii="Times New Roman" w:hAnsi="Times New Roman" w:eastAsia="宋体" w:cs="Times New Roman"/>
                <w:b w:val="0"/>
                <w:bCs w:val="0"/>
                <w:snapToGrid w:val="0"/>
                <w:color w:val="auto"/>
                <w:sz w:val="24"/>
                <w:szCs w:val="24"/>
                <w:highlight w:val="none"/>
                <w:lang w:val="en-US" w:eastAsia="zh-CN"/>
              </w:rPr>
              <w:t>×139</w:t>
            </w:r>
            <w:r>
              <w:rPr>
                <w:rFonts w:hint="default" w:ascii="Times New Roman" w:hAnsi="Times New Roman" w:eastAsia="宋体" w:cs="Times New Roman"/>
                <w:b w:val="0"/>
                <w:bCs w:val="0"/>
                <w:snapToGrid w:val="0"/>
                <w:color w:val="auto"/>
                <w:sz w:val="24"/>
                <w:szCs w:val="24"/>
                <w:highlight w:val="none"/>
              </w:rPr>
              <w:t>mg/L</w:t>
            </w:r>
            <w:r>
              <w:rPr>
                <w:rFonts w:hint="default" w:ascii="Times New Roman" w:hAnsi="Times New Roman" w:eastAsia="宋体" w:cs="Times New Roman"/>
                <w:b w:val="0"/>
                <w:bCs w:val="0"/>
                <w:snapToGrid w:val="0"/>
                <w:color w:val="auto"/>
                <w:sz w:val="24"/>
                <w:szCs w:val="24"/>
                <w:highlight w:val="none"/>
                <w:lang w:val="en-US" w:eastAsia="zh-CN"/>
              </w:rPr>
              <w:t>×10</w:t>
            </w:r>
            <w:r>
              <w:rPr>
                <w:rFonts w:hint="default" w:ascii="Times New Roman" w:hAnsi="Times New Roman" w:eastAsia="宋体" w:cs="Times New Roman"/>
                <w:b w:val="0"/>
                <w:bCs w:val="0"/>
                <w:snapToGrid w:val="0"/>
                <w:color w:val="auto"/>
                <w:sz w:val="24"/>
                <w:szCs w:val="24"/>
                <w:highlight w:val="none"/>
                <w:vertAlign w:val="superscript"/>
                <w:lang w:val="en-US" w:eastAsia="zh-CN"/>
              </w:rPr>
              <w:t>-6</w:t>
            </w:r>
            <w:r>
              <w:rPr>
                <w:rFonts w:hint="default" w:ascii="Times New Roman" w:hAnsi="Times New Roman" w:eastAsia="宋体" w:cs="Times New Roman"/>
                <w:b w:val="0"/>
                <w:bCs w:val="0"/>
                <w:snapToGrid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0.2382</w:t>
            </w:r>
            <w:r>
              <w:rPr>
                <w:rFonts w:hint="default" w:ascii="Times New Roman" w:hAnsi="Times New Roman" w:eastAsia="宋体" w:cs="Times New Roman"/>
                <w:b w:val="0"/>
                <w:bCs w:val="0"/>
                <w:color w:val="auto"/>
                <w:sz w:val="24"/>
                <w:szCs w:val="24"/>
                <w:highlight w:val="none"/>
                <w:vertAlign w:val="baseli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b w:val="0"/>
                <w:bCs w:val="0"/>
                <w:snapToGrid w:val="0"/>
                <w:color w:val="auto"/>
                <w:sz w:val="24"/>
                <w:szCs w:val="24"/>
                <w:highlight w:val="none"/>
                <w:lang w:val="en-US" w:eastAsia="zh-CN"/>
              </w:rPr>
              <w:t>氨氮：</w:t>
            </w:r>
            <w:r>
              <w:rPr>
                <w:rFonts w:hint="default" w:ascii="Times New Roman" w:hAnsi="Times New Roman" w:eastAsia="宋体" w:cs="Times New Roman"/>
                <w:b w:val="0"/>
                <w:bCs w:val="0"/>
                <w:color w:val="auto"/>
                <w:sz w:val="24"/>
                <w:szCs w:val="24"/>
                <w:highlight w:val="none"/>
                <w:lang w:val="en-US" w:eastAsia="zh-CN"/>
              </w:rPr>
              <w:t>1713.6</w:t>
            </w:r>
            <w:r>
              <w:rPr>
                <w:rFonts w:hint="default" w:ascii="Times New Roman" w:hAnsi="Times New Roman" w:eastAsia="宋体" w:cs="Times New Roman"/>
                <w:b w:val="0"/>
                <w:bCs w:val="0"/>
                <w:snapToGrid w:val="0"/>
                <w:color w:val="auto"/>
                <w:sz w:val="24"/>
                <w:szCs w:val="24"/>
                <w:highlight w:val="none"/>
              </w:rPr>
              <w:t>t/a</w:t>
            </w:r>
            <w:r>
              <w:rPr>
                <w:rFonts w:hint="default" w:ascii="Times New Roman" w:hAnsi="Times New Roman" w:eastAsia="宋体" w:cs="Times New Roman"/>
                <w:b w:val="0"/>
                <w:bCs w:val="0"/>
                <w:snapToGrid w:val="0"/>
                <w:color w:val="auto"/>
                <w:sz w:val="24"/>
                <w:szCs w:val="24"/>
                <w:highlight w:val="none"/>
                <w:lang w:val="en-US" w:eastAsia="zh-CN"/>
              </w:rPr>
              <w:t>×22.5</w:t>
            </w:r>
            <w:r>
              <w:rPr>
                <w:rFonts w:hint="default" w:ascii="Times New Roman" w:hAnsi="Times New Roman" w:eastAsia="宋体" w:cs="Times New Roman"/>
                <w:b w:val="0"/>
                <w:bCs w:val="0"/>
                <w:snapToGrid w:val="0"/>
                <w:color w:val="auto"/>
                <w:sz w:val="24"/>
                <w:szCs w:val="24"/>
                <w:highlight w:val="none"/>
              </w:rPr>
              <w:t>mg/L</w:t>
            </w:r>
            <w:r>
              <w:rPr>
                <w:rFonts w:hint="default" w:ascii="Times New Roman" w:hAnsi="Times New Roman" w:eastAsia="宋体" w:cs="Times New Roman"/>
                <w:b w:val="0"/>
                <w:bCs w:val="0"/>
                <w:snapToGrid w:val="0"/>
                <w:color w:val="auto"/>
                <w:sz w:val="24"/>
                <w:szCs w:val="24"/>
                <w:highlight w:val="none"/>
                <w:lang w:val="en-US" w:eastAsia="zh-CN"/>
              </w:rPr>
              <w:t>×10</w:t>
            </w:r>
            <w:r>
              <w:rPr>
                <w:rFonts w:hint="default" w:ascii="Times New Roman" w:hAnsi="Times New Roman" w:eastAsia="宋体" w:cs="Times New Roman"/>
                <w:b w:val="0"/>
                <w:bCs w:val="0"/>
                <w:snapToGrid w:val="0"/>
                <w:color w:val="auto"/>
                <w:sz w:val="24"/>
                <w:szCs w:val="24"/>
                <w:highlight w:val="none"/>
                <w:vertAlign w:val="superscript"/>
                <w:lang w:val="en-US" w:eastAsia="zh-CN"/>
              </w:rPr>
              <w:t>-6</w:t>
            </w:r>
            <w:r>
              <w:rPr>
                <w:rFonts w:hint="default" w:ascii="Times New Roman" w:hAnsi="Times New Roman" w:eastAsia="宋体" w:cs="Times New Roman"/>
                <w:b w:val="0"/>
                <w:bCs w:val="0"/>
                <w:snapToGrid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0.0386</w:t>
            </w:r>
            <w:r>
              <w:rPr>
                <w:rFonts w:hint="default" w:ascii="Times New Roman" w:hAnsi="Times New Roman" w:eastAsia="宋体" w:cs="Times New Roman"/>
                <w:b w:val="0"/>
                <w:bCs w:val="0"/>
                <w:color w:val="auto"/>
                <w:sz w:val="24"/>
                <w:szCs w:val="24"/>
                <w:highlight w:val="none"/>
                <w:vertAlign w:val="baseline"/>
                <w:lang w:val="en-US" w:eastAsia="zh-CN"/>
              </w:rPr>
              <w:t>t/a</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bCs w:val="0"/>
                <w:snapToGrid w:val="0"/>
                <w:color w:val="auto"/>
                <w:sz w:val="24"/>
                <w:szCs w:val="24"/>
                <w:highlight w:val="none"/>
                <w:lang w:val="en-US" w:eastAsia="zh-CN"/>
              </w:rPr>
              <w:t>总磷：</w:t>
            </w:r>
            <w:r>
              <w:rPr>
                <w:rFonts w:hint="default" w:ascii="Times New Roman" w:hAnsi="Times New Roman" w:eastAsia="宋体" w:cs="Times New Roman"/>
                <w:b w:val="0"/>
                <w:bCs w:val="0"/>
                <w:color w:val="auto"/>
                <w:sz w:val="24"/>
                <w:szCs w:val="24"/>
                <w:highlight w:val="none"/>
                <w:lang w:val="en-US" w:eastAsia="zh-CN"/>
              </w:rPr>
              <w:t>1713.6</w:t>
            </w:r>
            <w:r>
              <w:rPr>
                <w:rFonts w:hint="default" w:ascii="Times New Roman" w:hAnsi="Times New Roman" w:eastAsia="宋体" w:cs="Times New Roman"/>
                <w:b w:val="0"/>
                <w:bCs w:val="0"/>
                <w:snapToGrid w:val="0"/>
                <w:color w:val="auto"/>
                <w:sz w:val="24"/>
                <w:szCs w:val="24"/>
                <w:highlight w:val="none"/>
              </w:rPr>
              <w:t>t/a</w:t>
            </w:r>
            <w:r>
              <w:rPr>
                <w:rFonts w:hint="default" w:ascii="Times New Roman" w:hAnsi="Times New Roman" w:eastAsia="宋体" w:cs="Times New Roman"/>
                <w:b w:val="0"/>
                <w:bCs w:val="0"/>
                <w:snapToGrid w:val="0"/>
                <w:color w:val="auto"/>
                <w:sz w:val="24"/>
                <w:szCs w:val="24"/>
                <w:highlight w:val="none"/>
                <w:lang w:val="en-US" w:eastAsia="zh-CN"/>
              </w:rPr>
              <w:t>×1.6</w:t>
            </w:r>
            <w:r>
              <w:rPr>
                <w:rFonts w:hint="default" w:ascii="Times New Roman" w:hAnsi="Times New Roman" w:eastAsia="宋体" w:cs="Times New Roman"/>
                <w:b w:val="0"/>
                <w:bCs w:val="0"/>
                <w:snapToGrid w:val="0"/>
                <w:color w:val="auto"/>
                <w:sz w:val="24"/>
                <w:szCs w:val="24"/>
                <w:highlight w:val="none"/>
              </w:rPr>
              <w:t>mg/L</w:t>
            </w:r>
            <w:r>
              <w:rPr>
                <w:rFonts w:hint="default" w:ascii="Times New Roman" w:hAnsi="Times New Roman" w:eastAsia="宋体" w:cs="Times New Roman"/>
                <w:b w:val="0"/>
                <w:bCs w:val="0"/>
                <w:snapToGrid w:val="0"/>
                <w:color w:val="auto"/>
                <w:sz w:val="24"/>
                <w:szCs w:val="24"/>
                <w:highlight w:val="none"/>
                <w:lang w:val="en-US" w:eastAsia="zh-CN"/>
              </w:rPr>
              <w:t>×10</w:t>
            </w:r>
            <w:r>
              <w:rPr>
                <w:rFonts w:hint="default" w:ascii="Times New Roman" w:hAnsi="Times New Roman" w:eastAsia="宋体" w:cs="Times New Roman"/>
                <w:b w:val="0"/>
                <w:bCs w:val="0"/>
                <w:snapToGrid w:val="0"/>
                <w:color w:val="auto"/>
                <w:sz w:val="24"/>
                <w:szCs w:val="24"/>
                <w:highlight w:val="none"/>
                <w:vertAlign w:val="superscript"/>
                <w:lang w:val="en-US" w:eastAsia="zh-CN"/>
              </w:rPr>
              <w:t>-6</w:t>
            </w:r>
            <w:r>
              <w:rPr>
                <w:rFonts w:hint="default" w:ascii="Times New Roman" w:hAnsi="Times New Roman" w:eastAsia="宋体" w:cs="Times New Roman"/>
                <w:b w:val="0"/>
                <w:bCs w:val="0"/>
                <w:snapToGrid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0.0027</w:t>
            </w:r>
            <w:r>
              <w:rPr>
                <w:rFonts w:hint="default" w:ascii="Times New Roman" w:hAnsi="Times New Roman" w:eastAsia="宋体" w:cs="Times New Roman"/>
                <w:b w:val="0"/>
                <w:bCs w:val="0"/>
                <w:color w:val="auto"/>
                <w:sz w:val="24"/>
                <w:szCs w:val="24"/>
                <w:highlight w:val="none"/>
                <w:vertAlign w:val="baseli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sz w:val="24"/>
                <w:szCs w:val="21"/>
                <w:lang w:val="en-US" w:eastAsia="zh-CN"/>
              </w:rPr>
            </w:pPr>
            <w:r>
              <w:rPr>
                <w:rFonts w:hint="default" w:ascii="Times New Roman" w:hAnsi="Times New Roman" w:eastAsia="宋体" w:cs="Times New Roman"/>
                <w:snapToGrid w:val="0"/>
                <w:color w:val="auto"/>
                <w:sz w:val="24"/>
                <w:szCs w:val="21"/>
                <w:lang w:val="en-US" w:eastAsia="zh-CN"/>
              </w:rPr>
              <w:t>根据现有环评及验收，全厂已取得总量与实际排放量对比见下表。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beforeLines="0" w:line="240" w:lineRule="auto"/>
              <w:ind w:leftChars="0"/>
              <w:jc w:val="center"/>
              <w:textAlignment w:val="auto"/>
              <w:rPr>
                <w:rFonts w:hint="default" w:ascii="Times New Roman" w:hAnsi="Times New Roman" w:eastAsia="黑体" w:cs="Times New Roman"/>
                <w:snapToGrid w:val="0"/>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表2-14</w:t>
            </w:r>
            <w:r>
              <w:rPr>
                <w:rFonts w:hint="default" w:ascii="Times New Roman" w:hAnsi="Times New Roman" w:eastAsia="宋体" w:cs="Times New Roman"/>
                <w:b/>
                <w:bCs/>
                <w:color w:val="auto"/>
                <w:kern w:val="2"/>
                <w:sz w:val="21"/>
                <w:szCs w:val="20"/>
                <w:highlight w:val="none"/>
                <w:lang w:val="en-US" w:eastAsia="zh-CN" w:bidi="ar-SA"/>
              </w:rPr>
              <w:t xml:space="preserve">  现有项目污染物排放与总量控制指标对比情况</w:t>
            </w:r>
          </w:p>
          <w:tbl>
            <w:tblPr>
              <w:tblStyle w:val="40"/>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456"/>
              <w:gridCol w:w="1125"/>
              <w:gridCol w:w="2472"/>
              <w:gridCol w:w="1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4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项目</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单位</w:t>
                  </w:r>
                </w:p>
              </w:tc>
              <w:tc>
                <w:tcPr>
                  <w:tcW w:w="24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全厂许可排放量</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eastAsia="宋体" w:cs="Times New Roman"/>
                      <w:b/>
                      <w:bCs/>
                      <w:snapToGrid w:val="0"/>
                      <w:color w:val="auto"/>
                      <w:sz w:val="21"/>
                      <w:szCs w:val="21"/>
                      <w:highlight w:val="none"/>
                      <w:vertAlign w:val="baseline"/>
                      <w:lang w:val="en-US" w:eastAsia="zh-CN"/>
                    </w:rPr>
                    <w:t>现有实际排放量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vertAlign w:val="baseline"/>
                      <w:lang w:val="en-US" w:eastAsia="zh-CN"/>
                    </w:rPr>
                    <w:t>水污染控制指标</w:t>
                  </w:r>
                </w:p>
              </w:tc>
              <w:tc>
                <w:tcPr>
                  <w:tcW w:w="1456" w:type="dxa"/>
                  <w:tcBorders>
                    <w:tl2br w:val="nil"/>
                    <w:tr2bl w:val="nil"/>
                  </w:tcBorders>
                  <w:noWrap w:val="0"/>
                  <w:vAlign w:val="center"/>
                </w:tcPr>
                <w:p>
                  <w:pPr>
                    <w:pStyle w:val="191"/>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COD</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t/a</w:t>
                  </w:r>
                </w:p>
              </w:tc>
              <w:tc>
                <w:tcPr>
                  <w:tcW w:w="24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1.673</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vertAlign w:val="baseline"/>
                      <w:lang w:val="en-US" w:eastAsia="zh-CN"/>
                    </w:rPr>
                    <w:t>0.2382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1456" w:type="dxa"/>
                  <w:tcBorders>
                    <w:tl2br w:val="nil"/>
                    <w:tr2bl w:val="nil"/>
                  </w:tcBorders>
                  <w:noWrap w:val="0"/>
                  <w:vAlign w:val="center"/>
                </w:tcPr>
                <w:p>
                  <w:pPr>
                    <w:pStyle w:val="191"/>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NH</w:t>
                  </w:r>
                  <w:r>
                    <w:rPr>
                      <w:rFonts w:hint="default" w:ascii="Times New Roman" w:hAnsi="Times New Roman" w:cs="Times New Roman"/>
                      <w:b w:val="0"/>
                      <w:bCs w:val="0"/>
                      <w:color w:val="auto"/>
                      <w:sz w:val="21"/>
                      <w:szCs w:val="21"/>
                      <w:highlight w:val="none"/>
                      <w:vertAlign w:val="subscript"/>
                    </w:rPr>
                    <w:t>3</w:t>
                  </w:r>
                  <w:r>
                    <w:rPr>
                      <w:rFonts w:hint="default" w:ascii="Times New Roman" w:hAnsi="Times New Roman" w:cs="Times New Roman"/>
                      <w:b w:val="0"/>
                      <w:bCs w:val="0"/>
                      <w:color w:val="auto"/>
                      <w:sz w:val="21"/>
                      <w:szCs w:val="21"/>
                      <w:highlight w:val="none"/>
                    </w:rPr>
                    <w:t>-N</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24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0.151</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vertAlign w:val="baseline"/>
                      <w:lang w:val="en-US" w:eastAsia="zh-CN"/>
                    </w:rPr>
                    <w:t>0.0386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1456" w:type="dxa"/>
                  <w:tcBorders>
                    <w:tl2br w:val="nil"/>
                    <w:tr2bl w:val="nil"/>
                  </w:tcBorders>
                  <w:noWrap w:val="0"/>
                  <w:vAlign w:val="center"/>
                </w:tcPr>
                <w:p>
                  <w:pPr>
                    <w:pStyle w:val="191"/>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b w:val="0"/>
                      <w:snapToGrid w:val="0"/>
                      <w:color w:val="auto"/>
                      <w:kern w:val="2"/>
                      <w:sz w:val="21"/>
                      <w:szCs w:val="21"/>
                      <w:highlight w:val="none"/>
                      <w:vertAlign w:val="baseline"/>
                      <w:lang w:val="en-US" w:eastAsia="zh-CN" w:bidi="ar-SA"/>
                    </w:rPr>
                    <w:t>总磷</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24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0.027</w:t>
                  </w:r>
                </w:p>
              </w:tc>
              <w:tc>
                <w:tcPr>
                  <w:tcW w:w="17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vertAlign w:val="baseline"/>
                      <w:lang w:val="en-US" w:eastAsia="zh-CN"/>
                    </w:rPr>
                    <w:t>0.0027</w:t>
                  </w:r>
                </w:p>
              </w:tc>
            </w:tr>
          </w:tbl>
          <w:p>
            <w:pPr>
              <w:pStyle w:val="13"/>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color w:val="auto"/>
                <w:highlight w:val="none"/>
              </w:rPr>
            </w:pPr>
            <w:r>
              <w:rPr>
                <w:rFonts w:hint="default" w:ascii="Times New Roman" w:hAnsi="Times New Roman" w:eastAsia="宋体" w:cs="Times New Roman"/>
                <w:b w:val="0"/>
                <w:bCs w:val="0"/>
                <w:color w:val="auto"/>
                <w:sz w:val="24"/>
                <w:szCs w:val="24"/>
                <w:lang w:eastAsia="zh-CN"/>
              </w:rPr>
              <w:t>现有工程水污染物可做到达标排放，未超出总量控制指标要求，无需整改。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（3）噪声排放及治理措施</w:t>
            </w:r>
          </w:p>
          <w:p>
            <w:pPr>
              <w:pStyle w:val="129"/>
              <w:adjustRightInd/>
              <w:spacing w:line="360" w:lineRule="auto"/>
              <w:ind w:firstLine="470" w:firstLineChars="196"/>
              <w:jc w:val="both"/>
              <w:rPr>
                <w:rFonts w:hint="default" w:ascii="Times New Roman" w:hAnsi="Times New Roman" w:cs="Times New Roman"/>
                <w:bCs/>
                <w:color w:val="auto"/>
                <w:sz w:val="24"/>
                <w:highlight w:val="none"/>
              </w:rPr>
            </w:pPr>
            <w:r>
              <w:rPr>
                <w:rFonts w:hint="default" w:ascii="Times New Roman" w:hAnsi="Times New Roman" w:eastAsia="宋体" w:cs="Times New Roman"/>
                <w:bCs/>
                <w:color w:val="auto"/>
                <w:sz w:val="24"/>
              </w:rPr>
              <w:t>现有项目营运期噪声主要为</w:t>
            </w:r>
            <w:r>
              <w:rPr>
                <w:rFonts w:hint="default" w:ascii="Times New Roman" w:hAnsi="Times New Roman" w:eastAsia="宋体" w:cs="Times New Roman"/>
                <w:bCs/>
                <w:color w:val="auto"/>
                <w:sz w:val="24"/>
                <w:lang w:eastAsia="zh-CN"/>
              </w:rPr>
              <w:t>生产</w:t>
            </w:r>
            <w:r>
              <w:rPr>
                <w:rFonts w:hint="default" w:ascii="Times New Roman" w:hAnsi="Times New Roman" w:eastAsia="宋体" w:cs="Times New Roman"/>
                <w:bCs/>
                <w:color w:val="auto"/>
                <w:sz w:val="24"/>
              </w:rPr>
              <w:t>设备噪声。</w:t>
            </w:r>
            <w:r>
              <w:rPr>
                <w:rFonts w:hint="default" w:ascii="Times New Roman" w:hAnsi="Times New Roman" w:eastAsia="宋体" w:cs="Times New Roman"/>
                <w:bCs/>
                <w:color w:val="auto"/>
                <w:sz w:val="24"/>
                <w:lang w:eastAsia="zh-CN"/>
              </w:rPr>
              <w:t>现有</w:t>
            </w:r>
            <w:r>
              <w:rPr>
                <w:rFonts w:hint="default" w:ascii="Times New Roman" w:hAnsi="Times New Roman" w:eastAsia="宋体" w:cs="Times New Roman"/>
                <w:bCs/>
                <w:color w:val="auto"/>
                <w:sz w:val="24"/>
              </w:rPr>
              <w:t>项目采用合理布局、墙体隔声</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减振措施</w:t>
            </w:r>
            <w:r>
              <w:rPr>
                <w:rFonts w:hint="default" w:ascii="Times New Roman" w:hAnsi="Times New Roman" w:eastAsia="宋体" w:cs="Times New Roman"/>
                <w:bCs/>
                <w:color w:val="auto"/>
                <w:sz w:val="24"/>
                <w:lang w:eastAsia="zh-CN"/>
              </w:rPr>
              <w:t>等</w:t>
            </w:r>
            <w:r>
              <w:rPr>
                <w:rFonts w:hint="default" w:ascii="Times New Roman" w:hAnsi="Times New Roman" w:eastAsia="宋体" w:cs="Times New Roman"/>
                <w:bCs/>
                <w:color w:val="auto"/>
                <w:sz w:val="24"/>
              </w:rPr>
              <w:t>方式对其进行治理。</w:t>
            </w:r>
          </w:p>
          <w:p>
            <w:pPr>
              <w:widowControl/>
              <w:tabs>
                <w:tab w:val="left" w:pos="1440"/>
                <w:tab w:val="left" w:pos="4368"/>
              </w:tabs>
              <w:spacing w:line="360" w:lineRule="auto"/>
              <w:ind w:firstLine="480" w:firstLineChars="200"/>
              <w:jc w:val="left"/>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根据现有项目2024年例行监测（四川锡水金山环保科技有限公司出具，锡环检字（2024）第0705201号），现有项目噪声监测结果如下。</w:t>
            </w:r>
          </w:p>
          <w:p>
            <w:pPr>
              <w:widowControl w:val="0"/>
              <w:numPr>
                <w:ilvl w:val="0"/>
                <w:numId w:val="0"/>
              </w:numPr>
              <w:tabs>
                <w:tab w:val="left" w:pos="0"/>
              </w:tabs>
              <w:spacing w:before="156" w:beforeLines="50" w:line="360" w:lineRule="auto"/>
              <w:ind w:leftChars="0"/>
              <w:jc w:val="center"/>
              <w:rPr>
                <w:rFonts w:hint="default"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表2-15</w:t>
            </w:r>
            <w:r>
              <w:rPr>
                <w:rFonts w:hint="default" w:ascii="Times New Roman" w:hAnsi="Times New Roman" w:eastAsia="宋体" w:cs="Times New Roman"/>
                <w:b/>
                <w:bCs/>
                <w:color w:val="auto"/>
                <w:kern w:val="2"/>
                <w:sz w:val="21"/>
                <w:szCs w:val="20"/>
                <w:highlight w:val="none"/>
                <w:lang w:val="en-US" w:eastAsia="zh-CN" w:bidi="ar-SA"/>
              </w:rPr>
              <w:t xml:space="preserve">  厂区噪声监测结果及评价结果   单位：dB（A）</w:t>
            </w:r>
          </w:p>
          <w:tbl>
            <w:tblPr>
              <w:tblStyle w:val="39"/>
              <w:tblW w:w="79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6"/>
              <w:gridCol w:w="940"/>
              <w:gridCol w:w="2264"/>
              <w:gridCol w:w="1027"/>
              <w:gridCol w:w="898"/>
              <w:gridCol w:w="1020"/>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监测项目</w:t>
                  </w:r>
                </w:p>
              </w:tc>
              <w:tc>
                <w:tcPr>
                  <w:tcW w:w="9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监测时间</w:t>
                  </w:r>
                </w:p>
              </w:tc>
              <w:tc>
                <w:tcPr>
                  <w:tcW w:w="2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监测点位名称及编号</w:t>
                  </w: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监测时段</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监测值</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标准限值</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达标判定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工业企业厂界噪声</w:t>
                  </w:r>
                </w:p>
              </w:tc>
              <w:tc>
                <w:tcPr>
                  <w:tcW w:w="9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2024年7月7日</w:t>
                  </w:r>
                </w:p>
              </w:tc>
              <w:tc>
                <w:tcPr>
                  <w:tcW w:w="22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fldChar w:fldCharType="begin"/>
                  </w:r>
                  <w:r>
                    <w:rPr>
                      <w:rFonts w:hint="default" w:ascii="Times New Roman" w:hAnsi="Times New Roman" w:eastAsia="宋体" w:cs="Times New Roman"/>
                      <w:bCs/>
                      <w:color w:val="auto"/>
                      <w:kern w:val="0"/>
                      <w:sz w:val="21"/>
                      <w:szCs w:val="21"/>
                      <w:highlight w:val="none"/>
                      <w:lang w:val="en-US" w:eastAsia="zh-CN" w:bidi="ar-SA"/>
                    </w:rPr>
                    <w:instrText xml:space="preserve"> REF 噪声1 \h \* MERGEFORMAT</w:instrText>
                  </w:r>
                  <w:r>
                    <w:rPr>
                      <w:rFonts w:hint="default" w:ascii="Times New Roman" w:hAnsi="Times New Roman" w:eastAsia="宋体" w:cs="Times New Roman"/>
                      <w:bCs/>
                      <w:color w:val="auto"/>
                      <w:kern w:val="0"/>
                      <w:sz w:val="21"/>
                      <w:szCs w:val="21"/>
                      <w:highlight w:val="none"/>
                      <w:lang w:val="en-US" w:eastAsia="zh-CN" w:bidi="ar-SA"/>
                    </w:rPr>
                    <w:fldChar w:fldCharType="separate"/>
                  </w:r>
                  <w:r>
                    <w:rPr>
                      <w:rFonts w:hint="default" w:ascii="Times New Roman" w:hAnsi="Times New Roman" w:eastAsia="宋体" w:cs="Times New Roman"/>
                      <w:bCs/>
                      <w:color w:val="auto"/>
                      <w:kern w:val="0"/>
                      <w:sz w:val="21"/>
                      <w:szCs w:val="21"/>
                      <w:highlight w:val="none"/>
                      <w:lang w:val="en-US" w:eastAsia="zh-CN" w:bidi="ar-SA"/>
                    </w:rPr>
                    <w:t>1# 项目生产区西侧外1m</w:t>
                  </w:r>
                  <w:r>
                    <w:rPr>
                      <w:rFonts w:hint="default" w:ascii="Times New Roman" w:hAnsi="Times New Roman" w:eastAsia="宋体" w:cs="Times New Roman"/>
                      <w:bCs/>
                      <w:color w:val="auto"/>
                      <w:kern w:val="0"/>
                      <w:sz w:val="21"/>
                      <w:szCs w:val="21"/>
                      <w:highlight w:val="none"/>
                      <w:lang w:val="en-US" w:eastAsia="zh-CN" w:bidi="ar-SA"/>
                    </w:rPr>
                    <w:fldChar w:fldCharType="end"/>
                  </w: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昼间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51</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65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夜间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42</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55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fldChar w:fldCharType="begin"/>
                  </w:r>
                  <w:r>
                    <w:rPr>
                      <w:rFonts w:hint="default" w:ascii="Times New Roman" w:hAnsi="Times New Roman" w:eastAsia="宋体" w:cs="Times New Roman"/>
                      <w:bCs/>
                      <w:color w:val="auto"/>
                      <w:kern w:val="0"/>
                      <w:sz w:val="21"/>
                      <w:szCs w:val="21"/>
                      <w:highlight w:val="none"/>
                      <w:lang w:val="en-US" w:eastAsia="zh-CN" w:bidi="ar-SA"/>
                    </w:rPr>
                    <w:instrText xml:space="preserve"> REF 噪声2 \h \* MERGEFORMAT</w:instrText>
                  </w:r>
                  <w:r>
                    <w:rPr>
                      <w:rFonts w:hint="default" w:ascii="Times New Roman" w:hAnsi="Times New Roman" w:eastAsia="宋体" w:cs="Times New Roman"/>
                      <w:bCs/>
                      <w:color w:val="auto"/>
                      <w:kern w:val="0"/>
                      <w:sz w:val="21"/>
                      <w:szCs w:val="21"/>
                      <w:highlight w:val="none"/>
                      <w:lang w:val="en-US" w:eastAsia="zh-CN" w:bidi="ar-SA"/>
                    </w:rPr>
                    <w:fldChar w:fldCharType="separate"/>
                  </w:r>
                  <w:r>
                    <w:rPr>
                      <w:rFonts w:hint="default" w:ascii="Times New Roman" w:hAnsi="Times New Roman" w:eastAsia="宋体" w:cs="Times New Roman"/>
                      <w:bCs/>
                      <w:color w:val="auto"/>
                      <w:kern w:val="0"/>
                      <w:sz w:val="21"/>
                      <w:szCs w:val="21"/>
                      <w:highlight w:val="none"/>
                      <w:lang w:val="en-US" w:eastAsia="zh-CN" w:bidi="ar-SA"/>
                    </w:rPr>
                    <w:t>2# 项目生产区西侧外1m</w:t>
                  </w:r>
                  <w:r>
                    <w:rPr>
                      <w:rFonts w:hint="default" w:ascii="Times New Roman" w:hAnsi="Times New Roman" w:eastAsia="宋体" w:cs="Times New Roman"/>
                      <w:bCs/>
                      <w:color w:val="auto"/>
                      <w:kern w:val="0"/>
                      <w:sz w:val="21"/>
                      <w:szCs w:val="21"/>
                      <w:highlight w:val="none"/>
                      <w:lang w:val="en-US" w:eastAsia="zh-CN" w:bidi="ar-SA"/>
                    </w:rPr>
                    <w:fldChar w:fldCharType="end"/>
                  </w: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昼间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56</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65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夜间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47</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55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fldChar w:fldCharType="begin"/>
                  </w:r>
                  <w:r>
                    <w:rPr>
                      <w:rFonts w:hint="default" w:ascii="Times New Roman" w:hAnsi="Times New Roman" w:eastAsia="宋体" w:cs="Times New Roman"/>
                      <w:bCs/>
                      <w:color w:val="auto"/>
                      <w:kern w:val="0"/>
                      <w:sz w:val="21"/>
                      <w:szCs w:val="21"/>
                      <w:highlight w:val="none"/>
                      <w:lang w:val="en-US" w:eastAsia="zh-CN" w:bidi="ar-SA"/>
                    </w:rPr>
                    <w:instrText xml:space="preserve"> REF 噪声3 \h \* MERGEFORMAT</w:instrText>
                  </w:r>
                  <w:r>
                    <w:rPr>
                      <w:rFonts w:hint="default" w:ascii="Times New Roman" w:hAnsi="Times New Roman" w:eastAsia="宋体" w:cs="Times New Roman"/>
                      <w:bCs/>
                      <w:color w:val="auto"/>
                      <w:kern w:val="0"/>
                      <w:sz w:val="21"/>
                      <w:szCs w:val="21"/>
                      <w:highlight w:val="none"/>
                      <w:lang w:val="en-US" w:eastAsia="zh-CN" w:bidi="ar-SA"/>
                    </w:rPr>
                    <w:fldChar w:fldCharType="separate"/>
                  </w:r>
                  <w:r>
                    <w:rPr>
                      <w:rFonts w:hint="default" w:ascii="Times New Roman" w:hAnsi="Times New Roman" w:eastAsia="宋体" w:cs="Times New Roman"/>
                      <w:bCs/>
                      <w:color w:val="auto"/>
                      <w:kern w:val="0"/>
                      <w:sz w:val="21"/>
                      <w:szCs w:val="21"/>
                      <w:highlight w:val="none"/>
                      <w:lang w:val="en-US" w:eastAsia="zh-CN" w:bidi="ar-SA"/>
                    </w:rPr>
                    <w:t>3# 项目生产区南侧外1m</w:t>
                  </w:r>
                  <w:r>
                    <w:rPr>
                      <w:rFonts w:hint="default" w:ascii="Times New Roman" w:hAnsi="Times New Roman" w:eastAsia="宋体" w:cs="Times New Roman"/>
                      <w:bCs/>
                      <w:color w:val="auto"/>
                      <w:kern w:val="0"/>
                      <w:sz w:val="21"/>
                      <w:szCs w:val="21"/>
                      <w:highlight w:val="none"/>
                      <w:lang w:val="en-US" w:eastAsia="zh-CN" w:bidi="ar-SA"/>
                    </w:rPr>
                    <w:fldChar w:fldCharType="end"/>
                  </w: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昼间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54</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65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夜间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44</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55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fldChar w:fldCharType="begin"/>
                  </w:r>
                  <w:r>
                    <w:rPr>
                      <w:rFonts w:hint="default" w:ascii="Times New Roman" w:hAnsi="Times New Roman" w:eastAsia="宋体" w:cs="Times New Roman"/>
                      <w:bCs/>
                      <w:color w:val="auto"/>
                      <w:kern w:val="0"/>
                      <w:sz w:val="21"/>
                      <w:szCs w:val="21"/>
                      <w:highlight w:val="none"/>
                      <w:lang w:val="en-US" w:eastAsia="zh-CN" w:bidi="ar-SA"/>
                    </w:rPr>
                    <w:instrText xml:space="preserve"> REF 噪声4 \h \* MERGEFORMAT</w:instrText>
                  </w:r>
                  <w:r>
                    <w:rPr>
                      <w:rFonts w:hint="default" w:ascii="Times New Roman" w:hAnsi="Times New Roman" w:eastAsia="宋体" w:cs="Times New Roman"/>
                      <w:bCs/>
                      <w:color w:val="auto"/>
                      <w:kern w:val="0"/>
                      <w:sz w:val="21"/>
                      <w:szCs w:val="21"/>
                      <w:highlight w:val="none"/>
                      <w:lang w:val="en-US" w:eastAsia="zh-CN" w:bidi="ar-SA"/>
                    </w:rPr>
                    <w:fldChar w:fldCharType="separate"/>
                  </w:r>
                  <w:r>
                    <w:rPr>
                      <w:rFonts w:hint="default" w:ascii="Times New Roman" w:hAnsi="Times New Roman" w:eastAsia="宋体" w:cs="Times New Roman"/>
                      <w:bCs/>
                      <w:color w:val="auto"/>
                      <w:kern w:val="0"/>
                      <w:sz w:val="21"/>
                      <w:szCs w:val="21"/>
                      <w:highlight w:val="none"/>
                      <w:lang w:val="en-US" w:eastAsia="zh-CN" w:bidi="ar-SA"/>
                    </w:rPr>
                    <w:t>4# 项目生产区东侧外1m</w:t>
                  </w:r>
                  <w:r>
                    <w:rPr>
                      <w:rFonts w:hint="default" w:ascii="Times New Roman" w:hAnsi="Times New Roman" w:eastAsia="宋体" w:cs="Times New Roman"/>
                      <w:bCs/>
                      <w:color w:val="auto"/>
                      <w:kern w:val="0"/>
                      <w:sz w:val="21"/>
                      <w:szCs w:val="21"/>
                      <w:highlight w:val="none"/>
                      <w:lang w:val="en-US" w:eastAsia="zh-CN" w:bidi="ar-SA"/>
                    </w:rPr>
                    <w:fldChar w:fldCharType="end"/>
                  </w: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昼间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55</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65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9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22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p>
              </w:tc>
              <w:tc>
                <w:tcPr>
                  <w:tcW w:w="10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夜间</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45</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bidi="ar-SA"/>
                    </w:rPr>
                    <w:t>55</w:t>
                  </w:r>
                </w:p>
              </w:tc>
              <w:tc>
                <w:tcPr>
                  <w:tcW w:w="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达标</w:t>
                  </w:r>
                </w:p>
              </w:tc>
            </w:tr>
          </w:tbl>
          <w:p>
            <w:pPr>
              <w:adjustRightInd w:val="0"/>
              <w:snapToGrid w:val="0"/>
              <w:spacing w:line="360" w:lineRule="auto"/>
              <w:ind w:firstLine="480" w:firstLineChars="200"/>
              <w:rPr>
                <w:rFonts w:hint="default" w:ascii="Times New Roman" w:hAnsi="Times New Roman" w:cs="Times New Roman"/>
                <w:b/>
                <w:color w:val="auto"/>
                <w:sz w:val="24"/>
              </w:rPr>
            </w:pPr>
            <w:r>
              <w:rPr>
                <w:rFonts w:hint="default" w:ascii="Times New Roman" w:hAnsi="Times New Roman" w:eastAsia="宋体" w:cs="Times New Roman"/>
                <w:color w:val="auto"/>
                <w:kern w:val="0"/>
                <w:sz w:val="24"/>
                <w:szCs w:val="21"/>
                <w:lang w:val="zh-CN" w:eastAsia="zh-CN" w:bidi="ar-SA"/>
              </w:rPr>
              <w:t>现有项目厂界环境噪声监测点所测昼夜间均能达到《工业企业厂界环境噪声排放标准》（GB12348-2008）</w:t>
            </w:r>
            <w:r>
              <w:rPr>
                <w:rFonts w:hint="default" w:ascii="Times New Roman" w:hAnsi="Times New Roman" w:eastAsia="宋体" w:cs="Times New Roman"/>
                <w:color w:val="auto"/>
                <w:kern w:val="0"/>
                <w:sz w:val="24"/>
                <w:szCs w:val="21"/>
                <w:lang w:val="en-US" w:eastAsia="zh-CN" w:bidi="ar-SA"/>
              </w:rPr>
              <w:t>3</w:t>
            </w:r>
            <w:r>
              <w:rPr>
                <w:rFonts w:hint="default" w:ascii="Times New Roman" w:hAnsi="Times New Roman" w:eastAsia="宋体" w:cs="Times New Roman"/>
                <w:color w:val="auto"/>
                <w:kern w:val="0"/>
                <w:sz w:val="24"/>
                <w:szCs w:val="21"/>
                <w:lang w:val="zh-CN" w:eastAsia="zh-CN" w:bidi="ar-SA"/>
              </w:rPr>
              <w:t>类标准要求。</w:t>
            </w:r>
          </w:p>
          <w:p>
            <w:pPr>
              <w:adjustRightInd w:val="0"/>
              <w:snapToGrid w:val="0"/>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（4）固废排放及治理措施</w:t>
            </w:r>
          </w:p>
          <w:p>
            <w:pPr>
              <w:pStyle w:val="178"/>
              <w:snapToGrid w:val="0"/>
              <w:ind w:firstLine="600" w:firstLineChars="250"/>
              <w:rPr>
                <w:rFonts w:hint="default" w:ascii="Times New Roman" w:hAnsi="Times New Roman" w:cs="Times New Roman"/>
                <w:color w:val="auto"/>
              </w:rPr>
            </w:pPr>
            <w:r>
              <w:rPr>
                <w:rFonts w:hint="default" w:ascii="Times New Roman" w:hAnsi="Times New Roman" w:cs="Times New Roman"/>
                <w:color w:val="auto"/>
                <w:sz w:val="24"/>
                <w:szCs w:val="24"/>
              </w:rPr>
              <w:t>项目产生的除尘器收集的粉尘、木料边角料、不合格产生、裁边边角料等</w:t>
            </w:r>
            <w:r>
              <w:rPr>
                <w:rFonts w:hint="default" w:ascii="Times New Roman" w:hAnsi="Times New Roman" w:cs="Times New Roman"/>
                <w:color w:val="auto"/>
                <w:sz w:val="24"/>
                <w:szCs w:val="24"/>
                <w:lang w:eastAsia="zh-CN"/>
              </w:rPr>
              <w:t>收集后外售</w:t>
            </w:r>
            <w:r>
              <w:rPr>
                <w:rFonts w:hint="default" w:ascii="Times New Roman" w:hAnsi="Times New Roman" w:cs="Times New Roman"/>
                <w:color w:val="auto"/>
                <w:sz w:val="24"/>
                <w:szCs w:val="24"/>
              </w:rPr>
              <w:t>，生物质锅炉炉渣、</w:t>
            </w:r>
            <w:r>
              <w:rPr>
                <w:rFonts w:hint="eastAsia" w:cs="Times New Roman"/>
                <w:color w:val="auto"/>
                <w:sz w:val="24"/>
                <w:szCs w:val="24"/>
                <w:lang w:val="en-US" w:eastAsia="zh-CN"/>
              </w:rPr>
              <w:t>飞灰</w:t>
            </w:r>
            <w:r>
              <w:rPr>
                <w:rFonts w:hint="default" w:ascii="Times New Roman" w:hAnsi="Times New Roman" w:cs="Times New Roman"/>
                <w:color w:val="auto"/>
                <w:sz w:val="24"/>
                <w:szCs w:val="24"/>
              </w:rPr>
              <w:t>以及水膜除尘循环水池沉渣定期外售有机肥生产厂家，金属杂质外售废品回收站，泥沙运至渣土堆场。生活垃圾一并交由环卫部门处理。危险废物包括废机油、含油废手套、废导热油，暂存危废间，定期交</w:t>
            </w:r>
            <w:r>
              <w:rPr>
                <w:rFonts w:hint="default" w:ascii="Times New Roman" w:hAnsi="Times New Roman" w:cs="Times New Roman"/>
                <w:color w:val="auto"/>
                <w:sz w:val="24"/>
                <w:szCs w:val="24"/>
                <w:lang w:eastAsia="zh-CN"/>
              </w:rPr>
              <w:t>由南充嘉源环保科技有限责任公司</w:t>
            </w:r>
            <w:r>
              <w:rPr>
                <w:rFonts w:hint="default" w:ascii="Times New Roman" w:hAnsi="Times New Roman" w:eastAsia="宋体" w:cs="Times New Roman"/>
                <w:color w:val="auto"/>
                <w:sz w:val="24"/>
                <w:szCs w:val="24"/>
                <w:lang w:eastAsia="zh-CN"/>
              </w:rPr>
              <w:t>清运</w:t>
            </w:r>
            <w:r>
              <w:rPr>
                <w:rFonts w:hint="default" w:ascii="Times New Roman" w:hAnsi="Times New Roman" w:cs="Times New Roman"/>
                <w:color w:val="auto"/>
                <w:sz w:val="24"/>
                <w:szCs w:val="24"/>
              </w:rPr>
              <w:t>处理。</w:t>
            </w:r>
          </w:p>
          <w:p>
            <w:pPr>
              <w:pStyle w:val="166"/>
              <w:numPr>
                <w:ilvl w:val="0"/>
                <w:numId w:val="0"/>
              </w:numPr>
              <w:tabs>
                <w:tab w:val="clear" w:pos="851"/>
              </w:tabs>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w:t>
            </w:r>
            <w:r>
              <w:rPr>
                <w:rFonts w:hint="eastAsia" w:eastAsia="宋体" w:cs="Times New Roman"/>
                <w:b/>
                <w:bCs/>
                <w:color w:val="auto"/>
                <w:lang w:val="en-US" w:eastAsia="zh-CN"/>
              </w:rPr>
              <w:t>16</w:t>
            </w:r>
            <w:r>
              <w:rPr>
                <w:rFonts w:hint="default" w:ascii="Times New Roman" w:hAnsi="Times New Roman" w:eastAsia="宋体" w:cs="Times New Roman"/>
                <w:b/>
                <w:bCs/>
                <w:color w:val="auto"/>
              </w:rPr>
              <w:t xml:space="preserve">  固体废物产生及处理措施</w:t>
            </w:r>
          </w:p>
          <w:tbl>
            <w:tblPr>
              <w:tblStyle w:val="39"/>
              <w:tblW w:w="79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759"/>
              <w:gridCol w:w="1974"/>
              <w:gridCol w:w="1308"/>
              <w:gridCol w:w="20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9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属性</w:t>
                  </w:r>
                  <w:r>
                    <w:rPr>
                      <w:rFonts w:hint="default" w:ascii="Times New Roman" w:hAnsi="Times New Roman" w:eastAsia="宋体" w:cs="Times New Roman"/>
                      <w:b/>
                      <w:bCs/>
                      <w:color w:val="auto"/>
                      <w:sz w:val="21"/>
                      <w:szCs w:val="21"/>
                      <w:lang w:val="en-US" w:eastAsia="zh-CN"/>
                    </w:rPr>
                    <w:t>/代码</w:t>
                  </w:r>
                </w:p>
              </w:tc>
              <w:tc>
                <w:tcPr>
                  <w:tcW w:w="130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eastAsia="zh-CN"/>
                    </w:rPr>
                    <w:t>）</w:t>
                  </w:r>
                </w:p>
              </w:tc>
              <w:tc>
                <w:tcPr>
                  <w:tcW w:w="203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2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收集的</w:t>
                  </w:r>
                  <w:r>
                    <w:rPr>
                      <w:rFonts w:hint="default" w:ascii="Times New Roman" w:hAnsi="Times New Roman" w:eastAsia="宋体" w:cs="Times New Roman"/>
                      <w:color w:val="auto"/>
                      <w:kern w:val="0"/>
                      <w:sz w:val="21"/>
                      <w:szCs w:val="21"/>
                    </w:rPr>
                    <w:t>粉尘</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一般工业固废</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120.625</w:t>
                  </w:r>
                </w:p>
              </w:tc>
              <w:tc>
                <w:tcPr>
                  <w:tcW w:w="2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sz w:val="21"/>
                      <w:szCs w:val="21"/>
                      <w:lang w:eastAsia="zh-CN"/>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不合格产品</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边角料</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一般工业固废</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310</w:t>
                  </w:r>
                </w:p>
              </w:tc>
              <w:tc>
                <w:tcPr>
                  <w:tcW w:w="2039" w:type="dxa"/>
                  <w:tcBorders>
                    <w:tl2br w:val="nil"/>
                    <w:tr2bl w:val="nil"/>
                  </w:tcBorders>
                  <w:noWrap w:val="0"/>
                  <w:vAlign w:val="center"/>
                </w:tcPr>
                <w:p>
                  <w:pPr>
                    <w:keepNext w:val="0"/>
                    <w:keepLines w:val="0"/>
                    <w:pageBreakBefore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回用于刨花板生产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泥沙、金属杂质</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一般工业固废</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2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金属外售废品回收站，泥沙运至弃土堆场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炉渣、灰渣</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一般工业固废</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233.57</w:t>
                  </w:r>
                </w:p>
              </w:tc>
              <w:tc>
                <w:tcPr>
                  <w:tcW w:w="20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外售用于制作有机肥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沉渣</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一般工业固废</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039" w:type="dxa"/>
                  <w:vMerge w:val="continue"/>
                  <w:tcBorders>
                    <w:tl2br w:val="nil"/>
                    <w:tr2bl w:val="nil"/>
                  </w:tcBorders>
                  <w:noWrap w:val="0"/>
                  <w:vAlign w:val="center"/>
                </w:tcPr>
                <w:p>
                  <w:pPr>
                    <w:keepNext w:val="0"/>
                    <w:keepLines w:val="0"/>
                    <w:pageBreakBefore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废机油</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含油手套</w:t>
                  </w:r>
                </w:p>
              </w:tc>
              <w:tc>
                <w:tcPr>
                  <w:tcW w:w="1974"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HW49（900-041-49）</w:t>
                  </w:r>
                </w:p>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HW08（900-249-08）</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p>
              </w:tc>
              <w:tc>
                <w:tcPr>
                  <w:tcW w:w="20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分类收集暂存危废暂存间，</w:t>
                  </w:r>
                  <w:r>
                    <w:rPr>
                      <w:rFonts w:hint="default" w:ascii="Times New Roman" w:hAnsi="Times New Roman" w:eastAsia="宋体" w:cs="Times New Roman"/>
                      <w:color w:val="auto"/>
                      <w:sz w:val="21"/>
                      <w:szCs w:val="21"/>
                    </w:rPr>
                    <w:t>委托南充嘉源环保科技有限责任公司外运处置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废胶</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HW13（900-016-13）</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2039" w:type="dxa"/>
                  <w:vMerge w:val="continue"/>
                  <w:tcBorders>
                    <w:tl2br w:val="nil"/>
                    <w:tr2bl w:val="nil"/>
                  </w:tcBorders>
                  <w:noWrap w:val="0"/>
                  <w:vAlign w:val="center"/>
                </w:tcPr>
                <w:p>
                  <w:pPr>
                    <w:keepNext w:val="0"/>
                    <w:keepLines w:val="0"/>
                    <w:pageBreakBefore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6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7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废导热油</w:t>
                  </w:r>
                </w:p>
              </w:tc>
              <w:tc>
                <w:tcPr>
                  <w:tcW w:w="19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rPr>
                    <w:t>HW08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900-249-08</w:t>
                  </w:r>
                  <w:r>
                    <w:rPr>
                      <w:rFonts w:hint="default" w:ascii="Times New Roman" w:hAnsi="Times New Roman" w:eastAsia="宋体" w:cs="Times New Roman"/>
                      <w:color w:val="auto"/>
                      <w:sz w:val="21"/>
                      <w:szCs w:val="21"/>
                      <w:lang w:eastAsia="zh-CN"/>
                    </w:rPr>
                    <w:t>）</w:t>
                  </w:r>
                </w:p>
              </w:tc>
              <w:tc>
                <w:tcPr>
                  <w:tcW w:w="13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1.0t/8a（8年更换一次）</w:t>
                  </w:r>
                </w:p>
              </w:tc>
              <w:tc>
                <w:tcPr>
                  <w:tcW w:w="2039" w:type="dxa"/>
                  <w:vMerge w:val="continue"/>
                  <w:tcBorders>
                    <w:tl2br w:val="nil"/>
                    <w:tr2bl w:val="nil"/>
                  </w:tcBorders>
                  <w:noWrap w:val="0"/>
                  <w:vAlign w:val="center"/>
                </w:tcPr>
                <w:p>
                  <w:pPr>
                    <w:keepNext w:val="0"/>
                    <w:keepLines w:val="0"/>
                    <w:pageBreakBefore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bidi="ar-SA"/>
              </w:rPr>
            </w:pPr>
            <w:r>
              <w:rPr>
                <w:rFonts w:hint="eastAsia" w:ascii="Times New Roman" w:hAnsi="Times New Roman" w:eastAsia="宋体" w:cs="Times New Roman"/>
                <w:b/>
                <w:bCs w:val="0"/>
                <w:color w:val="auto"/>
                <w:kern w:val="0"/>
                <w:sz w:val="24"/>
                <w:szCs w:val="24"/>
                <w:lang w:val="en-US" w:eastAsia="zh-CN" w:bidi="ar-SA"/>
              </w:rPr>
              <w:t>3</w:t>
            </w:r>
            <w:r>
              <w:rPr>
                <w:rFonts w:hint="default" w:ascii="Times New Roman" w:hAnsi="Times New Roman" w:eastAsia="宋体" w:cs="Times New Roman"/>
                <w:b/>
                <w:bCs w:val="0"/>
                <w:color w:val="auto"/>
                <w:kern w:val="0"/>
                <w:sz w:val="24"/>
                <w:szCs w:val="24"/>
                <w:lang w:val="en-US" w:eastAsia="zh-CN" w:bidi="ar-SA"/>
              </w:rPr>
              <w:t>、现有项目卫生防护距离</w:t>
            </w:r>
          </w:p>
          <w:p>
            <w:pPr>
              <w:spacing w:line="360" w:lineRule="auto"/>
              <w:ind w:firstLine="480" w:firstLineChars="200"/>
              <w:rPr>
                <w:rFonts w:hint="default" w:ascii="Times New Roman" w:hAnsi="Times New Roman" w:cs="Times New Roman"/>
                <w:color w:val="auto"/>
                <w:kern w:val="0"/>
                <w:sz w:val="24"/>
                <w:szCs w:val="24"/>
                <w:lang w:val="zh-CN"/>
              </w:rPr>
            </w:pPr>
            <w:r>
              <w:rPr>
                <w:rFonts w:hint="default" w:ascii="Times New Roman" w:hAnsi="Times New Roman" w:eastAsia="宋体" w:cs="Times New Roman"/>
                <w:b w:val="0"/>
                <w:bCs/>
                <w:color w:val="auto"/>
                <w:kern w:val="0"/>
                <w:sz w:val="24"/>
                <w:szCs w:val="24"/>
                <w:lang w:val="zh-CN" w:eastAsia="zh-CN" w:bidi="ar-SA"/>
              </w:rPr>
              <w:t>现有工程以生产车间划定了</w:t>
            </w:r>
            <w:r>
              <w:rPr>
                <w:rFonts w:hint="default" w:ascii="Times New Roman" w:hAnsi="Times New Roman" w:eastAsia="宋体" w:cs="Times New Roman"/>
                <w:b w:val="0"/>
                <w:bCs/>
                <w:color w:val="auto"/>
                <w:kern w:val="0"/>
                <w:sz w:val="24"/>
                <w:szCs w:val="24"/>
                <w:lang w:val="en-US" w:eastAsia="zh-CN" w:bidi="ar-SA"/>
              </w:rPr>
              <w:t>1</w:t>
            </w:r>
            <w:r>
              <w:rPr>
                <w:rFonts w:hint="default" w:ascii="Times New Roman" w:hAnsi="Times New Roman" w:cs="Times New Roman"/>
                <w:b w:val="0"/>
                <w:bCs/>
                <w:color w:val="auto"/>
                <w:kern w:val="0"/>
                <w:sz w:val="24"/>
                <w:szCs w:val="24"/>
                <w:lang w:val="en-US" w:eastAsia="zh-CN"/>
              </w:rPr>
              <w:t>00</w:t>
            </w:r>
            <w:r>
              <w:rPr>
                <w:rFonts w:hint="default" w:ascii="Times New Roman" w:hAnsi="Times New Roman" w:cs="Times New Roman"/>
                <w:b w:val="0"/>
                <w:bCs/>
                <w:color w:val="auto"/>
                <w:kern w:val="0"/>
                <w:sz w:val="24"/>
                <w:szCs w:val="24"/>
                <w:lang w:val="zh-CN"/>
              </w:rPr>
              <w:t>m的卫生防护距离，目</w:t>
            </w:r>
            <w:r>
              <w:rPr>
                <w:rFonts w:hint="default" w:ascii="Times New Roman" w:hAnsi="Times New Roman" w:cs="Times New Roman"/>
                <w:color w:val="auto"/>
                <w:kern w:val="0"/>
                <w:sz w:val="24"/>
                <w:szCs w:val="24"/>
                <w:lang w:val="zh-CN"/>
              </w:rPr>
              <w:t>前该卫生防护距离内不存在敏感保护目标。</w:t>
            </w:r>
          </w:p>
          <w:p>
            <w:pPr>
              <w:pStyle w:val="3"/>
              <w:spacing w:before="156" w:beforeLines="50" w:after="0" w:line="360" w:lineRule="auto"/>
              <w:ind w:firstLine="482" w:firstLineChars="200"/>
              <w:rPr>
                <w:rFonts w:hint="default" w:ascii="Times New Roman" w:hAnsi="Times New Roman" w:eastAsia="宋体" w:cs="Times New Roman"/>
                <w:bCs w:val="0"/>
                <w:color w:val="auto"/>
                <w:kern w:val="0"/>
                <w:sz w:val="24"/>
                <w:szCs w:val="24"/>
              </w:rPr>
            </w:pPr>
            <w:bookmarkStart w:id="2" w:name="_Toc22969"/>
            <w:r>
              <w:rPr>
                <w:rFonts w:hint="eastAsia" w:ascii="Times New Roman" w:hAnsi="Times New Roman" w:eastAsia="宋体" w:cs="Times New Roman"/>
                <w:bCs w:val="0"/>
                <w:color w:val="auto"/>
                <w:kern w:val="0"/>
                <w:sz w:val="24"/>
                <w:szCs w:val="24"/>
                <w:lang w:val="en-US" w:eastAsia="zh-CN"/>
              </w:rPr>
              <w:t>4、</w:t>
            </w:r>
            <w:r>
              <w:rPr>
                <w:rFonts w:hint="default" w:ascii="Times New Roman" w:hAnsi="Times New Roman" w:eastAsia="宋体" w:cs="Times New Roman"/>
                <w:bCs w:val="0"/>
                <w:color w:val="auto"/>
                <w:kern w:val="0"/>
                <w:sz w:val="24"/>
                <w:szCs w:val="24"/>
              </w:rPr>
              <w:t>现有项目存在的问题和“以新带老”对策措施</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4"/>
                <w:highlight w:val="none"/>
                <w:lang w:val="en-US" w:eastAsia="zh-CN"/>
              </w:rPr>
            </w:pPr>
            <w:r>
              <w:rPr>
                <w:rFonts w:hint="default" w:ascii="Times New Roman" w:hAnsi="Times New Roman" w:cs="Times New Roman"/>
                <w:color w:val="auto"/>
                <w:sz w:val="24"/>
                <w:szCs w:val="24"/>
              </w:rPr>
              <w:t>原有项目实际运行过程中，</w:t>
            </w:r>
            <w:r>
              <w:rPr>
                <w:rFonts w:hint="eastAsia" w:ascii="Times New Roman" w:hAnsi="Times New Roman" w:cs="Times New Roman"/>
                <w:color w:val="auto"/>
                <w:sz w:val="24"/>
                <w:szCs w:val="24"/>
                <w:lang w:eastAsia="zh-CN"/>
              </w:rPr>
              <w:t>各污染物达标排放、收集处理措施满足要求，不存在环保问题</w:t>
            </w:r>
            <w:r>
              <w:rPr>
                <w:rFonts w:hint="default" w:ascii="Times New Roman" w:hAnsi="Times New Roman" w:cs="Times New Roman"/>
                <w:color w:val="auto"/>
                <w:sz w:val="24"/>
                <w:szCs w:val="24"/>
              </w:rPr>
              <w:t>及环保投诉。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eastAsia" w:cs="Times New Roman"/>
                <w:color w:val="auto"/>
                <w:sz w:val="24"/>
                <w:lang w:eastAsia="zh-CN"/>
              </w:rPr>
            </w:pPr>
          </w:p>
          <w:p>
            <w:pPr>
              <w:adjustRightInd w:val="0"/>
              <w:snapToGrid w:val="0"/>
              <w:spacing w:line="360" w:lineRule="auto"/>
              <w:ind w:firstLine="1200" w:firstLineChars="500"/>
              <w:rPr>
                <w:rFonts w:hint="default" w:ascii="Times New Roman" w:hAnsi="Times New Roman" w:eastAsia="宋体" w:cs="Times New Roman"/>
                <w:color w:val="auto"/>
                <w:sz w:val="24"/>
                <w:lang w:eastAsia="zh-CN"/>
              </w:rPr>
            </w:pPr>
          </w:p>
          <w:p>
            <w:pPr>
              <w:adjustRightInd w:val="0"/>
              <w:snapToGrid w:val="0"/>
              <w:spacing w:line="360" w:lineRule="auto"/>
              <w:ind w:firstLine="1200" w:firstLineChars="500"/>
              <w:rPr>
                <w:rFonts w:hint="default" w:ascii="Times New Roman" w:hAnsi="Times New Roman" w:eastAsia="宋体" w:cs="Times New Roman"/>
                <w:color w:val="auto"/>
                <w:sz w:val="24"/>
                <w:lang w:eastAsia="zh-CN"/>
              </w:rPr>
            </w:pPr>
          </w:p>
        </w:tc>
      </w:tr>
    </w:tbl>
    <w:p>
      <w:pPr>
        <w:pStyle w:val="34"/>
        <w:jc w:val="center"/>
        <w:rPr>
          <w:rFonts w:hint="default" w:ascii="Times New Roman" w:hAnsi="Times New Roman" w:eastAsia="黑体" w:cs="Times New Roman"/>
          <w:snapToGrid w:val="0"/>
          <w:color w:val="auto"/>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4"/>
        <w:adjustRightInd w:val="0"/>
        <w:snapToGrid w:val="0"/>
        <w:spacing w:before="0" w:beforeAutospacing="0" w:after="0" w:afterAutospacing="0" w:line="15" w:lineRule="auto"/>
        <w:jc w:val="center"/>
        <w:rPr>
          <w:rFonts w:hint="default" w:ascii="Times New Roman" w:hAnsi="Times New Roman" w:eastAsia="黑体" w:cs="Times New Roman"/>
          <w:snapToGrid w:val="0"/>
          <w:color w:val="auto"/>
          <w:sz w:val="30"/>
          <w:szCs w:val="30"/>
        </w:rPr>
      </w:pPr>
    </w:p>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9"/>
        <w:tblW w:w="89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trPr>
        <w:tc>
          <w:tcPr>
            <w:tcW w:w="800" w:type="dxa"/>
            <w:noWrap w:val="0"/>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190" w:type="dxa"/>
            <w:noWrap w:val="0"/>
            <w:vAlign w:val="center"/>
          </w:tcPr>
          <w:p>
            <w:pPr>
              <w:adjustRightInd w:val="0"/>
              <w:snapToGrid w:val="0"/>
              <w:spacing w:line="360" w:lineRule="auto"/>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一、大气环境</w:t>
            </w:r>
          </w:p>
          <w:p>
            <w:pPr>
              <w:pStyle w:val="153"/>
              <w:spacing w:before="0" w:line="360" w:lineRule="auto"/>
              <w:ind w:firstLine="480" w:firstLineChars="200"/>
              <w:rPr>
                <w:rFonts w:hint="default" w:ascii="Times New Roman" w:hAnsi="Times New Roman" w:cs="Times New Roman"/>
                <w:b/>
                <w:bCs/>
                <w:color w:val="auto"/>
              </w:rPr>
            </w:pPr>
            <w:r>
              <w:rPr>
                <w:rFonts w:hint="default" w:ascii="Times New Roman" w:hAnsi="Times New Roman" w:cs="Times New Roman"/>
                <w:bCs/>
                <w:color w:val="auto"/>
                <w:lang w:bidi="ar"/>
              </w:rPr>
              <w:t>根据《建设项目环境影响报告表编制技术指南》（污染影响类）（试行）：1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pPr>
              <w:adjustRightInd w:val="0"/>
              <w:snapToGrid w:val="0"/>
              <w:spacing w:line="360" w:lineRule="auto"/>
              <w:ind w:firstLine="482" w:firstLineChars="20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（1）常规因子</w:t>
            </w:r>
          </w:p>
          <w:p>
            <w:pPr>
              <w:wordWrap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lang w:bidi="ar"/>
              </w:rPr>
              <w:t>本项目环境空气质量现状引用</w:t>
            </w:r>
            <w:r>
              <w:rPr>
                <w:rFonts w:hint="eastAsia" w:cs="Times New Roman"/>
                <w:color w:val="auto"/>
                <w:sz w:val="24"/>
                <w:lang w:eastAsia="zh-CN"/>
              </w:rPr>
              <w:t>遂宁市</w:t>
            </w:r>
            <w:r>
              <w:rPr>
                <w:rFonts w:hint="default" w:ascii="Times New Roman" w:hAnsi="Times New Roman" w:cs="Times New Roman"/>
                <w:bCs/>
                <w:color w:val="auto"/>
                <w:sz w:val="24"/>
              </w:rPr>
              <w:t>生态环境局公布</w:t>
            </w:r>
            <w:r>
              <w:rPr>
                <w:rFonts w:hint="eastAsia" w:cs="Times New Roman"/>
                <w:bCs/>
                <w:color w:val="auto"/>
                <w:sz w:val="24"/>
                <w:lang w:eastAsia="zh-CN"/>
              </w:rPr>
              <w:t>的</w:t>
            </w:r>
            <w:r>
              <w:rPr>
                <w:rFonts w:hint="default" w:ascii="Times New Roman" w:hAnsi="Times New Roman" w:cs="Times New Roman"/>
                <w:bCs/>
                <w:color w:val="auto"/>
                <w:sz w:val="24"/>
              </w:rPr>
              <w:t>《202</w:t>
            </w:r>
            <w:r>
              <w:rPr>
                <w:rFonts w:hint="eastAsia" w:cs="Times New Roman"/>
                <w:bCs/>
                <w:color w:val="auto"/>
                <w:sz w:val="24"/>
                <w:lang w:val="en-US" w:eastAsia="zh-CN"/>
              </w:rPr>
              <w:t>3</w:t>
            </w:r>
            <w:r>
              <w:rPr>
                <w:rFonts w:hint="default" w:ascii="Times New Roman" w:hAnsi="Times New Roman" w:cs="Times New Roman"/>
                <w:bCs/>
                <w:color w:val="auto"/>
                <w:sz w:val="24"/>
              </w:rPr>
              <w:t>年</w:t>
            </w:r>
            <w:r>
              <w:rPr>
                <w:rFonts w:hint="eastAsia" w:cs="Times New Roman"/>
                <w:bCs/>
                <w:color w:val="auto"/>
                <w:sz w:val="24"/>
                <w:lang w:eastAsia="zh-CN"/>
              </w:rPr>
              <w:t>遂宁</w:t>
            </w:r>
            <w:r>
              <w:rPr>
                <w:rFonts w:hint="default" w:ascii="Times New Roman" w:hAnsi="Times New Roman" w:cs="Times New Roman"/>
                <w:bCs/>
                <w:color w:val="auto"/>
                <w:sz w:val="24"/>
              </w:rPr>
              <w:t>市环境质量</w:t>
            </w:r>
            <w:r>
              <w:rPr>
                <w:rFonts w:hint="eastAsia" w:cs="Times New Roman"/>
                <w:bCs/>
                <w:color w:val="auto"/>
                <w:sz w:val="24"/>
                <w:lang w:eastAsia="zh-CN"/>
              </w:rPr>
              <w:t>公告</w:t>
            </w:r>
            <w:r>
              <w:rPr>
                <w:rFonts w:hint="default" w:ascii="Times New Roman" w:hAnsi="Times New Roman" w:cs="Times New Roman"/>
                <w:bCs/>
                <w:color w:val="auto"/>
                <w:sz w:val="24"/>
              </w:rPr>
              <w:t>》</w:t>
            </w:r>
            <w:r>
              <w:rPr>
                <w:rFonts w:hint="default" w:ascii="Times New Roman" w:hAnsi="Times New Roman" w:cs="Times New Roman"/>
                <w:bCs/>
                <w:color w:val="auto"/>
                <w:sz w:val="24"/>
                <w:lang w:bidi="ar"/>
              </w:rPr>
              <w:t>。</w:t>
            </w:r>
            <w:r>
              <w:rPr>
                <w:rFonts w:hint="default" w:ascii="Times New Roman" w:hAnsi="Times New Roman" w:cs="Times New Roman"/>
                <w:bCs/>
                <w:color w:val="auto"/>
                <w:sz w:val="24"/>
              </w:rPr>
              <w:t>202</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年遂宁市城区环境空气质量119天优、199天良、43天轻度污染、3天中度污染、1天重度污染，空气质量达标率为87.1%，主要污染物SO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、NO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、CO和O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的</w:t>
            </w:r>
            <w:r>
              <w:rPr>
                <w:rFonts w:hint="default" w:ascii="Times New Roman" w:hAnsi="Times New Roman" w:cs="Times New Roman"/>
                <w:bCs/>
                <w:color w:val="auto"/>
                <w:sz w:val="24"/>
                <w:lang w:eastAsia="zh-CN"/>
              </w:rPr>
              <w:t>年</w:t>
            </w:r>
            <w:r>
              <w:rPr>
                <w:rFonts w:hint="default" w:ascii="Times New Roman" w:hAnsi="Times New Roman" w:cs="Times New Roman"/>
                <w:bCs/>
                <w:color w:val="auto"/>
                <w:sz w:val="24"/>
              </w:rPr>
              <w:t>均值分别为7.7微克/立方米、24.6微克/立方米、51.7微克/立方米、30.0微克/立方米、1.0毫克/立方米和144.4微克/立方米。同比SO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和O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浓度分别下降了21.4%、4.3%和1.1%，NO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和CO浓度分别上升了22.4%、0.7%和11.1%。202</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年遂宁市环境空气质量检测结果见下表。</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lang w:bidi="ar"/>
              </w:rPr>
              <w:t xml:space="preserve">表3-1  </w:t>
            </w:r>
            <w:r>
              <w:rPr>
                <w:rFonts w:hint="default" w:ascii="Times New Roman" w:hAnsi="Times New Roman" w:cs="Times New Roman"/>
                <w:b/>
                <w:bCs/>
                <w:color w:val="auto"/>
                <w:szCs w:val="21"/>
              </w:rPr>
              <w:t>202</w:t>
            </w:r>
            <w:r>
              <w:rPr>
                <w:rFonts w:hint="eastAsia" w:cs="Times New Roman"/>
                <w:b/>
                <w:bCs/>
                <w:color w:val="auto"/>
                <w:szCs w:val="21"/>
                <w:lang w:val="en-US" w:eastAsia="zh-CN"/>
              </w:rPr>
              <w:t>3</w:t>
            </w:r>
            <w:r>
              <w:rPr>
                <w:rFonts w:hint="default" w:ascii="Times New Roman" w:hAnsi="Times New Roman" w:cs="Times New Roman"/>
                <w:b/>
                <w:bCs/>
                <w:color w:val="auto"/>
                <w:szCs w:val="21"/>
              </w:rPr>
              <w:t>年</w:t>
            </w:r>
            <w:r>
              <w:rPr>
                <w:rFonts w:hint="eastAsia" w:cs="Times New Roman"/>
                <w:b/>
                <w:bCs/>
                <w:color w:val="auto"/>
                <w:szCs w:val="21"/>
                <w:lang w:eastAsia="zh-CN"/>
              </w:rPr>
              <w:t>遂宁市</w:t>
            </w:r>
            <w:r>
              <w:rPr>
                <w:rFonts w:hint="default" w:ascii="Times New Roman" w:hAnsi="Times New Roman" w:cs="Times New Roman"/>
                <w:b/>
                <w:bCs/>
                <w:color w:val="auto"/>
                <w:szCs w:val="21"/>
              </w:rPr>
              <w:t>环境空气质量主要污染物浓度</w:t>
            </w:r>
          </w:p>
          <w:tbl>
            <w:tblPr>
              <w:tblStyle w:val="39"/>
              <w:tblW w:w="79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32"/>
              <w:gridCol w:w="1006"/>
              <w:gridCol w:w="945"/>
              <w:gridCol w:w="1179"/>
              <w:gridCol w:w="1086"/>
              <w:gridCol w:w="1020"/>
              <w:gridCol w:w="921"/>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点位</w:t>
                  </w:r>
                </w:p>
              </w:tc>
              <w:tc>
                <w:tcPr>
                  <w:tcW w:w="1006"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二氧化硫</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default" w:ascii="Times New Roman" w:hAnsi="Times New Roman" w:cs="Times New Roman"/>
                      <w:b w:val="0"/>
                      <w:bCs w:val="0"/>
                      <w:i w:val="0"/>
                      <w:iCs w:val="0"/>
                      <w:color w:val="auto"/>
                      <w:kern w:val="0"/>
                      <w:sz w:val="21"/>
                      <w:szCs w:val="21"/>
                      <w:lang w:val="en-US" w:eastAsia="zh-CN" w:bidi="ar"/>
                    </w:rPr>
                    <w:t>μ</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945"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二氧化氮</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default" w:ascii="Times New Roman" w:hAnsi="Times New Roman" w:cs="Times New Roman"/>
                      <w:b w:val="0"/>
                      <w:bCs w:val="0"/>
                      <w:i w:val="0"/>
                      <w:iCs w:val="0"/>
                      <w:color w:val="auto"/>
                      <w:kern w:val="0"/>
                      <w:sz w:val="21"/>
                      <w:szCs w:val="21"/>
                      <w:lang w:val="en-US" w:eastAsia="zh-CN" w:bidi="ar"/>
                    </w:rPr>
                    <w:t>μ</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1179"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可吸入颗粒物（PM</w:t>
                  </w:r>
                  <w:r>
                    <w:rPr>
                      <w:rFonts w:hint="default" w:ascii="Times New Roman" w:hAnsi="Times New Roman" w:cs="Times New Roman"/>
                      <w:b w:val="0"/>
                      <w:bCs w:val="0"/>
                      <w:color w:val="auto"/>
                      <w:sz w:val="21"/>
                      <w:szCs w:val="21"/>
                      <w:vertAlign w:val="subscript"/>
                    </w:rPr>
                    <w:t>10</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default" w:ascii="Times New Roman" w:hAnsi="Times New Roman" w:cs="Times New Roman"/>
                      <w:b w:val="0"/>
                      <w:bCs w:val="0"/>
                      <w:i w:val="0"/>
                      <w:iCs w:val="0"/>
                      <w:color w:val="auto"/>
                      <w:kern w:val="0"/>
                      <w:sz w:val="21"/>
                      <w:szCs w:val="21"/>
                      <w:lang w:val="en-US" w:eastAsia="zh-CN" w:bidi="ar"/>
                    </w:rPr>
                    <w:t>μ</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1086"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细颗粒物（PM</w:t>
                  </w:r>
                  <w:r>
                    <w:rPr>
                      <w:rFonts w:hint="default" w:ascii="Times New Roman" w:hAnsi="Times New Roman" w:cs="Times New Roman"/>
                      <w:b w:val="0"/>
                      <w:bCs w:val="0"/>
                      <w:color w:val="auto"/>
                      <w:sz w:val="21"/>
                      <w:szCs w:val="21"/>
                      <w:vertAlign w:val="subscript"/>
                    </w:rPr>
                    <w:t>2.5</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default" w:ascii="Times New Roman" w:hAnsi="Times New Roman" w:cs="Times New Roman"/>
                      <w:b w:val="0"/>
                      <w:bCs w:val="0"/>
                      <w:i w:val="0"/>
                      <w:iCs w:val="0"/>
                      <w:color w:val="auto"/>
                      <w:kern w:val="0"/>
                      <w:sz w:val="21"/>
                      <w:szCs w:val="21"/>
                      <w:lang w:val="en-US" w:eastAsia="zh-CN" w:bidi="ar"/>
                    </w:rPr>
                    <w:t>μ</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1020"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一氧化碳</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eastAsia" w:ascii="Times New Roman" w:hAnsi="Times New Roman" w:cs="Times New Roman"/>
                      <w:b w:val="0"/>
                      <w:bCs w:val="0"/>
                      <w:i w:val="0"/>
                      <w:iCs w:val="0"/>
                      <w:color w:val="auto"/>
                      <w:kern w:val="0"/>
                      <w:sz w:val="21"/>
                      <w:szCs w:val="21"/>
                      <w:lang w:val="en-US" w:eastAsia="zh-CN" w:bidi="ar"/>
                    </w:rPr>
                    <w:t>m</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921"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臭氧</w:t>
                  </w:r>
                  <w:r>
                    <w:rPr>
                      <w:rFonts w:hint="eastAsia" w:ascii="Times New Roman" w:hAnsi="Times New Roman" w:cs="Times New Roman"/>
                      <w:b w:val="0"/>
                      <w:bCs w:val="0"/>
                      <w:color w:val="auto"/>
                      <w:sz w:val="21"/>
                      <w:szCs w:val="21"/>
                      <w:lang w:eastAsia="zh-CN"/>
                    </w:rPr>
                    <w:t>年</w:t>
                  </w:r>
                  <w:r>
                    <w:rPr>
                      <w:rFonts w:hint="default" w:ascii="Times New Roman" w:hAnsi="Times New Roman" w:cs="Times New Roman"/>
                      <w:b w:val="0"/>
                      <w:bCs w:val="0"/>
                      <w:color w:val="auto"/>
                      <w:sz w:val="21"/>
                      <w:szCs w:val="21"/>
                    </w:rPr>
                    <w:t>均浓度（</w:t>
                  </w:r>
                  <w:r>
                    <w:rPr>
                      <w:rFonts w:hint="default" w:ascii="Times New Roman" w:hAnsi="Times New Roman" w:cs="Times New Roman"/>
                      <w:b w:val="0"/>
                      <w:bCs w:val="0"/>
                      <w:i w:val="0"/>
                      <w:iCs w:val="0"/>
                      <w:color w:val="auto"/>
                      <w:kern w:val="0"/>
                      <w:sz w:val="21"/>
                      <w:szCs w:val="21"/>
                      <w:lang w:val="en-US" w:eastAsia="zh-CN" w:bidi="ar"/>
                    </w:rPr>
                    <w:t>μ</w:t>
                  </w:r>
                  <w:r>
                    <w:rPr>
                      <w:rFonts w:hint="default" w:ascii="Times New Roman" w:hAnsi="Times New Roman" w:eastAsia="宋体" w:cs="Times New Roman"/>
                      <w:b w:val="0"/>
                      <w:bCs w:val="0"/>
                      <w:i w:val="0"/>
                      <w:iCs w:val="0"/>
                      <w:color w:val="auto"/>
                      <w:kern w:val="0"/>
                      <w:sz w:val="21"/>
                      <w:szCs w:val="21"/>
                      <w:lang w:val="en-US" w:eastAsia="zh-CN" w:bidi="ar"/>
                    </w:rPr>
                    <w:t>g/m</w:t>
                  </w:r>
                  <w:r>
                    <w:rPr>
                      <w:rFonts w:hint="default" w:ascii="Times New Roman" w:hAnsi="Times New Roman" w:eastAsia="宋体" w:cs="Times New Roman"/>
                      <w:b w:val="0"/>
                      <w:bCs w:val="0"/>
                      <w:i w:val="0"/>
                      <w:iCs w:val="0"/>
                      <w:color w:val="auto"/>
                      <w:kern w:val="0"/>
                      <w:sz w:val="21"/>
                      <w:szCs w:val="21"/>
                      <w:vertAlign w:val="superscript"/>
                      <w:lang w:val="en-US" w:eastAsia="zh-CN" w:bidi="ar"/>
                    </w:rPr>
                    <w:t>3</w:t>
                  </w:r>
                  <w:r>
                    <w:rPr>
                      <w:rFonts w:hint="default" w:ascii="Times New Roman" w:hAnsi="Times New Roman" w:cs="Times New Roman"/>
                      <w:b w:val="0"/>
                      <w:bCs w:val="0"/>
                      <w:color w:val="auto"/>
                      <w:sz w:val="21"/>
                      <w:szCs w:val="21"/>
                    </w:rPr>
                    <w:t>）</w:t>
                  </w:r>
                </w:p>
              </w:tc>
              <w:tc>
                <w:tcPr>
                  <w:tcW w:w="779" w:type="dxa"/>
                  <w:vMerge w:val="restar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环境空气质量综合指数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1006"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945"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1179"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1086"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1020"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921"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c>
                <w:tcPr>
                  <w:tcW w:w="779" w:type="dxa"/>
                  <w:vMerge w:val="continue"/>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b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市监测站</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8.1</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25.2</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50.2</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30.1</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1.0</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148.2</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美宁食品公司</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7.9</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27.6</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55.9</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30.2</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0.9</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142.6</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行政中心</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7.2</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20.9</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49.2</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29.8</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1.0</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145.0</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石溪浩</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7.9</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18.3</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59.8</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31.2</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0.9</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142.2</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全市平均</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7.7</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24.6</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51.7</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30.0</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1.0</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144.4</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标准值</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60</w:t>
                  </w:r>
                </w:p>
              </w:tc>
              <w:tc>
                <w:tcPr>
                  <w:tcW w:w="945"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40</w:t>
                  </w:r>
                </w:p>
              </w:tc>
              <w:tc>
                <w:tcPr>
                  <w:tcW w:w="11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70</w:t>
                  </w:r>
                </w:p>
              </w:tc>
              <w:tc>
                <w:tcPr>
                  <w:tcW w:w="108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35</w:t>
                  </w:r>
                </w:p>
              </w:tc>
              <w:tc>
                <w:tcPr>
                  <w:tcW w:w="1020"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4</w:t>
                  </w:r>
                </w:p>
              </w:tc>
              <w:tc>
                <w:tcPr>
                  <w:tcW w:w="921"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160</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32"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eastAsia="宋体" w:cs="Times New Roman"/>
                      <w:b w:val="0"/>
                      <w:color w:val="auto"/>
                      <w:sz w:val="21"/>
                      <w:szCs w:val="21"/>
                      <w:lang w:eastAsia="zh-CN"/>
                    </w:rPr>
                  </w:pPr>
                  <w:r>
                    <w:rPr>
                      <w:rFonts w:hint="default" w:ascii="Times New Roman" w:hAnsi="Times New Roman" w:eastAsia="宋体" w:cs="Times New Roman"/>
                      <w:b w:val="0"/>
                      <w:color w:val="auto"/>
                      <w:sz w:val="21"/>
                      <w:szCs w:val="21"/>
                      <w:lang w:eastAsia="zh-CN"/>
                    </w:rPr>
                    <w:t>达标情况</w:t>
                  </w:r>
                </w:p>
              </w:tc>
              <w:tc>
                <w:tcPr>
                  <w:tcW w:w="1006"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10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达标</w:t>
                  </w:r>
                </w:p>
              </w:tc>
              <w:tc>
                <w:tcPr>
                  <w:tcW w:w="779" w:type="dxa"/>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b/>
                <w:bCs/>
                <w:color w:val="auto"/>
                <w:sz w:val="24"/>
              </w:rPr>
            </w:pPr>
            <w:r>
              <w:rPr>
                <w:rFonts w:hint="eastAsia" w:ascii="Times New Roman" w:hAnsi="Times New Roman" w:cs="Times New Roman"/>
                <w:bCs/>
                <w:color w:val="auto"/>
                <w:sz w:val="24"/>
                <w:szCs w:val="24"/>
                <w:lang w:eastAsia="zh-CN"/>
              </w:rPr>
              <w:t>综上所述，项目所在区域</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2.5</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均满足《环境空气质量标准》（GB3095-2012）中二级标准。</w:t>
            </w:r>
          </w:p>
          <w:p>
            <w:pPr>
              <w:kinsoku w:val="0"/>
              <w:overflowPunct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w:t>
            </w:r>
            <w:r>
              <w:rPr>
                <w:rFonts w:hint="default" w:ascii="Times New Roman" w:hAnsi="Times New Roman" w:cs="Times New Roman"/>
                <w:b/>
                <w:bCs/>
                <w:color w:val="auto"/>
                <w:sz w:val="24"/>
                <w:lang w:eastAsia="zh-CN"/>
              </w:rPr>
              <w:t>特征</w:t>
            </w:r>
            <w:r>
              <w:rPr>
                <w:rFonts w:hint="default" w:ascii="Times New Roman" w:hAnsi="Times New Roman" w:cs="Times New Roman"/>
                <w:b/>
                <w:bCs/>
                <w:color w:val="auto"/>
                <w:sz w:val="24"/>
              </w:rPr>
              <w:t>污染物</w:t>
            </w:r>
            <w:r>
              <w:rPr>
                <w:rFonts w:hint="default" w:ascii="Times New Roman" w:hAnsi="Times New Roman" w:cs="Times New Roman"/>
                <w:b/>
                <w:bCs/>
                <w:snapToGrid w:val="0"/>
                <w:color w:val="auto"/>
                <w:sz w:val="24"/>
              </w:rPr>
              <w:t>环境质量</w:t>
            </w:r>
            <w:r>
              <w:rPr>
                <w:rFonts w:hint="default" w:ascii="Times New Roman" w:hAnsi="Times New Roman" w:cs="Times New Roman"/>
                <w:b/>
                <w:bCs/>
                <w:color w:val="auto"/>
                <w:sz w:val="24"/>
              </w:rPr>
              <w:t>现状</w:t>
            </w:r>
          </w:p>
          <w:p>
            <w:pPr>
              <w:pStyle w:val="139"/>
              <w:adjustRightInd w:val="0"/>
              <w:snapToGrid w:val="0"/>
              <w:ind w:firstLineChars="200"/>
              <w:rPr>
                <w:rFonts w:hint="default" w:ascii="Times New Roman" w:hAnsi="Times New Roman" w:eastAsia="宋体" w:cs="Times New Roman"/>
                <w:color w:val="auto"/>
                <w:sz w:val="24"/>
                <w:szCs w:val="20"/>
                <w:lang w:eastAsia="zh-CN"/>
              </w:rPr>
            </w:pPr>
            <w:r>
              <w:rPr>
                <w:rFonts w:hint="default" w:ascii="Times New Roman" w:hAnsi="Times New Roman" w:cs="Times New Roman"/>
                <w:color w:val="auto"/>
                <w:sz w:val="24"/>
              </w:rPr>
              <w:t>为进一步了解项目建设地环境空气质量现状，</w:t>
            </w:r>
            <w:r>
              <w:rPr>
                <w:rFonts w:hint="default" w:ascii="Times New Roman" w:hAnsi="Times New Roman" w:eastAsia="宋体" w:cs="Times New Roman"/>
                <w:color w:val="auto"/>
                <w:sz w:val="24"/>
                <w:szCs w:val="20"/>
                <w:lang w:eastAsia="zh-CN"/>
              </w:rPr>
              <w:t>为了解区域环境质量状况，本次评价委托四川锡水金山环保科技有限公司于</w:t>
            </w:r>
            <w:r>
              <w:rPr>
                <w:rFonts w:hint="default" w:ascii="Times New Roman" w:hAnsi="Times New Roman" w:eastAsia="宋体" w:cs="Times New Roman"/>
                <w:color w:val="auto"/>
                <w:sz w:val="24"/>
                <w:szCs w:val="20"/>
                <w:lang w:val="en-US" w:eastAsia="zh-CN"/>
              </w:rPr>
              <w:t>2024年4月4日-10日</w:t>
            </w:r>
            <w:r>
              <w:rPr>
                <w:rFonts w:hint="default" w:ascii="Times New Roman" w:hAnsi="Times New Roman" w:eastAsia="宋体" w:cs="Times New Roman"/>
                <w:color w:val="auto"/>
                <w:sz w:val="24"/>
                <w:szCs w:val="20"/>
                <w:lang w:eastAsia="zh-CN"/>
              </w:rPr>
              <w:t>对项目所在地总悬浮颗粒物、氮氧化物、氨、甲醛、非甲烷总烃进行环境质量现状监测；委托四川华皓检测技术有限公司于</w:t>
            </w:r>
            <w:r>
              <w:rPr>
                <w:rFonts w:hint="default" w:ascii="Times New Roman" w:hAnsi="Times New Roman" w:eastAsia="宋体" w:cs="Times New Roman"/>
                <w:color w:val="auto"/>
                <w:sz w:val="24"/>
                <w:szCs w:val="20"/>
                <w:lang w:val="en-US" w:eastAsia="zh-CN"/>
              </w:rPr>
              <w:t>2025年5月6日-12日</w:t>
            </w:r>
            <w:r>
              <w:rPr>
                <w:rFonts w:hint="default" w:ascii="Times New Roman" w:hAnsi="Times New Roman" w:eastAsia="宋体" w:cs="Times New Roman"/>
                <w:color w:val="auto"/>
                <w:sz w:val="24"/>
                <w:szCs w:val="20"/>
                <w:lang w:eastAsia="zh-CN"/>
              </w:rPr>
              <w:t>对项目所在地汞进行环境质量现状监测。</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（1）监测点位、监测项目、监测频次</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项目监测1个点位，具体位置见下表。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表</w:t>
            </w:r>
            <w:r>
              <w:rPr>
                <w:rFonts w:hint="eastAsia" w:ascii="Times New Roman" w:hAnsi="Times New Roman" w:eastAsia="宋体" w:cs="Times New Roman"/>
                <w:b/>
                <w:bCs/>
                <w:color w:val="auto"/>
                <w:szCs w:val="21"/>
                <w:lang w:val="en-US" w:eastAsia="zh-CN"/>
              </w:rPr>
              <w:t xml:space="preserve">3-2  </w:t>
            </w:r>
            <w:r>
              <w:rPr>
                <w:rFonts w:hint="default" w:ascii="Times New Roman" w:hAnsi="Times New Roman" w:eastAsia="宋体" w:cs="Times New Roman"/>
                <w:b/>
                <w:bCs/>
                <w:color w:val="auto"/>
                <w:szCs w:val="21"/>
              </w:rPr>
              <w:t>环境空气监测点位</w:t>
            </w:r>
          </w:p>
          <w:tbl>
            <w:tblPr>
              <w:tblStyle w:val="39"/>
              <w:tblW w:w="79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323"/>
              <w:gridCol w:w="3570"/>
              <w:gridCol w:w="916"/>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5" w:type="dxa"/>
                  <w:vMerge w:val="restart"/>
                  <w:tcBorders>
                    <w:tl2br w:val="nil"/>
                    <w:tr2bl w:val="nil"/>
                  </w:tcBorders>
                  <w:noWrap w:val="0"/>
                  <w:vAlign w:val="center"/>
                </w:tcPr>
                <w:p>
                  <w:pPr>
                    <w:spacing w:line="360" w:lineRule="auto"/>
                    <w:ind w:right="19"/>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点位</w:t>
                  </w:r>
                </w:p>
              </w:tc>
              <w:tc>
                <w:tcPr>
                  <w:tcW w:w="1323" w:type="dxa"/>
                  <w:vMerge w:val="restart"/>
                  <w:tcBorders>
                    <w:tl2br w:val="nil"/>
                    <w:tr2bl w:val="nil"/>
                  </w:tcBorders>
                  <w:noWrap w:val="0"/>
                  <w:vAlign w:val="center"/>
                </w:tcPr>
                <w:p>
                  <w:pPr>
                    <w:spacing w:line="360" w:lineRule="auto"/>
                    <w:ind w:right="19"/>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位置</w:t>
                  </w:r>
                </w:p>
              </w:tc>
              <w:tc>
                <w:tcPr>
                  <w:tcW w:w="3570" w:type="dxa"/>
                  <w:vMerge w:val="restart"/>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特征污染物监测项目</w:t>
                  </w:r>
                </w:p>
              </w:tc>
              <w:tc>
                <w:tcPr>
                  <w:tcW w:w="2120" w:type="dxa"/>
                  <w:gridSpan w:val="2"/>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5" w:type="dxa"/>
                  <w:vMerge w:val="continue"/>
                  <w:tcBorders>
                    <w:tl2br w:val="nil"/>
                    <w:tr2bl w:val="nil"/>
                  </w:tcBorders>
                  <w:noWrap w:val="0"/>
                  <w:vAlign w:val="center"/>
                </w:tcPr>
                <w:p>
                  <w:pPr>
                    <w:spacing w:line="240" w:lineRule="auto"/>
                    <w:ind w:right="15" w:rightChars="7"/>
                    <w:jc w:val="center"/>
                    <w:rPr>
                      <w:rFonts w:hint="default" w:ascii="Times New Roman" w:hAnsi="Times New Roman" w:eastAsia="仿宋" w:cs="Times New Roman"/>
                      <w:color w:val="auto"/>
                      <w:sz w:val="21"/>
                      <w:szCs w:val="21"/>
                      <w:lang w:val="en-US" w:eastAsia="zh-CN" w:bidi="ar-SA"/>
                    </w:rPr>
                  </w:pPr>
                </w:p>
              </w:tc>
              <w:tc>
                <w:tcPr>
                  <w:tcW w:w="1323" w:type="dxa"/>
                  <w:vMerge w:val="continue"/>
                  <w:tcBorders>
                    <w:tl2br w:val="nil"/>
                    <w:tr2bl w:val="nil"/>
                  </w:tcBorders>
                  <w:noWrap w:val="0"/>
                  <w:vAlign w:val="center"/>
                </w:tcPr>
                <w:p>
                  <w:pPr>
                    <w:spacing w:line="240" w:lineRule="auto"/>
                    <w:ind w:right="15" w:rightChars="7"/>
                    <w:jc w:val="center"/>
                    <w:rPr>
                      <w:rFonts w:hint="default" w:ascii="Times New Roman" w:hAnsi="Times New Roman" w:eastAsia="仿宋" w:cs="Times New Roman"/>
                      <w:color w:val="auto"/>
                      <w:sz w:val="21"/>
                      <w:szCs w:val="21"/>
                      <w:lang w:val="en-US" w:eastAsia="zh-CN" w:bidi="ar-SA"/>
                    </w:rPr>
                  </w:pPr>
                </w:p>
              </w:tc>
              <w:tc>
                <w:tcPr>
                  <w:tcW w:w="3570" w:type="dxa"/>
                  <w:vMerge w:val="continue"/>
                  <w:tcBorders>
                    <w:tl2br w:val="nil"/>
                    <w:tr2bl w:val="nil"/>
                  </w:tcBorders>
                  <w:noWrap w:val="0"/>
                  <w:vAlign w:val="center"/>
                </w:tcPr>
                <w:p>
                  <w:pPr>
                    <w:spacing w:line="240" w:lineRule="auto"/>
                    <w:ind w:right="15" w:rightChars="7"/>
                    <w:jc w:val="center"/>
                    <w:rPr>
                      <w:rFonts w:hint="default" w:ascii="Times New Roman" w:hAnsi="Times New Roman" w:eastAsia="仿宋" w:cs="Times New Roman"/>
                      <w:color w:val="auto"/>
                      <w:sz w:val="21"/>
                      <w:szCs w:val="21"/>
                      <w:lang w:val="en-US" w:eastAsia="zh-CN" w:bidi="ar-SA"/>
                    </w:rPr>
                  </w:pPr>
                </w:p>
              </w:tc>
              <w:tc>
                <w:tcPr>
                  <w:tcW w:w="916"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天</w:t>
                  </w:r>
                </w:p>
              </w:tc>
              <w:tc>
                <w:tcPr>
                  <w:tcW w:w="1204"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5" w:type="dxa"/>
                  <w:vMerge w:val="restart"/>
                  <w:tcBorders>
                    <w:tl2br w:val="nil"/>
                    <w:tr2bl w:val="nil"/>
                  </w:tcBorders>
                  <w:noWrap w:val="0"/>
                  <w:vAlign w:val="center"/>
                </w:tcPr>
                <w:p>
                  <w:pPr>
                    <w:spacing w:line="360" w:lineRule="auto"/>
                    <w:ind w:right="19"/>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w:t>
                  </w:r>
                </w:p>
              </w:tc>
              <w:tc>
                <w:tcPr>
                  <w:tcW w:w="1323" w:type="dxa"/>
                  <w:vMerge w:val="restart"/>
                  <w:tcBorders>
                    <w:tl2br w:val="nil"/>
                    <w:tr2bl w:val="nil"/>
                  </w:tcBorders>
                  <w:noWrap w:val="0"/>
                  <w:vAlign w:val="center"/>
                </w:tcPr>
                <w:p>
                  <w:pPr>
                    <w:spacing w:line="240" w:lineRule="auto"/>
                    <w:ind w:right="19"/>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项目西北侧</w:t>
                  </w:r>
                </w:p>
              </w:tc>
              <w:tc>
                <w:tcPr>
                  <w:tcW w:w="3570"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总悬浮颗粒物、汞</w:t>
                  </w:r>
                </w:p>
              </w:tc>
              <w:tc>
                <w:tcPr>
                  <w:tcW w:w="916" w:type="dxa"/>
                  <w:vMerge w:val="restart"/>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w:t>
                  </w:r>
                </w:p>
              </w:tc>
              <w:tc>
                <w:tcPr>
                  <w:tcW w:w="1204"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5" w:type="dxa"/>
                  <w:vMerge w:val="continue"/>
                  <w:tcBorders>
                    <w:tl2br w:val="nil"/>
                    <w:tr2bl w:val="nil"/>
                  </w:tcBorders>
                  <w:noWrap w:val="0"/>
                  <w:vAlign w:val="center"/>
                </w:tcPr>
                <w:p>
                  <w:pPr>
                    <w:spacing w:line="360" w:lineRule="auto"/>
                    <w:ind w:right="19"/>
                    <w:jc w:val="center"/>
                    <w:rPr>
                      <w:rFonts w:hint="default" w:ascii="Times New Roman" w:hAnsi="Times New Roman" w:eastAsia="宋体" w:cs="Times New Roman"/>
                      <w:color w:val="auto"/>
                      <w:sz w:val="21"/>
                      <w:szCs w:val="21"/>
                      <w:lang w:val="en-US" w:eastAsia="zh-CN" w:bidi="ar-SA"/>
                    </w:rPr>
                  </w:pPr>
                </w:p>
              </w:tc>
              <w:tc>
                <w:tcPr>
                  <w:tcW w:w="1323" w:type="dxa"/>
                  <w:vMerge w:val="continue"/>
                  <w:tcBorders>
                    <w:tl2br w:val="nil"/>
                    <w:tr2bl w:val="nil"/>
                  </w:tcBorders>
                  <w:noWrap w:val="0"/>
                  <w:vAlign w:val="center"/>
                </w:tcPr>
                <w:p>
                  <w:pPr>
                    <w:spacing w:line="240" w:lineRule="auto"/>
                    <w:ind w:right="19"/>
                    <w:jc w:val="center"/>
                    <w:rPr>
                      <w:rFonts w:hint="default" w:ascii="Times New Roman" w:hAnsi="Times New Roman" w:eastAsia="宋体" w:cs="Times New Roman"/>
                      <w:color w:val="auto"/>
                      <w:sz w:val="21"/>
                      <w:szCs w:val="21"/>
                      <w:lang w:val="en-US" w:eastAsia="zh-CN" w:bidi="ar-SA"/>
                    </w:rPr>
                  </w:pPr>
                </w:p>
              </w:tc>
              <w:tc>
                <w:tcPr>
                  <w:tcW w:w="3570"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氮氧化物、氨、甲醛、非甲烷总烃</w:t>
                  </w:r>
                </w:p>
              </w:tc>
              <w:tc>
                <w:tcPr>
                  <w:tcW w:w="916" w:type="dxa"/>
                  <w:vMerge w:val="continue"/>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p>
              </w:tc>
              <w:tc>
                <w:tcPr>
                  <w:tcW w:w="1204" w:type="dxa"/>
                  <w:tcBorders>
                    <w:tl2br w:val="nil"/>
                    <w:tr2bl w:val="nil"/>
                  </w:tcBorders>
                  <w:noWrap w:val="0"/>
                  <w:vAlign w:val="center"/>
                </w:tcPr>
                <w:p>
                  <w:pPr>
                    <w:spacing w:line="240" w:lineRule="auto"/>
                    <w:ind w:right="15" w:rightChars="7"/>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w:t>
                  </w:r>
                </w:p>
              </w:tc>
            </w:tr>
          </w:tbl>
          <w:p>
            <w:pPr>
              <w:widowControl w:val="0"/>
              <w:adjustRightInd w:val="0"/>
              <w:snapToGrid w:val="0"/>
              <w:spacing w:before="156" w:beforeLines="50"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（2）监测时间</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监测时间为2024年4月4日~10日、2025年5月6日~12日，连续监测7天。</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（3）监测结果统计与评价</w:t>
            </w:r>
          </w:p>
          <w:p>
            <w:pPr>
              <w:widowControl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监测统计结果见下表。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表</w:t>
            </w:r>
            <w:r>
              <w:rPr>
                <w:rFonts w:hint="eastAsia" w:ascii="Times New Roman" w:hAnsi="Times New Roman" w:eastAsia="宋体" w:cs="Times New Roman"/>
                <w:b/>
                <w:bCs/>
                <w:color w:val="auto"/>
                <w:szCs w:val="21"/>
                <w:lang w:val="en-US" w:eastAsia="zh-CN"/>
              </w:rPr>
              <w:t xml:space="preserve">3-3  </w:t>
            </w:r>
            <w:r>
              <w:rPr>
                <w:rFonts w:hint="default" w:ascii="Times New Roman" w:hAnsi="Times New Roman" w:eastAsia="宋体" w:cs="Times New Roman"/>
                <w:b/>
                <w:bCs/>
                <w:color w:val="auto"/>
                <w:szCs w:val="21"/>
              </w:rPr>
              <w:t>环境空气质量现状评价结果</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1</w:t>
            </w:r>
            <w:r>
              <w:rPr>
                <w:rFonts w:hint="eastAsia" w:ascii="Times New Roman" w:hAnsi="Times New Roman" w:eastAsia="宋体" w:cs="Times New Roman"/>
                <w:b/>
                <w:bCs/>
                <w:color w:val="auto"/>
                <w:szCs w:val="21"/>
                <w:lang w:eastAsia="zh-CN"/>
              </w:rPr>
              <w:t>）</w:t>
            </w:r>
          </w:p>
          <w:tbl>
            <w:tblPr>
              <w:tblStyle w:val="39"/>
              <w:tblW w:w="796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328"/>
              <w:gridCol w:w="1235"/>
              <w:gridCol w:w="1704"/>
              <w:gridCol w:w="1365"/>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TW" w:bidi="ar-SA"/>
                    </w:rPr>
                    <w:t>监测</w:t>
                  </w:r>
                  <w:r>
                    <w:rPr>
                      <w:rFonts w:hint="default" w:ascii="Times New Roman" w:hAnsi="Times New Roman" w:eastAsia="宋体" w:cs="Times New Roman"/>
                      <w:b/>
                      <w:color w:val="auto"/>
                      <w:sz w:val="21"/>
                      <w:szCs w:val="21"/>
                      <w:lang w:val="en-US" w:eastAsia="zh-CN" w:bidi="ar-SA"/>
                    </w:rPr>
                    <w:t>时间</w:t>
                  </w:r>
                </w:p>
              </w:tc>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污染物</w:t>
                  </w:r>
                </w:p>
              </w:tc>
              <w:tc>
                <w:tcPr>
                  <w:tcW w:w="123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单位</w:t>
                  </w:r>
                </w:p>
              </w:tc>
              <w:tc>
                <w:tcPr>
                  <w:tcW w:w="170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监测结果</w:t>
                  </w:r>
                </w:p>
              </w:tc>
              <w:tc>
                <w:tcPr>
                  <w:tcW w:w="136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评价标准</w:t>
                  </w:r>
                </w:p>
              </w:tc>
              <w:tc>
                <w:tcPr>
                  <w:tcW w:w="107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2024.4.4</w:t>
                  </w:r>
                </w:p>
              </w:tc>
              <w:tc>
                <w:tcPr>
                  <w:tcW w:w="13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总悬浮颗粒物（日均值）</w:t>
                  </w:r>
                </w:p>
              </w:tc>
              <w:tc>
                <w:tcPr>
                  <w:tcW w:w="12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μmg/m</w:t>
                  </w:r>
                  <w:r>
                    <w:rPr>
                      <w:rFonts w:hint="default" w:ascii="Times New Roman" w:hAnsi="Times New Roman" w:eastAsia="宋体" w:cs="Times New Roman"/>
                      <w:b w:val="0"/>
                      <w:bCs/>
                      <w:color w:val="auto"/>
                      <w:kern w:val="0"/>
                      <w:sz w:val="21"/>
                      <w:szCs w:val="21"/>
                      <w:vertAlign w:val="superscript"/>
                      <w:lang w:val="en-US" w:eastAsia="zh-CN" w:bidi="ar-SA"/>
                    </w:rPr>
                    <w:t>3</w:t>
                  </w: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135</w:t>
                  </w:r>
                </w:p>
              </w:tc>
              <w:tc>
                <w:tcPr>
                  <w:tcW w:w="13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300</w:t>
                  </w:r>
                </w:p>
              </w:tc>
              <w:tc>
                <w:tcPr>
                  <w:tcW w:w="10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2024.4.5</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114</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2024.4.6</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139</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2024.4.7</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124</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2024.4.8</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111</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2024.4.9</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132</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2024.4.10</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144</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2025.5.6</w:t>
                  </w:r>
                </w:p>
              </w:tc>
              <w:tc>
                <w:tcPr>
                  <w:tcW w:w="13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汞</w:t>
                  </w:r>
                </w:p>
              </w:tc>
              <w:tc>
                <w:tcPr>
                  <w:tcW w:w="12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mg/m</w:t>
                  </w:r>
                  <w:r>
                    <w:rPr>
                      <w:rFonts w:hint="default" w:ascii="Times New Roman" w:hAnsi="Times New Roman" w:eastAsia="宋体" w:cs="Times New Roman"/>
                      <w:b w:val="0"/>
                      <w:bCs/>
                      <w:color w:val="auto"/>
                      <w:kern w:val="0"/>
                      <w:sz w:val="21"/>
                      <w:szCs w:val="21"/>
                      <w:highlight w:val="none"/>
                      <w:vertAlign w:val="superscript"/>
                      <w:lang w:val="en-US" w:eastAsia="zh-CN" w:bidi="ar-SA"/>
                    </w:rPr>
                    <w:t>3</w:t>
                  </w:r>
                </w:p>
              </w:tc>
              <w:tc>
                <w:tcPr>
                  <w:tcW w:w="170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w:t>
                  </w:r>
                </w:p>
              </w:tc>
              <w:tc>
                <w:tcPr>
                  <w:tcW w:w="10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2025.5.7</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2025.5.8</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2025.5.9</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2025.5.10</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2025.5.11</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spacing w:line="240" w:lineRule="exact"/>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2025.5.12</w:t>
                  </w:r>
                </w:p>
              </w:tc>
              <w:tc>
                <w:tcPr>
                  <w:tcW w:w="13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2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704" w:type="dxa"/>
                  <w:tcBorders>
                    <w:tl2br w:val="nil"/>
                    <w:tr2bl w:val="nil"/>
                  </w:tcBorders>
                  <w:noWrap w:val="0"/>
                  <w:vAlign w:val="center"/>
                </w:tcPr>
                <w:p>
                  <w:pPr>
                    <w:widowControl/>
                    <w:spacing w:line="240" w:lineRule="exact"/>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ND</w:t>
                  </w:r>
                </w:p>
              </w:tc>
              <w:tc>
                <w:tcPr>
                  <w:tcW w:w="13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ind w:leftChars="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表</w:t>
            </w:r>
            <w:r>
              <w:rPr>
                <w:rFonts w:hint="eastAsia" w:ascii="Times New Roman" w:hAnsi="Times New Roman" w:eastAsia="宋体" w:cs="Times New Roman"/>
                <w:b/>
                <w:bCs/>
                <w:color w:val="auto"/>
                <w:szCs w:val="21"/>
                <w:lang w:val="en-US" w:eastAsia="zh-CN"/>
              </w:rPr>
              <w:t xml:space="preserve">3-4  </w:t>
            </w:r>
            <w:r>
              <w:rPr>
                <w:rFonts w:hint="default" w:ascii="Times New Roman" w:hAnsi="Times New Roman" w:eastAsia="宋体" w:cs="Times New Roman"/>
                <w:b/>
                <w:bCs/>
                <w:color w:val="auto"/>
                <w:szCs w:val="21"/>
              </w:rPr>
              <w:t>环境空气质量现状评价结果</w:t>
            </w:r>
            <w:r>
              <w:rPr>
                <w:rFonts w:hint="eastAsia" w:ascii="Times New Roman" w:hAnsi="Times New Roman" w:eastAsia="宋体" w:cs="Times New Roman"/>
                <w:b/>
                <w:bCs/>
                <w:color w:val="auto"/>
                <w:szCs w:val="21"/>
                <w:lang w:eastAsia="zh-CN"/>
              </w:rPr>
              <w:t>（</w:t>
            </w:r>
            <w:r>
              <w:rPr>
                <w:rFonts w:hint="eastAsia" w:ascii="Times New Roman" w:hAnsi="Times New Roman" w:eastAsia="宋体" w:cs="Times New Roman"/>
                <w:b/>
                <w:bCs/>
                <w:color w:val="auto"/>
                <w:szCs w:val="21"/>
                <w:lang w:val="en-US" w:eastAsia="zh-CN"/>
              </w:rPr>
              <w:t>2</w:t>
            </w:r>
            <w:r>
              <w:rPr>
                <w:rFonts w:hint="eastAsia" w:ascii="Times New Roman" w:hAnsi="Times New Roman" w:eastAsia="宋体" w:cs="Times New Roman"/>
                <w:b/>
                <w:bCs/>
                <w:color w:val="auto"/>
                <w:szCs w:val="21"/>
                <w:lang w:eastAsia="zh-CN"/>
              </w:rPr>
              <w:t>）</w:t>
            </w:r>
          </w:p>
          <w:tbl>
            <w:tblPr>
              <w:tblStyle w:val="39"/>
              <w:tblW w:w="796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874"/>
              <w:gridCol w:w="986"/>
              <w:gridCol w:w="1005"/>
              <w:gridCol w:w="855"/>
              <w:gridCol w:w="885"/>
              <w:gridCol w:w="900"/>
              <w:gridCol w:w="705"/>
              <w:gridCol w:w="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TW" w:bidi="ar-SA"/>
                    </w:rPr>
                    <w:t>监测</w:t>
                  </w:r>
                  <w:r>
                    <w:rPr>
                      <w:rFonts w:hint="default" w:ascii="Times New Roman" w:hAnsi="Times New Roman" w:eastAsia="宋体" w:cs="Times New Roman"/>
                      <w:b/>
                      <w:color w:val="auto"/>
                      <w:sz w:val="21"/>
                      <w:szCs w:val="21"/>
                      <w:lang w:val="en-US" w:eastAsia="zh-CN" w:bidi="ar-SA"/>
                    </w:rPr>
                    <w:t>时间</w:t>
                  </w:r>
                </w:p>
              </w:tc>
              <w:tc>
                <w:tcPr>
                  <w:tcW w:w="87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污染物</w:t>
                  </w:r>
                </w:p>
              </w:tc>
              <w:tc>
                <w:tcPr>
                  <w:tcW w:w="9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单位</w:t>
                  </w:r>
                </w:p>
              </w:tc>
              <w:tc>
                <w:tcPr>
                  <w:tcW w:w="3645"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监测结果</w:t>
                  </w:r>
                </w:p>
              </w:tc>
              <w:tc>
                <w:tcPr>
                  <w:tcW w:w="70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评价标准</w:t>
                  </w:r>
                </w:p>
              </w:tc>
              <w:tc>
                <w:tcPr>
                  <w:tcW w:w="64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TW" w:bidi="ar-SA"/>
                    </w:rPr>
                  </w:pPr>
                  <w:r>
                    <w:rPr>
                      <w:rFonts w:hint="default" w:ascii="Times New Roman" w:hAnsi="Times New Roman" w:eastAsia="宋体" w:cs="Times New Roman"/>
                      <w:b/>
                      <w:color w:val="auto"/>
                      <w:sz w:val="21"/>
                      <w:szCs w:val="21"/>
                      <w:lang w:val="en-US" w:eastAsia="zh-TW"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仿宋" w:cs="Times New Roman"/>
                      <w:color w:val="auto"/>
                      <w:sz w:val="21"/>
                      <w:szCs w:val="21"/>
                      <w:lang w:val="en-US" w:eastAsia="zh-CN" w:bidi="ar-SA"/>
                    </w:rPr>
                  </w:pPr>
                </w:p>
              </w:tc>
              <w:tc>
                <w:tcPr>
                  <w:tcW w:w="87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仿宋" w:cs="Times New Roman"/>
                      <w:color w:val="auto"/>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仿宋" w:cs="Times New Roman"/>
                      <w:color w:val="auto"/>
                      <w:sz w:val="21"/>
                      <w:szCs w:val="21"/>
                      <w:lang w:val="en-US" w:eastAsia="zh-CN" w:bidi="ar-SA"/>
                    </w:rPr>
                  </w:pP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第一次</w:t>
                  </w:r>
                </w:p>
              </w:tc>
              <w:tc>
                <w:tcPr>
                  <w:tcW w:w="8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第二次</w:t>
                  </w:r>
                </w:p>
              </w:tc>
              <w:tc>
                <w:tcPr>
                  <w:tcW w:w="88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第三次</w:t>
                  </w:r>
                </w:p>
              </w:tc>
              <w:tc>
                <w:tcPr>
                  <w:tcW w:w="9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lang w:val="en-US" w:eastAsia="zh-CN" w:bidi="ar-SA"/>
                    </w:rPr>
                    <w:t>第四次</w:t>
                  </w:r>
                </w:p>
              </w:tc>
              <w:tc>
                <w:tcPr>
                  <w:tcW w:w="70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firstLine="0" w:firstLineChars="0"/>
                    <w:jc w:val="center"/>
                    <w:rPr>
                      <w:rFonts w:hint="default" w:ascii="Times New Roman" w:hAnsi="Times New Roman" w:eastAsia="宋体" w:cs="Times New Roman"/>
                      <w:b/>
                      <w:color w:val="auto"/>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2025.4.4</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氮氧化物</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（小时值）</w:t>
                  </w:r>
                </w:p>
              </w:tc>
              <w:tc>
                <w:tcPr>
                  <w:tcW w:w="9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mg/m</w:t>
                  </w:r>
                  <w:r>
                    <w:rPr>
                      <w:rFonts w:hint="default" w:ascii="Times New Roman" w:hAnsi="Times New Roman" w:eastAsia="宋体" w:cs="Times New Roman"/>
                      <w:b w:val="0"/>
                      <w:bCs/>
                      <w:color w:val="auto"/>
                      <w:kern w:val="0"/>
                      <w:sz w:val="21"/>
                      <w:szCs w:val="21"/>
                      <w:vertAlign w:val="superscript"/>
                      <w:lang w:val="en-US" w:eastAsia="zh-CN" w:bidi="ar-SA"/>
                    </w:rPr>
                    <w:t>3</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0.013</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0.014</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0.250</w:t>
                  </w:r>
                </w:p>
              </w:tc>
              <w:tc>
                <w:tcPr>
                  <w:tcW w:w="6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2025.4.5</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2025.4.6</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0.013</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2025.4.7</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2025.4.8</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2025.4.9</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0.010</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0.010</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2025.4.10</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2025.4.4</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氨</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（小时值）</w:t>
                  </w: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0.200</w:t>
                  </w:r>
                </w:p>
              </w:tc>
              <w:tc>
                <w:tcPr>
                  <w:tcW w:w="6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2025.4.5</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2025.4.6</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2025.4.7</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2025.4.8</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2025.4.9</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0.04</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2025.4.10</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0.02</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0.03</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2025.4.4</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甲醛</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（小时值）</w:t>
                  </w: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0.050</w:t>
                  </w:r>
                </w:p>
              </w:tc>
              <w:tc>
                <w:tcPr>
                  <w:tcW w:w="6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2025.4.5</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2025.4.6</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2025.4.7</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2025.4.8</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2025.4.9</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2025.4.10</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未检出</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2025.4.4</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非甲烷总烃</w:t>
                  </w: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0.43</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0.31</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0.58</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w:t>
                  </w:r>
                </w:p>
              </w:tc>
              <w:tc>
                <w:tcPr>
                  <w:tcW w:w="6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2025.4.5</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0.46</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0.39</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0.37</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0.48</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2025.4.6</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0.55</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0.37</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0.50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0.49</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2025.4.7</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0.49</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0.45</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0.63</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2025.4.8</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0.41</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0.64</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0.42</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0.48</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2025.4.9</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0.34</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0.39</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0.38</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0.26</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2025.4.10</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0.33</w:t>
                  </w: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0.35</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0.42</w:t>
                  </w:r>
                </w:p>
              </w:tc>
              <w:tc>
                <w:tcPr>
                  <w:tcW w:w="7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c>
                <w:tcPr>
                  <w:tcW w:w="6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p>
              </w:tc>
            </w:tr>
          </w:tbl>
          <w:p>
            <w:pPr>
              <w:widowControl w:val="0"/>
              <w:adjustRightInd w:val="0"/>
              <w:snapToGrid w:val="0"/>
              <w:spacing w:before="156" w:beforeLines="50"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4</w:t>
            </w:r>
            <w:r>
              <w:rPr>
                <w:rFonts w:hint="default" w:ascii="Times New Roman" w:hAnsi="Times New Roman" w:eastAsia="宋体" w:cs="Times New Roman"/>
                <w:color w:val="auto"/>
                <w:kern w:val="0"/>
                <w:sz w:val="24"/>
                <w:szCs w:val="20"/>
                <w:lang w:val="en-US" w:eastAsia="zh-CN" w:bidi="ar-SA"/>
              </w:rPr>
              <w:t>）评价结论</w:t>
            </w:r>
          </w:p>
          <w:p>
            <w:pPr>
              <w:widowControl w:val="0"/>
              <w:spacing w:after="0" w:line="360" w:lineRule="auto"/>
              <w:ind w:left="0" w:leftChars="0" w:firstLine="480" w:firstLineChars="200"/>
              <w:jc w:val="both"/>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本项目所在区域内的大气污染物甲醛、NH</w:t>
            </w:r>
            <w:r>
              <w:rPr>
                <w:rFonts w:hint="default" w:ascii="Times New Roman" w:hAnsi="Times New Roman" w:eastAsia="宋体" w:cs="Times New Roman"/>
                <w:color w:val="auto"/>
                <w:kern w:val="2"/>
                <w:sz w:val="24"/>
                <w:szCs w:val="21"/>
                <w:vertAlign w:val="subscript"/>
                <w:lang w:val="en-US" w:eastAsia="zh-CN" w:bidi="ar-SA"/>
              </w:rPr>
              <w:t>3</w:t>
            </w:r>
            <w:r>
              <w:rPr>
                <w:rFonts w:hint="default" w:ascii="Times New Roman" w:hAnsi="Times New Roman" w:eastAsia="宋体" w:cs="Times New Roman"/>
                <w:color w:val="auto"/>
                <w:kern w:val="2"/>
                <w:sz w:val="24"/>
                <w:szCs w:val="21"/>
                <w:lang w:val="en-US" w:eastAsia="zh-CN" w:bidi="ar-SA"/>
              </w:rPr>
              <w:t>均能满足《环境影响评价技术导则-大气环境》（HJ2.2-2018）附录D表D.1其他污染物空气质量浓度参考限值；总悬浮颗粒物、氮氧化物能满足《环境空气质量标准》（GB3095-2012）表2中二级</w:t>
            </w:r>
            <w:r>
              <w:rPr>
                <w:rFonts w:hint="default" w:ascii="Times New Roman" w:hAnsi="Times New Roman" w:eastAsia="宋体" w:cs="Times New Roman"/>
                <w:color w:val="auto"/>
                <w:kern w:val="2"/>
                <w:sz w:val="24"/>
                <w:szCs w:val="21"/>
                <w:highlight w:val="none"/>
                <w:lang w:val="en-US" w:eastAsia="zh-CN" w:bidi="ar-SA"/>
              </w:rPr>
              <w:t>标准；非甲烷总烃能满足《大气污染物综合排放标准详解》标准限值要求，区域内空气特</w:t>
            </w:r>
            <w:r>
              <w:rPr>
                <w:rFonts w:hint="default" w:ascii="Times New Roman" w:hAnsi="Times New Roman" w:eastAsia="宋体" w:cs="Times New Roman"/>
                <w:color w:val="auto"/>
                <w:kern w:val="2"/>
                <w:sz w:val="24"/>
                <w:szCs w:val="21"/>
                <w:lang w:val="en-US" w:eastAsia="zh-CN" w:bidi="ar-SA"/>
              </w:rPr>
              <w:t>征污染物质量良好。</w:t>
            </w:r>
          </w:p>
          <w:p>
            <w:pPr>
              <w:adjustRightInd w:val="0"/>
              <w:snapToGrid w:val="0"/>
              <w:spacing w:line="360" w:lineRule="auto"/>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二、地表水环境</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1"/>
              </w:rPr>
              <w:t>本项目</w:t>
            </w:r>
            <w:r>
              <w:rPr>
                <w:rFonts w:hint="default" w:ascii="Times New Roman" w:hAnsi="Times New Roman" w:eastAsia="宋体" w:cs="Times New Roman"/>
                <w:color w:val="auto"/>
                <w:sz w:val="24"/>
                <w:szCs w:val="21"/>
                <w:lang w:eastAsia="zh-CN"/>
              </w:rPr>
              <w:t>废水经预处理池处理达标后排入园区污水管网，经蓬溪经开区废水处理厂处理达标后</w:t>
            </w:r>
            <w:r>
              <w:rPr>
                <w:rFonts w:hint="default" w:ascii="Times New Roman" w:hAnsi="Times New Roman" w:eastAsia="宋体" w:cs="Times New Roman"/>
                <w:color w:val="auto"/>
                <w:sz w:val="24"/>
                <w:szCs w:val="21"/>
              </w:rPr>
              <w:t>排入</w:t>
            </w:r>
            <w:r>
              <w:rPr>
                <w:rFonts w:hint="default" w:ascii="Times New Roman" w:hAnsi="Times New Roman" w:eastAsia="宋体" w:cs="Times New Roman"/>
                <w:color w:val="auto"/>
                <w:sz w:val="24"/>
                <w:szCs w:val="21"/>
                <w:lang w:eastAsia="zh-CN"/>
              </w:rPr>
              <w:t>芝溪河</w:t>
            </w:r>
            <w:r>
              <w:rPr>
                <w:rFonts w:hint="default" w:ascii="Times New Roman" w:hAnsi="Times New Roman" w:eastAsia="宋体" w:cs="Times New Roman"/>
                <w:color w:val="auto"/>
                <w:sz w:val="24"/>
                <w:szCs w:val="21"/>
              </w:rPr>
              <w:t>。根据《2024年遂宁市环境质量公告》可知</w:t>
            </w:r>
            <w:r>
              <w:rPr>
                <w:rFonts w:hint="default"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24"/>
              </w:rPr>
              <w:t>遂宁202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年地表水监测断面数据如下：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val="en-US" w:eastAsia="zh-CN"/>
              </w:rPr>
              <w:t xml:space="preserve">表3-5  </w:t>
            </w:r>
            <w:r>
              <w:rPr>
                <w:rFonts w:hint="default" w:ascii="Times New Roman" w:hAnsi="Times New Roman" w:eastAsia="宋体" w:cs="Times New Roman"/>
                <w:b/>
                <w:bCs/>
                <w:color w:val="auto"/>
                <w:szCs w:val="21"/>
                <w:lang w:val="en-US" w:eastAsia="zh-CN"/>
              </w:rPr>
              <w:t>2024</w:t>
            </w:r>
            <w:r>
              <w:rPr>
                <w:rFonts w:hint="default" w:ascii="Times New Roman" w:hAnsi="Times New Roman" w:eastAsia="宋体" w:cs="Times New Roman"/>
                <w:b/>
                <w:bCs/>
                <w:color w:val="auto"/>
                <w:szCs w:val="21"/>
              </w:rPr>
              <w:t>年</w:t>
            </w:r>
            <w:r>
              <w:rPr>
                <w:rFonts w:hint="default" w:ascii="Times New Roman" w:hAnsi="Times New Roman" w:eastAsia="宋体" w:cs="Times New Roman"/>
                <w:b/>
                <w:bCs/>
                <w:color w:val="auto"/>
                <w:szCs w:val="21"/>
                <w:lang w:eastAsia="zh-CN"/>
              </w:rPr>
              <w:t>遂宁市河流水质评价结果表</w:t>
            </w:r>
          </w:p>
          <w:tbl>
            <w:tblPr>
              <w:tblStyle w:val="39"/>
              <w:tblW w:w="797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07"/>
              <w:gridCol w:w="750"/>
              <w:gridCol w:w="1102"/>
              <w:gridCol w:w="608"/>
              <w:gridCol w:w="900"/>
              <w:gridCol w:w="870"/>
              <w:gridCol w:w="135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断面名称</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所在地</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断面类别</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规定</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上年度类别</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本年度类别</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主要污染指标/超标倍数</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单独评价指标/超标倍数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红江渡口</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蓬溪县</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玉溪</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重庆潼南</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跑马滩</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大安</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郪江口</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大英县</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梓江大桥</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射洪市</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白鹤桥</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涪山坝</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蓬溪县</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粪大肠菌群/0.49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0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米家桥</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船山区</w:t>
                  </w:r>
                </w:p>
              </w:tc>
              <w:tc>
                <w:tcPr>
                  <w:tcW w:w="1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省控（趋势科研）</w:t>
                  </w:r>
                </w:p>
              </w:tc>
              <w:tc>
                <w:tcPr>
                  <w:tcW w:w="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13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975"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both"/>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注：1.地表水环境评价执行《地表水环境质量标准》（GB3838-2002）和《地表水环境质量评价办法（试行）》（环办〔2011〕22号）。</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both"/>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2.21项评价指标为：pH、溶解氧、高锰酸盐指数、五日生化需氧量、氨氮、石油类、挥发酚、汞、铅、镉、阴离子表面活性剂、铬（六价）、氟化物、总磷、</w:t>
                  </w:r>
                  <w:r>
                    <w:rPr>
                      <w:rFonts w:hint="eastAsia" w:cs="Times New Roman"/>
                      <w:b w:val="0"/>
                      <w:color w:val="auto"/>
                      <w:kern w:val="2"/>
                      <w:sz w:val="21"/>
                      <w:szCs w:val="21"/>
                      <w:lang w:val="en-US" w:eastAsia="zh-CN" w:bidi="ar-SA"/>
                    </w:rPr>
                    <w:t>氰</w:t>
                  </w:r>
                  <w:bookmarkStart w:id="13" w:name="_GoBack"/>
                  <w:bookmarkEnd w:id="13"/>
                  <w:r>
                    <w:rPr>
                      <w:rFonts w:hint="default" w:ascii="Times New Roman" w:hAnsi="Times New Roman" w:eastAsia="宋体" w:cs="Times New Roman"/>
                      <w:b w:val="0"/>
                      <w:color w:val="auto"/>
                      <w:kern w:val="2"/>
                      <w:sz w:val="21"/>
                      <w:szCs w:val="21"/>
                      <w:lang w:val="en-US" w:eastAsia="zh-CN" w:bidi="ar-SA"/>
                    </w:rPr>
                    <w:t>化物、硫化物、砷、化学需氧量、铜、锌、硒。</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both"/>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3.超过Ⅲ类水质标准的指标为断面污染指标，取超标倍数最大的前三项为主要污染指标。</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contextualSpacing/>
                    <w:jc w:val="both"/>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4.红江渡口、玉溪、跑马滩、大安、郪江口和梓江大桥6个国控断面采用国家反馈的采测分离数据（含部分市级监测数据）进行评价。</w:t>
                  </w:r>
                </w:p>
              </w:tc>
            </w:tr>
          </w:tbl>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受纳水体为芝溪河</w:t>
            </w:r>
            <w:r>
              <w:rPr>
                <w:rFonts w:hint="default" w:ascii="Times New Roman" w:hAnsi="Times New Roman" w:eastAsia="宋体" w:cs="Times New Roman"/>
                <w:color w:val="auto"/>
                <w:sz w:val="24"/>
                <w:szCs w:val="24"/>
              </w:rPr>
              <w:t>，由上表可知，</w:t>
            </w:r>
            <w:r>
              <w:rPr>
                <w:rFonts w:hint="default" w:ascii="Times New Roman" w:hAnsi="Times New Roman" w:eastAsia="宋体" w:cs="Times New Roman"/>
                <w:color w:val="auto"/>
                <w:sz w:val="24"/>
                <w:szCs w:val="24"/>
                <w:lang w:val="en-US" w:eastAsia="zh-CN"/>
              </w:rPr>
              <w:t>遂宁市2024</w:t>
            </w:r>
            <w:r>
              <w:rPr>
                <w:rFonts w:hint="default" w:ascii="Times New Roman" w:hAnsi="Times New Roman" w:eastAsia="宋体" w:cs="Times New Roman"/>
                <w:color w:val="auto"/>
                <w:sz w:val="24"/>
                <w:szCs w:val="24"/>
              </w:rPr>
              <w:t>年所有地表水考核断面水质均达到《地表水环境质量标准》（GB3838-2002）中</w:t>
            </w:r>
            <w:r>
              <w:rPr>
                <w:rFonts w:hint="default" w:ascii="Times New Roman" w:hAnsi="Times New Roman" w:eastAsia="宋体" w:cs="Times New Roman"/>
                <w:color w:val="auto"/>
                <w:sz w:val="24"/>
                <w:szCs w:val="24"/>
                <w:lang w:val="en-US" w:eastAsia="zh-CN"/>
              </w:rPr>
              <w:t>规定类别</w:t>
            </w:r>
            <w:r>
              <w:rPr>
                <w:rFonts w:hint="default" w:ascii="Times New Roman" w:hAnsi="Times New Roman" w:eastAsia="宋体" w:cs="Times New Roman"/>
                <w:color w:val="auto"/>
                <w:sz w:val="24"/>
                <w:szCs w:val="24"/>
              </w:rPr>
              <w:t>标准。</w:t>
            </w:r>
          </w:p>
          <w:p>
            <w:pPr>
              <w:adjustRightInd w:val="0"/>
              <w:snapToGrid w:val="0"/>
              <w:spacing w:line="360" w:lineRule="auto"/>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三、声环境</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本项目厂界外50m范围内均为园区引入企业，无声环境保护目标，不进行敏感点声环境质量监测。因此，本项目不进行声环境质量现状评价。</w:t>
            </w:r>
          </w:p>
          <w:p>
            <w:pPr>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四、</w:t>
            </w:r>
            <w:r>
              <w:rPr>
                <w:rFonts w:hint="eastAsia" w:cs="Times New Roman"/>
                <w:b/>
                <w:bCs/>
                <w:color w:val="auto"/>
                <w:sz w:val="24"/>
                <w:lang w:eastAsia="zh-CN"/>
              </w:rPr>
              <w:t>地下水</w:t>
            </w:r>
            <w:r>
              <w:rPr>
                <w:rFonts w:hint="default" w:ascii="Times New Roman" w:hAnsi="Times New Roman" w:cs="Times New Roman"/>
                <w:b/>
                <w:bCs/>
                <w:color w:val="auto"/>
                <w:sz w:val="24"/>
              </w:rPr>
              <w:t>环境</w:t>
            </w:r>
          </w:p>
          <w:p>
            <w:pPr>
              <w:adjustRightInd w:val="0"/>
              <w:snapToGrid w:val="0"/>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为查明评价区地下水水质环境现状，</w:t>
            </w:r>
            <w:r>
              <w:rPr>
                <w:rFonts w:hint="default" w:ascii="Times New Roman" w:hAnsi="Times New Roman" w:eastAsia="宋体" w:cs="Times New Roman"/>
                <w:color w:val="auto"/>
                <w:sz w:val="24"/>
                <w:szCs w:val="24"/>
                <w:highlight w:val="none"/>
              </w:rPr>
              <w:t>本项目委托四川锡水金山环保科技有限公司于202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日对</w:t>
            </w:r>
            <w:r>
              <w:rPr>
                <w:rFonts w:hint="default" w:ascii="Times New Roman" w:hAnsi="Times New Roman" w:eastAsia="宋体" w:cs="Times New Roman"/>
                <w:color w:val="auto"/>
                <w:sz w:val="24"/>
                <w:szCs w:val="21"/>
                <w:highlight w:val="none"/>
              </w:rPr>
              <w:t>项目区5处地下水监测点位的地下水水化学因子、基本水质因子和特征因子进行了监测，对10处地下水水位进行监测</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（1）监测点布设</w:t>
            </w:r>
          </w:p>
          <w:p>
            <w:pPr>
              <w:adjustRightInd w:val="0"/>
              <w:snapToGrid w:val="0"/>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本项目设置5个地下水监测点位和10个地下水水位监测点，具体见下表所示。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eastAsia="zh-CN"/>
              </w:rPr>
              <w:t>表</w:t>
            </w:r>
            <w:r>
              <w:rPr>
                <w:rFonts w:hint="eastAsia" w:ascii="Times New Roman" w:hAnsi="Times New Roman" w:eastAsia="宋体" w:cs="Times New Roman"/>
                <w:b/>
                <w:bCs/>
                <w:color w:val="auto"/>
                <w:szCs w:val="21"/>
                <w:highlight w:val="none"/>
                <w:lang w:val="en-US" w:eastAsia="zh-CN"/>
              </w:rPr>
              <w:t xml:space="preserve">3-6  </w:t>
            </w:r>
            <w:r>
              <w:rPr>
                <w:rFonts w:hint="default" w:ascii="Times New Roman" w:hAnsi="Times New Roman" w:eastAsia="宋体" w:cs="Times New Roman"/>
                <w:b/>
                <w:bCs/>
                <w:color w:val="auto"/>
                <w:szCs w:val="21"/>
                <w:highlight w:val="none"/>
              </w:rPr>
              <w:t>地下水水质监测点位</w:t>
            </w:r>
          </w:p>
          <w:tbl>
            <w:tblPr>
              <w:tblStyle w:val="39"/>
              <w:tblW w:w="7975"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2"/>
              <w:gridCol w:w="1515"/>
              <w:gridCol w:w="3147"/>
              <w:gridCol w:w="231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1"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点位编号</w:t>
                  </w:r>
                </w:p>
              </w:tc>
              <w:tc>
                <w:tcPr>
                  <w:tcW w:w="1515"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监测时间</w:t>
                  </w:r>
                </w:p>
              </w:tc>
              <w:tc>
                <w:tcPr>
                  <w:tcW w:w="3147"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监测点位置</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51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202</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日</w:t>
                  </w:r>
                </w:p>
              </w:tc>
              <w:tc>
                <w:tcPr>
                  <w:tcW w:w="31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园区污水处理厂旁</w:t>
                  </w:r>
                </w:p>
              </w:tc>
              <w:tc>
                <w:tcPr>
                  <w:tcW w:w="2311"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执行《地下水质量标准》（GB/T 14848-2017）表1中Ⅲ类标准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5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31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幸福西路</w:t>
                  </w:r>
                </w:p>
              </w:tc>
              <w:tc>
                <w:tcPr>
                  <w:tcW w:w="2311"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25"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5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31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乐辰木业厂房旁</w:t>
                  </w:r>
                </w:p>
              </w:tc>
              <w:tc>
                <w:tcPr>
                  <w:tcW w:w="2311"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1"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5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31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佛博苑</w:t>
                  </w:r>
                </w:p>
              </w:tc>
              <w:tc>
                <w:tcPr>
                  <w:tcW w:w="2311"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81" w:hRule="atLeast"/>
                <w:jc w:val="center"/>
              </w:trPr>
              <w:tc>
                <w:tcPr>
                  <w:tcW w:w="1002"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5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314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幸福中路</w:t>
                  </w:r>
                </w:p>
              </w:tc>
              <w:tc>
                <w:tcPr>
                  <w:tcW w:w="2311"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Chars="0"/>
              <w:jc w:val="center"/>
              <w:textAlignment w:val="auto"/>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eastAsia="zh-CN"/>
              </w:rPr>
              <w:t>表</w:t>
            </w:r>
            <w:r>
              <w:rPr>
                <w:rFonts w:hint="eastAsia" w:ascii="Times New Roman" w:hAnsi="Times New Roman" w:eastAsia="宋体" w:cs="Times New Roman"/>
                <w:b/>
                <w:bCs/>
                <w:color w:val="auto"/>
                <w:szCs w:val="21"/>
                <w:highlight w:val="none"/>
                <w:lang w:val="en-US" w:eastAsia="zh-CN"/>
              </w:rPr>
              <w:t xml:space="preserve">3-7  </w:t>
            </w:r>
            <w:r>
              <w:rPr>
                <w:rFonts w:hint="default" w:ascii="Times New Roman" w:hAnsi="Times New Roman" w:eastAsia="宋体" w:cs="Times New Roman"/>
                <w:b/>
                <w:bCs/>
                <w:color w:val="auto"/>
                <w:szCs w:val="21"/>
                <w:highlight w:val="none"/>
              </w:rPr>
              <w:t>地下水水位监测点位</w:t>
            </w:r>
          </w:p>
          <w:tbl>
            <w:tblPr>
              <w:tblStyle w:val="39"/>
              <w:tblW w:w="79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995"/>
              <w:gridCol w:w="2715"/>
              <w:gridCol w:w="720"/>
              <w:gridCol w:w="1095"/>
              <w:gridCol w:w="8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点位</w:t>
                  </w:r>
                  <w:r>
                    <w:rPr>
                      <w:rFonts w:hint="default" w:ascii="Times New Roman" w:hAnsi="Times New Roman" w:eastAsia="宋体" w:cs="Times New Roman"/>
                      <w:b/>
                      <w:bCs/>
                      <w:color w:val="auto"/>
                      <w:szCs w:val="21"/>
                      <w:highlight w:val="none"/>
                      <w:lang w:eastAsia="zh-CN"/>
                    </w:rPr>
                    <w:t>编号</w:t>
                  </w:r>
                </w:p>
              </w:tc>
              <w:tc>
                <w:tcPr>
                  <w:tcW w:w="1995"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点位名称</w:t>
                  </w:r>
                </w:p>
              </w:tc>
              <w:tc>
                <w:tcPr>
                  <w:tcW w:w="2715"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经纬度（°）</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0"/>
                      <w:sz w:val="21"/>
                      <w:szCs w:val="21"/>
                      <w:highlight w:val="none"/>
                      <w:lang w:val="en-US" w:eastAsia="zh-CN"/>
                    </w:rPr>
                    <w:t>海拔</w:t>
                  </w:r>
                  <w:r>
                    <w:rPr>
                      <w:rFonts w:hint="default" w:ascii="Times New Roman" w:hAnsi="Times New Roman" w:eastAsia="宋体" w:cs="Times New Roman"/>
                      <w:b/>
                      <w:bCs/>
                      <w:color w:val="auto"/>
                      <w:spacing w:val="0"/>
                      <w:sz w:val="21"/>
                      <w:szCs w:val="21"/>
                      <w:highlight w:val="none"/>
                      <w:vertAlign w:val="baseline"/>
                      <w:lang w:val="en-US" w:eastAsia="zh-CN"/>
                    </w:rPr>
                    <w:t>（m）</w:t>
                  </w:r>
                </w:p>
              </w:tc>
              <w:tc>
                <w:tcPr>
                  <w:tcW w:w="10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0"/>
                      <w:sz w:val="21"/>
                      <w:szCs w:val="21"/>
                      <w:highlight w:val="none"/>
                      <w:vertAlign w:val="baseline"/>
                      <w:lang w:val="en-US" w:eastAsia="zh-CN"/>
                    </w:rPr>
                    <w:t>水面至井口（m）</w:t>
                  </w:r>
                </w:p>
              </w:tc>
              <w:tc>
                <w:tcPr>
                  <w:tcW w:w="8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0"/>
                      <w:sz w:val="21"/>
                      <w:szCs w:val="21"/>
                      <w:highlight w:val="none"/>
                      <w:vertAlign w:val="baseline"/>
                      <w:lang w:val="en-US" w:eastAsia="zh-CN"/>
                    </w:rPr>
                    <w:t>水位（m）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1#</w:t>
                  </w:r>
                </w:p>
              </w:tc>
              <w:tc>
                <w:tcPr>
                  <w:tcW w:w="1995" w:type="dxa"/>
                  <w:tcBorders>
                    <w:tl2br w:val="nil"/>
                    <w:tr2bl w:val="nil"/>
                  </w:tcBorders>
                  <w:shd w:val="clear" w:color="auto" w:fill="auto"/>
                  <w:noWrap w:val="0"/>
                  <w:vAlign w:val="center"/>
                </w:tcPr>
                <w:p>
                  <w:pPr>
                    <w:pStyle w:val="21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eastAsia="宋体" w:cs="Times New Roman"/>
                      <w:color w:val="auto"/>
                      <w:sz w:val="21"/>
                      <w:szCs w:val="21"/>
                      <w:highlight w:val="none"/>
                    </w:rPr>
                    <w:t>园区污水处理厂旁</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105.664161°E，30.760141°N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347</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5.24</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341.76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2#</w:t>
                  </w:r>
                </w:p>
              </w:tc>
              <w:tc>
                <w:tcPr>
                  <w:tcW w:w="1995" w:type="dxa"/>
                  <w:tcBorders>
                    <w:tl2br w:val="nil"/>
                    <w:tr2bl w:val="nil"/>
                  </w:tcBorders>
                  <w:shd w:val="clear" w:color="auto" w:fill="auto"/>
                  <w:noWrap w:val="0"/>
                  <w:vAlign w:val="center"/>
                </w:tcPr>
                <w:p>
                  <w:pPr>
                    <w:pStyle w:val="21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r>
                    <w:rPr>
                      <w:rFonts w:hint="default" w:ascii="Times New Roman" w:hAnsi="Times New Roman" w:eastAsia="宋体" w:cs="Times New Roman"/>
                      <w:color w:val="auto"/>
                      <w:sz w:val="21"/>
                      <w:szCs w:val="21"/>
                      <w:highlight w:val="none"/>
                    </w:rPr>
                    <w:t>幸福西路</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105.675629°E，30.746712°N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369</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15.33</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353.67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3#</w:t>
                  </w:r>
                </w:p>
              </w:tc>
              <w:tc>
                <w:tcPr>
                  <w:tcW w:w="1995" w:type="dxa"/>
                  <w:tcBorders>
                    <w:tl2br w:val="nil"/>
                    <w:tr2bl w:val="nil"/>
                  </w:tcBorders>
                  <w:shd w:val="clear" w:color="auto" w:fill="auto"/>
                  <w:noWrap w:val="0"/>
                  <w:vAlign w:val="center"/>
                </w:tcPr>
                <w:p>
                  <w:pPr>
                    <w:pStyle w:val="21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r>
                    <w:rPr>
                      <w:rFonts w:hint="default" w:ascii="Times New Roman" w:hAnsi="Times New Roman" w:eastAsia="宋体" w:cs="Times New Roman"/>
                      <w:color w:val="auto"/>
                      <w:sz w:val="21"/>
                      <w:szCs w:val="21"/>
                      <w:highlight w:val="none"/>
                    </w:rPr>
                    <w:t>乐辰木业厂房旁</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105.680242°E，30.745841°N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372</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14.28</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357.72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4#</w:t>
                  </w:r>
                </w:p>
              </w:tc>
              <w:tc>
                <w:tcPr>
                  <w:tcW w:w="1995" w:type="dxa"/>
                  <w:tcBorders>
                    <w:tl2br w:val="nil"/>
                    <w:tr2bl w:val="nil"/>
                  </w:tcBorders>
                  <w:shd w:val="clear" w:color="auto" w:fill="auto"/>
                  <w:noWrap w:val="0"/>
                  <w:vAlign w:val="center"/>
                </w:tcPr>
                <w:p>
                  <w:pPr>
                    <w:pStyle w:val="21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r>
                    <w:rPr>
                      <w:rFonts w:hint="default" w:ascii="Times New Roman" w:hAnsi="Times New Roman" w:eastAsia="宋体" w:cs="Times New Roman"/>
                      <w:color w:val="auto"/>
                      <w:sz w:val="21"/>
                      <w:szCs w:val="21"/>
                      <w:highlight w:val="none"/>
                    </w:rPr>
                    <w:t>佛博苑</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105.67672°E，30.73676°N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383</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16.62</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366.38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rPr>
                    <w:t>5#</w:t>
                  </w:r>
                </w:p>
              </w:tc>
              <w:tc>
                <w:tcPr>
                  <w:tcW w:w="1995" w:type="dxa"/>
                  <w:tcBorders>
                    <w:tl2br w:val="nil"/>
                    <w:tr2bl w:val="nil"/>
                  </w:tcBorders>
                  <w:shd w:val="clear" w:color="auto" w:fill="auto"/>
                  <w:noWrap w:val="0"/>
                  <w:vAlign w:val="center"/>
                </w:tcPr>
                <w:p>
                  <w:pPr>
                    <w:pStyle w:val="21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r>
                    <w:rPr>
                      <w:rFonts w:hint="default" w:ascii="Times New Roman" w:hAnsi="Times New Roman" w:eastAsia="宋体" w:cs="Times New Roman"/>
                      <w:color w:val="auto"/>
                      <w:sz w:val="21"/>
                      <w:szCs w:val="21"/>
                      <w:highlight w:val="none"/>
                    </w:rPr>
                    <w:t>幸福中路</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105.682673°E，30.748303°N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368</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14.89</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353.11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199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园区南侧</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105.691726°E，30.728292°N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376</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10.08</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199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建设路</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105.697247°E，30.73529°N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375</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14.28</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199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福来路</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105.699768°E，30.737644°N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385</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16.77</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368.23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199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eastAsia="zh-CN"/>
                    </w:rPr>
                    <w:t>建业路</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105.695517°E，30.739713°N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380</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16.56</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99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eastAsia="zh-CN"/>
                    </w:rPr>
                    <w:t>佰斯特包装公司厂区</w:t>
                  </w:r>
                </w:p>
              </w:tc>
              <w:tc>
                <w:tcPr>
                  <w:tcW w:w="2715" w:type="dxa"/>
                  <w:tcBorders>
                    <w:tl2br w:val="nil"/>
                    <w:tr2bl w:val="nil"/>
                  </w:tcBorders>
                  <w:noWrap w:val="0"/>
                  <w:vAlign w:val="center"/>
                </w:tcPr>
                <w:p>
                  <w:pPr>
                    <w:pStyle w:val="21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105.683547°E，30.738979°N</w:t>
                  </w:r>
                </w:p>
              </w:tc>
              <w:tc>
                <w:tcPr>
                  <w:tcW w:w="72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385</w:t>
                  </w:r>
                </w:p>
              </w:tc>
              <w:tc>
                <w:tcPr>
                  <w:tcW w:w="109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17.22</w:t>
                  </w:r>
                </w:p>
              </w:tc>
              <w:tc>
                <w:tcPr>
                  <w:tcW w:w="80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kern w:val="2"/>
                      <w:sz w:val="21"/>
                      <w:szCs w:val="21"/>
                      <w:highlight w:val="none"/>
                      <w:lang w:val="en-US" w:eastAsia="zh-CN" w:bidi="ar-SA"/>
                    </w:rPr>
                    <w:t>367.78</w:t>
                  </w:r>
                </w:p>
              </w:tc>
            </w:tr>
          </w:tbl>
          <w:p>
            <w:pPr>
              <w:adjustRightInd w:val="0"/>
              <w:snapToGrid w:val="0"/>
              <w:spacing w:before="156" w:beforeLines="50" w:line="360" w:lineRule="auto"/>
              <w:ind w:firstLine="480" w:firstLineChars="200"/>
              <w:rPr>
                <w:rFonts w:hint="default" w:ascii="Times New Roman" w:hAnsi="Times New Roman" w:eastAsia="宋体" w:cs="Times New Roman"/>
                <w:color w:val="auto"/>
                <w:sz w:val="24"/>
                <w:szCs w:val="21"/>
                <w:highlight w:val="yellow"/>
              </w:rPr>
            </w:pPr>
            <w:r>
              <w:rPr>
                <w:rFonts w:hint="default" w:ascii="Times New Roman" w:hAnsi="Times New Roman" w:eastAsia="宋体" w:cs="Times New Roman"/>
                <w:color w:val="auto"/>
                <w:sz w:val="24"/>
                <w:szCs w:val="21"/>
                <w:highlight w:val="none"/>
              </w:rPr>
              <w:t>（2）监测因子</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1"/>
                <w:highlight w:val="yellow"/>
                <w:lang w:eastAsia="zh-CN"/>
              </w:rPr>
            </w:pPr>
            <w:r>
              <w:rPr>
                <w:rFonts w:hint="default" w:ascii="Times New Roman" w:hAnsi="Times New Roman" w:eastAsia="宋体" w:cs="Times New Roman"/>
                <w:color w:val="auto"/>
                <w:sz w:val="24"/>
                <w:szCs w:val="21"/>
                <w:highlight w:val="none"/>
              </w:rPr>
              <w:t>本次针对本项目评价区地下水水化学类型、水质特征及污染现状，从地下水水化学特征基本因子、基本水质因子及特征因子三个方面进行了监测，各监测因子详述如下：</w:t>
            </w:r>
            <w:r>
              <w:rPr>
                <w:rFonts w:hint="default" w:ascii="Times New Roman" w:hAnsi="Times New Roman" w:eastAsia="宋体" w:cs="Times New Roman"/>
                <w:color w:val="auto"/>
                <w:spacing w:val="-1"/>
                <w:kern w:val="0"/>
                <w:sz w:val="24"/>
                <w:szCs w:val="21"/>
                <w:highlight w:val="none"/>
              </w:rPr>
              <w:t>本次环评地下水监测因子为</w:t>
            </w:r>
            <w:r>
              <w:rPr>
                <w:rFonts w:hint="default" w:ascii="Times New Roman" w:hAnsi="Times New Roman" w:eastAsia="宋体" w:cs="Times New Roman"/>
                <w:color w:val="auto"/>
                <w:sz w:val="24"/>
                <w:szCs w:val="21"/>
                <w:highlight w:val="none"/>
              </w:rPr>
              <w:t>pH值、氨氮、砷、汞、铅、镉、铁、锰、溶解性总固体、细菌总数、钾、钠、钙、镁、碳酸根、重碳酸根、硫酸盐、氯化物、硝酸盐氮、亚硝酸盐氮、挥发酚、氰化物、铬（六价）、总硬度、</w:t>
            </w:r>
            <w:r>
              <w:rPr>
                <w:rFonts w:hint="default" w:ascii="Times New Roman" w:hAnsi="Times New Roman" w:eastAsia="宋体" w:cs="Times New Roman"/>
                <w:color w:val="auto"/>
                <w:sz w:val="24"/>
                <w:szCs w:val="21"/>
                <w:highlight w:val="none"/>
                <w:lang w:eastAsia="zh-CN"/>
              </w:rPr>
              <w:t>耗氧量</w:t>
            </w:r>
            <w:r>
              <w:rPr>
                <w:rFonts w:hint="default" w:ascii="Times New Roman" w:hAnsi="Times New Roman" w:eastAsia="宋体" w:cs="Times New Roman"/>
                <w:color w:val="auto"/>
                <w:sz w:val="24"/>
                <w:szCs w:val="21"/>
                <w:highlight w:val="none"/>
              </w:rPr>
              <w:t>、氟化物、石油类</w:t>
            </w:r>
            <w:r>
              <w:rPr>
                <w:rFonts w:hint="default" w:ascii="Times New Roman" w:hAnsi="Times New Roman" w:eastAsia="宋体" w:cs="Times New Roman"/>
                <w:color w:val="auto"/>
                <w:sz w:val="24"/>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（3）评价方法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采用标准指数法进行评价。标准指数&gt;1，表明该水质因子已超标，标准指数越大，超标越严重。标准指数计算公式分为以下两种情况：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1）对于评价标准为定值的水质因子，其标准指数计算公式：</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571500" cy="403225"/>
                  <wp:effectExtent l="0" t="0" r="0" b="16510"/>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36"/>
                          <a:stretch>
                            <a:fillRect/>
                          </a:stretch>
                        </pic:blipFill>
                        <pic:spPr>
                          <a:xfrm>
                            <a:off x="0" y="0"/>
                            <a:ext cx="571500" cy="4032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式中：</w:t>
            </w:r>
            <w:r>
              <w:rPr>
                <w:rFonts w:hint="default" w:ascii="Times New Roman" w:hAnsi="Times New Roman" w:eastAsia="宋体" w:cs="Times New Roman"/>
                <w:color w:val="auto"/>
                <w:kern w:val="0"/>
                <w:sz w:val="24"/>
                <w:szCs w:val="21"/>
                <w:highlight w:val="none"/>
              </w:rPr>
              <w:drawing>
                <wp:inline distT="0" distB="0" distL="114300" distR="114300">
                  <wp:extent cx="161925" cy="228600"/>
                  <wp:effectExtent l="0" t="0" r="7620" b="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37"/>
                          <a:stretch>
                            <a:fillRect/>
                          </a:stretch>
                        </pic:blipFill>
                        <pic:spPr>
                          <a:xfrm>
                            <a:off x="0" y="0"/>
                            <a:ext cx="161925" cy="2286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—第i个水质因子的标准指数，无量纲；</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180975" cy="228600"/>
                  <wp:effectExtent l="0" t="0" r="8890" b="0"/>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—第i个水质因子的监测浓度，mg/L；</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228600" cy="228600"/>
                  <wp:effectExtent l="0" t="0" r="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pic:cNvPicPr>
                            <a:picLocks noChangeAspect="1"/>
                          </pic:cNvPicPr>
                        </pic:nvPicPr>
                        <pic:blipFill>
                          <a:blip r:embed="rId39"/>
                          <a:stretch>
                            <a:fillRect/>
                          </a:stretch>
                        </pic:blipFill>
                        <pic:spPr>
                          <a:xfrm>
                            <a:off x="0" y="0"/>
                            <a:ext cx="228600" cy="2286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—第i个水质因子的标准浓度，mg/L。</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2）对于评价标准为区间值的水质因子（如pH值），其标准指数计算公式：</w:t>
            </w:r>
          </w:p>
          <w:tbl>
            <w:tblPr>
              <w:tblStyle w:val="39"/>
              <w:tblW w:w="6912" w:type="dxa"/>
              <w:jc w:val="center"/>
              <w:tblInd w:w="0" w:type="dxa"/>
              <w:tblLayout w:type="fixed"/>
              <w:tblCellMar>
                <w:top w:w="0" w:type="dxa"/>
                <w:left w:w="108" w:type="dxa"/>
                <w:bottom w:w="0" w:type="dxa"/>
                <w:right w:w="108" w:type="dxa"/>
              </w:tblCellMar>
            </w:tblPr>
            <w:tblGrid>
              <w:gridCol w:w="4111"/>
              <w:gridCol w:w="2801"/>
            </w:tblGrid>
            <w:tr>
              <w:tblPrEx>
                <w:tblLayout w:type="fixed"/>
                <w:tblCellMar>
                  <w:top w:w="0" w:type="dxa"/>
                  <w:left w:w="108" w:type="dxa"/>
                  <w:bottom w:w="0" w:type="dxa"/>
                  <w:right w:w="108" w:type="dxa"/>
                </w:tblCellMar>
              </w:tblPrEx>
              <w:trPr>
                <w:trHeight w:val="340" w:hRule="atLeast"/>
                <w:jc w:val="center"/>
              </w:trPr>
              <w:tc>
                <w:tcPr>
                  <w:tcW w:w="411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1144905" cy="407670"/>
                        <wp:effectExtent l="0" t="0" r="0" b="12065"/>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pic:cNvPicPr>
                              </pic:nvPicPr>
                              <pic:blipFill>
                                <a:blip r:embed="rId40"/>
                                <a:stretch>
                                  <a:fillRect/>
                                </a:stretch>
                              </pic:blipFill>
                              <pic:spPr>
                                <a:xfrm>
                                  <a:off x="0" y="0"/>
                                  <a:ext cx="1144905" cy="407670"/>
                                </a:xfrm>
                                <a:prstGeom prst="rect">
                                  <a:avLst/>
                                </a:prstGeom>
                                <a:noFill/>
                                <a:ln>
                                  <a:noFill/>
                                </a:ln>
                              </pic:spPr>
                            </pic:pic>
                          </a:graphicData>
                        </a:graphic>
                      </wp:inline>
                    </w:drawing>
                  </w:r>
                </w:p>
              </w:tc>
              <w:tc>
                <w:tcPr>
                  <w:tcW w:w="280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pH≤7时</w:t>
                  </w:r>
                </w:p>
              </w:tc>
            </w:tr>
            <w:tr>
              <w:tblPrEx>
                <w:tblLayout w:type="fixed"/>
                <w:tblCellMar>
                  <w:top w:w="0" w:type="dxa"/>
                  <w:left w:w="108" w:type="dxa"/>
                  <w:bottom w:w="0" w:type="dxa"/>
                  <w:right w:w="108" w:type="dxa"/>
                </w:tblCellMar>
              </w:tblPrEx>
              <w:trPr>
                <w:trHeight w:val="340" w:hRule="atLeast"/>
                <w:jc w:val="center"/>
              </w:trPr>
              <w:tc>
                <w:tcPr>
                  <w:tcW w:w="411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1099820" cy="391795"/>
                        <wp:effectExtent l="0" t="0" r="5080" b="7620"/>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pic:cNvPicPr>
                                  <a:picLocks noChangeAspect="1"/>
                                </pic:cNvPicPr>
                              </pic:nvPicPr>
                              <pic:blipFill>
                                <a:blip r:embed="rId41"/>
                                <a:stretch>
                                  <a:fillRect/>
                                </a:stretch>
                              </pic:blipFill>
                              <pic:spPr>
                                <a:xfrm>
                                  <a:off x="0" y="0"/>
                                  <a:ext cx="1099820" cy="391795"/>
                                </a:xfrm>
                                <a:prstGeom prst="rect">
                                  <a:avLst/>
                                </a:prstGeom>
                                <a:noFill/>
                                <a:ln>
                                  <a:noFill/>
                                </a:ln>
                              </pic:spPr>
                            </pic:pic>
                          </a:graphicData>
                        </a:graphic>
                      </wp:inline>
                    </w:drawing>
                  </w:r>
                </w:p>
              </w:tc>
              <w:tc>
                <w:tcPr>
                  <w:tcW w:w="280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pH＞7时</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式中：</w:t>
            </w:r>
            <w:r>
              <w:rPr>
                <w:rFonts w:hint="default" w:ascii="Times New Roman" w:hAnsi="Times New Roman" w:eastAsia="宋体" w:cs="Times New Roman"/>
                <w:color w:val="auto"/>
                <w:kern w:val="0"/>
                <w:sz w:val="24"/>
                <w:szCs w:val="21"/>
                <w:highlight w:val="none"/>
              </w:rPr>
              <w:drawing>
                <wp:inline distT="0" distB="0" distL="114300" distR="114300">
                  <wp:extent cx="238125" cy="238125"/>
                  <wp:effectExtent l="0" t="0" r="0" b="6350"/>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42"/>
                          <a:stretch>
                            <a:fillRect/>
                          </a:stretch>
                        </pic:blipFill>
                        <pic:spPr>
                          <a:xfrm>
                            <a:off x="0" y="0"/>
                            <a:ext cx="238125" cy="23812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—pH的标准指数，无量纲；</w:t>
            </w:r>
          </w:p>
          <w:p>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238125" cy="190500"/>
                  <wp:effectExtent l="0" t="0" r="8890" b="0"/>
                  <wp:docPr id="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pic:cNvPicPr>
                            <a:picLocks noChangeAspect="1"/>
                          </pic:cNvPicPr>
                        </pic:nvPicPr>
                        <pic:blipFill>
                          <a:blip r:embed="rId43"/>
                          <a:stretch>
                            <a:fillRect/>
                          </a:stretch>
                        </pic:blipFill>
                        <pic:spPr>
                          <a:xfrm>
                            <a:off x="0" y="0"/>
                            <a:ext cx="238125" cy="1905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—pH监测值；</w:t>
            </w:r>
          </w:p>
          <w:p>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342900" cy="228600"/>
                  <wp:effectExtent l="0" t="0" r="0" b="0"/>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44"/>
                          <a:stretch>
                            <a:fillRect/>
                          </a:stretch>
                        </pic:blipFill>
                        <pic:spPr>
                          <a:xfrm>
                            <a:off x="0" y="0"/>
                            <a:ext cx="342900" cy="2286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—标准中pH的下限值；</w:t>
            </w:r>
          </w:p>
          <w:p>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drawing>
                <wp:inline distT="0" distB="0" distL="114300" distR="114300">
                  <wp:extent cx="333375" cy="228600"/>
                  <wp:effectExtent l="0" t="0" r="0" b="0"/>
                  <wp:docPr id="3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pic:cNvPicPr>
                            <a:picLocks noChangeAspect="1"/>
                          </pic:cNvPicPr>
                        </pic:nvPicPr>
                        <pic:blipFill>
                          <a:blip r:embed="rId45"/>
                          <a:stretch>
                            <a:fillRect/>
                          </a:stretch>
                        </pic:blipFill>
                        <pic:spPr>
                          <a:xfrm>
                            <a:off x="0" y="0"/>
                            <a:ext cx="333375" cy="22860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1"/>
                <w:highlight w:val="none"/>
              </w:rPr>
              <w:t>—标准中pH的上限值。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（4）监测频率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本项目监测时间为202</w:t>
            </w:r>
            <w:r>
              <w:rPr>
                <w:rFonts w:hint="default" w:ascii="Times New Roman" w:hAnsi="Times New Roman" w:eastAsia="宋体" w:cs="Times New Roman"/>
                <w:color w:val="auto"/>
                <w:kern w:val="0"/>
                <w:sz w:val="24"/>
                <w:szCs w:val="21"/>
                <w:highlight w:val="none"/>
                <w:lang w:val="en-US" w:eastAsia="zh-CN"/>
              </w:rPr>
              <w:t>5</w:t>
            </w:r>
            <w:r>
              <w:rPr>
                <w:rFonts w:hint="default" w:ascii="Times New Roman" w:hAnsi="Times New Roman" w:eastAsia="宋体" w:cs="Times New Roman"/>
                <w:color w:val="auto"/>
                <w:kern w:val="0"/>
                <w:sz w:val="24"/>
                <w:szCs w:val="21"/>
                <w:highlight w:val="none"/>
              </w:rPr>
              <w:t>年</w:t>
            </w:r>
            <w:r>
              <w:rPr>
                <w:rFonts w:hint="default" w:ascii="Times New Roman" w:hAnsi="Times New Roman" w:eastAsia="宋体" w:cs="Times New Roman"/>
                <w:color w:val="auto"/>
                <w:kern w:val="0"/>
                <w:sz w:val="24"/>
                <w:szCs w:val="21"/>
                <w:highlight w:val="none"/>
                <w:lang w:val="en-US" w:eastAsia="zh-CN"/>
              </w:rPr>
              <w:t>5</w:t>
            </w:r>
            <w:r>
              <w:rPr>
                <w:rFonts w:hint="default" w:ascii="Times New Roman" w:hAnsi="Times New Roman" w:eastAsia="宋体" w:cs="Times New Roman"/>
                <w:color w:val="auto"/>
                <w:kern w:val="0"/>
                <w:sz w:val="24"/>
                <w:szCs w:val="21"/>
                <w:highlight w:val="none"/>
              </w:rPr>
              <w:t>月</w:t>
            </w:r>
            <w:r>
              <w:rPr>
                <w:rFonts w:hint="default" w:ascii="Times New Roman" w:hAnsi="Times New Roman" w:eastAsia="宋体" w:cs="Times New Roman"/>
                <w:color w:val="auto"/>
                <w:kern w:val="0"/>
                <w:sz w:val="24"/>
                <w:szCs w:val="21"/>
                <w:highlight w:val="none"/>
                <w:lang w:val="en-US" w:eastAsia="zh-CN"/>
              </w:rPr>
              <w:t>6</w:t>
            </w:r>
            <w:r>
              <w:rPr>
                <w:rFonts w:hint="default" w:ascii="Times New Roman" w:hAnsi="Times New Roman" w:eastAsia="宋体" w:cs="Times New Roman"/>
                <w:color w:val="auto"/>
                <w:kern w:val="0"/>
                <w:sz w:val="24"/>
                <w:szCs w:val="21"/>
                <w:highlight w:val="none"/>
              </w:rPr>
              <w:t>日，地下水现状监测时间为1天，每个点一天一次。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5</w:t>
            </w:r>
            <w:r>
              <w:rPr>
                <w:rFonts w:hint="eastAsia" w:ascii="Times New Roman" w:hAnsi="Times New Roman" w:eastAsia="宋体" w:cs="Times New Roman"/>
                <w:color w:val="auto"/>
                <w:kern w:val="0"/>
                <w:sz w:val="24"/>
                <w:szCs w:val="21"/>
                <w:highlight w:val="none"/>
                <w:lang w:eastAsia="zh-CN"/>
              </w:rPr>
              <w:t>）</w:t>
            </w:r>
            <w:r>
              <w:rPr>
                <w:rFonts w:hint="default" w:ascii="Times New Roman" w:hAnsi="Times New Roman" w:eastAsia="宋体" w:cs="Times New Roman"/>
                <w:color w:val="auto"/>
                <w:kern w:val="0"/>
                <w:sz w:val="24"/>
                <w:szCs w:val="21"/>
                <w:highlight w:val="none"/>
              </w:rPr>
              <w:t>地下水环境质量现状评价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地下水水质监测结果及现状评价见下表。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ind w:leftChars="0"/>
              <w:jc w:val="center"/>
              <w:textAlignment w:val="auto"/>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eastAsia="zh-CN"/>
              </w:rPr>
              <w:t>表</w:t>
            </w:r>
            <w:r>
              <w:rPr>
                <w:rFonts w:hint="eastAsia" w:ascii="Times New Roman" w:hAnsi="Times New Roman" w:eastAsia="宋体" w:cs="Times New Roman"/>
                <w:b/>
                <w:bCs/>
                <w:color w:val="auto"/>
                <w:szCs w:val="21"/>
                <w:highlight w:val="none"/>
                <w:lang w:val="en-US" w:eastAsia="zh-CN"/>
              </w:rPr>
              <w:t xml:space="preserve">3-8  </w:t>
            </w:r>
            <w:r>
              <w:rPr>
                <w:rFonts w:hint="default" w:ascii="Times New Roman" w:hAnsi="Times New Roman" w:eastAsia="宋体" w:cs="Times New Roman"/>
                <w:b/>
                <w:bCs/>
                <w:color w:val="auto"/>
                <w:szCs w:val="21"/>
                <w:highlight w:val="none"/>
              </w:rPr>
              <w:t>地下水环境质量现状评价</w:t>
            </w:r>
          </w:p>
          <w:tbl>
            <w:tblPr>
              <w:tblStyle w:val="39"/>
              <w:tblW w:w="797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8"/>
              <w:gridCol w:w="988"/>
              <w:gridCol w:w="792"/>
              <w:gridCol w:w="950"/>
              <w:gridCol w:w="641"/>
              <w:gridCol w:w="772"/>
              <w:gridCol w:w="611"/>
              <w:gridCol w:w="751"/>
              <w:gridCol w:w="725"/>
              <w:gridCol w:w="637"/>
              <w:gridCol w:w="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采样日期</w:t>
                  </w:r>
                </w:p>
              </w:tc>
              <w:tc>
                <w:tcPr>
                  <w:tcW w:w="988"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检测项目</w:t>
                  </w:r>
                </w:p>
              </w:tc>
              <w:tc>
                <w:tcPr>
                  <w:tcW w:w="792"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单位</w:t>
                  </w:r>
                </w:p>
              </w:tc>
              <w:tc>
                <w:tcPr>
                  <w:tcW w:w="3725" w:type="dxa"/>
                  <w:gridSpan w:val="5"/>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检测结果</w:t>
                  </w:r>
                </w:p>
              </w:tc>
              <w:tc>
                <w:tcPr>
                  <w:tcW w:w="725"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标准限值</w:t>
                  </w:r>
                </w:p>
              </w:tc>
              <w:tc>
                <w:tcPr>
                  <w:tcW w:w="637"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最大标准指数</w:t>
                  </w:r>
                </w:p>
              </w:tc>
              <w:tc>
                <w:tcPr>
                  <w:tcW w:w="581"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98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792"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p>
              </w:tc>
              <w:tc>
                <w:tcPr>
                  <w:tcW w:w="950"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pacing w:val="-11"/>
                      <w:sz w:val="21"/>
                      <w:szCs w:val="21"/>
                      <w:highlight w:val="none"/>
                      <w:lang w:val="en-US" w:eastAsia="zh-CN"/>
                    </w:rPr>
                  </w:pPr>
                  <w:r>
                    <w:rPr>
                      <w:rFonts w:hint="default" w:ascii="Times New Roman" w:hAnsi="Times New Roman" w:eastAsia="宋体" w:cs="Times New Roman"/>
                      <w:b/>
                      <w:bCs/>
                      <w:color w:val="auto"/>
                      <w:sz w:val="21"/>
                      <w:szCs w:val="21"/>
                      <w:highlight w:val="none"/>
                    </w:rPr>
                    <w:t>园区污水处理厂旁</w:t>
                  </w:r>
                  <w:r>
                    <w:rPr>
                      <w:rFonts w:hint="default" w:ascii="Times New Roman" w:hAnsi="Times New Roman" w:eastAsia="宋体" w:cs="Times New Roman"/>
                      <w:b/>
                      <w:bCs/>
                      <w:color w:val="auto"/>
                      <w:sz w:val="21"/>
                      <w:szCs w:val="21"/>
                      <w:highlight w:val="none"/>
                      <w:shd w:val="clear" w:color="auto" w:fill="FFFFFF"/>
                      <w:lang w:val="en-US" w:eastAsia="zh-CN"/>
                    </w:rPr>
                    <w:t>WX1</w:t>
                  </w:r>
                </w:p>
              </w:tc>
              <w:tc>
                <w:tcPr>
                  <w:tcW w:w="641"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rPr>
                    <w:t>幸福西路</w:t>
                  </w:r>
                  <w:r>
                    <w:rPr>
                      <w:rFonts w:hint="default" w:ascii="Times New Roman" w:hAnsi="Times New Roman" w:eastAsia="宋体" w:cs="Times New Roman"/>
                      <w:b/>
                      <w:bCs/>
                      <w:color w:val="auto"/>
                      <w:sz w:val="21"/>
                      <w:szCs w:val="21"/>
                      <w:highlight w:val="none"/>
                      <w:shd w:val="clear" w:color="auto" w:fill="FFFFFF"/>
                      <w:lang w:val="en-US" w:eastAsia="zh-CN"/>
                    </w:rPr>
                    <w:t>WX2</w:t>
                  </w:r>
                </w:p>
              </w:tc>
              <w:tc>
                <w:tcPr>
                  <w:tcW w:w="772"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rPr>
                    <w:t>乐辰木业厂房旁</w:t>
                  </w:r>
                  <w:r>
                    <w:rPr>
                      <w:rFonts w:hint="default" w:ascii="Times New Roman" w:hAnsi="Times New Roman" w:eastAsia="宋体" w:cs="Times New Roman"/>
                      <w:b/>
                      <w:bCs/>
                      <w:color w:val="auto"/>
                      <w:sz w:val="21"/>
                      <w:szCs w:val="21"/>
                      <w:highlight w:val="none"/>
                      <w:shd w:val="clear" w:color="auto" w:fill="FFFFFF"/>
                      <w:lang w:val="en-US" w:eastAsia="zh-CN"/>
                    </w:rPr>
                    <w:t>WX3</w:t>
                  </w:r>
                </w:p>
              </w:tc>
              <w:tc>
                <w:tcPr>
                  <w:tcW w:w="611"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rPr>
                    <w:t>佛博苑</w:t>
                  </w:r>
                  <w:r>
                    <w:rPr>
                      <w:rFonts w:hint="default" w:ascii="Times New Roman" w:hAnsi="Times New Roman" w:eastAsia="宋体" w:cs="Times New Roman"/>
                      <w:b/>
                      <w:bCs/>
                      <w:color w:val="auto"/>
                      <w:sz w:val="21"/>
                      <w:szCs w:val="21"/>
                      <w:highlight w:val="none"/>
                      <w:shd w:val="clear" w:color="auto" w:fill="FFFFFF"/>
                      <w:lang w:val="en-US" w:eastAsia="zh-CN"/>
                    </w:rPr>
                    <w:t>WX4</w:t>
                  </w:r>
                </w:p>
              </w:tc>
              <w:tc>
                <w:tcPr>
                  <w:tcW w:w="751"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1"/>
                      <w:szCs w:val="21"/>
                      <w:highlight w:val="none"/>
                      <w:shd w:val="clear" w:color="auto" w:fill="FFFFFF"/>
                      <w:lang w:val="en-US" w:eastAsia="zh-CN"/>
                    </w:rPr>
                  </w:pPr>
                  <w:r>
                    <w:rPr>
                      <w:rFonts w:hint="default" w:ascii="Times New Roman" w:hAnsi="Times New Roman" w:eastAsia="宋体" w:cs="Times New Roman"/>
                      <w:b/>
                      <w:bCs/>
                      <w:color w:val="auto"/>
                      <w:sz w:val="21"/>
                      <w:szCs w:val="21"/>
                      <w:highlight w:val="none"/>
                    </w:rPr>
                    <w:t>幸福中路</w:t>
                  </w:r>
                  <w:r>
                    <w:rPr>
                      <w:rFonts w:hint="default" w:ascii="Times New Roman" w:hAnsi="Times New Roman" w:eastAsia="宋体" w:cs="Times New Roman"/>
                      <w:b/>
                      <w:bCs/>
                      <w:color w:val="auto"/>
                      <w:sz w:val="21"/>
                      <w:szCs w:val="21"/>
                      <w:highlight w:val="none"/>
                      <w:shd w:val="clear" w:color="auto" w:fill="FFFFFF"/>
                      <w:lang w:val="en-US" w:eastAsia="zh-CN"/>
                    </w:rPr>
                    <w:t>WX5</w:t>
                  </w:r>
                </w:p>
              </w:tc>
              <w:tc>
                <w:tcPr>
                  <w:tcW w:w="725"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Cs/>
                      <w:color w:val="auto"/>
                      <w:spacing w:val="0"/>
                      <w:kern w:val="2"/>
                      <w:sz w:val="21"/>
                      <w:szCs w:val="21"/>
                      <w:highlight w:val="none"/>
                      <w:lang w:val="en-US" w:eastAsia="zh-CN" w:bidi="ar-SA"/>
                    </w:rPr>
                  </w:pPr>
                </w:p>
              </w:tc>
              <w:tc>
                <w:tcPr>
                  <w:tcW w:w="637"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Cs/>
                      <w:color w:val="auto"/>
                      <w:spacing w:val="0"/>
                      <w:kern w:val="2"/>
                      <w:sz w:val="21"/>
                      <w:szCs w:val="21"/>
                      <w:highlight w:val="none"/>
                      <w:lang w:val="en-US" w:eastAsia="zh-CN" w:bidi="ar-SA"/>
                    </w:rPr>
                  </w:pPr>
                </w:p>
              </w:tc>
              <w:tc>
                <w:tcPr>
                  <w:tcW w:w="581"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Cs/>
                      <w:color w:val="auto"/>
                      <w:spacing w:val="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restart"/>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r>
                    <w:rPr>
                      <w:rFonts w:hint="default" w:ascii="Times New Roman" w:hAnsi="Times New Roman" w:eastAsia="宋体" w:cs="Times New Roman"/>
                      <w:color w:val="auto"/>
                      <w:spacing w:val="-11"/>
                      <w:kern w:val="2"/>
                      <w:sz w:val="21"/>
                      <w:szCs w:val="21"/>
                      <w:highlight w:val="none"/>
                      <w:lang w:val="en-US" w:eastAsia="zh-CN" w:bidi="ar-SA"/>
                    </w:rPr>
                    <w:t>2025.5.6</w:t>
                  </w: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pH值</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sz w:val="21"/>
                      <w:szCs w:val="21"/>
                      <w:highlight w:val="none"/>
                      <w:vertAlign w:val="baseline"/>
                      <w:lang w:val="en-US" w:eastAsia="zh-CN"/>
                    </w:rPr>
                    <w:t>无量纲</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7.2</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7.2</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7.3</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7.3</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7.2</w:t>
                  </w:r>
                </w:p>
              </w:tc>
              <w:tc>
                <w:tcPr>
                  <w:tcW w:w="725"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6.5-8.5</w:t>
                  </w:r>
                </w:p>
              </w:tc>
              <w:tc>
                <w:tcPr>
                  <w:tcW w:w="6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color w:val="auto"/>
                      <w:spacing w:val="-11"/>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氨氮</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sz w:val="21"/>
                      <w:szCs w:val="21"/>
                      <w:highlight w:val="none"/>
                      <w:vertAlign w:val="baseline"/>
                      <w:lang w:val="en-US" w:eastAsia="zh-CN"/>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0.040</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0.048</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0.035</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0.038</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0.027</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0.5</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0.08</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溶解性总固体</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vertAlign w:val="baseline"/>
                      <w:lang w:val="en-US" w:eastAsia="zh-CN"/>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176</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151</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210</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182</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162</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1000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0.176</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石油类</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vertAlign w:val="baseline"/>
                      <w:lang w:val="en-US" w:eastAsia="zh-CN"/>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细菌总数</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vertAlign w:val="baseline"/>
                      <w:lang w:val="en-US" w:eastAsia="zh-CN"/>
                    </w:rPr>
                    <w:t>CFU/m</w:t>
                  </w:r>
                  <w:r>
                    <w:rPr>
                      <w:rFonts w:hint="default" w:ascii="Times New Roman" w:hAnsi="Times New Roman" w:eastAsia="宋体" w:cs="Times New Roman"/>
                      <w:b w:val="0"/>
                      <w:bCs w:val="0"/>
                      <w:color w:val="auto"/>
                      <w:kern w:val="0"/>
                      <w:sz w:val="21"/>
                      <w:szCs w:val="21"/>
                      <w:highlight w:val="none"/>
                    </w:rPr>
                    <w:t>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15</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14</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0.15</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硫酸盐</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34</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15</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74</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31</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27</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250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0.136</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氯化物</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15</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250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0.052</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硝酸盐氮</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1.71</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1.27</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1.90</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3.53</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1.72</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20.0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0.086</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亚硝酸盐氮</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铬（六价）</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0.05</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总硬度</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142</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131</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169</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150</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133</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450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0.32</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碳酸根</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重碳酸根</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142</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139</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127</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134</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128</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挥发酚</w:t>
                  </w:r>
                </w:p>
              </w:tc>
              <w:tc>
                <w:tcPr>
                  <w:tcW w:w="792" w:type="dxa"/>
                  <w:tcBorders>
                    <w:tl2br w:val="nil"/>
                    <w:tr2bl w:val="nil"/>
                  </w:tcBorders>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0.002</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氰化物</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0.05</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耗氧量（COD</w:t>
                  </w:r>
                  <w:r>
                    <w:rPr>
                      <w:rFonts w:hint="default" w:ascii="Times New Roman" w:hAnsi="Times New Roman" w:eastAsia="宋体" w:cs="Times New Roman"/>
                      <w:color w:val="auto"/>
                      <w:kern w:val="0"/>
                      <w:sz w:val="21"/>
                      <w:szCs w:val="21"/>
                      <w:highlight w:val="none"/>
                      <w:vertAlign w:val="subscript"/>
                      <w:lang w:val="en-US" w:eastAsia="zh-CN" w:bidi="ar-SA"/>
                    </w:rPr>
                    <w:t>Mn</w:t>
                  </w:r>
                  <w:r>
                    <w:rPr>
                      <w:rFonts w:hint="default" w:ascii="Times New Roman" w:hAnsi="Times New Roman" w:eastAsia="宋体" w:cs="Times New Roman"/>
                      <w:color w:val="auto"/>
                      <w:kern w:val="0"/>
                      <w:sz w:val="21"/>
                      <w:szCs w:val="21"/>
                      <w:highlight w:val="none"/>
                      <w:lang w:val="en-US" w:eastAsia="zh-CN" w:bidi="ar-SA"/>
                    </w:rPr>
                    <w:t>法，以O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计）</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2.70</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2.55</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2.80</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2.60</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2.69</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0.9</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铅</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0.01</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镉</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0.005</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氟化物</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0.14</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0.08</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0.27</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0.10</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0.07</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0.14</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汞</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0.001</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砷</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0.01</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铁</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0.3</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锰</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ND</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钾</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1.35</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1.25</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1.05</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0.95</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1.05</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钠</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9.50</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10.4</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10.0</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11.4</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9.00</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钙</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20.0</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20.0</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17.2</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21.0</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19.8</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8" w:type="dxa"/>
                  <w:vMerge w:val="continue"/>
                  <w:tcBorders>
                    <w:tl2br w:val="nil"/>
                    <w:tr2bl w:val="nil"/>
                  </w:tcBorders>
                  <w:noWrap w:val="0"/>
                  <w:vAlign w:val="center"/>
                </w:tcPr>
                <w:p>
                  <w:pPr>
                    <w:widowControl w:val="0"/>
                    <w:snapToGrid w:val="0"/>
                    <w:jc w:val="center"/>
                    <w:rPr>
                      <w:rFonts w:hint="default" w:ascii="Times New Roman" w:hAnsi="Times New Roman" w:eastAsia="宋体" w:cs="Times New Roman"/>
                      <w:b w:val="0"/>
                      <w:bCs/>
                      <w:color w:val="auto"/>
                      <w:spacing w:val="0"/>
                      <w:kern w:val="2"/>
                      <w:sz w:val="21"/>
                      <w:szCs w:val="21"/>
                      <w:highlight w:val="none"/>
                      <w:lang w:val="en-US" w:eastAsia="zh-CN" w:bidi="ar-SA"/>
                    </w:rPr>
                  </w:pPr>
                </w:p>
              </w:tc>
              <w:tc>
                <w:tcPr>
                  <w:tcW w:w="988" w:type="dxa"/>
                  <w:tcBorders>
                    <w:tl2br w:val="nil"/>
                    <w:tr2bl w:val="nil"/>
                  </w:tcBorders>
                  <w:noWrap w:val="0"/>
                  <w:vAlign w:val="center"/>
                </w:tcPr>
                <w:p>
                  <w:pPr>
                    <w:widowControl/>
                    <w:snapToGrid w:val="0"/>
                    <w:spacing w:before="0" w:beforeAutospacing="0" w:after="0" w:afterAutospacing="0"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镁</w:t>
                  </w:r>
                </w:p>
              </w:tc>
              <w:tc>
                <w:tcPr>
                  <w:tcW w:w="79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mg/L</w:t>
                  </w:r>
                </w:p>
              </w:tc>
              <w:tc>
                <w:tcPr>
                  <w:tcW w:w="950"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19.8</w:t>
                  </w:r>
                </w:p>
              </w:tc>
              <w:tc>
                <w:tcPr>
                  <w:tcW w:w="64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21.1</w:t>
                  </w:r>
                </w:p>
              </w:tc>
              <w:tc>
                <w:tcPr>
                  <w:tcW w:w="772"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28.2</w:t>
                  </w:r>
                </w:p>
              </w:tc>
              <w:tc>
                <w:tcPr>
                  <w:tcW w:w="61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21.0</w:t>
                  </w:r>
                </w:p>
              </w:tc>
              <w:tc>
                <w:tcPr>
                  <w:tcW w:w="751"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19.4</w:t>
                  </w:r>
                </w:p>
              </w:tc>
              <w:tc>
                <w:tcPr>
                  <w:tcW w:w="725"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637" w:type="dxa"/>
                  <w:tcBorders>
                    <w:tl2br w:val="nil"/>
                    <w:tr2bl w:val="nil"/>
                  </w:tcBorders>
                  <w:noWrap w:val="0"/>
                  <w:vAlign w:val="center"/>
                </w:tcPr>
                <w:p>
                  <w:pPr>
                    <w:pStyle w:val="216"/>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w:t>
                  </w:r>
                </w:p>
              </w:tc>
              <w:tc>
                <w:tcPr>
                  <w:tcW w:w="5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1"/>
                <w:highlight w:val="none"/>
              </w:rPr>
              <w:t>根据监测评价结果，各项目检测结果均满足《地下水质量标准》（GB/T 14848-2017）表1中Ⅲ类标准限值要求。</w:t>
            </w:r>
          </w:p>
          <w:p>
            <w:pPr>
              <w:adjustRightInd w:val="0"/>
              <w:snapToGrid w:val="0"/>
              <w:spacing w:line="360" w:lineRule="auto"/>
              <w:jc w:val="left"/>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五</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eastAsia="zh-CN"/>
              </w:rPr>
              <w:t>土壤</w:t>
            </w:r>
            <w:r>
              <w:rPr>
                <w:rFonts w:hint="default" w:ascii="Times New Roman" w:hAnsi="Times New Roman" w:cs="Times New Roman"/>
                <w:b/>
                <w:bCs/>
                <w:color w:val="auto"/>
                <w:sz w:val="24"/>
              </w:rPr>
              <w:t>环境</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1"/>
                <w:highlight w:val="none"/>
              </w:rPr>
              <w:t>为查明</w:t>
            </w:r>
            <w:r>
              <w:rPr>
                <w:rFonts w:hint="eastAsia" w:ascii="Times New Roman" w:hAnsi="Times New Roman" w:eastAsia="宋体" w:cs="Times New Roman"/>
                <w:color w:val="auto"/>
                <w:sz w:val="24"/>
                <w:szCs w:val="21"/>
                <w:highlight w:val="none"/>
                <w:lang w:eastAsia="zh-CN"/>
              </w:rPr>
              <w:t>区域土壤</w:t>
            </w:r>
            <w:r>
              <w:rPr>
                <w:rFonts w:hint="default" w:ascii="Times New Roman" w:hAnsi="Times New Roman" w:eastAsia="宋体" w:cs="Times New Roman"/>
                <w:color w:val="auto"/>
                <w:sz w:val="24"/>
                <w:szCs w:val="21"/>
                <w:highlight w:val="none"/>
              </w:rPr>
              <w:t>环境现状，</w:t>
            </w:r>
            <w:r>
              <w:rPr>
                <w:rFonts w:hint="default" w:ascii="Times New Roman" w:hAnsi="Times New Roman" w:eastAsia="宋体" w:cs="Times New Roman"/>
                <w:color w:val="auto"/>
                <w:sz w:val="24"/>
                <w:szCs w:val="24"/>
                <w:highlight w:val="none"/>
              </w:rPr>
              <w:t>本项目委托四川锡水金山环保科技有限公司于202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日对</w:t>
            </w:r>
            <w:r>
              <w:rPr>
                <w:rFonts w:hint="default" w:ascii="Times New Roman" w:hAnsi="Times New Roman" w:eastAsia="宋体" w:cs="Times New Roman"/>
                <w:color w:val="auto"/>
                <w:sz w:val="24"/>
                <w:szCs w:val="21"/>
                <w:highlight w:val="none"/>
              </w:rPr>
              <w:t>项目区</w:t>
            </w:r>
            <w:r>
              <w:rPr>
                <w:rFonts w:hint="eastAsia" w:ascii="Times New Roman" w:hAnsi="Times New Roman" w:eastAsia="宋体" w:cs="Times New Roman"/>
                <w:color w:val="auto"/>
                <w:sz w:val="24"/>
                <w:szCs w:val="21"/>
                <w:highlight w:val="none"/>
                <w:lang w:eastAsia="zh-CN"/>
              </w:rPr>
              <w:t>土壤</w:t>
            </w:r>
            <w:r>
              <w:rPr>
                <w:rFonts w:hint="default" w:ascii="Times New Roman" w:hAnsi="Times New Roman" w:eastAsia="宋体" w:cs="Times New Roman"/>
                <w:color w:val="auto"/>
                <w:sz w:val="24"/>
                <w:szCs w:val="21"/>
                <w:highlight w:val="none"/>
              </w:rPr>
              <w:t>进行了监测</w:t>
            </w:r>
            <w:r>
              <w:rPr>
                <w:rFonts w:hint="default" w:ascii="Times New Roman" w:hAnsi="Times New Roman" w:eastAsia="宋体" w:cs="Times New Roman"/>
                <w:color w:val="auto"/>
                <w:sz w:val="24"/>
                <w:szCs w:val="24"/>
                <w:highlight w:val="none"/>
              </w:rPr>
              <w:t>。</w:t>
            </w:r>
          </w:p>
          <w:p>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监测点位设置</w:t>
            </w:r>
          </w:p>
          <w:p>
            <w:pPr>
              <w:autoSpaceDE w:val="0"/>
              <w:autoSpaceDN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具体位置见下表。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cs="Times New Roman"/>
                <w:b/>
                <w:bCs/>
                <w:color w:val="auto"/>
              </w:rPr>
            </w:pPr>
            <w:r>
              <w:rPr>
                <w:rFonts w:hint="eastAsia" w:ascii="Times New Roman" w:hAnsi="Times New Roman" w:cs="Times New Roman"/>
                <w:b/>
                <w:bCs/>
                <w:color w:val="auto"/>
                <w:lang w:eastAsia="zh-CN"/>
              </w:rPr>
              <w:t>表</w:t>
            </w:r>
            <w:r>
              <w:rPr>
                <w:rFonts w:hint="eastAsia" w:ascii="Times New Roman" w:hAnsi="Times New Roman" w:cs="Times New Roman"/>
                <w:b/>
                <w:bCs/>
                <w:color w:val="auto"/>
                <w:lang w:val="en-US" w:eastAsia="zh-CN"/>
              </w:rPr>
              <w:t xml:space="preserve">3-9  </w:t>
            </w:r>
            <w:r>
              <w:rPr>
                <w:rFonts w:hint="default" w:ascii="Times New Roman" w:hAnsi="Times New Roman" w:cs="Times New Roman"/>
                <w:b/>
                <w:bCs/>
                <w:color w:val="auto"/>
              </w:rPr>
              <w:t>土壤环境质量监测布点</w:t>
            </w:r>
          </w:p>
          <w:tbl>
            <w:tblPr>
              <w:tblStyle w:val="39"/>
              <w:tblW w:w="79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385"/>
              <w:gridCol w:w="5256"/>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编号</w:t>
                  </w:r>
                </w:p>
              </w:tc>
              <w:tc>
                <w:tcPr>
                  <w:tcW w:w="1385"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监测点位</w:t>
                  </w:r>
                </w:p>
              </w:tc>
              <w:tc>
                <w:tcPr>
                  <w:tcW w:w="5256"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监测项目</w:t>
                  </w:r>
                </w:p>
              </w:tc>
              <w:tc>
                <w:tcPr>
                  <w:tcW w:w="796"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1385" w:type="dxa"/>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项目场地内东北侧</w:t>
                  </w:r>
                </w:p>
              </w:tc>
              <w:tc>
                <w:tcPr>
                  <w:tcW w:w="5256" w:type="dxa"/>
                  <w:vMerge w:val="restart"/>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pH、砷、镉、铜、铅、汞、镍、六价铬、石油烃（C</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40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四氯化碳、氯仿、氯甲烷、1,1-二氯乙烷、1,2-二氯乙烷、1,1-二氯乙烯、顺式-1,2-二氯乙烯、反式-1,2-二氯乙烯、二氯甲烷、1,2-二氯丙烷、1,1,1,2-四氯乙烷、1,1,2,2-四氯乙烷、四氯乙烯、1,1,1-三氯乙烷、1,1,2-三氯乙烷、三氯乙烯、1,2,3-三氯丙烷、氯乙烯、苯、氯苯、1,2-二氯苯、1,4-二氯苯、乙苯、苯乙烯、甲苯、间，对-二甲苯、邻-二甲苯、硝基苯、2-氯苯酚、苯胺、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蒽、苯并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荧蒽、䓛、二苯并（ah）蒽、茚并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1,2,3-cd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芘、萘</w:t>
                  </w:r>
                </w:p>
              </w:tc>
              <w:tc>
                <w:tcPr>
                  <w:tcW w:w="796" w:type="dxa"/>
                  <w:vMerge w:val="restart"/>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1次/1天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场地外东侧绿地</w:t>
                  </w:r>
                </w:p>
              </w:tc>
              <w:tc>
                <w:tcPr>
                  <w:tcW w:w="5256" w:type="dxa"/>
                  <w:vMerge w:val="continue"/>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p>
              </w:tc>
              <w:tc>
                <w:tcPr>
                  <w:tcW w:w="796" w:type="dxa"/>
                  <w:vMerge w:val="continue"/>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项目场地外东南侧</w:t>
                  </w:r>
                </w:p>
              </w:tc>
              <w:tc>
                <w:tcPr>
                  <w:tcW w:w="5256" w:type="dxa"/>
                  <w:vMerge w:val="continue"/>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p>
              </w:tc>
              <w:tc>
                <w:tcPr>
                  <w:tcW w:w="796" w:type="dxa"/>
                  <w:vMerge w:val="continue"/>
                  <w:tcBorders>
                    <w:tl2br w:val="nil"/>
                    <w:tr2bl w:val="nil"/>
                  </w:tcBorders>
                  <w:noWrap w:val="0"/>
                  <w:vAlign w:val="center"/>
                </w:tcPr>
                <w:p>
                  <w:pPr>
                    <w:pStyle w:val="98"/>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Cs/>
                      <w:color w:val="auto"/>
                      <w:kern w:val="0"/>
                      <w:sz w:val="21"/>
                      <w:szCs w:val="21"/>
                      <w:highlight w:val="none"/>
                    </w:rPr>
                  </w:pPr>
                </w:p>
              </w:tc>
            </w:tr>
          </w:tbl>
          <w:p>
            <w:pPr>
              <w:spacing w:before="156" w:beforeLines="50"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2</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监测时间和频率</w:t>
            </w:r>
          </w:p>
          <w:p>
            <w:pPr>
              <w:autoSpaceDE w:val="0"/>
              <w:autoSpaceDN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kern w:val="0"/>
                <w:sz w:val="24"/>
              </w:rPr>
              <w:t>监测时间为</w:t>
            </w:r>
            <w:r>
              <w:rPr>
                <w:rFonts w:hint="default" w:ascii="Times New Roman" w:hAnsi="Times New Roman" w:cs="Times New Roman"/>
                <w:color w:val="auto"/>
                <w:kern w:val="0"/>
                <w:sz w:val="24"/>
                <w:lang w:val="en-US" w:eastAsia="zh-CN"/>
              </w:rPr>
              <w:t>2025年5月</w:t>
            </w:r>
            <w:r>
              <w:rPr>
                <w:rFonts w:hint="default" w:ascii="Times New Roman" w:hAnsi="Times New Roman" w:cs="Times New Roman"/>
                <w:color w:val="auto"/>
                <w:kern w:val="0"/>
                <w:sz w:val="24"/>
                <w:highlight w:val="none"/>
                <w:lang w:val="en-US" w:eastAsia="zh-CN"/>
              </w:rPr>
              <w:t>6日（1#、2#）、</w:t>
            </w:r>
            <w:r>
              <w:rPr>
                <w:rFonts w:hint="default" w:ascii="Times New Roman" w:hAnsi="Times New Roman" w:cs="Times New Roman"/>
                <w:color w:val="auto"/>
                <w:kern w:val="0"/>
                <w:sz w:val="24"/>
                <w:highlight w:val="none"/>
              </w:rPr>
              <w:t>202</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日</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，监测1天，每天监测1次。</w:t>
            </w:r>
          </w:p>
          <w:p>
            <w:pPr>
              <w:spacing w:line="360" w:lineRule="auto"/>
              <w:ind w:firstLine="542" w:firstLineChars="225"/>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现状监测结果</w:t>
            </w:r>
          </w:p>
          <w:p>
            <w:pPr>
              <w:numPr>
                <w:ilvl w:val="0"/>
                <w:numId w:val="0"/>
              </w:numPr>
              <w:spacing w:line="360" w:lineRule="auto"/>
              <w:ind w:leftChars="0"/>
              <w:jc w:val="cente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表</w:t>
            </w:r>
            <w:r>
              <w:rPr>
                <w:rFonts w:hint="eastAsia" w:ascii="Times New Roman" w:hAnsi="Times New Roman" w:cs="Times New Roman"/>
                <w:b/>
                <w:bCs/>
                <w:color w:val="auto"/>
                <w:highlight w:val="none"/>
                <w:lang w:val="en-US" w:eastAsia="zh-CN"/>
              </w:rPr>
              <w:t xml:space="preserve">3-10  </w:t>
            </w:r>
            <w:r>
              <w:rPr>
                <w:rFonts w:hint="default" w:ascii="Times New Roman" w:hAnsi="Times New Roman" w:cs="Times New Roman"/>
                <w:b/>
                <w:bCs/>
                <w:color w:val="auto"/>
                <w:highlight w:val="none"/>
              </w:rPr>
              <w:t>土壤理化特性调查表</w:t>
            </w:r>
          </w:p>
          <w:tbl>
            <w:tblPr>
              <w:tblStyle w:val="39"/>
              <w:tblW w:w="797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2775"/>
              <w:gridCol w:w="841"/>
              <w:gridCol w:w="796"/>
              <w:gridCol w:w="830"/>
              <w:gridCol w:w="1010"/>
              <w:gridCol w:w="654"/>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2775"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检测点位</w:t>
                  </w:r>
                </w:p>
              </w:tc>
              <w:tc>
                <w:tcPr>
                  <w:tcW w:w="841"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日期</w:t>
                  </w:r>
                </w:p>
              </w:tc>
              <w:tc>
                <w:tcPr>
                  <w:tcW w:w="796"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深度</w:t>
                  </w:r>
                </w:p>
              </w:tc>
              <w:tc>
                <w:tcPr>
                  <w:tcW w:w="830"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颜色</w:t>
                  </w:r>
                </w:p>
              </w:tc>
              <w:tc>
                <w:tcPr>
                  <w:tcW w:w="1010"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结构</w:t>
                  </w:r>
                </w:p>
              </w:tc>
              <w:tc>
                <w:tcPr>
                  <w:tcW w:w="654"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质地</w:t>
                  </w:r>
                </w:p>
              </w:tc>
              <w:tc>
                <w:tcPr>
                  <w:tcW w:w="1067"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其他异物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jc w:val="center"/>
              </w:trPr>
              <w:tc>
                <w:tcPr>
                  <w:tcW w:w="2775"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rPr>
                    <w:fldChar w:fldCharType="begin"/>
                  </w:r>
                  <w:r>
                    <w:rPr>
                      <w:rFonts w:hint="default" w:ascii="Times New Roman" w:hAnsi="Times New Roman" w:cs="Times New Roman"/>
                      <w:bCs/>
                      <w:color w:val="auto"/>
                      <w:kern w:val="0"/>
                      <w:highlight w:val="none"/>
                    </w:rPr>
                    <w:instrText xml:space="preserve"> REF 土壤1 \h \* MERGEFORMAT</w:instrText>
                  </w:r>
                  <w:r>
                    <w:rPr>
                      <w:rFonts w:hint="default" w:ascii="Times New Roman" w:hAnsi="Times New Roman" w:cs="Times New Roman"/>
                      <w:bCs/>
                      <w:color w:val="auto"/>
                      <w:kern w:val="0"/>
                      <w:highlight w:val="none"/>
                    </w:rPr>
                    <w:fldChar w:fldCharType="separate"/>
                  </w:r>
                  <w:r>
                    <w:rPr>
                      <w:rFonts w:hint="default" w:ascii="Times New Roman" w:hAnsi="Times New Roman" w:cs="Times New Roman"/>
                      <w:bCs/>
                      <w:color w:val="auto"/>
                      <w:kern w:val="0"/>
                      <w:highlight w:val="none"/>
                      <w:lang w:val="en-US" w:eastAsia="zh-CN"/>
                    </w:rPr>
                    <w:t>3</w:t>
                  </w:r>
                  <w:r>
                    <w:rPr>
                      <w:rFonts w:hint="default" w:ascii="Times New Roman" w:hAnsi="Times New Roman" w:cs="Times New Roman"/>
                      <w:bCs/>
                      <w:color w:val="auto"/>
                      <w:kern w:val="0"/>
                      <w:highlight w:val="none"/>
                    </w:rPr>
                    <w:t xml:space="preserve"># </w:t>
                  </w:r>
                  <w:r>
                    <w:rPr>
                      <w:rFonts w:hint="default" w:ascii="Times New Roman" w:hAnsi="Times New Roman" w:cs="Times New Roman"/>
                      <w:bCs/>
                      <w:color w:val="auto"/>
                      <w:kern w:val="0"/>
                      <w:highlight w:val="none"/>
                      <w:lang w:eastAsia="zh-CN"/>
                    </w:rPr>
                    <w:t>项</w:t>
                  </w:r>
                  <w:r>
                    <w:rPr>
                      <w:rFonts w:hint="default" w:ascii="Times New Roman" w:hAnsi="Times New Roman" w:cs="Times New Roman"/>
                      <w:bCs/>
                      <w:color w:val="auto"/>
                      <w:kern w:val="0"/>
                      <w:highlight w:val="none"/>
                    </w:rPr>
                    <w:fldChar w:fldCharType="end"/>
                  </w:r>
                  <w:r>
                    <w:rPr>
                      <w:rFonts w:hint="default" w:ascii="Times New Roman" w:hAnsi="Times New Roman" w:cs="Times New Roman"/>
                      <w:bCs/>
                      <w:color w:val="auto"/>
                      <w:kern w:val="0"/>
                      <w:highlight w:val="none"/>
                      <w:lang w:eastAsia="zh-CN"/>
                    </w:rPr>
                    <w:t>目东南侧</w:t>
                  </w:r>
                </w:p>
                <w:p>
                  <w:pPr>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（E：</w:t>
                  </w:r>
                  <w:r>
                    <w:rPr>
                      <w:rFonts w:hint="default" w:ascii="Times New Roman" w:hAnsi="Times New Roman" w:cs="Times New Roman"/>
                      <w:bCs/>
                      <w:color w:val="auto"/>
                      <w:kern w:val="0"/>
                      <w:highlight w:val="none"/>
                      <w:lang w:val="en-US" w:eastAsia="zh-CN"/>
                    </w:rPr>
                    <w:t>105.684732</w:t>
                  </w:r>
                  <w:r>
                    <w:rPr>
                      <w:rFonts w:hint="default" w:ascii="Times New Roman" w:hAnsi="Times New Roman" w:cs="Times New Roman"/>
                      <w:bCs/>
                      <w:color w:val="auto"/>
                      <w:kern w:val="0"/>
                      <w:highlight w:val="none"/>
                    </w:rPr>
                    <w:t>°；N：</w:t>
                  </w:r>
                  <w:r>
                    <w:rPr>
                      <w:rFonts w:hint="default" w:ascii="Times New Roman" w:hAnsi="Times New Roman" w:cs="Times New Roman"/>
                      <w:bCs/>
                      <w:color w:val="auto"/>
                      <w:kern w:val="0"/>
                      <w:highlight w:val="none"/>
                      <w:lang w:val="en-US" w:eastAsia="zh-CN"/>
                    </w:rPr>
                    <w:t>30.741663</w:t>
                  </w:r>
                  <w:r>
                    <w:rPr>
                      <w:rFonts w:hint="default" w:ascii="Times New Roman" w:hAnsi="Times New Roman" w:cs="Times New Roman"/>
                      <w:bCs/>
                      <w:color w:val="auto"/>
                      <w:kern w:val="0"/>
                      <w:highlight w:val="none"/>
                    </w:rPr>
                    <w:t>°）</w:t>
                  </w:r>
                </w:p>
              </w:tc>
              <w:tc>
                <w:tcPr>
                  <w:tcW w:w="841" w:type="dxa"/>
                  <w:tcBorders>
                    <w:tl2br w:val="nil"/>
                    <w:tr2bl w:val="nil"/>
                  </w:tcBorders>
                  <w:noWrap w:val="0"/>
                  <w:vAlign w:val="center"/>
                </w:tcPr>
                <w:p>
                  <w:pPr>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fldChar w:fldCharType="begin"/>
                  </w:r>
                  <w:r>
                    <w:rPr>
                      <w:rFonts w:hint="default" w:ascii="Times New Roman" w:hAnsi="Times New Roman" w:cs="Times New Roman"/>
                      <w:bCs/>
                      <w:color w:val="auto"/>
                      <w:kern w:val="0"/>
                      <w:highlight w:val="none"/>
                    </w:rPr>
                    <w:instrText xml:space="preserve"> REF 日期 \h \* MERGEFORMAT</w:instrText>
                  </w:r>
                  <w:r>
                    <w:rPr>
                      <w:rFonts w:hint="default" w:ascii="Times New Roman" w:hAnsi="Times New Roman" w:cs="Times New Roman"/>
                      <w:bCs/>
                      <w:color w:val="auto"/>
                      <w:kern w:val="0"/>
                      <w:highlight w:val="none"/>
                    </w:rPr>
                    <w:fldChar w:fldCharType="separate"/>
                  </w:r>
                  <w:r>
                    <w:rPr>
                      <w:rFonts w:hint="default" w:ascii="Times New Roman" w:hAnsi="Times New Roman" w:cs="Times New Roman"/>
                      <w:bCs/>
                      <w:color w:val="auto"/>
                      <w:kern w:val="0"/>
                      <w:highlight w:val="none"/>
                      <w:lang w:val="en-US" w:eastAsia="zh-CN"/>
                    </w:rPr>
                    <w:t>2024年4</w:t>
                  </w:r>
                  <w:r>
                    <w:rPr>
                      <w:rFonts w:hint="default" w:ascii="Times New Roman" w:hAnsi="Times New Roman" w:cs="Times New Roman"/>
                      <w:bCs/>
                      <w:color w:val="auto"/>
                      <w:kern w:val="0"/>
                      <w:highlight w:val="none"/>
                    </w:rPr>
                    <w:t>月</w:t>
                  </w:r>
                  <w:r>
                    <w:rPr>
                      <w:rFonts w:hint="default" w:ascii="Times New Roman" w:hAnsi="Times New Roman" w:cs="Times New Roman"/>
                      <w:bCs/>
                      <w:color w:val="auto"/>
                      <w:kern w:val="0"/>
                      <w:highlight w:val="none"/>
                      <w:lang w:val="en-US" w:eastAsia="zh-CN"/>
                    </w:rPr>
                    <w:t>4</w:t>
                  </w:r>
                  <w:r>
                    <w:rPr>
                      <w:rFonts w:hint="default" w:ascii="Times New Roman" w:hAnsi="Times New Roman" w:cs="Times New Roman"/>
                      <w:bCs/>
                      <w:color w:val="auto"/>
                      <w:kern w:val="0"/>
                      <w:highlight w:val="none"/>
                    </w:rPr>
                    <w:t>日</w:t>
                  </w:r>
                  <w:r>
                    <w:rPr>
                      <w:rFonts w:hint="default" w:ascii="Times New Roman" w:hAnsi="Times New Roman" w:cs="Times New Roman"/>
                      <w:bCs/>
                      <w:color w:val="auto"/>
                      <w:kern w:val="0"/>
                      <w:highlight w:val="none"/>
                    </w:rPr>
                    <w:fldChar w:fldCharType="end"/>
                  </w:r>
                </w:p>
              </w:tc>
              <w:tc>
                <w:tcPr>
                  <w:tcW w:w="796"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0-0.2m</w:t>
                  </w:r>
                </w:p>
              </w:tc>
              <w:tc>
                <w:tcPr>
                  <w:tcW w:w="830"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lang w:eastAsia="zh-CN"/>
                    </w:rPr>
                    <w:t>红</w:t>
                  </w:r>
                  <w:r>
                    <w:rPr>
                      <w:rFonts w:hint="default" w:ascii="Times New Roman" w:hAnsi="Times New Roman" w:cs="Times New Roman"/>
                      <w:bCs/>
                      <w:color w:val="auto"/>
                      <w:sz w:val="21"/>
                      <w:highlight w:val="none"/>
                    </w:rPr>
                    <w:t>棕色</w:t>
                  </w:r>
                </w:p>
              </w:tc>
              <w:tc>
                <w:tcPr>
                  <w:tcW w:w="1010" w:type="dxa"/>
                  <w:tcBorders>
                    <w:tl2br w:val="nil"/>
                    <w:tr2bl w:val="nil"/>
                  </w:tcBorders>
                  <w:noWrap w:val="0"/>
                  <w:vAlign w:val="center"/>
                </w:tcPr>
                <w:p>
                  <w:pPr>
                    <w:adjustRightIn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团状</w:t>
                  </w:r>
                </w:p>
              </w:tc>
              <w:tc>
                <w:tcPr>
                  <w:tcW w:w="654" w:type="dxa"/>
                  <w:tcBorders>
                    <w:tl2br w:val="nil"/>
                    <w:tr2bl w:val="nil"/>
                  </w:tcBorders>
                  <w:noWrap w:val="0"/>
                  <w:vAlign w:val="center"/>
                </w:tcPr>
                <w:p>
                  <w:pPr>
                    <w:widowControl/>
                    <w:adjustRightInd w:val="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轻壤土</w:t>
                  </w:r>
                </w:p>
              </w:tc>
              <w:tc>
                <w:tcPr>
                  <w:tcW w:w="1067" w:type="dxa"/>
                  <w:tcBorders>
                    <w:tl2br w:val="nil"/>
                    <w:tr2bl w:val="nil"/>
                  </w:tcBorders>
                  <w:noWrap w:val="0"/>
                  <w:vAlign w:val="center"/>
                </w:tcPr>
                <w:p>
                  <w:pPr>
                    <w:pStyle w:val="34"/>
                    <w:adjustRightInd w:val="0"/>
                    <w:spacing w:before="0" w:beforeAutospacing="0" w:after="0" w:afterAutospacing="0"/>
                    <w:jc w:val="center"/>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lang w:eastAsia="zh-CN"/>
                    </w:rPr>
                    <w:t>少量</w:t>
                  </w:r>
                  <w:r>
                    <w:rPr>
                      <w:rFonts w:hint="default" w:ascii="Times New Roman" w:hAnsi="Times New Roman" w:cs="Times New Roman"/>
                      <w:bCs/>
                      <w:color w:val="auto"/>
                      <w:sz w:val="21"/>
                      <w:highlight w:val="none"/>
                    </w:rPr>
                    <w:t>根系</w:t>
                  </w:r>
                </w:p>
              </w:tc>
            </w:tr>
          </w:tbl>
          <w:p>
            <w:pPr>
              <w:numPr>
                <w:ilvl w:val="0"/>
                <w:numId w:val="0"/>
              </w:numPr>
              <w:spacing w:line="360" w:lineRule="auto"/>
              <w:ind w:leftChars="0"/>
              <w:jc w:val="center"/>
              <w:rPr>
                <w:rFonts w:hint="eastAsia" w:ascii="Times New Roman" w:hAnsi="Times New Roman" w:cs="Times New Roman"/>
                <w:b/>
                <w:bCs/>
                <w:color w:val="auto"/>
                <w:highlight w:val="none"/>
                <w:lang w:eastAsia="zh-CN"/>
              </w:rPr>
            </w:pPr>
          </w:p>
          <w:p>
            <w:pPr>
              <w:numPr>
                <w:ilvl w:val="0"/>
                <w:numId w:val="0"/>
              </w:numPr>
              <w:spacing w:line="360" w:lineRule="auto"/>
              <w:ind w:leftChars="0"/>
              <w:jc w:val="center"/>
              <w:rPr>
                <w:rFonts w:hint="eastAsia" w:ascii="Times New Roman" w:hAnsi="Times New Roman" w:cs="Times New Roman"/>
                <w:b/>
                <w:bCs/>
                <w:color w:val="auto"/>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Chars="0"/>
              <w:jc w:val="center"/>
              <w:textAlignment w:val="auto"/>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表</w:t>
            </w:r>
            <w:r>
              <w:rPr>
                <w:rFonts w:hint="eastAsia" w:ascii="Times New Roman" w:hAnsi="Times New Roman" w:cs="Times New Roman"/>
                <w:b/>
                <w:bCs/>
                <w:color w:val="auto"/>
                <w:highlight w:val="none"/>
                <w:lang w:val="en-US" w:eastAsia="zh-CN"/>
              </w:rPr>
              <w:t xml:space="preserve">3-11  </w:t>
            </w:r>
            <w:r>
              <w:rPr>
                <w:rFonts w:hint="default" w:ascii="Times New Roman" w:hAnsi="Times New Roman" w:cs="Times New Roman"/>
                <w:b/>
                <w:bCs/>
                <w:color w:val="auto"/>
                <w:highlight w:val="none"/>
              </w:rPr>
              <w:t>土壤环境监测结果  （单位：mg/kg，pH为无量纲）</w:t>
            </w:r>
          </w:p>
          <w:tbl>
            <w:tblPr>
              <w:tblStyle w:val="40"/>
              <w:tblW w:w="79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39"/>
              <w:gridCol w:w="810"/>
              <w:gridCol w:w="810"/>
              <w:gridCol w:w="990"/>
              <w:gridCol w:w="960"/>
              <w:gridCol w:w="810"/>
              <w:gridCol w:w="915"/>
              <w:gridCol w:w="675"/>
              <w:gridCol w:w="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sz w:val="21"/>
                      <w:szCs w:val="21"/>
                      <w:highlight w:val="none"/>
                      <w:vertAlign w:val="baseline"/>
                      <w:lang w:val="en-US" w:eastAsia="zh-CN"/>
                    </w:rPr>
                    <w:t>检测项目</w:t>
                  </w:r>
                </w:p>
              </w:tc>
              <w:tc>
                <w:tcPr>
                  <w:tcW w:w="810"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单位</w:t>
                  </w:r>
                </w:p>
              </w:tc>
              <w:tc>
                <w:tcPr>
                  <w:tcW w:w="4485" w:type="dxa"/>
                  <w:gridSpan w:val="5"/>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检测结果</w:t>
                  </w:r>
                </w:p>
              </w:tc>
              <w:tc>
                <w:tcPr>
                  <w:tcW w:w="675"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pacing w:val="0"/>
                      <w:sz w:val="21"/>
                      <w:szCs w:val="21"/>
                      <w:highlight w:val="none"/>
                      <w:vertAlign w:val="baseline"/>
                      <w:lang w:val="en-US" w:eastAsia="zh-CN"/>
                    </w:rPr>
                    <w:t>标准限值</w:t>
                  </w:r>
                </w:p>
              </w:tc>
              <w:tc>
                <w:tcPr>
                  <w:tcW w:w="561" w:type="dxa"/>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kern w:val="2"/>
                      <w:sz w:val="21"/>
                      <w:szCs w:val="21"/>
                      <w:highlight w:val="none"/>
                      <w:lang w:val="en-US" w:eastAsia="zh-CN" w:bidi="ar-S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0"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3570"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2025.5.6</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2024.4.4</w:t>
                  </w:r>
                </w:p>
              </w:tc>
              <w:tc>
                <w:tcPr>
                  <w:tcW w:w="6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0"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2760" w:type="dxa"/>
                  <w:gridSpan w:val="3"/>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项目场地内东北侧</w:t>
                  </w:r>
                  <w:r>
                    <w:rPr>
                      <w:rFonts w:hint="default" w:ascii="Times New Roman" w:hAnsi="Times New Roman" w:cs="Times New Roman"/>
                      <w:color w:val="auto"/>
                      <w:sz w:val="21"/>
                      <w:szCs w:val="21"/>
                      <w:highlight w:val="none"/>
                      <w:lang w:val="en-US" w:eastAsia="zh-CN"/>
                    </w:rPr>
                    <w:t>1#</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场地外东侧绿地</w:t>
                  </w:r>
                  <w:r>
                    <w:rPr>
                      <w:rFonts w:hint="default" w:ascii="Times New Roman" w:hAnsi="Times New Roman" w:cs="Times New Roman"/>
                      <w:color w:val="auto"/>
                      <w:sz w:val="21"/>
                      <w:szCs w:val="21"/>
                      <w:highlight w:val="none"/>
                      <w:lang w:val="en-US" w:eastAsia="zh-CN"/>
                    </w:rPr>
                    <w:t>2#</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项目场地外</w:t>
                  </w:r>
                  <w:r>
                    <w:rPr>
                      <w:rFonts w:hint="default" w:ascii="Times New Roman" w:hAnsi="Times New Roman" w:eastAsia="宋体" w:cs="Times New Roman"/>
                      <w:color w:val="auto"/>
                      <w:sz w:val="21"/>
                      <w:szCs w:val="21"/>
                      <w:highlight w:val="none"/>
                    </w:rPr>
                    <w:t>东</w:t>
                  </w:r>
                  <w:r>
                    <w:rPr>
                      <w:rFonts w:hint="default" w:ascii="Times New Roman" w:hAnsi="Times New Roman" w:cs="Times New Roman"/>
                      <w:color w:val="auto"/>
                      <w:sz w:val="21"/>
                      <w:szCs w:val="21"/>
                      <w:highlight w:val="none"/>
                      <w:lang w:eastAsia="zh-CN"/>
                    </w:rPr>
                    <w:t>南</w:t>
                  </w:r>
                  <w:r>
                    <w:rPr>
                      <w:rFonts w:hint="default" w:ascii="Times New Roman" w:hAnsi="Times New Roman" w:eastAsia="宋体" w:cs="Times New Roman"/>
                      <w:color w:val="auto"/>
                      <w:sz w:val="21"/>
                      <w:szCs w:val="21"/>
                      <w:highlight w:val="none"/>
                    </w:rPr>
                    <w:t>侧</w:t>
                  </w:r>
                  <w:r>
                    <w:rPr>
                      <w:rFonts w:hint="default" w:ascii="Times New Roman" w:hAnsi="Times New Roman" w:cs="Times New Roman"/>
                      <w:color w:val="auto"/>
                      <w:sz w:val="21"/>
                      <w:szCs w:val="21"/>
                      <w:highlight w:val="none"/>
                      <w:lang w:val="en-US" w:eastAsia="zh-CN"/>
                    </w:rPr>
                    <w:t>3#</w:t>
                  </w:r>
                </w:p>
              </w:tc>
              <w:tc>
                <w:tcPr>
                  <w:tcW w:w="6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0" w:type="dxa"/>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0~0.5m</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0.5~1.5m</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1.5~3.0m</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0~0.2m</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0~0.2m</w:t>
                  </w:r>
                </w:p>
              </w:tc>
              <w:tc>
                <w:tcPr>
                  <w:tcW w:w="6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镉</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0.14</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0.17</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0.25</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0.16</w:t>
                  </w:r>
                </w:p>
              </w:tc>
              <w:tc>
                <w:tcPr>
                  <w:tcW w:w="91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0.8</w:t>
                  </w:r>
                </w:p>
              </w:tc>
              <w:tc>
                <w:tcPr>
                  <w:tcW w:w="67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65</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4.46</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4.32</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6.14</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5.21</w:t>
                  </w:r>
                </w:p>
              </w:tc>
              <w:tc>
                <w:tcPr>
                  <w:tcW w:w="91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40.1</w:t>
                  </w:r>
                </w:p>
              </w:tc>
              <w:tc>
                <w:tcPr>
                  <w:tcW w:w="67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60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0.703</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1.09</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1.10</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0.217</w:t>
                  </w:r>
                </w:p>
              </w:tc>
              <w:tc>
                <w:tcPr>
                  <w:tcW w:w="91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0.0536</w:t>
                  </w:r>
                </w:p>
              </w:tc>
              <w:tc>
                <w:tcPr>
                  <w:tcW w:w="67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38</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rPr>
                    <w:t>六价铬</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3.5</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3.5</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3.5</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3.4</w:t>
                  </w:r>
                </w:p>
              </w:tc>
              <w:tc>
                <w:tcPr>
                  <w:tcW w:w="91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5.7</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23</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23</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32</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36</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22.6</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铜</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16</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17</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18</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29</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18000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镍</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75</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53</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65</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60</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i w:val="0"/>
                      <w:iCs w:val="0"/>
                      <w:color w:val="auto"/>
                      <w:kern w:val="0"/>
                      <w:sz w:val="21"/>
                      <w:szCs w:val="21"/>
                      <w:highlight w:val="none"/>
                      <w:lang w:val="en-US" w:eastAsia="zh-CN" w:bidi="ar-SA"/>
                    </w:rPr>
                  </w:pPr>
                  <w:r>
                    <w:rPr>
                      <w:rFonts w:hint="default" w:ascii="Times New Roman" w:hAnsi="Times New Roman" w:cs="Times New Roman"/>
                      <w:i w:val="0"/>
                      <w:iCs w:val="0"/>
                      <w:color w:val="auto"/>
                      <w:sz w:val="21"/>
                      <w:szCs w:val="21"/>
                      <w:highlight w:val="none"/>
                      <w:lang w:val="en-US" w:eastAsia="zh-CN"/>
                    </w:rPr>
                    <w:t>pH</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7"/>
                      <w:sz w:val="21"/>
                      <w:szCs w:val="21"/>
                      <w:highlight w:val="none"/>
                      <w:vertAlign w:val="baseline"/>
                      <w:lang w:val="en-US" w:eastAsia="zh-CN"/>
                    </w:rPr>
                    <w:t>无量纲</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 w:val="0"/>
                      <w:iC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spacing w:val="0"/>
                      <w:kern w:val="2"/>
                      <w:sz w:val="21"/>
                      <w:szCs w:val="21"/>
                      <w:highlight w:val="none"/>
                      <w:lang w:val="en-US" w:eastAsia="zh-CN" w:bidi="ar-SA"/>
                    </w:rPr>
                    <w:t>7.42</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7.47</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kern w:val="2"/>
                      <w:sz w:val="21"/>
                      <w:szCs w:val="21"/>
                      <w:highlight w:val="none"/>
                      <w:vertAlign w:val="baseline"/>
                      <w:lang w:val="en-US" w:eastAsia="zh-CN" w:bidi="ar-SA"/>
                    </w:rPr>
                    <w:t>7.45</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 w:val="0"/>
                      <w:iC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spacing w:val="0"/>
                      <w:kern w:val="2"/>
                      <w:sz w:val="21"/>
                      <w:szCs w:val="21"/>
                      <w:highlight w:val="none"/>
                      <w:lang w:val="en-US" w:eastAsia="zh-CN" w:bidi="ar-SA"/>
                    </w:rPr>
                    <w:t>7.81</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7.34</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石油烃（C</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40</w:t>
                  </w:r>
                  <w:r>
                    <w:rPr>
                      <w:rFonts w:hint="default" w:ascii="Times New Roman" w:hAnsi="Times New Roman" w:cs="Times New Roman"/>
                      <w:color w:val="auto"/>
                      <w:sz w:val="21"/>
                      <w:szCs w:val="21"/>
                      <w:highlight w:val="none"/>
                    </w:rPr>
                    <w:t>）</w:t>
                  </w:r>
                </w:p>
              </w:tc>
              <w:tc>
                <w:tcPr>
                  <w:tcW w:w="810"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11"/>
                      <w:sz w:val="21"/>
                      <w:szCs w:val="21"/>
                      <w:highlight w:val="none"/>
                      <w:vertAlign w:val="baseline"/>
                      <w:lang w:val="en-US" w:eastAsia="zh-CN"/>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46</w:t>
                  </w:r>
                </w:p>
              </w:tc>
              <w:tc>
                <w:tcPr>
                  <w:tcW w:w="990"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50</w:t>
                  </w:r>
                </w:p>
              </w:tc>
              <w:tc>
                <w:tcPr>
                  <w:tcW w:w="96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7"/>
                      <w:kern w:val="2"/>
                      <w:sz w:val="21"/>
                      <w:szCs w:val="21"/>
                      <w:highlight w:val="none"/>
                      <w:vertAlign w:val="baseline"/>
                      <w:lang w:val="en-US" w:eastAsia="zh-CN" w:bidi="ar-SA"/>
                    </w:rPr>
                  </w:pPr>
                  <w:r>
                    <w:rPr>
                      <w:rFonts w:hint="default" w:ascii="Times New Roman" w:hAnsi="Times New Roman" w:eastAsia="宋体" w:cs="Times New Roman"/>
                      <w:color w:val="auto"/>
                      <w:spacing w:val="-17"/>
                      <w:kern w:val="2"/>
                      <w:sz w:val="21"/>
                      <w:szCs w:val="21"/>
                      <w:highlight w:val="none"/>
                      <w:vertAlign w:val="baseline"/>
                      <w:lang w:val="en-US" w:eastAsia="zh-CN" w:bidi="ar-SA"/>
                    </w:rPr>
                    <w:t>51</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55</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7"/>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苯胺</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氯</w:t>
                  </w:r>
                  <w:r>
                    <w:rPr>
                      <w:rFonts w:hint="default" w:ascii="Times New Roman" w:hAnsi="Times New Roman" w:eastAsia="宋体" w:cs="Times New Roman"/>
                      <w:color w:val="auto"/>
                      <w:spacing w:val="0"/>
                      <w:sz w:val="21"/>
                      <w:szCs w:val="21"/>
                      <w:highlight w:val="none"/>
                      <w:lang w:val="en-US" w:eastAsia="zh-CN"/>
                    </w:rPr>
                    <w:t>苯</w:t>
                  </w:r>
                  <w:r>
                    <w:rPr>
                      <w:rFonts w:hint="default" w:ascii="Times New Roman" w:hAnsi="Times New Roman" w:eastAsia="宋体" w:cs="Times New Roman"/>
                      <w:color w:val="auto"/>
                      <w:spacing w:val="0"/>
                      <w:sz w:val="21"/>
                      <w:szCs w:val="21"/>
                      <w:highlight w:val="none"/>
                    </w:rPr>
                    <w:t>酚</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2256</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硝基苯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萘</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苯并</w:t>
                  </w:r>
                  <w:r>
                    <w:rPr>
                      <w:rFonts w:hint="default" w:ascii="Times New Roman" w:hAnsi="Times New Roman" w:eastAsia="宋体" w:cs="Times New Roman"/>
                      <w:color w:val="auto"/>
                      <w:spacing w:val="0"/>
                      <w:sz w:val="21"/>
                      <w:szCs w:val="21"/>
                      <w:highlight w:val="none"/>
                      <w:lang w:val="en-US" w:eastAsia="zh-CN"/>
                    </w:rPr>
                    <w:t>（a）</w:t>
                  </w:r>
                  <w:r>
                    <w:rPr>
                      <w:rFonts w:hint="default" w:ascii="Times New Roman" w:hAnsi="Times New Roman" w:eastAsia="宋体" w:cs="Times New Roman"/>
                      <w:color w:val="auto"/>
                      <w:spacing w:val="0"/>
                      <w:sz w:val="21"/>
                      <w:szCs w:val="21"/>
                      <w:highlight w:val="none"/>
                    </w:rPr>
                    <w:t>蒽</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䓛</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1293</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苯并</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b</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荧蒽</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苯并</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k</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荧蒽</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151</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苯并</w:t>
                  </w:r>
                  <w:r>
                    <w:rPr>
                      <w:rFonts w:hint="default" w:ascii="Times New Roman" w:hAnsi="Times New Roman" w:eastAsia="宋体" w:cs="Times New Roman"/>
                      <w:color w:val="auto"/>
                      <w:spacing w:val="0"/>
                      <w:sz w:val="21"/>
                      <w:szCs w:val="21"/>
                      <w:highlight w:val="none"/>
                      <w:lang w:val="en-US" w:eastAsia="zh-CN"/>
                    </w:rPr>
                    <w:t>（a）</w:t>
                  </w:r>
                  <w:r>
                    <w:rPr>
                      <w:rFonts w:hint="default" w:ascii="Times New Roman" w:hAnsi="Times New Roman" w:eastAsia="宋体" w:cs="Times New Roman"/>
                      <w:color w:val="auto"/>
                      <w:spacing w:val="0"/>
                      <w:sz w:val="21"/>
                      <w:szCs w:val="21"/>
                      <w:highlight w:val="none"/>
                    </w:rPr>
                    <w:t>芘</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茚并</w:t>
                  </w:r>
                  <w:r>
                    <w:rPr>
                      <w:rFonts w:hint="default"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rPr>
                    <w:t>1,2,3-cd</w:t>
                  </w:r>
                  <w:r>
                    <w:rPr>
                      <w:rFonts w:hint="default"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rPr>
                    <w:t>芘</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二苯并</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ah</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蒽</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mg/kg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氯甲烷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氯乙烯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1,1-二氯乙烯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二氯甲烷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616</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lang w:val="en-US" w:eastAsia="zh-CN"/>
                    </w:rPr>
                    <w:t>反式-1,2-二氯乙烯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lang w:val="en-US" w:eastAsia="zh-CN"/>
                    </w:rPr>
                    <w:t>1,1-二氯乙烷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lang w:val="en-US" w:eastAsia="zh-CN"/>
                    </w:rPr>
                    <w:t>顺式-1,2-二氯乙烯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596</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氯仿</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1,1,1-三氯乙烷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840</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四氯化碳</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1,2-二氯乙烷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三氯乙烯</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1,2-二氯丙烷</w:t>
                  </w:r>
                </w:p>
              </w:tc>
              <w:tc>
                <w:tcPr>
                  <w:tcW w:w="8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6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甲苯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1,1,2-三氯乙烷</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四氯乙烯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氯苯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1,1,1,2-四氯乙烷</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乙苯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间,对-二甲苯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邻-二甲苯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苯乙烯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1290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1,1,2,2-四氯乙烷</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6.8</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1,2,3-三氯丙烷</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1,4-二氯苯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439"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1,2-二氯苯</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vertAlign w:val="baseline"/>
                      <w:lang w:val="en-US" w:eastAsia="zh-CN"/>
                    </w:rPr>
                    <w:t>μg/kg</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ND</w:t>
                  </w:r>
                </w:p>
              </w:tc>
              <w:tc>
                <w:tcPr>
                  <w:tcW w:w="8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1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6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560</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default" w:ascii="Times New Roman" w:hAnsi="Times New Roman" w:cs="Times New Roman"/>
                      <w:color w:val="auto"/>
                      <w:spacing w:val="-11"/>
                      <w:kern w:val="2"/>
                      <w:sz w:val="21"/>
                      <w:szCs w:val="21"/>
                      <w:highlight w:val="none"/>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7970"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r>
                    <w:rPr>
                      <w:rFonts w:hint="default" w:ascii="Times New Roman" w:hAnsi="Times New Roman" w:eastAsia="宋体" w:cs="Times New Roman"/>
                      <w:color w:val="auto"/>
                      <w:spacing w:val="0"/>
                      <w:sz w:val="21"/>
                      <w:szCs w:val="21"/>
                      <w:highlight w:val="none"/>
                      <w:lang w:val="en-US" w:eastAsia="zh-CN"/>
                    </w:rPr>
                    <w:t>ND表示检测结果低于方法检出限或未检出。</w:t>
                  </w:r>
                </w:p>
              </w:tc>
            </w:tr>
          </w:tbl>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highlight w:val="none"/>
              </w:rPr>
              <w:t>由监测结果可知，</w:t>
            </w:r>
            <w:r>
              <w:rPr>
                <w:rFonts w:hint="default" w:ascii="Times New Roman" w:hAnsi="Times New Roman" w:cs="Times New Roman"/>
                <w:color w:val="auto"/>
                <w:kern w:val="0"/>
                <w:sz w:val="24"/>
                <w:highlight w:val="none"/>
                <w:lang w:eastAsia="zh-CN"/>
              </w:rPr>
              <w:t>项目土壤各点位</w:t>
            </w:r>
            <w:r>
              <w:rPr>
                <w:rFonts w:hint="default" w:ascii="Times New Roman" w:hAnsi="Times New Roman" w:cs="Times New Roman"/>
                <w:color w:val="auto"/>
                <w:kern w:val="0"/>
                <w:sz w:val="24"/>
                <w:highlight w:val="none"/>
              </w:rPr>
              <w:t>检测结果均满足《土壤环境质量 建设用地土壤污染风险管控标准（试行）》（GB 36600-2018）中第二类用地筛选值标准限值要求。</w:t>
            </w:r>
          </w:p>
          <w:p>
            <w:pPr>
              <w:adjustRightInd w:val="0"/>
              <w:snapToGrid w:val="0"/>
              <w:spacing w:line="360" w:lineRule="auto"/>
              <w:jc w:val="left"/>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六</w:t>
            </w:r>
            <w:r>
              <w:rPr>
                <w:rFonts w:hint="default" w:ascii="Times New Roman" w:hAnsi="Times New Roman" w:cs="Times New Roman"/>
                <w:b/>
                <w:bCs/>
                <w:color w:val="auto"/>
                <w:sz w:val="24"/>
              </w:rPr>
              <w:t>、生态环境</w:t>
            </w:r>
          </w:p>
          <w:p>
            <w:pPr>
              <w:adjustRightInd w:val="0"/>
              <w:snapToGrid w:val="0"/>
              <w:spacing w:line="360" w:lineRule="auto"/>
              <w:ind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highlight w:val="none"/>
              </w:rPr>
              <w:t>本项目所在地为</w:t>
            </w:r>
            <w:r>
              <w:rPr>
                <w:rFonts w:hint="default" w:ascii="Times New Roman" w:hAnsi="Times New Roman" w:cs="Times New Roman"/>
                <w:color w:val="auto"/>
                <w:sz w:val="24"/>
                <w:highlight w:val="none"/>
                <w:lang w:eastAsia="zh-CN"/>
              </w:rPr>
              <w:t>遂宁市蓬溪县上游工业园</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项目在现有厂房内扩建，项目所在区域人为活动频繁，</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周边</w:t>
            </w:r>
            <w:r>
              <w:rPr>
                <w:rFonts w:hint="default" w:ascii="Times New Roman" w:hAnsi="Times New Roman" w:cs="Times New Roman"/>
                <w:color w:val="auto"/>
                <w:sz w:val="24"/>
                <w:highlight w:val="none"/>
              </w:rPr>
              <w:t>为人工</w:t>
            </w:r>
            <w:r>
              <w:rPr>
                <w:rFonts w:hint="default" w:ascii="Times New Roman" w:hAnsi="Times New Roman" w:cs="Times New Roman"/>
                <w:color w:val="auto"/>
                <w:sz w:val="24"/>
                <w:highlight w:val="none"/>
                <w:lang w:eastAsia="zh-CN"/>
              </w:rPr>
              <w:t>绿地</w:t>
            </w:r>
            <w:r>
              <w:rPr>
                <w:rFonts w:hint="default" w:ascii="Times New Roman" w:hAnsi="Times New Roman"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800"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环境保护目标</w:t>
            </w:r>
          </w:p>
        </w:tc>
        <w:tc>
          <w:tcPr>
            <w:tcW w:w="8190" w:type="dxa"/>
            <w:noWrap w:val="0"/>
            <w:vAlign w:val="center"/>
          </w:tcPr>
          <w:p>
            <w:pPr>
              <w:adjustRightInd w:val="0"/>
              <w:snapToGrid w:val="0"/>
              <w:spacing w:before="120" w:beforeLines="50"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一、大气环境保护目标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eastAsia="zh-CN"/>
              </w:rPr>
              <w:t>大气环境保护目标</w:t>
            </w:r>
            <w:r>
              <w:rPr>
                <w:rFonts w:hint="default" w:ascii="Times New Roman" w:hAnsi="Times New Roman" w:cs="Times New Roman"/>
                <w:color w:val="auto"/>
                <w:sz w:val="24"/>
              </w:rPr>
              <w:t>满足《环境空气质量标准》（GB3095-2012）二级标准的要求。</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12</w:t>
            </w:r>
            <w:r>
              <w:rPr>
                <w:rFonts w:hint="default" w:ascii="Times New Roman" w:hAnsi="Times New Roman" w:cs="Times New Roman"/>
                <w:b/>
                <w:bCs/>
                <w:color w:val="auto"/>
                <w:szCs w:val="21"/>
              </w:rPr>
              <w:t xml:space="preserve">  项目大气环境保护目标</w:t>
            </w:r>
          </w:p>
          <w:tbl>
            <w:tblPr>
              <w:tblStyle w:val="39"/>
              <w:tblW w:w="79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6"/>
              <w:gridCol w:w="1050"/>
              <w:gridCol w:w="990"/>
              <w:gridCol w:w="915"/>
              <w:gridCol w:w="1065"/>
              <w:gridCol w:w="810"/>
              <w:gridCol w:w="800"/>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67" w:hRule="atLeast"/>
                <w:jc w:val="center"/>
              </w:trPr>
              <w:tc>
                <w:tcPr>
                  <w:tcW w:w="1336"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bidi="zh-CN"/>
                    </w:rPr>
                  </w:pPr>
                  <w:r>
                    <w:rPr>
                      <w:rFonts w:hint="default" w:ascii="Times New Roman" w:hAnsi="Times New Roman" w:eastAsia="宋体" w:cs="Times New Roman"/>
                      <w:b/>
                      <w:bCs/>
                      <w:color w:val="auto"/>
                      <w:kern w:val="0"/>
                      <w:sz w:val="21"/>
                      <w:szCs w:val="21"/>
                      <w:highlight w:val="none"/>
                      <w:lang w:bidi="zh-CN"/>
                    </w:rPr>
                    <w:t>名称</w:t>
                  </w:r>
                </w:p>
              </w:tc>
              <w:tc>
                <w:tcPr>
                  <w:tcW w:w="2040" w:type="dxa"/>
                  <w:gridSpan w:val="2"/>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r>
                    <w:rPr>
                      <w:rFonts w:hint="default" w:ascii="Times New Roman" w:hAnsi="Times New Roman" w:eastAsia="宋体" w:cs="Times New Roman"/>
                      <w:b/>
                      <w:bCs/>
                      <w:color w:val="auto"/>
                      <w:kern w:val="0"/>
                      <w:sz w:val="21"/>
                      <w:szCs w:val="21"/>
                      <w:highlight w:val="none"/>
                      <w:lang w:val="zh-CN" w:bidi="zh-CN"/>
                    </w:rPr>
                    <w:t>坐标</w:t>
                  </w:r>
                </w:p>
              </w:tc>
              <w:tc>
                <w:tcPr>
                  <w:tcW w:w="915"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en-US" w:bidi="zh-CN"/>
                    </w:rPr>
                  </w:pPr>
                  <w:r>
                    <w:rPr>
                      <w:rFonts w:hint="default" w:ascii="Times New Roman" w:hAnsi="Times New Roman" w:eastAsia="宋体" w:cs="Times New Roman"/>
                      <w:b/>
                      <w:bCs/>
                      <w:color w:val="auto"/>
                      <w:kern w:val="0"/>
                      <w:sz w:val="21"/>
                      <w:szCs w:val="21"/>
                      <w:highlight w:val="none"/>
                      <w:lang w:val="en-US" w:bidi="zh-CN"/>
                    </w:rPr>
                    <w:t>保护对象</w:t>
                  </w:r>
                </w:p>
              </w:tc>
              <w:tc>
                <w:tcPr>
                  <w:tcW w:w="1065"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r>
                    <w:rPr>
                      <w:rFonts w:hint="default" w:ascii="Times New Roman" w:hAnsi="Times New Roman" w:eastAsia="宋体" w:cs="Times New Roman"/>
                      <w:b/>
                      <w:bCs/>
                      <w:color w:val="auto"/>
                      <w:kern w:val="0"/>
                      <w:sz w:val="21"/>
                      <w:szCs w:val="21"/>
                      <w:highlight w:val="none"/>
                      <w:lang w:val="zh-CN" w:bidi="zh-CN"/>
                    </w:rPr>
                    <w:t>保护内容</w:t>
                  </w:r>
                </w:p>
              </w:tc>
              <w:tc>
                <w:tcPr>
                  <w:tcW w:w="810"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r>
                    <w:rPr>
                      <w:rFonts w:hint="default" w:ascii="Times New Roman" w:hAnsi="Times New Roman" w:eastAsia="宋体" w:cs="Times New Roman"/>
                      <w:b/>
                      <w:bCs/>
                      <w:color w:val="auto"/>
                      <w:kern w:val="0"/>
                      <w:sz w:val="21"/>
                      <w:szCs w:val="21"/>
                      <w:highlight w:val="none"/>
                      <w:lang w:val="zh-CN" w:bidi="zh-CN"/>
                    </w:rPr>
                    <w:t>环境功能区</w:t>
                  </w:r>
                </w:p>
              </w:tc>
              <w:tc>
                <w:tcPr>
                  <w:tcW w:w="800"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r>
                    <w:rPr>
                      <w:rFonts w:hint="default" w:ascii="Times New Roman" w:hAnsi="Times New Roman" w:eastAsia="宋体" w:cs="Times New Roman"/>
                      <w:b/>
                      <w:bCs/>
                      <w:color w:val="auto"/>
                      <w:kern w:val="0"/>
                      <w:sz w:val="21"/>
                      <w:szCs w:val="21"/>
                      <w:highlight w:val="none"/>
                      <w:lang w:val="zh-CN" w:bidi="zh-CN"/>
                    </w:rPr>
                    <w:t>相对厂址方位</w:t>
                  </w:r>
                </w:p>
              </w:tc>
              <w:tc>
                <w:tcPr>
                  <w:tcW w:w="1008"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bidi="zh-CN"/>
                    </w:rPr>
                  </w:pPr>
                  <w:r>
                    <w:rPr>
                      <w:rFonts w:hint="default" w:ascii="Times New Roman" w:hAnsi="Times New Roman" w:eastAsia="宋体" w:cs="Times New Roman"/>
                      <w:b/>
                      <w:bCs/>
                      <w:color w:val="auto"/>
                      <w:kern w:val="0"/>
                      <w:sz w:val="21"/>
                      <w:szCs w:val="21"/>
                      <w:highlight w:val="none"/>
                      <w:lang w:val="zh-CN" w:bidi="zh-CN"/>
                    </w:rPr>
                    <w:t>相对厂址距离</w:t>
                  </w:r>
                  <w:r>
                    <w:rPr>
                      <w:rFonts w:hint="default" w:ascii="Times New Roman" w:hAnsi="Times New Roman" w:eastAsia="宋体" w:cs="Times New Roman"/>
                      <w:b/>
                      <w:bCs/>
                      <w:color w:val="auto"/>
                      <w:kern w:val="0"/>
                      <w:sz w:val="21"/>
                      <w:szCs w:val="21"/>
                      <w:highlight w:val="none"/>
                      <w:lang w:bidi="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67" w:hRule="atLeast"/>
                <w:jc w:val="center"/>
              </w:trPr>
              <w:tc>
                <w:tcPr>
                  <w:tcW w:w="1336"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rPr>
                  </w:pPr>
                </w:p>
              </w:tc>
              <w:tc>
                <w:tcPr>
                  <w:tcW w:w="1050" w:type="dxa"/>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bidi="zh-CN"/>
                    </w:rPr>
                    <w:t>X</w:t>
                  </w:r>
                </w:p>
              </w:tc>
              <w:tc>
                <w:tcPr>
                  <w:tcW w:w="990" w:type="dxa"/>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bidi="zh-CN"/>
                    </w:rPr>
                  </w:pPr>
                  <w:r>
                    <w:rPr>
                      <w:rFonts w:hint="default" w:ascii="Times New Roman" w:hAnsi="Times New Roman" w:eastAsia="宋体" w:cs="Times New Roman"/>
                      <w:b/>
                      <w:bCs/>
                      <w:color w:val="auto"/>
                      <w:kern w:val="0"/>
                      <w:sz w:val="21"/>
                      <w:szCs w:val="21"/>
                      <w:highlight w:val="none"/>
                      <w:lang w:val="en-US" w:bidi="zh-CN"/>
                    </w:rPr>
                    <w:t>Y</w:t>
                  </w:r>
                </w:p>
              </w:tc>
              <w:tc>
                <w:tcPr>
                  <w:tcW w:w="915"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p>
              </w:tc>
              <w:tc>
                <w:tcPr>
                  <w:tcW w:w="1065"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p>
              </w:tc>
              <w:tc>
                <w:tcPr>
                  <w:tcW w:w="80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p>
              </w:tc>
              <w:tc>
                <w:tcPr>
                  <w:tcW w:w="1008"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b/>
                      <w:bCs/>
                      <w:color w:val="auto"/>
                      <w:kern w:val="0"/>
                      <w:sz w:val="21"/>
                      <w:szCs w:val="21"/>
                      <w:highlight w:val="none"/>
                      <w:lang w:val="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西华安置小区及华园社区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-351.34</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-540.29</w:t>
                  </w:r>
                </w:p>
              </w:tc>
              <w:tc>
                <w:tcPr>
                  <w:tcW w:w="91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6</w:t>
                  </w:r>
                  <w:r>
                    <w:rPr>
                      <w:rFonts w:hint="default" w:ascii="Times New Roman" w:hAnsi="Times New Roman" w:cs="Times New Roman"/>
                      <w:color w:val="auto"/>
                      <w:sz w:val="21"/>
                      <w:szCs w:val="21"/>
                      <w:highlight w:val="none"/>
                      <w:lang w:bidi="zh-CN"/>
                    </w:rPr>
                    <w:t>00人</w:t>
                  </w:r>
                </w:p>
              </w:tc>
              <w:tc>
                <w:tcPr>
                  <w:tcW w:w="810" w:type="dxa"/>
                  <w:vMerge w:val="restart"/>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r>
                    <w:rPr>
                      <w:rFonts w:hint="default" w:ascii="Times New Roman" w:hAnsi="Times New Roman" w:eastAsia="宋体" w:cs="Times New Roman"/>
                      <w:color w:val="auto"/>
                      <w:kern w:val="0"/>
                      <w:sz w:val="21"/>
                      <w:szCs w:val="21"/>
                      <w:highlight w:val="none"/>
                      <w:lang w:val="zh-CN" w:bidi="zh-CN"/>
                    </w:rPr>
                    <w:t>《环境空气质量标准》（GB3095-2012）二类功能区</w:t>
                  </w:r>
                </w:p>
              </w:tc>
              <w:tc>
                <w:tcPr>
                  <w:tcW w:w="80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西南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梨园社区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947.71</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-317.6</w:t>
                  </w:r>
                </w:p>
              </w:tc>
              <w:tc>
                <w:tcPr>
                  <w:tcW w:w="91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200</w:t>
                  </w:r>
                  <w:r>
                    <w:rPr>
                      <w:rFonts w:hint="default" w:ascii="Times New Roman" w:hAnsi="Times New Roman" w:cs="Times New Roman"/>
                      <w:color w:val="auto"/>
                      <w:sz w:val="21"/>
                      <w:szCs w:val="21"/>
                      <w:highlight w:val="none"/>
                      <w:lang w:bidi="zh-CN"/>
                    </w:rPr>
                    <w:t>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东</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蓬溪县人民医院</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1530.95</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217.93</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医院</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2</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东</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9"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梨园社区三期</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1403.7</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-784.19</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40</w:t>
                  </w:r>
                  <w:r>
                    <w:rPr>
                      <w:rFonts w:hint="default" w:ascii="Times New Roman" w:hAnsi="Times New Roman" w:cs="Times New Roman"/>
                      <w:color w:val="auto"/>
                      <w:sz w:val="21"/>
                      <w:szCs w:val="21"/>
                      <w:highlight w:val="none"/>
                      <w:lang w:bidi="zh-CN"/>
                    </w:rPr>
                    <w:t>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学苑小区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1419.61</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848.9</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5</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福兴园小区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1350.68</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-1155.35</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6</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蓬溪中学</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899.99</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976.15</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学校</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7</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新都会小区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1181.01</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1114.01</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900人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翰林别院</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1727.14</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1057.45</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800人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城市春天</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1575.85</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1277.84</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600人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弘扬新城</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1097.37</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1511.76</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1500</w:t>
                  </w:r>
                  <w:r>
                    <w:rPr>
                      <w:rFonts w:hint="default" w:ascii="Times New Roman" w:hAnsi="Times New Roman" w:cs="Times New Roman"/>
                      <w:color w:val="auto"/>
                      <w:sz w:val="21"/>
                      <w:szCs w:val="21"/>
                      <w:highlight w:val="none"/>
                      <w:lang w:bidi="zh-CN"/>
                    </w:rPr>
                    <w:t>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盛世晶典</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1451.8</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1572.01</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2000</w:t>
                  </w:r>
                  <w:r>
                    <w:rPr>
                      <w:rFonts w:hint="default" w:ascii="Times New Roman" w:hAnsi="Times New Roman" w:cs="Times New Roman"/>
                      <w:color w:val="auto"/>
                      <w:sz w:val="21"/>
                      <w:szCs w:val="21"/>
                      <w:highlight w:val="none"/>
                      <w:lang w:bidi="zh-CN"/>
                    </w:rPr>
                    <w:t>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蓬溪县政府</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1621.92</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1678.34</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机关单位</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30</w:t>
                  </w:r>
                  <w:r>
                    <w:rPr>
                      <w:rFonts w:hint="default" w:ascii="Times New Roman" w:hAnsi="Times New Roman" w:cs="Times New Roman"/>
                      <w:color w:val="auto"/>
                      <w:sz w:val="21"/>
                      <w:szCs w:val="21"/>
                      <w:highlight w:val="none"/>
                      <w:lang w:bidi="zh-CN"/>
                    </w:rPr>
                    <w:t>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香榭公馆</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2079.13</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1451.5</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1000</w:t>
                  </w:r>
                  <w:r>
                    <w:rPr>
                      <w:rFonts w:hint="default" w:ascii="Times New Roman" w:hAnsi="Times New Roman" w:cs="Times New Roman"/>
                      <w:color w:val="auto"/>
                      <w:sz w:val="21"/>
                      <w:szCs w:val="21"/>
                      <w:highlight w:val="none"/>
                      <w:lang w:bidi="zh-CN"/>
                    </w:rPr>
                    <w:t>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富安小区</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1356.1</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1830.74</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1500</w:t>
                  </w:r>
                  <w:r>
                    <w:rPr>
                      <w:rFonts w:hint="default" w:ascii="Times New Roman" w:hAnsi="Times New Roman" w:cs="Times New Roman"/>
                      <w:color w:val="auto"/>
                      <w:sz w:val="21"/>
                      <w:szCs w:val="21"/>
                      <w:highlight w:val="none"/>
                      <w:lang w:bidi="zh-CN"/>
                    </w:rPr>
                    <w:t>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书香苑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1894.83</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1639.35</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9</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蓬溪县妇幼保健院</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1841.66</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1784.66</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保健院</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bidi="zh-CN"/>
                    </w:rPr>
                    <w:t>250人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颐和花园</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1551.04</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1905.17</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10</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赤城名都</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1728.25</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1997.32</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13</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zh-CN" w:eastAsia="zh-CN" w:bidi="ar-SA"/>
                    </w:rPr>
                  </w:pPr>
                  <w:r>
                    <w:rPr>
                      <w:rFonts w:hint="default" w:ascii="Times New Roman" w:hAnsi="Times New Roman" w:cs="Times New Roman"/>
                      <w:color w:val="auto"/>
                      <w:spacing w:val="0"/>
                      <w:kern w:val="21"/>
                      <w:sz w:val="21"/>
                      <w:szCs w:val="21"/>
                      <w:highlight w:val="none"/>
                      <w:lang w:val="en-US" w:eastAsia="zh-CN" w:bidi="ar-SA"/>
                    </w:rPr>
                    <w:t>东北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白猴村村民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1678.63</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2302.12</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8</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东南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2620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井田坝村村民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2199.63</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-1713.51</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z w:val="21"/>
                      <w:szCs w:val="21"/>
                      <w:highlight w:val="none"/>
                      <w:lang w:val="en-US" w:bidi="zh-CN"/>
                    </w:rPr>
                    <w:t>9</w:t>
                  </w:r>
                  <w:r>
                    <w:rPr>
                      <w:rFonts w:hint="default" w:ascii="Times New Roman" w:hAnsi="Times New Roman" w:cs="Times New Roman"/>
                      <w:color w:val="auto"/>
                      <w:sz w:val="21"/>
                      <w:szCs w:val="21"/>
                      <w:highlight w:val="none"/>
                      <w:lang w:bidi="zh-CN"/>
                    </w:rPr>
                    <w:t>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西南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天灯堰村村民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-1872.71</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-1745.41</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2000人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西</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下店子村村民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-1521.83</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345.7</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1500人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西北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3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五叉树散户村民</w:t>
                  </w:r>
                </w:p>
              </w:tc>
              <w:tc>
                <w:tcPr>
                  <w:tcW w:w="105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-1830.18</w:t>
                  </w:r>
                </w:p>
              </w:tc>
              <w:tc>
                <w:tcPr>
                  <w:tcW w:w="99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pacing w:val="0"/>
                      <w:kern w:val="21"/>
                      <w:sz w:val="21"/>
                      <w:szCs w:val="21"/>
                      <w:highlight w:val="none"/>
                      <w:lang w:val="zh-CN" w:eastAsia="zh-CN" w:bidi="ar-SA"/>
                    </w:rPr>
                  </w:pPr>
                  <w:r>
                    <w:rPr>
                      <w:rFonts w:hint="default" w:ascii="Times New Roman" w:hAnsi="Times New Roman" w:eastAsia="宋体" w:cs="Times New Roman"/>
                      <w:color w:val="auto"/>
                      <w:spacing w:val="0"/>
                      <w:kern w:val="21"/>
                      <w:sz w:val="21"/>
                      <w:szCs w:val="21"/>
                      <w:highlight w:val="none"/>
                      <w:lang w:val="en-US" w:eastAsia="zh-CN" w:bidi="ar-SA"/>
                    </w:rPr>
                    <w:t>1827.19</w:t>
                  </w:r>
                </w:p>
              </w:tc>
              <w:tc>
                <w:tcPr>
                  <w:tcW w:w="91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居民</w:t>
                  </w:r>
                </w:p>
              </w:tc>
              <w:tc>
                <w:tcPr>
                  <w:tcW w:w="1065" w:type="dxa"/>
                  <w:tcBorders>
                    <w:tl2br w:val="nil"/>
                    <w:tr2bl w:val="nil"/>
                  </w:tcBorders>
                  <w:noWrap w:val="0"/>
                  <w:vAlign w:val="center"/>
                </w:tcPr>
                <w:p>
                  <w:pPr>
                    <w:autoSpaceDE w:val="0"/>
                    <w:autoSpaceDN w:val="0"/>
                    <w:spacing w:line="240" w:lineRule="auto"/>
                    <w:jc w:val="center"/>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2000人</w:t>
                  </w:r>
                </w:p>
              </w:tc>
              <w:tc>
                <w:tcPr>
                  <w:tcW w:w="810" w:type="dxa"/>
                  <w:vMerge w:val="continue"/>
                  <w:tcBorders>
                    <w:tl2br w:val="nil"/>
                    <w:tr2bl w:val="nil"/>
                  </w:tcBorders>
                  <w:noWrap w:val="0"/>
                  <w:vAlign w:val="center"/>
                </w:tcPr>
                <w:p>
                  <w:pPr>
                    <w:autoSpaceDE w:val="0"/>
                    <w:autoSpaceDN w:val="0"/>
                    <w:spacing w:line="240" w:lineRule="auto"/>
                    <w:jc w:val="center"/>
                    <w:rPr>
                      <w:rFonts w:hint="default" w:ascii="Times New Roman" w:hAnsi="Times New Roman" w:eastAsia="宋体" w:cs="Times New Roman"/>
                      <w:color w:val="auto"/>
                      <w:kern w:val="0"/>
                      <w:sz w:val="21"/>
                      <w:szCs w:val="21"/>
                      <w:highlight w:val="none"/>
                      <w:lang w:val="zh-CN" w:bidi="zh-CN"/>
                    </w:rPr>
                  </w:pPr>
                </w:p>
              </w:tc>
              <w:tc>
                <w:tcPr>
                  <w:tcW w:w="800" w:type="dxa"/>
                  <w:tcBorders>
                    <w:tl2br w:val="nil"/>
                    <w:tr2bl w:val="nil"/>
                  </w:tcBorders>
                  <w:noWrap w:val="0"/>
                  <w:vAlign w:val="center"/>
                </w:tcPr>
                <w:p>
                  <w:pPr>
                    <w:adjustRightInd w:val="0"/>
                    <w:snapToGrid w:val="0"/>
                    <w:jc w:val="center"/>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北</w:t>
                  </w:r>
                </w:p>
              </w:tc>
              <w:tc>
                <w:tcPr>
                  <w:tcW w:w="100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974" w:type="dxa"/>
                  <w:gridSpan w:val="8"/>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注：厂区中心为原点</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二、声环境保护目标</w:t>
            </w:r>
          </w:p>
          <w:p>
            <w:pPr>
              <w:adjustRightInd w:val="0"/>
              <w:snapToGrid w:val="0"/>
              <w:spacing w:line="360" w:lineRule="auto"/>
              <w:ind w:firstLine="464"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本项目厂界外50m范围内均为园区引入企业、道路，无声环境保护目标。</w:t>
            </w:r>
          </w:p>
          <w:p>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三、地下水环境保护目标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本项目厂界外500m范围内无地下水集中式饮用水水源和热水、矿泉水、温泉等特殊地下水资源，无地下水环境保护目标。</w:t>
            </w:r>
          </w:p>
          <w:p>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四、生态环境保护目标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8"/>
              </w:rPr>
              <w:t>无生态环境保护目标。</w:t>
            </w:r>
          </w:p>
          <w:p>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五、地表水环境保护目标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地表水环境：保护目标为项目受纳水体</w:t>
            </w:r>
            <w:r>
              <w:rPr>
                <w:rFonts w:hint="eastAsia" w:cs="Times New Roman"/>
                <w:color w:val="auto"/>
                <w:sz w:val="24"/>
                <w:lang w:eastAsia="zh-CN"/>
              </w:rPr>
              <w:t>芝溪河</w:t>
            </w:r>
            <w:r>
              <w:rPr>
                <w:rFonts w:hint="default" w:ascii="Times New Roman" w:hAnsi="Times New Roman" w:cs="Times New Roman"/>
                <w:color w:val="auto"/>
                <w:sz w:val="24"/>
              </w:rPr>
              <w:t>，目标水质为《地表水环境质量标准》（GB3838-2002）中Ⅲ类水域标准。</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cs="Times New Roman"/>
                <w:b/>
                <w:color w:val="auto"/>
                <w:szCs w:val="21"/>
                <w:lang w:val="en-US" w:eastAsia="zh-CN"/>
              </w:rPr>
              <w:t>8</w:t>
            </w:r>
            <w:r>
              <w:rPr>
                <w:rFonts w:hint="default" w:ascii="Times New Roman" w:hAnsi="Times New Roman" w:cs="Times New Roman"/>
                <w:b/>
                <w:color w:val="auto"/>
                <w:szCs w:val="21"/>
              </w:rPr>
              <w:t xml:space="preserve">  项目地表水环境保护目标</w:t>
            </w:r>
          </w:p>
          <w:tbl>
            <w:tblPr>
              <w:tblStyle w:val="39"/>
              <w:tblW w:w="79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5"/>
              <w:gridCol w:w="1136"/>
              <w:gridCol w:w="785"/>
              <w:gridCol w:w="1476"/>
              <w:gridCol w:w="1046"/>
              <w:gridCol w:w="2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jc w:val="center"/>
              </w:trPr>
              <w:tc>
                <w:tcPr>
                  <w:tcW w:w="88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要素</w:t>
                  </w:r>
                </w:p>
              </w:tc>
              <w:tc>
                <w:tcPr>
                  <w:tcW w:w="1136"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敏感点名称</w:t>
                  </w:r>
                </w:p>
              </w:tc>
              <w:tc>
                <w:tcPr>
                  <w:tcW w:w="78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方向</w:t>
                  </w:r>
                </w:p>
              </w:tc>
              <w:tc>
                <w:tcPr>
                  <w:tcW w:w="1476"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距离</w:t>
                  </w:r>
                </w:p>
              </w:tc>
              <w:tc>
                <w:tcPr>
                  <w:tcW w:w="1046"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c>
                <w:tcPr>
                  <w:tcW w:w="2643"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88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136" w:type="dxa"/>
                  <w:noWrap w:val="0"/>
                  <w:vAlign w:val="center"/>
                </w:tcPr>
                <w:p>
                  <w:pPr>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芝溪河</w:t>
                  </w:r>
                </w:p>
              </w:tc>
              <w:tc>
                <w:tcPr>
                  <w:tcW w:w="785" w:type="dxa"/>
                  <w:noWrap w:val="0"/>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北侧</w:t>
                  </w:r>
                </w:p>
              </w:tc>
              <w:tc>
                <w:tcPr>
                  <w:tcW w:w="1476" w:type="dxa"/>
                  <w:noWrap w:val="0"/>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1.9</w:t>
                  </w:r>
                  <w:r>
                    <w:rPr>
                      <w:rFonts w:hint="default" w:ascii="Times New Roman" w:hAnsi="Times New Roman" w:cs="Times New Roman"/>
                      <w:color w:val="auto"/>
                      <w:szCs w:val="21"/>
                      <w:lang w:val="en-US" w:eastAsia="zh-CN"/>
                    </w:rPr>
                    <w:t>k</w:t>
                  </w:r>
                  <w:r>
                    <w:rPr>
                      <w:rFonts w:hint="default" w:ascii="Times New Roman" w:hAnsi="Times New Roman" w:cs="Times New Roman"/>
                      <w:color w:val="auto"/>
                      <w:szCs w:val="21"/>
                    </w:rPr>
                    <w:t>m</w:t>
                  </w:r>
                </w:p>
              </w:tc>
              <w:tc>
                <w:tcPr>
                  <w:tcW w:w="1046"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受纳水体</w:t>
                  </w:r>
                </w:p>
              </w:tc>
              <w:tc>
                <w:tcPr>
                  <w:tcW w:w="264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《地表水环境质量标准》（GB3838-2002）Ⅲ类标准</w:t>
                  </w:r>
                </w:p>
              </w:tc>
            </w:tr>
          </w:tbl>
          <w:p>
            <w:pPr>
              <w:adjustRightInd w:val="0"/>
              <w:snapToGrid w:val="0"/>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污染物排放控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制标准</w:t>
            </w:r>
          </w:p>
        </w:tc>
        <w:tc>
          <w:tcPr>
            <w:tcW w:w="8190"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一、大气污染物</w:t>
            </w:r>
          </w:p>
          <w:p>
            <w:pPr>
              <w:adjustRightInd w:val="0"/>
              <w:snapToGrid w:val="0"/>
              <w:spacing w:line="360" w:lineRule="auto"/>
              <w:ind w:firstLine="522"/>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施工期扬尘执行《四川省施工场地扬尘排放标准》（DB51/ 2682-2020）中不同施工阶段的标准限值。</w:t>
            </w:r>
          </w:p>
          <w:p>
            <w:pPr>
              <w:widowControl w:val="0"/>
              <w:numPr>
                <w:ilvl w:val="0"/>
                <w:numId w:val="0"/>
              </w:numPr>
              <w:tabs>
                <w:tab w:val="left" w:pos="6664"/>
              </w:tabs>
              <w:bidi w:val="0"/>
              <w:adjustRightInd w:val="0"/>
              <w:snapToGrid w:val="0"/>
              <w:spacing w:before="25" w:beforeLines="25" w:after="25" w:afterLines="25" w:line="240" w:lineRule="auto"/>
              <w:jc w:val="center"/>
              <w:textAlignment w:val="baseline"/>
              <w:rPr>
                <w:rFonts w:hint="default"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 xml:space="preserve">表3-9  </w:t>
            </w:r>
            <w:r>
              <w:rPr>
                <w:rFonts w:hint="default" w:ascii="Times New Roman" w:hAnsi="Times New Roman" w:eastAsia="宋体" w:cs="Times New Roman"/>
                <w:b/>
                <w:color w:val="auto"/>
                <w:kern w:val="0"/>
                <w:sz w:val="21"/>
                <w:szCs w:val="20"/>
                <w:lang w:val="en-US" w:eastAsia="zh-CN" w:bidi="ar-SA"/>
              </w:rPr>
              <w:t>施工期扬尘排放标准限值（单位：mg/m³）</w:t>
            </w:r>
          </w:p>
          <w:tbl>
            <w:tblPr>
              <w:tblStyle w:val="39"/>
              <w:tblW w:w="797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0"/>
              <w:gridCol w:w="1567"/>
              <w:gridCol w:w="1997"/>
              <w:gridCol w:w="1852"/>
              <w:gridCol w:w="15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980" w:type="dxa"/>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时期</w:t>
                  </w:r>
                </w:p>
              </w:tc>
              <w:tc>
                <w:tcPr>
                  <w:tcW w:w="1567" w:type="dxa"/>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1997" w:type="dxa"/>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施工阶段</w:t>
                  </w:r>
                </w:p>
              </w:tc>
              <w:tc>
                <w:tcPr>
                  <w:tcW w:w="1852" w:type="dxa"/>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监控点排放限值</w:t>
                  </w:r>
                </w:p>
              </w:tc>
              <w:tc>
                <w:tcPr>
                  <w:tcW w:w="1578" w:type="dxa"/>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53" w:hRule="atLeast"/>
                <w:jc w:val="center"/>
              </w:trPr>
              <w:tc>
                <w:tcPr>
                  <w:tcW w:w="980" w:type="dxa"/>
                  <w:vMerge w:val="restart"/>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施工期</w:t>
                  </w:r>
                </w:p>
              </w:tc>
              <w:tc>
                <w:tcPr>
                  <w:tcW w:w="1567" w:type="dxa"/>
                  <w:vMerge w:val="restart"/>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总悬浮颗粒物（TSP）</w:t>
                  </w:r>
                </w:p>
              </w:tc>
              <w:tc>
                <w:tcPr>
                  <w:tcW w:w="1997" w:type="dxa"/>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拆除工程、土方开挖、土方回填</w:t>
                  </w:r>
                </w:p>
              </w:tc>
              <w:tc>
                <w:tcPr>
                  <w:tcW w:w="1852" w:type="dxa"/>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0.6</w:t>
                  </w:r>
                </w:p>
              </w:tc>
              <w:tc>
                <w:tcPr>
                  <w:tcW w:w="1578" w:type="dxa"/>
                  <w:vMerge w:val="restart"/>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自监测起持续15min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jc w:val="center"/>
              </w:trPr>
              <w:tc>
                <w:tcPr>
                  <w:tcW w:w="980" w:type="dxa"/>
                  <w:vMerge w:val="continue"/>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p>
              </w:tc>
              <w:tc>
                <w:tcPr>
                  <w:tcW w:w="1567" w:type="dxa"/>
                  <w:vMerge w:val="continue"/>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p>
              </w:tc>
              <w:tc>
                <w:tcPr>
                  <w:tcW w:w="1997" w:type="dxa"/>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其他工程阶段</w:t>
                  </w:r>
                </w:p>
              </w:tc>
              <w:tc>
                <w:tcPr>
                  <w:tcW w:w="1852" w:type="dxa"/>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r>
                    <w:rPr>
                      <w:rFonts w:hint="default" w:ascii="Times New Roman" w:hAnsi="Times New Roman" w:eastAsia="宋体" w:cs="Times New Roman"/>
                      <w:bCs/>
                      <w:color w:val="auto"/>
                      <w:kern w:val="0"/>
                      <w:sz w:val="21"/>
                      <w:szCs w:val="32"/>
                      <w:lang w:val="en-US" w:eastAsia="zh-CN" w:bidi="ar-SA"/>
                    </w:rPr>
                    <w:t>0.25</w:t>
                  </w:r>
                </w:p>
              </w:tc>
              <w:tc>
                <w:tcPr>
                  <w:tcW w:w="1578" w:type="dxa"/>
                  <w:vMerge w:val="continue"/>
                  <w:tcBorders>
                    <w:tl2br w:val="nil"/>
                    <w:tr2bl w:val="nil"/>
                  </w:tcBorders>
                  <w:noWrap w:val="0"/>
                  <w:vAlign w:val="center"/>
                </w:tcPr>
                <w:p>
                  <w:pPr>
                    <w:widowControl/>
                    <w:spacing w:line="240" w:lineRule="exact"/>
                    <w:ind w:left="-53" w:leftChars="-25" w:right="-65" w:rightChars="-31"/>
                    <w:jc w:val="center"/>
                    <w:rPr>
                      <w:rFonts w:hint="default" w:ascii="Times New Roman" w:hAnsi="Times New Roman" w:eastAsia="宋体" w:cs="Times New Roman"/>
                      <w:bCs/>
                      <w:color w:val="auto"/>
                      <w:kern w:val="0"/>
                      <w:sz w:val="21"/>
                      <w:szCs w:val="32"/>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木料加工过程中会产生粉尘，执行《大气污染物综合排放标准》（GB16297-1996）表二中的2级标准。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拌胶、热压等</w:t>
            </w:r>
            <w:r>
              <w:rPr>
                <w:rFonts w:hint="default" w:ascii="Times New Roman" w:hAnsi="Times New Roman" w:eastAsia="宋体" w:cs="Times New Roman"/>
                <w:color w:val="auto"/>
                <w:sz w:val="24"/>
                <w:szCs w:val="24"/>
                <w:highlight w:val="none"/>
              </w:rPr>
              <w:t>生产过程中产生</w:t>
            </w:r>
            <w:r>
              <w:rPr>
                <w:rFonts w:hint="eastAsia"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挥发性有机废气、甲醛，执行《四川省固定污染源大气挥发性有机物排放标准》（DB51/2377-2017）表3其他行业标准、表4排放限值要求。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本项目热能中心为成型生物质锅炉，锅炉烟气全部通入干燥设备进行木料干燥，执行《大气污染物综合排放标准》（GB16297-1996）表二中的2级标准。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项目制胶工序废气引入燃气锅炉燃烧后排放。</w:t>
            </w:r>
            <w:r>
              <w:rPr>
                <w:rFonts w:hint="default" w:ascii="Times New Roman" w:hAnsi="Times New Roman" w:eastAsia="宋体" w:cs="Times New Roman"/>
                <w:color w:val="auto"/>
                <w:sz w:val="24"/>
                <w:szCs w:val="24"/>
                <w:highlight w:val="none"/>
                <w:lang w:val="en-US" w:eastAsia="zh-CN"/>
              </w:rPr>
              <w:t>经对比《合成树脂工业污染物排放标准》（GB31572-2015，含2024年修改单）、《四川省固定污染源大气挥发性有机物排放标准》（DB51/2377-2017）和《锅炉大气污染物排放标准》（GB 13271-2014），甲醛、VOCs排放执行《四川省固定污染源大气挥发性有机物排放标准》（DB51/2377-2017）表3和表4中标准要求，氨、氮氧化物排放执行《合成树脂工业污染物排放标准》（GB31572-2015，含2024年修改单）的管理规定。颗粒物、二氧化硫排放执行《锅炉大气污染物排放标准》（GB 13271-2014）特别排放限值。</w:t>
            </w:r>
          </w:p>
          <w:p>
            <w:pPr>
              <w:spacing w:line="360" w:lineRule="auto"/>
              <w:ind w:firstLine="480" w:firstLineChars="20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项目无组织废气颗粒物执行</w:t>
            </w:r>
            <w:r>
              <w:rPr>
                <w:rFonts w:hint="default" w:ascii="Times New Roman" w:hAnsi="Times New Roman" w:eastAsia="宋体" w:cs="Times New Roman"/>
                <w:color w:val="auto"/>
                <w:sz w:val="24"/>
                <w:szCs w:val="24"/>
                <w:highlight w:val="none"/>
              </w:rPr>
              <w:t>《大气污染物综合排放标准》（GB16297-1996）表二中的2级标准</w:t>
            </w:r>
            <w:r>
              <w:rPr>
                <w:rFonts w:hint="default" w:ascii="Times New Roman" w:hAnsi="Times New Roman" w:eastAsia="宋体" w:cs="Times New Roman"/>
                <w:color w:val="auto"/>
                <w:sz w:val="24"/>
                <w:szCs w:val="24"/>
                <w:highlight w:val="none"/>
                <w:lang w:eastAsia="zh-CN"/>
              </w:rPr>
              <w:t>，有</w:t>
            </w:r>
            <w:r>
              <w:rPr>
                <w:rFonts w:hint="default" w:ascii="Times New Roman" w:hAnsi="Times New Roman" w:eastAsia="宋体" w:cs="Times New Roman"/>
                <w:color w:val="auto"/>
                <w:sz w:val="24"/>
                <w:szCs w:val="24"/>
                <w:highlight w:val="none"/>
              </w:rPr>
              <w:t>机废气、甲醛</w:t>
            </w:r>
            <w:r>
              <w:rPr>
                <w:rFonts w:hint="default" w:ascii="Times New Roman" w:hAnsi="Times New Roman" w:eastAsia="宋体" w:cs="Times New Roman"/>
                <w:color w:val="auto"/>
                <w:sz w:val="24"/>
                <w:szCs w:val="24"/>
                <w:highlight w:val="none"/>
                <w:lang w:eastAsia="zh-CN"/>
              </w:rPr>
              <w:t>执行</w:t>
            </w:r>
            <w:r>
              <w:rPr>
                <w:rFonts w:hint="default" w:ascii="Times New Roman" w:hAnsi="Times New Roman" w:eastAsia="宋体" w:cs="Times New Roman"/>
                <w:color w:val="auto"/>
                <w:sz w:val="24"/>
                <w:szCs w:val="24"/>
                <w:highlight w:val="none"/>
              </w:rPr>
              <w:t>《四川省固定污染源大气挥发性有机物排放标准》（DB51/2377-2017）无组织监控限值要求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厂房外设置监控点无组织挥发性有机废气执行《挥发性有机物无组织排放控制标准》（GB37822-2019）中无组织排放限值要求。</w:t>
            </w:r>
          </w:p>
          <w:p>
            <w:pPr>
              <w:widowControl w:val="0"/>
              <w:numPr>
                <w:ilvl w:val="0"/>
                <w:numId w:val="0"/>
              </w:numPr>
              <w:tabs>
                <w:tab w:val="left" w:pos="6664"/>
              </w:tabs>
              <w:bidi w:val="0"/>
              <w:adjustRightInd w:val="0"/>
              <w:snapToGrid w:val="0"/>
              <w:spacing w:before="25" w:beforeLines="25" w:after="25" w:afterLines="25" w:line="240" w:lineRule="auto"/>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表3-10  </w:t>
            </w:r>
            <w:r>
              <w:rPr>
                <w:rFonts w:hint="default" w:ascii="Times New Roman" w:hAnsi="Times New Roman" w:eastAsia="宋体" w:cs="Times New Roman"/>
                <w:b/>
                <w:bCs/>
                <w:color w:val="auto"/>
                <w:kern w:val="0"/>
                <w:sz w:val="21"/>
                <w:szCs w:val="21"/>
                <w:lang w:val="en-US" w:eastAsia="zh-CN" w:bidi="ar-SA"/>
              </w:rPr>
              <w:t>项目废气排放标准   单位：mg/m</w:t>
            </w:r>
            <w:r>
              <w:rPr>
                <w:rFonts w:hint="default" w:ascii="Times New Roman" w:hAnsi="Times New Roman" w:eastAsia="宋体" w:cs="Times New Roman"/>
                <w:b/>
                <w:bCs/>
                <w:color w:val="auto"/>
                <w:kern w:val="0"/>
                <w:sz w:val="21"/>
                <w:szCs w:val="21"/>
                <w:vertAlign w:val="superscript"/>
                <w:lang w:val="en-US" w:eastAsia="zh-CN" w:bidi="ar-SA"/>
              </w:rPr>
              <w:t>3</w:t>
            </w:r>
          </w:p>
          <w:tbl>
            <w:tblPr>
              <w:tblStyle w:val="39"/>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14"/>
              <w:gridCol w:w="873"/>
              <w:gridCol w:w="981"/>
              <w:gridCol w:w="892"/>
              <w:gridCol w:w="1311"/>
              <w:gridCol w:w="991"/>
              <w:gridCol w:w="2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污染源</w:t>
                  </w:r>
                </w:p>
              </w:tc>
              <w:tc>
                <w:tcPr>
                  <w:tcW w:w="8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污染物</w:t>
                  </w:r>
                </w:p>
              </w:tc>
              <w:tc>
                <w:tcPr>
                  <w:tcW w:w="9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最高允许排放浓度（mg/m</w:t>
                  </w:r>
                  <w:r>
                    <w:rPr>
                      <w:rFonts w:hint="default" w:ascii="Times New Roman" w:hAnsi="Times New Roman" w:eastAsia="宋体" w:cs="Times New Roman"/>
                      <w:b/>
                      <w:bCs/>
                      <w:color w:val="auto"/>
                      <w:kern w:val="0"/>
                      <w:sz w:val="21"/>
                      <w:szCs w:val="21"/>
                      <w:vertAlign w:val="superscript"/>
                      <w:lang w:val="zh-CN" w:eastAsia="zh-CN" w:bidi="ar-SA"/>
                    </w:rPr>
                    <w:t>3</w:t>
                  </w:r>
                  <w:r>
                    <w:rPr>
                      <w:rFonts w:hint="default" w:ascii="Times New Roman" w:hAnsi="Times New Roman" w:eastAsia="宋体" w:cs="Times New Roman"/>
                      <w:b/>
                      <w:bCs/>
                      <w:color w:val="auto"/>
                      <w:kern w:val="0"/>
                      <w:sz w:val="21"/>
                      <w:szCs w:val="21"/>
                      <w:lang w:val="zh-CN" w:eastAsia="zh-CN" w:bidi="ar-SA"/>
                    </w:rPr>
                    <w:t>）</w:t>
                  </w:r>
                </w:p>
              </w:tc>
              <w:tc>
                <w:tcPr>
                  <w:tcW w:w="22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有组织</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无组织</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p>
              </w:tc>
              <w:tc>
                <w:tcPr>
                  <w:tcW w:w="8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p>
              </w:tc>
              <w:tc>
                <w:tcPr>
                  <w:tcW w:w="9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排气筒高度（m）</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最高允许排放速率（kg/h）</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eastAsia="宋体" w:cs="Times New Roman"/>
                      <w:b/>
                      <w:bCs/>
                      <w:color w:val="auto"/>
                      <w:kern w:val="0"/>
                      <w:sz w:val="21"/>
                      <w:szCs w:val="21"/>
                      <w:lang w:val="zh-CN" w:eastAsia="zh-CN" w:bidi="ar-SA"/>
                    </w:rPr>
                    <w:t>排放浓度（mg/m</w:t>
                  </w:r>
                  <w:r>
                    <w:rPr>
                      <w:rFonts w:hint="default" w:ascii="Times New Roman" w:hAnsi="Times New Roman" w:eastAsia="宋体" w:cs="Times New Roman"/>
                      <w:b/>
                      <w:bCs/>
                      <w:color w:val="auto"/>
                      <w:kern w:val="0"/>
                      <w:sz w:val="21"/>
                      <w:szCs w:val="21"/>
                      <w:vertAlign w:val="superscript"/>
                      <w:lang w:val="zh-CN" w:eastAsia="zh-CN" w:bidi="ar-SA"/>
                    </w:rPr>
                    <w:t>3</w:t>
                  </w:r>
                  <w:r>
                    <w:rPr>
                      <w:rFonts w:hint="default" w:ascii="Times New Roman" w:hAnsi="Times New Roman" w:eastAsia="宋体" w:cs="Times New Roman"/>
                      <w:b/>
                      <w:bCs/>
                      <w:color w:val="auto"/>
                      <w:kern w:val="0"/>
                      <w:sz w:val="21"/>
                      <w:szCs w:val="21"/>
                      <w:lang w:val="zh-CN" w:eastAsia="zh-CN" w:bidi="ar-SA"/>
                    </w:rPr>
                    <w:t>）</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1#排气筒</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颗粒物</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14.45</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subscript"/>
                      <w:lang w:val="zh-CN" w:eastAsia="zh-CN" w:bidi="ar-SA"/>
                    </w:rPr>
                  </w:pPr>
                  <w:r>
                    <w:rPr>
                      <w:rFonts w:hint="default" w:ascii="Times New Roman" w:hAnsi="Times New Roman" w:eastAsia="宋体" w:cs="Times New Roman"/>
                      <w:color w:val="auto"/>
                      <w:kern w:val="0"/>
                      <w:sz w:val="21"/>
                      <w:szCs w:val="21"/>
                      <w:lang w:val="zh-CN" w:eastAsia="zh-CN" w:bidi="ar-SA"/>
                    </w:rPr>
                    <w:t>SO</w:t>
                  </w:r>
                  <w:r>
                    <w:rPr>
                      <w:rFonts w:hint="default" w:ascii="Times New Roman" w:hAnsi="Times New Roman" w:eastAsia="宋体" w:cs="Times New Roman"/>
                      <w:color w:val="auto"/>
                      <w:kern w:val="0"/>
                      <w:sz w:val="21"/>
                      <w:szCs w:val="21"/>
                      <w:vertAlign w:val="subscript"/>
                      <w:lang w:val="zh-CN" w:eastAsia="zh-CN" w:bidi="ar-SA"/>
                    </w:rPr>
                    <w:t>2</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550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9.65</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0.40</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subscript"/>
                      <w:lang w:val="zh-CN" w:eastAsia="zh-CN" w:bidi="ar-SA"/>
                    </w:rPr>
                  </w:pPr>
                  <w:r>
                    <w:rPr>
                      <w:rFonts w:hint="default" w:ascii="Times New Roman" w:hAnsi="Times New Roman" w:eastAsia="宋体" w:cs="Times New Roman"/>
                      <w:color w:val="auto"/>
                      <w:kern w:val="0"/>
                      <w:sz w:val="21"/>
                      <w:szCs w:val="21"/>
                      <w:lang w:val="zh-CN" w:eastAsia="zh-CN" w:bidi="ar-SA"/>
                    </w:rPr>
                    <w:t>NO</w:t>
                  </w:r>
                  <w:r>
                    <w:rPr>
                      <w:rFonts w:hint="default" w:ascii="Times New Roman" w:hAnsi="Times New Roman" w:eastAsia="宋体" w:cs="Times New Roman"/>
                      <w:color w:val="auto"/>
                      <w:kern w:val="0"/>
                      <w:sz w:val="21"/>
                      <w:szCs w:val="21"/>
                      <w:vertAlign w:val="subscript"/>
                      <w:lang w:val="zh-CN" w:eastAsia="zh-CN" w:bidi="ar-SA"/>
                    </w:rPr>
                    <w:t>x</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240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2.85</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0.12</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汞及其化合物</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0.012</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0.0052</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0.0012</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VOCs</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60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13.4</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2.0</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四川省固定污染源大气挥发性有机物排放标准（DB51/2377-2017）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甲醛</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5</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0.65</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0.1</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2#、3#、4#、5#排气筒</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颗粒物</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120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3.5</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1.0</w:t>
                  </w:r>
                </w:p>
              </w:tc>
              <w:tc>
                <w:tcPr>
                  <w:tcW w:w="2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6#、7#排气筒</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甲醛</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zh-CN" w:eastAsia="zh-CN" w:bidi="ar-SA"/>
                    </w:rPr>
                    <w:t>5</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zh-CN" w:eastAsia="zh-CN" w:bidi="ar-SA"/>
                    </w:rPr>
                    <w:t>0.1</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四川省固定污染源大气挥发性有机物排放标准（DB51/2377-2017）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VOCs</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60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3.4</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2.0</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7#排气筒</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颗粒物</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锅炉大气污染物排放标准（GB 13271-2014）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subscript"/>
                      <w:lang w:val="zh-CN" w:eastAsia="zh-CN" w:bidi="ar-SA"/>
                    </w:rPr>
                  </w:pPr>
                  <w:r>
                    <w:rPr>
                      <w:rFonts w:hint="default" w:ascii="Times New Roman" w:hAnsi="Times New Roman" w:eastAsia="宋体" w:cs="Times New Roman"/>
                      <w:color w:val="auto"/>
                      <w:kern w:val="0"/>
                      <w:sz w:val="21"/>
                      <w:szCs w:val="21"/>
                      <w:lang w:val="zh-CN" w:eastAsia="zh-CN" w:bidi="ar-SA"/>
                    </w:rPr>
                    <w:t>SO</w:t>
                  </w:r>
                  <w:r>
                    <w:rPr>
                      <w:rFonts w:hint="default" w:ascii="Times New Roman" w:hAnsi="Times New Roman" w:eastAsia="宋体" w:cs="Times New Roman"/>
                      <w:color w:val="auto"/>
                      <w:kern w:val="0"/>
                      <w:sz w:val="21"/>
                      <w:szCs w:val="21"/>
                      <w:vertAlign w:val="subscript"/>
                      <w:lang w:val="zh-CN" w:eastAsia="zh-CN" w:bidi="ar-SA"/>
                    </w:rPr>
                    <w:t>2</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subscript"/>
                      <w:lang w:val="zh-CN" w:eastAsia="zh-CN" w:bidi="ar-SA"/>
                    </w:rPr>
                  </w:pPr>
                  <w:r>
                    <w:rPr>
                      <w:rFonts w:hint="default" w:ascii="Times New Roman" w:hAnsi="Times New Roman" w:eastAsia="宋体" w:cs="Times New Roman"/>
                      <w:color w:val="auto"/>
                      <w:kern w:val="0"/>
                      <w:sz w:val="21"/>
                      <w:szCs w:val="21"/>
                      <w:lang w:val="zh-CN" w:eastAsia="zh-CN" w:bidi="ar-SA"/>
                    </w:rPr>
                    <w:t>NO</w:t>
                  </w:r>
                  <w:r>
                    <w:rPr>
                      <w:rFonts w:hint="default" w:ascii="Times New Roman" w:hAnsi="Times New Roman" w:eastAsia="宋体" w:cs="Times New Roman"/>
                      <w:color w:val="auto"/>
                      <w:kern w:val="0"/>
                      <w:sz w:val="21"/>
                      <w:szCs w:val="21"/>
                      <w:vertAlign w:val="subscript"/>
                      <w:lang w:val="zh-CN" w:eastAsia="zh-CN" w:bidi="ar-SA"/>
                    </w:rPr>
                    <w:t>x</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1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氨</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8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单位产品非甲烷总烃排放量</w:t>
                  </w:r>
                  <w:r>
                    <w:rPr>
                      <w:rFonts w:hint="default" w:ascii="Times New Roman" w:hAnsi="Times New Roman" w:eastAsia="宋体" w:cs="Times New Roman"/>
                      <w:color w:val="auto"/>
                      <w:kern w:val="0"/>
                      <w:sz w:val="21"/>
                      <w:szCs w:val="21"/>
                      <w:lang w:val="en-US" w:eastAsia="zh-CN" w:bidi="ar-SA"/>
                    </w:rPr>
                    <w:t>（kg/t）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13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9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1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r>
          </w:tbl>
          <w:p>
            <w:pPr>
              <w:widowControl w:val="0"/>
              <w:numPr>
                <w:ilvl w:val="0"/>
                <w:numId w:val="0"/>
              </w:numPr>
              <w:tabs>
                <w:tab w:val="left" w:pos="6664"/>
              </w:tabs>
              <w:bidi w:val="0"/>
              <w:adjustRightInd w:val="0"/>
              <w:snapToGrid w:val="0"/>
              <w:spacing w:before="25" w:beforeLines="25" w:after="25" w:afterLines="25" w:line="240" w:lineRule="auto"/>
              <w:jc w:val="center"/>
              <w:textAlignment w:val="baseline"/>
              <w:rPr>
                <w:rFonts w:hint="default" w:ascii="Times New Roman" w:hAnsi="Times New Roman" w:eastAsia="宋体" w:cs="Times New Roman"/>
                <w:b/>
                <w:color w:val="auto"/>
                <w:kern w:val="0"/>
                <w:sz w:val="21"/>
                <w:szCs w:val="20"/>
                <w:lang w:val="en-US" w:eastAsia="zh-CN" w:bidi="ar-SA"/>
              </w:rPr>
            </w:pPr>
            <w:r>
              <w:rPr>
                <w:rFonts w:hint="eastAsia" w:ascii="Times New Roman" w:hAnsi="Times New Roman" w:eastAsia="宋体" w:cs="Times New Roman"/>
                <w:b/>
                <w:color w:val="auto"/>
                <w:kern w:val="0"/>
                <w:sz w:val="21"/>
                <w:szCs w:val="20"/>
                <w:lang w:val="en-US" w:eastAsia="zh-CN" w:bidi="ar-SA"/>
              </w:rPr>
              <w:t xml:space="preserve">表3-11  </w:t>
            </w:r>
            <w:r>
              <w:rPr>
                <w:rFonts w:hint="default" w:ascii="Times New Roman" w:hAnsi="Times New Roman" w:eastAsia="宋体" w:cs="Times New Roman"/>
                <w:b/>
                <w:color w:val="auto"/>
                <w:kern w:val="0"/>
                <w:sz w:val="21"/>
                <w:szCs w:val="20"/>
                <w:lang w:val="en-US" w:eastAsia="zh-CN" w:bidi="ar-SA"/>
              </w:rPr>
              <w:t>厂区内挥发性有机物无组织排放限值</w:t>
            </w:r>
          </w:p>
          <w:tbl>
            <w:tblPr>
              <w:tblStyle w:val="39"/>
              <w:tblW w:w="796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302"/>
              <w:gridCol w:w="2383"/>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eastAsia="宋体" w:cs="Times New Roman"/>
                      <w:b/>
                      <w:bCs/>
                      <w:color w:val="auto"/>
                      <w:kern w:val="0"/>
                      <w:sz w:val="21"/>
                      <w:szCs w:val="20"/>
                      <w:lang w:val="zh-CN" w:eastAsia="zh-CN" w:bidi="ar-SA"/>
                    </w:rPr>
                    <w:t>污染物</w:t>
                  </w:r>
                </w:p>
              </w:tc>
              <w:tc>
                <w:tcPr>
                  <w:tcW w:w="2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hanging="198" w:hangingChars="94"/>
                    <w:jc w:val="center"/>
                    <w:textAlignment w:val="auto"/>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eastAsia="宋体" w:cs="Times New Roman"/>
                      <w:b/>
                      <w:bCs/>
                      <w:color w:val="auto"/>
                      <w:kern w:val="0"/>
                      <w:sz w:val="21"/>
                      <w:szCs w:val="20"/>
                      <w:lang w:val="zh-CN" w:eastAsia="zh-CN" w:bidi="ar-SA"/>
                    </w:rPr>
                    <w:t>最高允许排放浓度（mg/m</w:t>
                  </w:r>
                  <w:r>
                    <w:rPr>
                      <w:rFonts w:hint="default" w:ascii="Times New Roman" w:hAnsi="Times New Roman" w:eastAsia="宋体" w:cs="Times New Roman"/>
                      <w:b/>
                      <w:bCs/>
                      <w:color w:val="auto"/>
                      <w:kern w:val="0"/>
                      <w:sz w:val="21"/>
                      <w:szCs w:val="20"/>
                      <w:vertAlign w:val="superscript"/>
                      <w:lang w:val="zh-CN" w:eastAsia="zh-CN" w:bidi="ar-SA"/>
                    </w:rPr>
                    <w:t>3</w:t>
                  </w:r>
                  <w:r>
                    <w:rPr>
                      <w:rFonts w:hint="default" w:ascii="Times New Roman" w:hAnsi="Times New Roman" w:eastAsia="宋体" w:cs="Times New Roman"/>
                      <w:b/>
                      <w:bCs/>
                      <w:color w:val="auto"/>
                      <w:kern w:val="0"/>
                      <w:sz w:val="21"/>
                      <w:szCs w:val="20"/>
                      <w:lang w:val="zh-CN" w:eastAsia="zh-CN" w:bidi="ar-SA"/>
                    </w:rPr>
                    <w:t>）</w:t>
                  </w:r>
                </w:p>
              </w:tc>
              <w:tc>
                <w:tcPr>
                  <w:tcW w:w="2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eastAsia="宋体" w:cs="Times New Roman"/>
                      <w:b/>
                      <w:bCs/>
                      <w:color w:val="auto"/>
                      <w:kern w:val="0"/>
                      <w:sz w:val="21"/>
                      <w:szCs w:val="20"/>
                      <w:lang w:val="zh-CN" w:eastAsia="zh-CN" w:bidi="ar-SA"/>
                    </w:rPr>
                    <w:t>限值含义</w:t>
                  </w:r>
                </w:p>
              </w:tc>
              <w:tc>
                <w:tcPr>
                  <w:tcW w:w="2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hanging="198" w:hangingChars="94"/>
                    <w:jc w:val="center"/>
                    <w:textAlignment w:val="auto"/>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eastAsia="宋体" w:cs="Times New Roman"/>
                      <w:b/>
                      <w:bCs/>
                      <w:color w:val="auto"/>
                      <w:kern w:val="0"/>
                      <w:sz w:val="21"/>
                      <w:szCs w:val="20"/>
                      <w:lang w:val="zh-CN" w:eastAsia="zh-CN" w:bidi="ar-SA"/>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eastAsia="宋体" w:cs="Times New Roman"/>
                      <w:color w:val="auto"/>
                      <w:kern w:val="0"/>
                      <w:sz w:val="21"/>
                      <w:szCs w:val="20"/>
                      <w:lang w:val="zh-CN" w:eastAsia="zh-CN" w:bidi="ar-SA"/>
                    </w:rPr>
                    <w:t>NMHC</w:t>
                  </w:r>
                </w:p>
              </w:tc>
              <w:tc>
                <w:tcPr>
                  <w:tcW w:w="23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eastAsia="宋体" w:cs="Times New Roman"/>
                      <w:color w:val="auto"/>
                      <w:kern w:val="0"/>
                      <w:sz w:val="21"/>
                      <w:szCs w:val="20"/>
                      <w:lang w:val="zh-CN" w:eastAsia="zh-CN" w:bidi="ar-SA"/>
                    </w:rPr>
                    <w:t>6（特别排放限值）</w:t>
                  </w:r>
                </w:p>
              </w:tc>
              <w:tc>
                <w:tcPr>
                  <w:tcW w:w="2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eastAsia="宋体" w:cs="Times New Roman"/>
                      <w:color w:val="auto"/>
                      <w:kern w:val="0"/>
                      <w:sz w:val="21"/>
                      <w:szCs w:val="20"/>
                      <w:lang w:val="zh-CN" w:eastAsia="zh-CN" w:bidi="ar-SA"/>
                    </w:rPr>
                    <w:t>监控点处1h平均浓度值</w:t>
                  </w:r>
                </w:p>
              </w:tc>
              <w:tc>
                <w:tcPr>
                  <w:tcW w:w="2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eastAsia="宋体" w:cs="Times New Roman"/>
                      <w:color w:val="auto"/>
                      <w:kern w:val="0"/>
                      <w:sz w:val="21"/>
                      <w:szCs w:val="20"/>
                      <w:lang w:val="zh-CN" w:eastAsia="zh-CN" w:bidi="ar-SA"/>
                    </w:rPr>
                    <w:t>在厂房外设置监控点</w:t>
                  </w:r>
                </w:p>
              </w:tc>
            </w:tr>
          </w:tbl>
          <w:p>
            <w:pPr>
              <w:spacing w:before="120" w:beforeLines="50" w:line="360" w:lineRule="auto"/>
              <w:rPr>
                <w:rFonts w:hint="default" w:ascii="Times New Roman" w:hAnsi="Times New Roman" w:cs="Times New Roman"/>
                <w:b/>
                <w:bCs/>
                <w:color w:val="auto"/>
              </w:rPr>
            </w:pPr>
            <w:r>
              <w:rPr>
                <w:rFonts w:hint="default" w:ascii="Times New Roman" w:hAnsi="Times New Roman" w:cs="Times New Roman"/>
                <w:b/>
                <w:bCs/>
                <w:color w:val="auto"/>
              </w:rPr>
              <w:t>二、废水污染物</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废水进入园区污水管网执行《污水综合排放标准》（GB8978-1996）中的三级排放标准，氨氮、TP</w:t>
            </w:r>
            <w:r>
              <w:rPr>
                <w:rFonts w:hint="eastAsia" w:cs="Times New Roman"/>
                <w:color w:val="auto"/>
                <w:sz w:val="24"/>
                <w:lang w:eastAsia="zh-CN"/>
              </w:rPr>
              <w:t>参照</w:t>
            </w:r>
            <w:r>
              <w:rPr>
                <w:rFonts w:hint="default" w:ascii="Times New Roman" w:hAnsi="Times New Roman" w:cs="Times New Roman"/>
                <w:color w:val="auto"/>
                <w:sz w:val="24"/>
              </w:rPr>
              <w:t>执行《污水排入城镇下水道水质标准》（GB/T31962-2015）中B等级标准。</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cs="Times New Roman"/>
                <w:b/>
                <w:color w:val="auto"/>
                <w:szCs w:val="21"/>
                <w:lang w:val="en-US" w:eastAsia="zh-CN"/>
              </w:rPr>
              <w:t>12</w:t>
            </w:r>
            <w:r>
              <w:rPr>
                <w:rFonts w:hint="default" w:ascii="Times New Roman" w:hAnsi="Times New Roman" w:cs="Times New Roman"/>
                <w:b/>
                <w:color w:val="auto"/>
                <w:szCs w:val="21"/>
              </w:rPr>
              <w:t xml:space="preserve">  废水污染物最高允许排放浓度  单位：mg/L，pH无量纲</w:t>
            </w:r>
          </w:p>
          <w:tbl>
            <w:tblPr>
              <w:tblStyle w:val="39"/>
              <w:tblW w:w="799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865"/>
              <w:gridCol w:w="877"/>
              <w:gridCol w:w="750"/>
              <w:gridCol w:w="785"/>
              <w:gridCol w:w="565"/>
              <w:gridCol w:w="796"/>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评价标准</w:t>
                  </w:r>
                </w:p>
              </w:tc>
              <w:tc>
                <w:tcPr>
                  <w:tcW w:w="86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pH</w:t>
                  </w:r>
                </w:p>
              </w:tc>
              <w:tc>
                <w:tcPr>
                  <w:tcW w:w="877" w:type="dxa"/>
                  <w:noWrap w:val="0"/>
                  <w:vAlign w:val="center"/>
                </w:tcPr>
                <w:p>
                  <w:pPr>
                    <w:jc w:val="center"/>
                    <w:rPr>
                      <w:rFonts w:hint="default" w:ascii="Times New Roman" w:hAnsi="Times New Roman" w:cs="Times New Roman"/>
                      <w:b/>
                      <w:color w:val="auto"/>
                      <w:szCs w:val="21"/>
                      <w:vertAlign w:val="subscript"/>
                    </w:rPr>
                  </w:pPr>
                  <w:r>
                    <w:rPr>
                      <w:rFonts w:hint="default" w:ascii="Times New Roman" w:hAnsi="Times New Roman" w:cs="Times New Roman"/>
                      <w:b/>
                      <w:color w:val="auto"/>
                      <w:szCs w:val="21"/>
                    </w:rPr>
                    <w:t>COD</w:t>
                  </w:r>
                  <w:r>
                    <w:rPr>
                      <w:rFonts w:hint="default" w:ascii="Times New Roman" w:hAnsi="Times New Roman" w:cs="Times New Roman"/>
                      <w:b/>
                      <w:color w:val="auto"/>
                      <w:szCs w:val="21"/>
                      <w:vertAlign w:val="subscript"/>
                    </w:rPr>
                    <w:t>cr</w:t>
                  </w:r>
                </w:p>
              </w:tc>
              <w:tc>
                <w:tcPr>
                  <w:tcW w:w="750" w:type="dxa"/>
                  <w:noWrap w:val="0"/>
                  <w:vAlign w:val="center"/>
                </w:tcPr>
                <w:p>
                  <w:pPr>
                    <w:jc w:val="center"/>
                    <w:rPr>
                      <w:rFonts w:hint="default" w:ascii="Times New Roman" w:hAnsi="Times New Roman" w:cs="Times New Roman"/>
                      <w:b/>
                      <w:color w:val="auto"/>
                      <w:szCs w:val="21"/>
                      <w:vertAlign w:val="subscript"/>
                    </w:rPr>
                  </w:pPr>
                  <w:r>
                    <w:rPr>
                      <w:rFonts w:hint="default" w:ascii="Times New Roman" w:hAnsi="Times New Roman" w:cs="Times New Roman"/>
                      <w:b/>
                      <w:color w:val="auto"/>
                      <w:szCs w:val="21"/>
                    </w:rPr>
                    <w:t>BOD</w:t>
                  </w:r>
                  <w:r>
                    <w:rPr>
                      <w:rFonts w:hint="default" w:ascii="Times New Roman" w:hAnsi="Times New Roman" w:cs="Times New Roman"/>
                      <w:b/>
                      <w:color w:val="auto"/>
                      <w:szCs w:val="21"/>
                      <w:vertAlign w:val="subscript"/>
                    </w:rPr>
                    <w:t>5</w:t>
                  </w:r>
                </w:p>
              </w:tc>
              <w:tc>
                <w:tcPr>
                  <w:tcW w:w="78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SS</w:t>
                  </w:r>
                </w:p>
              </w:tc>
              <w:tc>
                <w:tcPr>
                  <w:tcW w:w="565"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TP</w:t>
                  </w:r>
                </w:p>
              </w:tc>
              <w:tc>
                <w:tcPr>
                  <w:tcW w:w="796"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氨氮</w:t>
                  </w:r>
                </w:p>
              </w:tc>
              <w:tc>
                <w:tcPr>
                  <w:tcW w:w="1034" w:type="dxa"/>
                  <w:noWrap w:val="0"/>
                  <w:vAlign w:val="center"/>
                </w:tcPr>
                <w:p>
                  <w:pPr>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《污水综合排放标准》（GB8978-1996）中的三级排放标准</w:t>
                  </w:r>
                </w:p>
              </w:tc>
              <w:tc>
                <w:tcPr>
                  <w:tcW w:w="865"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6～9</w:t>
                  </w:r>
                </w:p>
              </w:tc>
              <w:tc>
                <w:tcPr>
                  <w:tcW w:w="877"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c>
                <w:tcPr>
                  <w:tcW w:w="750"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300</w:t>
                  </w:r>
                </w:p>
              </w:tc>
              <w:tc>
                <w:tcPr>
                  <w:tcW w:w="785"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400</w:t>
                  </w:r>
                </w:p>
              </w:tc>
              <w:tc>
                <w:tcPr>
                  <w:tcW w:w="565"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p>
              </w:tc>
              <w:tc>
                <w:tcPr>
                  <w:tcW w:w="79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45</w:t>
                  </w:r>
                </w:p>
              </w:tc>
              <w:tc>
                <w:tcPr>
                  <w:tcW w:w="103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w:t>
                  </w:r>
                </w:p>
              </w:tc>
            </w:tr>
          </w:tbl>
          <w:p>
            <w:pPr>
              <w:spacing w:before="120" w:before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三、噪声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施工期噪声执行《建筑施工场界环境噪声排放标准》</w:t>
            </w:r>
            <w:r>
              <w:rPr>
                <w:rFonts w:hint="default" w:ascii="Times New Roman" w:hAnsi="Times New Roman" w:cs="Times New Roman"/>
                <w:bCs/>
                <w:color w:val="auto"/>
                <w:sz w:val="24"/>
              </w:rPr>
              <w:t>（</w:t>
            </w:r>
            <w:r>
              <w:rPr>
                <w:rFonts w:hint="default" w:ascii="Times New Roman" w:hAnsi="Times New Roman" w:cs="Times New Roman"/>
                <w:color w:val="auto"/>
                <w:sz w:val="24"/>
              </w:rPr>
              <w:t>GB12523-2011</w:t>
            </w:r>
            <w:r>
              <w:rPr>
                <w:rFonts w:hint="default" w:ascii="Times New Roman" w:hAnsi="Times New Roman" w:cs="Times New Roman"/>
                <w:bCs/>
                <w:color w:val="auto"/>
                <w:sz w:val="24"/>
              </w:rPr>
              <w:t>）中的标准</w:t>
            </w:r>
            <w:r>
              <w:rPr>
                <w:rFonts w:hint="default" w:ascii="Times New Roman" w:hAnsi="Times New Roman" w:cs="Times New Roman"/>
                <w:color w:val="auto"/>
                <w:sz w:val="24"/>
              </w:rPr>
              <w:t>，营运期噪声执行《工业企业厂界噪声排放标准》（GB12348-2008）3类功能区标准。</w:t>
            </w:r>
          </w:p>
          <w:p>
            <w:pPr>
              <w:jc w:val="center"/>
              <w:rPr>
                <w:rFonts w:hint="default" w:ascii="Times New Roman" w:hAnsi="Times New Roman" w:cs="Times New Roman"/>
                <w:b/>
                <w:bCs/>
                <w:color w:val="auto"/>
              </w:rPr>
            </w:pPr>
            <w:r>
              <w:rPr>
                <w:rFonts w:hint="default" w:ascii="Times New Roman" w:hAnsi="Times New Roman" w:cs="Times New Roman"/>
                <w:b/>
                <w:bCs/>
                <w:color w:val="auto"/>
              </w:rPr>
              <w:t>表3-1</w:t>
            </w:r>
            <w:r>
              <w:rPr>
                <w:rFonts w:hint="eastAsia" w:cs="Times New Roman"/>
                <w:b/>
                <w:bCs/>
                <w:color w:val="auto"/>
                <w:lang w:val="en-US" w:eastAsia="zh-CN"/>
              </w:rPr>
              <w:t>3</w:t>
            </w:r>
            <w:r>
              <w:rPr>
                <w:rFonts w:hint="default" w:ascii="Times New Roman" w:hAnsi="Times New Roman" w:cs="Times New Roman"/>
                <w:b/>
                <w:bCs/>
                <w:color w:val="auto"/>
              </w:rPr>
              <w:t xml:space="preserve">  厂界噪声排放标准      单位：dB（A）</w:t>
            </w:r>
          </w:p>
          <w:tbl>
            <w:tblPr>
              <w:tblStyle w:val="39"/>
              <w:tblW w:w="803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9"/>
              <w:gridCol w:w="1373"/>
              <w:gridCol w:w="1948"/>
              <w:gridCol w:w="1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989" w:type="dxa"/>
                  <w:vMerge w:val="restart"/>
                  <w:noWrap w:val="0"/>
                  <w:vAlign w:val="center"/>
                </w:tcPr>
                <w:p>
                  <w:pPr>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执行标准</w:t>
                  </w:r>
                </w:p>
              </w:tc>
              <w:tc>
                <w:tcPr>
                  <w:tcW w:w="1373" w:type="dxa"/>
                  <w:vMerge w:val="restart"/>
                  <w:noWrap w:val="0"/>
                  <w:vAlign w:val="center"/>
                </w:tcPr>
                <w:p>
                  <w:pPr>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评价时段</w:t>
                  </w:r>
                </w:p>
              </w:tc>
              <w:tc>
                <w:tcPr>
                  <w:tcW w:w="3677" w:type="dxa"/>
                  <w:gridSpan w:val="2"/>
                  <w:noWrap w:val="0"/>
                  <w:vAlign w:val="center"/>
                </w:tcPr>
                <w:p>
                  <w:pPr>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标准限值</w:t>
                  </w:r>
                  <w:r>
                    <w:rPr>
                      <w:rFonts w:hint="default" w:ascii="Times New Roman" w:hAnsi="Times New Roman" w:cs="Times New Roman"/>
                      <w:b/>
                      <w:color w:val="auto"/>
                    </w:rPr>
                    <w:t>[dB</w:t>
                  </w:r>
                  <w:r>
                    <w:rPr>
                      <w:rFonts w:hint="default" w:ascii="Times New Roman" w:hAnsi="Times New Roman" w:cs="Times New Roman"/>
                      <w:b/>
                      <w:color w:val="auto"/>
                      <w:kern w:val="0"/>
                      <w:szCs w:val="21"/>
                    </w:rPr>
                    <w:t>（A）</w:t>
                  </w:r>
                  <w:r>
                    <w:rPr>
                      <w:rFonts w:hint="default" w:ascii="Times New Roman" w:hAnsi="Times New Roman" w:cs="Times New Roman"/>
                      <w:b/>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989" w:type="dxa"/>
                  <w:vMerge w:val="continue"/>
                  <w:noWrap w:val="0"/>
                  <w:vAlign w:val="center"/>
                </w:tcPr>
                <w:p>
                  <w:pPr>
                    <w:jc w:val="center"/>
                    <w:rPr>
                      <w:rFonts w:hint="default" w:ascii="Times New Roman" w:hAnsi="Times New Roman" w:cs="Times New Roman"/>
                      <w:b/>
                      <w:color w:val="auto"/>
                      <w:szCs w:val="21"/>
                    </w:rPr>
                  </w:pPr>
                </w:p>
              </w:tc>
              <w:tc>
                <w:tcPr>
                  <w:tcW w:w="1373" w:type="dxa"/>
                  <w:vMerge w:val="continue"/>
                  <w:noWrap w:val="0"/>
                  <w:vAlign w:val="center"/>
                </w:tcPr>
                <w:p>
                  <w:pPr>
                    <w:jc w:val="center"/>
                    <w:rPr>
                      <w:rFonts w:hint="default" w:ascii="Times New Roman" w:hAnsi="Times New Roman" w:cs="Times New Roman"/>
                      <w:b/>
                      <w:color w:val="auto"/>
                      <w:szCs w:val="21"/>
                    </w:rPr>
                  </w:pPr>
                </w:p>
              </w:tc>
              <w:tc>
                <w:tcPr>
                  <w:tcW w:w="1948" w:type="dxa"/>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kern w:val="0"/>
                      <w:szCs w:val="21"/>
                    </w:rPr>
                    <w:t>昼间</w:t>
                  </w:r>
                </w:p>
              </w:tc>
              <w:tc>
                <w:tcPr>
                  <w:tcW w:w="1729" w:type="dxa"/>
                  <w:noWrap w:val="0"/>
                  <w:vAlign w:val="center"/>
                </w:tcPr>
                <w:p>
                  <w:pPr>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989"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《建筑施工场界环境噪声排放标准》（GB12523-2011）</w:t>
                  </w:r>
                </w:p>
              </w:tc>
              <w:tc>
                <w:tcPr>
                  <w:tcW w:w="13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施工期</w:t>
                  </w:r>
                </w:p>
              </w:tc>
              <w:tc>
                <w:tcPr>
                  <w:tcW w:w="194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1729"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989"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《工业企业厂界环境噪声排放标准》（GB12348-2008）</w:t>
                  </w:r>
                </w:p>
              </w:tc>
              <w:tc>
                <w:tcPr>
                  <w:tcW w:w="1373"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w:t>
                  </w:r>
                </w:p>
              </w:tc>
              <w:tc>
                <w:tcPr>
                  <w:tcW w:w="1948"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65</w:t>
                  </w:r>
                </w:p>
              </w:tc>
              <w:tc>
                <w:tcPr>
                  <w:tcW w:w="1729" w:type="dxa"/>
                  <w:noWrap w:val="0"/>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w:t>
                  </w:r>
                </w:p>
              </w:tc>
            </w:tr>
          </w:tbl>
          <w:p>
            <w:pPr>
              <w:spacing w:line="360" w:lineRule="auto"/>
              <w:ind w:firstLine="482" w:firstLineChars="200"/>
              <w:rPr>
                <w:rFonts w:hint="default" w:ascii="Times New Roman" w:hAnsi="Times New Roman" w:eastAsia="宋体" w:cs="Times New Roman"/>
                <w:color w:val="auto"/>
                <w:sz w:val="24"/>
              </w:rPr>
            </w:pPr>
            <w:r>
              <w:rPr>
                <w:rFonts w:hint="default" w:ascii="Times New Roman" w:hAnsi="Times New Roman" w:cs="Times New Roman"/>
                <w:b/>
                <w:bCs/>
                <w:color w:val="auto"/>
                <w:sz w:val="24"/>
              </w:rPr>
              <w:t>四、固体废物</w:t>
            </w:r>
          </w:p>
          <w:p>
            <w:pPr>
              <w:spacing w:line="360" w:lineRule="auto"/>
              <w:ind w:firstLine="480" w:firstLineChars="200"/>
              <w:rPr>
                <w:rFonts w:hint="default" w:ascii="Times New Roman" w:hAnsi="Times New Roman" w:cs="Times New Roman"/>
                <w:color w:val="auto"/>
                <w:sz w:val="24"/>
              </w:rPr>
            </w:pPr>
            <w:r>
              <w:rPr>
                <w:color w:val="auto"/>
                <w:sz w:val="24"/>
              </w:rPr>
              <w:t>一般工业固体废物采用库房、包装工具（罐、桶、包装袋等）贮存，其贮存过程应满足相应防渗漏、防雨淋、防扬尘等环境保护要求</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危险废物执行《危险废物贮</w:t>
            </w:r>
            <w:r>
              <w:rPr>
                <w:rFonts w:hint="default" w:ascii="Times New Roman" w:hAnsi="Times New Roman" w:cs="Times New Roman"/>
                <w:color w:val="auto"/>
                <w:sz w:val="24"/>
              </w:rPr>
              <w:t>存污染控制标准》</w:t>
            </w:r>
            <w:r>
              <w:rPr>
                <w:rFonts w:ascii="宋体" w:hAnsi="宋体" w:eastAsia="宋体" w:cs="宋体"/>
                <w:b w:val="0"/>
                <w:i w:val="0"/>
                <w:color w:val="auto"/>
                <w:spacing w:val="0"/>
                <w:position w:val="0"/>
                <w:sz w:val="24"/>
                <w:szCs w:val="24"/>
              </w:rPr>
              <w:t>（</w:t>
            </w:r>
            <w:r>
              <w:rPr>
                <w:rFonts w:ascii="TimesNewRomanPSMT" w:hAnsi="TimesNewRomanPSMT" w:eastAsia="TimesNewRomanPSMT" w:cs="TimesNewRomanPSMT"/>
                <w:b w:val="0"/>
                <w:i w:val="0"/>
                <w:color w:val="auto"/>
                <w:spacing w:val="0"/>
                <w:position w:val="0"/>
                <w:sz w:val="24"/>
                <w:szCs w:val="24"/>
              </w:rPr>
              <w:t>GB18597-20</w:t>
            </w:r>
            <w:r>
              <w:rPr>
                <w:rFonts w:hint="eastAsia" w:ascii="TimesNewRomanPSMT" w:hAnsi="TimesNewRomanPSMT" w:eastAsia="宋体" w:cs="TimesNewRomanPSMT"/>
                <w:b w:val="0"/>
                <w:i w:val="0"/>
                <w:color w:val="auto"/>
                <w:spacing w:val="0"/>
                <w:position w:val="0"/>
                <w:sz w:val="24"/>
                <w:szCs w:val="24"/>
                <w:lang w:val="en-US" w:eastAsia="zh-CN"/>
              </w:rPr>
              <w:t>23</w:t>
            </w:r>
            <w:r>
              <w:rPr>
                <w:rFonts w:ascii="宋体" w:hAnsi="宋体" w:eastAsia="宋体" w:cs="宋体"/>
                <w:b w:val="0"/>
                <w:i w:val="0"/>
                <w:color w:val="auto"/>
                <w:spacing w:val="0"/>
                <w:position w:val="0"/>
                <w:sz w:val="24"/>
                <w:szCs w:val="24"/>
              </w:rPr>
              <w:t>）</w:t>
            </w:r>
            <w:r>
              <w:rPr>
                <w:rFonts w:hint="default" w:ascii="Times New Roman" w:hAnsi="Times New Roman"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800" w:type="dxa"/>
            <w:noWrap w:val="0"/>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指标</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1、废水</w:t>
            </w:r>
            <w:r>
              <w:rPr>
                <w:rFonts w:hint="default" w:ascii="Times New Roman" w:hAnsi="Times New Roman" w:eastAsia="宋体" w:cs="Times New Roman"/>
                <w:color w:val="auto"/>
                <w:kern w:val="0"/>
                <w:sz w:val="24"/>
                <w:szCs w:val="24"/>
                <w:highlight w:val="none"/>
                <w:lang w:val="de-DE" w:eastAsia="de-DE"/>
              </w:rPr>
              <w:t>按照</w:t>
            </w:r>
            <w:r>
              <w:rPr>
                <w:rFonts w:hint="default" w:ascii="Times New Roman" w:hAnsi="Times New Roman" w:eastAsia="宋体" w:cs="Times New Roman"/>
                <w:color w:val="auto"/>
                <w:kern w:val="0"/>
                <w:sz w:val="24"/>
                <w:szCs w:val="24"/>
                <w:highlight w:val="none"/>
                <w:lang w:val="de-DE"/>
              </w:rPr>
              <w:t>四川省环境保护厅</w:t>
            </w:r>
            <w:r>
              <w:rPr>
                <w:rFonts w:hint="default" w:ascii="Times New Roman" w:hAnsi="Times New Roman" w:eastAsia="宋体" w:cs="Times New Roman"/>
                <w:color w:val="auto"/>
                <w:kern w:val="0"/>
                <w:sz w:val="24"/>
                <w:szCs w:val="24"/>
                <w:highlight w:val="none"/>
                <w:lang w:val="de-DE" w:eastAsia="de-DE"/>
              </w:rPr>
              <w:t>《关于贯彻落实&lt;建设项目主要</w:t>
            </w:r>
            <w:r>
              <w:rPr>
                <w:rFonts w:hint="default" w:ascii="Times New Roman" w:hAnsi="Times New Roman" w:eastAsia="宋体" w:cs="Times New Roman"/>
                <w:color w:val="auto"/>
                <w:kern w:val="0"/>
                <w:sz w:val="24"/>
                <w:szCs w:val="24"/>
                <w:lang w:val="de-DE" w:eastAsia="de-DE"/>
              </w:rPr>
              <w:t>污染物排放总量指标审核及管理暂行办法&gt;的通知》（川环办发〔2015〕333号）文件</w:t>
            </w:r>
            <w:r>
              <w:rPr>
                <w:rFonts w:hint="default" w:ascii="Times New Roman" w:hAnsi="Times New Roman" w:eastAsia="宋体" w:cs="Times New Roman"/>
                <w:color w:val="auto"/>
                <w:kern w:val="0"/>
                <w:sz w:val="24"/>
                <w:szCs w:val="24"/>
                <w:lang w:val="de-DE"/>
              </w:rPr>
              <w:t>中第三条“关于指标审核”</w:t>
            </w:r>
            <w:r>
              <w:rPr>
                <w:rFonts w:hint="default" w:ascii="Times New Roman" w:hAnsi="Times New Roman" w:eastAsia="宋体" w:cs="Times New Roman"/>
                <w:color w:val="auto"/>
                <w:kern w:val="0"/>
                <w:sz w:val="24"/>
                <w:szCs w:val="24"/>
                <w:lang w:val="de-DE" w:eastAsia="de-DE"/>
              </w:rPr>
              <w:t>，</w:t>
            </w:r>
            <w:r>
              <w:rPr>
                <w:rFonts w:hint="default" w:ascii="Times New Roman" w:hAnsi="Times New Roman" w:eastAsia="宋体" w:cs="Times New Roman"/>
                <w:color w:val="auto"/>
                <w:kern w:val="0"/>
                <w:sz w:val="24"/>
                <w:szCs w:val="24"/>
                <w:lang w:val="de-DE"/>
              </w:rPr>
              <w:t>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lang w:val="de-DE"/>
              </w:rPr>
            </w:pPr>
            <w:r>
              <w:rPr>
                <w:rFonts w:hint="default" w:ascii="Times New Roman" w:hAnsi="Times New Roman" w:eastAsia="宋体" w:cs="Times New Roman"/>
                <w:color w:val="auto"/>
                <w:kern w:val="0"/>
                <w:sz w:val="24"/>
                <w:szCs w:val="24"/>
                <w:lang w:val="de-DE"/>
              </w:rPr>
              <w:t>水排入集中式污水处理厂的建设项目按污水处理厂排放标准计算水污染物总量指标；废水排入城镇生活污水处理设施的建设项目，按纳管标准计算水污染物总量指标。</w:t>
            </w:r>
          </w:p>
          <w:p>
            <w:pPr>
              <w:keepNext w:val="0"/>
              <w:keepLines w:val="0"/>
              <w:pageBreakBefore w:val="0"/>
              <w:widowControl w:val="0"/>
              <w:tabs>
                <w:tab w:val="center" w:pos="4153"/>
                <w:tab w:val="right" w:pos="8306"/>
              </w:tabs>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因此，本项目废水指标就进入</w:t>
            </w:r>
            <w:r>
              <w:rPr>
                <w:rFonts w:hint="default" w:ascii="Times New Roman" w:hAnsi="Times New Roman" w:eastAsia="宋体" w:cs="Times New Roman"/>
                <w:color w:val="auto"/>
                <w:kern w:val="0"/>
                <w:sz w:val="24"/>
                <w:szCs w:val="24"/>
                <w:lang w:eastAsia="zh-CN"/>
              </w:rPr>
              <w:t>蓬溪经开区</w:t>
            </w:r>
            <w:r>
              <w:rPr>
                <w:rFonts w:hint="default" w:ascii="Times New Roman" w:hAnsi="Times New Roman" w:eastAsia="宋体" w:cs="Times New Roman"/>
                <w:color w:val="auto"/>
                <w:kern w:val="0"/>
                <w:sz w:val="24"/>
                <w:szCs w:val="24"/>
              </w:rPr>
              <w:t>污水处理厂处理前后给出统计量，以污水处理厂</w:t>
            </w:r>
            <w:r>
              <w:rPr>
                <w:rFonts w:hint="default" w:ascii="Times New Roman" w:hAnsi="Times New Roman" w:eastAsia="宋体" w:cs="Times New Roman"/>
                <w:color w:val="auto"/>
                <w:kern w:val="0"/>
                <w:sz w:val="24"/>
                <w:szCs w:val="24"/>
                <w:lang w:val="de-DE"/>
              </w:rPr>
              <w:t>排放标准</w:t>
            </w:r>
            <w:r>
              <w:rPr>
                <w:rFonts w:hint="default" w:ascii="Times New Roman" w:hAnsi="Times New Roman" w:eastAsia="宋体" w:cs="Times New Roman"/>
                <w:color w:val="auto"/>
                <w:kern w:val="0"/>
                <w:sz w:val="24"/>
                <w:szCs w:val="24"/>
              </w:rPr>
              <w:t>计算总量控制指标。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）现有项目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color w:val="auto"/>
                <w:kern w:val="0"/>
                <w:sz w:val="24"/>
                <w:szCs w:val="24"/>
                <w:lang w:eastAsia="zh-CN"/>
              </w:rPr>
              <w:t>现有</w:t>
            </w:r>
            <w:r>
              <w:rPr>
                <w:rFonts w:hint="default" w:ascii="Times New Roman" w:hAnsi="Times New Roman" w:eastAsia="宋体" w:cs="Times New Roman"/>
                <w:color w:val="auto"/>
                <w:kern w:val="0"/>
                <w:sz w:val="24"/>
                <w:szCs w:val="24"/>
              </w:rPr>
              <w:t>项目废水排放量为</w:t>
            </w:r>
            <w:r>
              <w:rPr>
                <w:rFonts w:hint="default" w:ascii="Times New Roman" w:hAnsi="Times New Roman" w:eastAsia="宋体" w:cs="Times New Roman"/>
                <w:color w:val="auto"/>
                <w:kern w:val="0"/>
                <w:sz w:val="24"/>
                <w:szCs w:val="24"/>
                <w:lang w:val="en-US" w:eastAsia="zh-CN"/>
              </w:rPr>
              <w:t>1713.6</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color w:val="auto"/>
                <w:sz w:val="24"/>
                <w:szCs w:val="21"/>
                <w:highlight w:val="none"/>
                <w:lang w:val="en-US" w:eastAsia="zh-CN"/>
              </w:rPr>
              <w:t>经厂区预处理池处理达到《污水综合排放标准》（GB8978-1996）三级标准后排入市政污水管网，</w:t>
            </w:r>
            <w:r>
              <w:rPr>
                <w:rFonts w:hint="default" w:ascii="Times New Roman" w:hAnsi="Times New Roman" w:eastAsia="宋体" w:cs="Times New Roman"/>
                <w:b w:val="0"/>
                <w:bCs/>
                <w:color w:val="auto"/>
                <w:sz w:val="24"/>
                <w:szCs w:val="21"/>
                <w:lang w:eastAsia="zh-CN"/>
              </w:rPr>
              <w:t>经蓬溪经开区</w:t>
            </w:r>
            <w:r>
              <w:rPr>
                <w:rFonts w:hint="default" w:ascii="Times New Roman" w:hAnsi="Times New Roman" w:eastAsia="宋体" w:cs="Times New Roman"/>
                <w:b w:val="0"/>
                <w:bCs/>
                <w:color w:val="auto"/>
                <w:sz w:val="24"/>
                <w:szCs w:val="21"/>
              </w:rPr>
              <w:t>污水处理厂</w:t>
            </w:r>
            <w:r>
              <w:rPr>
                <w:rFonts w:hint="default" w:ascii="Times New Roman" w:hAnsi="Times New Roman" w:eastAsia="宋体" w:cs="Times New Roman"/>
                <w:b w:val="0"/>
                <w:bCs/>
                <w:color w:val="auto"/>
                <w:sz w:val="24"/>
                <w:szCs w:val="21"/>
                <w:lang w:eastAsia="zh-CN"/>
              </w:rPr>
              <w:t>处理</w:t>
            </w:r>
            <w:r>
              <w:rPr>
                <w:rFonts w:hint="default" w:ascii="Times New Roman" w:hAnsi="Times New Roman" w:eastAsia="宋体" w:cs="Times New Roman"/>
                <w:b w:val="0"/>
                <w:bCs/>
                <w:color w:val="auto"/>
                <w:sz w:val="24"/>
                <w:szCs w:val="21"/>
              </w:rPr>
              <w:t>，</w:t>
            </w:r>
            <w:r>
              <w:rPr>
                <w:rFonts w:hint="default" w:ascii="Times New Roman" w:hAnsi="Times New Roman" w:eastAsia="宋体" w:cs="Times New Roman"/>
                <w:b w:val="0"/>
                <w:bCs/>
                <w:color w:val="auto"/>
                <w:sz w:val="24"/>
                <w:szCs w:val="21"/>
                <w:lang w:eastAsia="zh-CN"/>
              </w:rPr>
              <w:t>达</w:t>
            </w:r>
            <w:r>
              <w:rPr>
                <w:rFonts w:hint="default" w:ascii="Times New Roman" w:hAnsi="Times New Roman" w:eastAsia="宋体" w:cs="Times New Roman"/>
                <w:bCs/>
                <w:color w:val="auto"/>
                <w:sz w:val="24"/>
                <w:szCs w:val="21"/>
              </w:rPr>
              <w:t>《城镇污水处理厂污染物排放标准》（GB18918-2002）一级A标准</w:t>
            </w:r>
            <w:r>
              <w:rPr>
                <w:rFonts w:hint="default" w:ascii="Times New Roman" w:hAnsi="Times New Roman" w:eastAsia="宋体" w:cs="Times New Roman"/>
                <w:bCs/>
                <w:color w:val="auto"/>
                <w:sz w:val="24"/>
                <w:szCs w:val="21"/>
                <w:lang w:eastAsia="zh-CN"/>
              </w:rPr>
              <w:t>后</w:t>
            </w:r>
            <w:r>
              <w:rPr>
                <w:rFonts w:hint="default" w:ascii="Times New Roman" w:hAnsi="Times New Roman" w:eastAsia="宋体" w:cs="Times New Roman"/>
                <w:b w:val="0"/>
                <w:bCs/>
                <w:color w:val="auto"/>
                <w:sz w:val="24"/>
                <w:szCs w:val="21"/>
              </w:rPr>
              <w:t>最终排入</w:t>
            </w:r>
            <w:r>
              <w:rPr>
                <w:rFonts w:hint="default" w:ascii="Times New Roman" w:hAnsi="Times New Roman" w:eastAsia="宋体" w:cs="Times New Roman"/>
                <w:b w:val="0"/>
                <w:bCs/>
                <w:color w:val="auto"/>
                <w:sz w:val="24"/>
                <w:szCs w:val="21"/>
                <w:lang w:eastAsia="zh-CN"/>
              </w:rPr>
              <w:t>芝溪河</w:t>
            </w:r>
            <w:r>
              <w:rPr>
                <w:rFonts w:hint="default" w:ascii="Times New Roman" w:hAnsi="Times New Roman" w:eastAsia="宋体" w:cs="Times New Roman"/>
                <w:b w:val="0"/>
                <w:bCs/>
                <w:color w:val="auto"/>
                <w:sz w:val="24"/>
                <w:szCs w:val="21"/>
                <w:highlight w:val="none"/>
                <w:lang w:val="en-US" w:eastAsia="zh-CN"/>
              </w:rPr>
              <w:t>。项目废水总量控制指标如下：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项目厂区预处理池排口：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COD：1713.6t/a×500mg/L×10</w:t>
            </w:r>
            <w:r>
              <w:rPr>
                <w:rFonts w:hint="default" w:ascii="Times New Roman" w:hAnsi="Times New Roman" w:eastAsia="宋体" w:cs="Times New Roman"/>
                <w:b w:val="0"/>
                <w:bCs/>
                <w:color w:val="auto"/>
                <w:sz w:val="24"/>
                <w:szCs w:val="21"/>
                <w:highlight w:val="none"/>
                <w:vertAlign w:val="superscript"/>
                <w:lang w:val="en-US" w:eastAsia="zh-CN"/>
              </w:rPr>
              <w:t>-6</w:t>
            </w:r>
            <w:r>
              <w:rPr>
                <w:rFonts w:hint="default" w:ascii="Times New Roman" w:hAnsi="Times New Roman" w:eastAsia="宋体" w:cs="Times New Roman"/>
                <w:b w:val="0"/>
                <w:bCs/>
                <w:color w:val="auto"/>
                <w:sz w:val="24"/>
                <w:szCs w:val="21"/>
                <w:highlight w:val="none"/>
                <w:lang w:val="en-US" w:eastAsia="zh-CN"/>
              </w:rPr>
              <w:t>=0.8568t/a；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NH</w:t>
            </w:r>
            <w:r>
              <w:rPr>
                <w:rFonts w:hint="default" w:ascii="Times New Roman" w:hAnsi="Times New Roman" w:eastAsia="宋体" w:cs="Times New Roman"/>
                <w:b w:val="0"/>
                <w:bCs/>
                <w:color w:val="auto"/>
                <w:sz w:val="24"/>
                <w:szCs w:val="21"/>
                <w:highlight w:val="none"/>
                <w:vertAlign w:val="subscript"/>
                <w:lang w:val="en-US" w:eastAsia="zh-CN"/>
              </w:rPr>
              <w:t>3</w:t>
            </w:r>
            <w:r>
              <w:rPr>
                <w:rFonts w:hint="default" w:ascii="Times New Roman" w:hAnsi="Times New Roman" w:eastAsia="宋体" w:cs="Times New Roman"/>
                <w:b w:val="0"/>
                <w:bCs/>
                <w:color w:val="auto"/>
                <w:sz w:val="24"/>
                <w:szCs w:val="21"/>
                <w:highlight w:val="none"/>
                <w:lang w:val="en-US" w:eastAsia="zh-CN"/>
              </w:rPr>
              <w:t>-N：1713.6t/a×45mg/L×10</w:t>
            </w:r>
            <w:r>
              <w:rPr>
                <w:rFonts w:hint="default" w:ascii="Times New Roman" w:hAnsi="Times New Roman" w:eastAsia="宋体" w:cs="Times New Roman"/>
                <w:b w:val="0"/>
                <w:bCs/>
                <w:color w:val="auto"/>
                <w:sz w:val="24"/>
                <w:szCs w:val="21"/>
                <w:highlight w:val="none"/>
                <w:vertAlign w:val="superscript"/>
                <w:lang w:val="en-US" w:eastAsia="zh-CN"/>
              </w:rPr>
              <w:t>-6</w:t>
            </w:r>
            <w:r>
              <w:rPr>
                <w:rFonts w:hint="default" w:ascii="Times New Roman" w:hAnsi="Times New Roman" w:eastAsia="宋体" w:cs="Times New Roman"/>
                <w:b w:val="0"/>
                <w:bCs/>
                <w:color w:val="auto"/>
                <w:sz w:val="24"/>
                <w:szCs w:val="21"/>
                <w:highlight w:val="none"/>
                <w:lang w:val="en-US" w:eastAsia="zh-CN"/>
              </w:rPr>
              <w:t>=0.0771t/a。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lang w:eastAsia="zh-CN"/>
              </w:rPr>
              <w:t>蓬溪经开区</w:t>
            </w:r>
            <w:r>
              <w:rPr>
                <w:rFonts w:hint="default" w:ascii="Times New Roman" w:hAnsi="Times New Roman" w:eastAsia="宋体" w:cs="Times New Roman"/>
                <w:b w:val="0"/>
                <w:bCs/>
                <w:color w:val="auto"/>
                <w:sz w:val="24"/>
                <w:szCs w:val="21"/>
                <w:highlight w:val="none"/>
              </w:rPr>
              <w:t>污水处理厂</w:t>
            </w:r>
            <w:r>
              <w:rPr>
                <w:rFonts w:hint="default" w:ascii="Times New Roman" w:hAnsi="Times New Roman" w:eastAsia="宋体" w:cs="Times New Roman"/>
                <w:b w:val="0"/>
                <w:bCs/>
                <w:color w:val="auto"/>
                <w:sz w:val="24"/>
                <w:szCs w:val="21"/>
                <w:highlight w:val="none"/>
                <w:lang w:val="en-US" w:eastAsia="zh-CN"/>
              </w:rPr>
              <w:t>排口：</w:t>
            </w:r>
          </w:p>
          <w:p>
            <w:pPr>
              <w:widowControl/>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COD：</w:t>
            </w:r>
            <w:r>
              <w:rPr>
                <w:rFonts w:hint="default" w:ascii="Times New Roman" w:hAnsi="Times New Roman" w:eastAsia="宋体" w:cs="Times New Roman"/>
                <w:b w:val="0"/>
                <w:bCs/>
                <w:color w:val="auto"/>
                <w:sz w:val="24"/>
                <w:szCs w:val="21"/>
                <w:highlight w:val="none"/>
                <w:lang w:val="en-US" w:eastAsia="zh-CN"/>
              </w:rPr>
              <w:t>1713.6</w:t>
            </w:r>
            <w:r>
              <w:rPr>
                <w:rFonts w:hint="default" w:ascii="Times New Roman" w:hAnsi="Times New Roman" w:eastAsia="宋体" w:cs="Times New Roman"/>
                <w:color w:val="auto"/>
                <w:sz w:val="24"/>
                <w:szCs w:val="21"/>
                <w:highlight w:val="none"/>
                <w:lang w:val="en-US" w:eastAsia="zh-CN"/>
              </w:rPr>
              <w:t>6t/a</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50</w:t>
            </w:r>
            <w:r>
              <w:rPr>
                <w:rFonts w:hint="default" w:ascii="Times New Roman" w:hAnsi="Times New Roman" w:eastAsia="宋体" w:cs="Times New Roman"/>
                <w:color w:val="auto"/>
                <w:sz w:val="24"/>
                <w:szCs w:val="21"/>
                <w:highlight w:val="none"/>
              </w:rPr>
              <w:t>mg/L×10</w:t>
            </w:r>
            <w:r>
              <w:rPr>
                <w:rFonts w:hint="default" w:ascii="Times New Roman" w:hAnsi="Times New Roman" w:eastAsia="宋体" w:cs="Times New Roman"/>
                <w:color w:val="auto"/>
                <w:sz w:val="24"/>
                <w:szCs w:val="21"/>
                <w:highlight w:val="none"/>
                <w:vertAlign w:val="superscript"/>
              </w:rPr>
              <w:t>-6</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0.0857</w:t>
            </w:r>
            <w:r>
              <w:rPr>
                <w:rFonts w:hint="default" w:ascii="Times New Roman" w:hAnsi="Times New Roman" w:eastAsia="宋体" w:cs="Times New Roman"/>
                <w:color w:val="auto"/>
                <w:sz w:val="24"/>
                <w:szCs w:val="21"/>
                <w:highlight w:val="none"/>
              </w:rPr>
              <w:t>t/a；</w:t>
            </w:r>
          </w:p>
          <w:p>
            <w:pPr>
              <w:widowControl/>
              <w:spacing w:line="360" w:lineRule="auto"/>
              <w:ind w:firstLine="480" w:firstLineChars="200"/>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rPr>
              <w:t>NH</w:t>
            </w:r>
            <w:r>
              <w:rPr>
                <w:rFonts w:hint="default" w:ascii="Times New Roman" w:hAnsi="Times New Roman" w:eastAsia="宋体" w:cs="Times New Roman"/>
                <w:color w:val="auto"/>
                <w:sz w:val="24"/>
                <w:szCs w:val="21"/>
                <w:highlight w:val="none"/>
                <w:vertAlign w:val="subscript"/>
              </w:rPr>
              <w:t>3</w:t>
            </w:r>
            <w:r>
              <w:rPr>
                <w:rFonts w:hint="default" w:ascii="Times New Roman" w:hAnsi="Times New Roman" w:eastAsia="宋体" w:cs="Times New Roman"/>
                <w:color w:val="auto"/>
                <w:sz w:val="24"/>
                <w:szCs w:val="21"/>
                <w:highlight w:val="none"/>
              </w:rPr>
              <w:t>-N：</w:t>
            </w:r>
            <w:r>
              <w:rPr>
                <w:rFonts w:hint="default" w:ascii="Times New Roman" w:hAnsi="Times New Roman" w:eastAsia="宋体" w:cs="Times New Roman"/>
                <w:b w:val="0"/>
                <w:bCs/>
                <w:color w:val="auto"/>
                <w:sz w:val="24"/>
                <w:szCs w:val="21"/>
                <w:highlight w:val="none"/>
                <w:lang w:val="en-US" w:eastAsia="zh-CN"/>
              </w:rPr>
              <w:t>1713.6</w:t>
            </w:r>
            <w:r>
              <w:rPr>
                <w:rFonts w:hint="default" w:ascii="Times New Roman" w:hAnsi="Times New Roman" w:eastAsia="宋体" w:cs="Times New Roman"/>
                <w:color w:val="auto"/>
                <w:sz w:val="24"/>
                <w:szCs w:val="21"/>
                <w:highlight w:val="none"/>
                <w:lang w:val="en-US" w:eastAsia="zh-CN"/>
              </w:rPr>
              <w:t>t/a</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5</w:t>
            </w:r>
            <w:r>
              <w:rPr>
                <w:rFonts w:hint="default" w:ascii="Times New Roman" w:hAnsi="Times New Roman" w:eastAsia="宋体" w:cs="Times New Roman"/>
                <w:color w:val="auto"/>
                <w:sz w:val="24"/>
                <w:szCs w:val="21"/>
                <w:highlight w:val="none"/>
              </w:rPr>
              <w:t>mg/L×10</w:t>
            </w:r>
            <w:r>
              <w:rPr>
                <w:rFonts w:hint="default" w:ascii="Times New Roman" w:hAnsi="Times New Roman" w:eastAsia="宋体" w:cs="Times New Roman"/>
                <w:color w:val="auto"/>
                <w:sz w:val="24"/>
                <w:szCs w:val="21"/>
                <w:highlight w:val="none"/>
                <w:vertAlign w:val="superscript"/>
              </w:rPr>
              <w:t>-6</w:t>
            </w:r>
            <w:r>
              <w:rPr>
                <w:rFonts w:hint="default" w:ascii="Times New Roman" w:hAnsi="Times New Roman" w:eastAsia="宋体" w:cs="Times New Roman"/>
                <w:color w:val="auto"/>
                <w:sz w:val="24"/>
                <w:szCs w:val="21"/>
                <w:highlight w:val="none"/>
              </w:rPr>
              <w:t>=0.</w:t>
            </w:r>
            <w:r>
              <w:rPr>
                <w:rFonts w:hint="default" w:ascii="Times New Roman" w:hAnsi="Times New Roman" w:eastAsia="宋体" w:cs="Times New Roman"/>
                <w:color w:val="auto"/>
                <w:sz w:val="24"/>
                <w:szCs w:val="21"/>
                <w:highlight w:val="none"/>
                <w:lang w:val="en-US" w:eastAsia="zh-CN"/>
              </w:rPr>
              <w:t>0086</w:t>
            </w:r>
            <w:r>
              <w:rPr>
                <w:rFonts w:hint="default" w:ascii="Times New Roman" w:hAnsi="Times New Roman" w:eastAsia="宋体" w:cs="Times New Roman"/>
                <w:color w:val="auto"/>
                <w:sz w:val="24"/>
                <w:szCs w:val="21"/>
                <w:highlight w:val="none"/>
              </w:rPr>
              <w:t>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eastAsia="zh-CN"/>
              </w:rPr>
              <w:t>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color w:val="auto"/>
                <w:kern w:val="0"/>
                <w:sz w:val="24"/>
                <w:szCs w:val="24"/>
                <w:lang w:eastAsia="zh-CN"/>
              </w:rPr>
              <w:t>本</w:t>
            </w:r>
            <w:r>
              <w:rPr>
                <w:rFonts w:hint="default" w:ascii="Times New Roman" w:hAnsi="Times New Roman" w:eastAsia="宋体" w:cs="Times New Roman"/>
                <w:color w:val="auto"/>
                <w:kern w:val="0"/>
                <w:sz w:val="24"/>
                <w:szCs w:val="24"/>
              </w:rPr>
              <w:t>项目废水排放量为</w:t>
            </w:r>
            <w:r>
              <w:rPr>
                <w:rFonts w:hint="default" w:ascii="Times New Roman" w:hAnsi="Times New Roman" w:eastAsia="宋体" w:cs="Times New Roman"/>
                <w:color w:val="auto"/>
                <w:kern w:val="0"/>
                <w:sz w:val="24"/>
                <w:szCs w:val="24"/>
                <w:lang w:val="en-US" w:eastAsia="zh-CN"/>
              </w:rPr>
              <w:t>505.5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color w:val="auto"/>
                <w:sz w:val="24"/>
                <w:szCs w:val="21"/>
                <w:highlight w:val="none"/>
                <w:lang w:val="en-US" w:eastAsia="zh-CN"/>
              </w:rPr>
              <w:t>项目废水总量控制指标如下：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项目厂区预处理池排口：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COD：</w:t>
            </w:r>
            <w:r>
              <w:rPr>
                <w:rFonts w:hint="default" w:ascii="Times New Roman" w:hAnsi="Times New Roman" w:eastAsia="宋体" w:cs="Times New Roman"/>
                <w:color w:val="auto"/>
                <w:kern w:val="0"/>
                <w:sz w:val="24"/>
                <w:szCs w:val="24"/>
                <w:lang w:val="en-US" w:eastAsia="zh-CN"/>
              </w:rPr>
              <w:t>505.5</w:t>
            </w:r>
            <w:r>
              <w:rPr>
                <w:rFonts w:hint="default" w:ascii="Times New Roman" w:hAnsi="Times New Roman" w:eastAsia="宋体" w:cs="Times New Roman"/>
                <w:b w:val="0"/>
                <w:bCs/>
                <w:color w:val="auto"/>
                <w:sz w:val="24"/>
                <w:szCs w:val="21"/>
                <w:highlight w:val="none"/>
                <w:lang w:val="en-US" w:eastAsia="zh-CN"/>
              </w:rPr>
              <w:t>t/a×500mg/L×10</w:t>
            </w:r>
            <w:r>
              <w:rPr>
                <w:rFonts w:hint="default" w:ascii="Times New Roman" w:hAnsi="Times New Roman" w:eastAsia="宋体" w:cs="Times New Roman"/>
                <w:b w:val="0"/>
                <w:bCs/>
                <w:color w:val="auto"/>
                <w:sz w:val="24"/>
                <w:szCs w:val="21"/>
                <w:highlight w:val="none"/>
                <w:vertAlign w:val="superscript"/>
                <w:lang w:val="en-US" w:eastAsia="zh-CN"/>
              </w:rPr>
              <w:t>-6</w:t>
            </w:r>
            <w:r>
              <w:rPr>
                <w:rFonts w:hint="default" w:ascii="Times New Roman" w:hAnsi="Times New Roman" w:eastAsia="宋体" w:cs="Times New Roman"/>
                <w:b w:val="0"/>
                <w:bCs/>
                <w:color w:val="auto"/>
                <w:sz w:val="24"/>
                <w:szCs w:val="21"/>
                <w:highlight w:val="none"/>
                <w:lang w:val="en-US" w:eastAsia="zh-CN"/>
              </w:rPr>
              <w:t>=0.2528t/a；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highlight w:val="none"/>
                <w:lang w:val="en-US" w:eastAsia="zh-CN"/>
              </w:rPr>
              <w:t>NH</w:t>
            </w:r>
            <w:r>
              <w:rPr>
                <w:rFonts w:hint="default" w:ascii="Times New Roman" w:hAnsi="Times New Roman" w:eastAsia="宋体" w:cs="Times New Roman"/>
                <w:b w:val="0"/>
                <w:bCs/>
                <w:color w:val="auto"/>
                <w:sz w:val="24"/>
                <w:szCs w:val="21"/>
                <w:highlight w:val="none"/>
                <w:vertAlign w:val="subscript"/>
                <w:lang w:val="en-US" w:eastAsia="zh-CN"/>
              </w:rPr>
              <w:t>3</w:t>
            </w:r>
            <w:r>
              <w:rPr>
                <w:rFonts w:hint="default" w:ascii="Times New Roman" w:hAnsi="Times New Roman" w:eastAsia="宋体" w:cs="Times New Roman"/>
                <w:b w:val="0"/>
                <w:bCs/>
                <w:color w:val="auto"/>
                <w:sz w:val="24"/>
                <w:szCs w:val="21"/>
                <w:highlight w:val="none"/>
                <w:lang w:val="en-US" w:eastAsia="zh-CN"/>
              </w:rPr>
              <w:t>-N：</w:t>
            </w:r>
            <w:r>
              <w:rPr>
                <w:rFonts w:hint="default" w:ascii="Times New Roman" w:hAnsi="Times New Roman" w:eastAsia="宋体" w:cs="Times New Roman"/>
                <w:color w:val="auto"/>
                <w:kern w:val="0"/>
                <w:sz w:val="24"/>
                <w:szCs w:val="24"/>
                <w:lang w:val="en-US" w:eastAsia="zh-CN"/>
              </w:rPr>
              <w:t>505.5</w:t>
            </w:r>
            <w:r>
              <w:rPr>
                <w:rFonts w:hint="default" w:ascii="Times New Roman" w:hAnsi="Times New Roman" w:eastAsia="宋体" w:cs="Times New Roman"/>
                <w:b w:val="0"/>
                <w:bCs/>
                <w:color w:val="auto"/>
                <w:sz w:val="24"/>
                <w:szCs w:val="21"/>
                <w:highlight w:val="none"/>
                <w:lang w:val="en-US" w:eastAsia="zh-CN"/>
              </w:rPr>
              <w:t>t/a×45mg/L×10</w:t>
            </w:r>
            <w:r>
              <w:rPr>
                <w:rFonts w:hint="default" w:ascii="Times New Roman" w:hAnsi="Times New Roman" w:eastAsia="宋体" w:cs="Times New Roman"/>
                <w:b w:val="0"/>
                <w:bCs/>
                <w:color w:val="auto"/>
                <w:sz w:val="24"/>
                <w:szCs w:val="21"/>
                <w:highlight w:val="none"/>
                <w:vertAlign w:val="superscript"/>
                <w:lang w:val="en-US" w:eastAsia="zh-CN"/>
              </w:rPr>
              <w:t>-6</w:t>
            </w:r>
            <w:r>
              <w:rPr>
                <w:rFonts w:hint="default" w:ascii="Times New Roman" w:hAnsi="Times New Roman" w:eastAsia="宋体" w:cs="Times New Roman"/>
                <w:b w:val="0"/>
                <w:bCs/>
                <w:color w:val="auto"/>
                <w:sz w:val="24"/>
                <w:szCs w:val="21"/>
                <w:highlight w:val="none"/>
                <w:lang w:val="en-US" w:eastAsia="zh-CN"/>
              </w:rPr>
              <w:t>=0.0227t/a。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lang w:val="en-US" w:eastAsia="zh-CN"/>
              </w:rPr>
            </w:pPr>
            <w:r>
              <w:rPr>
                <w:rFonts w:hint="default" w:ascii="Times New Roman" w:hAnsi="Times New Roman" w:eastAsia="宋体" w:cs="Times New Roman"/>
                <w:b w:val="0"/>
                <w:bCs/>
                <w:color w:val="auto"/>
                <w:sz w:val="24"/>
                <w:szCs w:val="21"/>
                <w:lang w:eastAsia="zh-CN"/>
              </w:rPr>
              <w:t>蓬溪经开区</w:t>
            </w:r>
            <w:r>
              <w:rPr>
                <w:rFonts w:hint="default" w:ascii="Times New Roman" w:hAnsi="Times New Roman" w:eastAsia="宋体" w:cs="Times New Roman"/>
                <w:b w:val="0"/>
                <w:bCs/>
                <w:color w:val="auto"/>
                <w:sz w:val="24"/>
                <w:szCs w:val="21"/>
                <w:highlight w:val="none"/>
              </w:rPr>
              <w:t>污水处理厂</w:t>
            </w:r>
            <w:r>
              <w:rPr>
                <w:rFonts w:hint="default" w:ascii="Times New Roman" w:hAnsi="Times New Roman" w:eastAsia="宋体" w:cs="Times New Roman"/>
                <w:b w:val="0"/>
                <w:bCs/>
                <w:color w:val="auto"/>
                <w:sz w:val="24"/>
                <w:szCs w:val="21"/>
                <w:highlight w:val="none"/>
                <w:lang w:val="en-US" w:eastAsia="zh-CN"/>
              </w:rPr>
              <w:t>排口：</w:t>
            </w:r>
          </w:p>
          <w:p>
            <w:pPr>
              <w:widowControl/>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COD：</w:t>
            </w:r>
            <w:r>
              <w:rPr>
                <w:rFonts w:hint="default" w:ascii="Times New Roman" w:hAnsi="Times New Roman" w:eastAsia="宋体" w:cs="Times New Roman"/>
                <w:color w:val="auto"/>
                <w:kern w:val="0"/>
                <w:sz w:val="24"/>
                <w:szCs w:val="24"/>
                <w:lang w:val="en-US" w:eastAsia="zh-CN"/>
              </w:rPr>
              <w:t>505.5</w:t>
            </w:r>
            <w:r>
              <w:rPr>
                <w:rFonts w:hint="default" w:ascii="Times New Roman" w:hAnsi="Times New Roman" w:eastAsia="宋体" w:cs="Times New Roman"/>
                <w:color w:val="auto"/>
                <w:sz w:val="24"/>
                <w:szCs w:val="21"/>
                <w:highlight w:val="none"/>
                <w:lang w:val="en-US" w:eastAsia="zh-CN"/>
              </w:rPr>
              <w:t>t/a</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50</w:t>
            </w:r>
            <w:r>
              <w:rPr>
                <w:rFonts w:hint="default" w:ascii="Times New Roman" w:hAnsi="Times New Roman" w:eastAsia="宋体" w:cs="Times New Roman"/>
                <w:color w:val="auto"/>
                <w:sz w:val="24"/>
                <w:szCs w:val="21"/>
                <w:highlight w:val="none"/>
              </w:rPr>
              <w:t>mg/L×10</w:t>
            </w:r>
            <w:r>
              <w:rPr>
                <w:rFonts w:hint="default" w:ascii="Times New Roman" w:hAnsi="Times New Roman" w:eastAsia="宋体" w:cs="Times New Roman"/>
                <w:color w:val="auto"/>
                <w:sz w:val="24"/>
                <w:szCs w:val="21"/>
                <w:highlight w:val="none"/>
                <w:vertAlign w:val="superscript"/>
              </w:rPr>
              <w:t>-6</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0.0253</w:t>
            </w:r>
            <w:r>
              <w:rPr>
                <w:rFonts w:hint="default" w:ascii="Times New Roman" w:hAnsi="Times New Roman" w:eastAsia="宋体" w:cs="Times New Roman"/>
                <w:color w:val="auto"/>
                <w:sz w:val="24"/>
                <w:szCs w:val="21"/>
                <w:highlight w:val="none"/>
              </w:rPr>
              <w:t>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1"/>
                <w:highlight w:val="none"/>
              </w:rPr>
              <w:t>NH</w:t>
            </w:r>
            <w:r>
              <w:rPr>
                <w:rFonts w:hint="default" w:ascii="Times New Roman" w:hAnsi="Times New Roman" w:eastAsia="宋体" w:cs="Times New Roman"/>
                <w:color w:val="auto"/>
                <w:sz w:val="24"/>
                <w:szCs w:val="21"/>
                <w:highlight w:val="none"/>
                <w:vertAlign w:val="subscript"/>
              </w:rPr>
              <w:t>3</w:t>
            </w:r>
            <w:r>
              <w:rPr>
                <w:rFonts w:hint="default" w:ascii="Times New Roman" w:hAnsi="Times New Roman" w:eastAsia="宋体" w:cs="Times New Roman"/>
                <w:color w:val="auto"/>
                <w:sz w:val="24"/>
                <w:szCs w:val="21"/>
                <w:highlight w:val="none"/>
              </w:rPr>
              <w:t>-N：</w:t>
            </w:r>
            <w:r>
              <w:rPr>
                <w:rFonts w:hint="default" w:ascii="Times New Roman" w:hAnsi="Times New Roman" w:eastAsia="宋体" w:cs="Times New Roman"/>
                <w:color w:val="auto"/>
                <w:kern w:val="0"/>
                <w:sz w:val="24"/>
                <w:szCs w:val="24"/>
                <w:lang w:val="en-US" w:eastAsia="zh-CN"/>
              </w:rPr>
              <w:t>505.5</w:t>
            </w:r>
            <w:r>
              <w:rPr>
                <w:rFonts w:hint="default" w:ascii="Times New Roman" w:hAnsi="Times New Roman" w:eastAsia="宋体" w:cs="Times New Roman"/>
                <w:color w:val="auto"/>
                <w:sz w:val="24"/>
                <w:szCs w:val="21"/>
                <w:highlight w:val="none"/>
                <w:lang w:val="en-US" w:eastAsia="zh-CN"/>
              </w:rPr>
              <w:t>t/a</w:t>
            </w:r>
            <w:r>
              <w:rPr>
                <w:rFonts w:hint="default" w:ascii="Times New Roman" w:hAnsi="Times New Roman" w:eastAsia="宋体" w:cs="Times New Roman"/>
                <w:color w:val="auto"/>
                <w:sz w:val="24"/>
                <w:szCs w:val="21"/>
                <w:highlight w:val="none"/>
              </w:rPr>
              <w:t>×</w:t>
            </w:r>
            <w:r>
              <w:rPr>
                <w:rFonts w:hint="default" w:ascii="Times New Roman" w:hAnsi="Times New Roman" w:eastAsia="宋体" w:cs="Times New Roman"/>
                <w:color w:val="auto"/>
                <w:sz w:val="24"/>
                <w:szCs w:val="21"/>
                <w:highlight w:val="none"/>
                <w:lang w:val="en-US" w:eastAsia="zh-CN"/>
              </w:rPr>
              <w:t>5</w:t>
            </w:r>
            <w:r>
              <w:rPr>
                <w:rFonts w:hint="default" w:ascii="Times New Roman" w:hAnsi="Times New Roman" w:eastAsia="宋体" w:cs="Times New Roman"/>
                <w:color w:val="auto"/>
                <w:sz w:val="24"/>
                <w:szCs w:val="21"/>
                <w:highlight w:val="none"/>
              </w:rPr>
              <w:t>mg/L×10</w:t>
            </w:r>
            <w:r>
              <w:rPr>
                <w:rFonts w:hint="default" w:ascii="Times New Roman" w:hAnsi="Times New Roman" w:eastAsia="宋体" w:cs="Times New Roman"/>
                <w:color w:val="auto"/>
                <w:sz w:val="24"/>
                <w:szCs w:val="21"/>
                <w:highlight w:val="none"/>
                <w:vertAlign w:val="superscript"/>
              </w:rPr>
              <w:t>-6</w:t>
            </w:r>
            <w:r>
              <w:rPr>
                <w:rFonts w:hint="default" w:ascii="Times New Roman" w:hAnsi="Times New Roman" w:eastAsia="宋体" w:cs="Times New Roman"/>
                <w:color w:val="auto"/>
                <w:sz w:val="24"/>
                <w:szCs w:val="21"/>
                <w:highlight w:val="none"/>
              </w:rPr>
              <w:t>=0.</w:t>
            </w:r>
            <w:r>
              <w:rPr>
                <w:rFonts w:hint="default" w:ascii="Times New Roman" w:hAnsi="Times New Roman" w:eastAsia="宋体" w:cs="Times New Roman"/>
                <w:color w:val="auto"/>
                <w:sz w:val="24"/>
                <w:szCs w:val="21"/>
                <w:highlight w:val="none"/>
                <w:lang w:val="en-US" w:eastAsia="zh-CN"/>
              </w:rPr>
              <w:t>0025</w:t>
            </w:r>
            <w:r>
              <w:rPr>
                <w:rFonts w:hint="default" w:ascii="Times New Roman" w:hAnsi="Times New Roman" w:eastAsia="宋体" w:cs="Times New Roman"/>
                <w:color w:val="auto"/>
                <w:sz w:val="24"/>
                <w:szCs w:val="21"/>
                <w:highlight w:val="none"/>
              </w:rPr>
              <w:t>t/a。</w:t>
            </w:r>
          </w:p>
          <w:p>
            <w:pPr>
              <w:pageBreakBefore w:val="0"/>
              <w:kinsoku/>
              <w:bidi w:val="0"/>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全厂废水</w:t>
            </w:r>
            <w:r>
              <w:rPr>
                <w:rFonts w:hint="default" w:ascii="Times New Roman" w:hAnsi="Times New Roman" w:eastAsia="宋体" w:cs="Times New Roman"/>
                <w:b w:val="0"/>
                <w:bCs/>
                <w:color w:val="auto"/>
                <w:sz w:val="24"/>
                <w:szCs w:val="21"/>
                <w:highlight w:val="none"/>
                <w:lang w:val="en-US" w:eastAsia="zh-CN"/>
              </w:rPr>
              <w:t>总量控制指标见下表。</w:t>
            </w:r>
          </w:p>
          <w:p>
            <w:pPr>
              <w:widowControl w:val="0"/>
              <w:numPr>
                <w:ilvl w:val="0"/>
                <w:numId w:val="0"/>
              </w:numPr>
              <w:tabs>
                <w:tab w:val="left" w:pos="0"/>
              </w:tabs>
              <w:spacing w:line="360" w:lineRule="auto"/>
              <w:ind w:left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bCs/>
                <w:color w:val="auto"/>
                <w:kern w:val="2"/>
                <w:sz w:val="21"/>
                <w:szCs w:val="20"/>
                <w:lang w:val="en-US" w:eastAsia="zh-CN" w:bidi="ar-SA"/>
              </w:rPr>
              <w:t>表</w:t>
            </w:r>
            <w:r>
              <w:rPr>
                <w:rFonts w:hint="eastAsia" w:ascii="Times New Roman" w:hAnsi="Times New Roman" w:eastAsia="宋体" w:cs="Times New Roman"/>
                <w:b/>
                <w:bCs/>
                <w:color w:val="auto"/>
                <w:kern w:val="2"/>
                <w:sz w:val="21"/>
                <w:szCs w:val="20"/>
                <w:lang w:val="en-US" w:eastAsia="zh-CN" w:bidi="ar-SA"/>
              </w:rPr>
              <w:t>3-14</w:t>
            </w:r>
            <w:r>
              <w:rPr>
                <w:rFonts w:hint="default" w:ascii="Times New Roman" w:hAnsi="Times New Roman" w:eastAsia="宋体" w:cs="Times New Roman"/>
                <w:b/>
                <w:bCs/>
                <w:color w:val="auto"/>
                <w:kern w:val="2"/>
                <w:sz w:val="21"/>
                <w:szCs w:val="20"/>
                <w:lang w:val="en-US" w:eastAsia="zh-CN" w:bidi="ar-SA"/>
              </w:rPr>
              <w:t xml:space="preserve">  </w:t>
            </w:r>
            <w:r>
              <w:rPr>
                <w:rFonts w:hint="default" w:ascii="Times New Roman" w:hAnsi="Times New Roman" w:eastAsia="宋体" w:cs="Times New Roman"/>
                <w:b/>
                <w:color w:val="auto"/>
                <w:kern w:val="0"/>
                <w:sz w:val="21"/>
                <w:szCs w:val="21"/>
                <w:lang w:val="en-US" w:eastAsia="zh-CN" w:bidi="ar-SA"/>
              </w:rPr>
              <w:t>项目废水污染物排放总量控制指标</w:t>
            </w:r>
          </w:p>
          <w:tbl>
            <w:tblPr>
              <w:tblStyle w:val="39"/>
              <w:tblW w:w="80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2"/>
              <w:gridCol w:w="693"/>
              <w:gridCol w:w="951"/>
              <w:gridCol w:w="1185"/>
              <w:gridCol w:w="1600"/>
              <w:gridCol w:w="1366"/>
              <w:gridCol w:w="1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026" w:type="dxa"/>
                  <w:gridSpan w:val="3"/>
                  <w:vMerge w:val="restart"/>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0"/>
                      <w:sz w:val="21"/>
                      <w:szCs w:val="21"/>
                    </w:rPr>
                    <w:t>污染物名称</w:t>
                  </w:r>
                </w:p>
              </w:tc>
              <w:tc>
                <w:tcPr>
                  <w:tcW w:w="5993" w:type="dxa"/>
                  <w:gridSpan w:val="4"/>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总量控制指标（t/a）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026" w:type="dxa"/>
                  <w:gridSpan w:val="3"/>
                  <w:vMerge w:val="continue"/>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szCs w:val="21"/>
                    </w:rPr>
                  </w:pPr>
                </w:p>
              </w:tc>
              <w:tc>
                <w:tcPr>
                  <w:tcW w:w="1185"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现有项目</w:t>
                  </w:r>
                </w:p>
              </w:tc>
              <w:tc>
                <w:tcPr>
                  <w:tcW w:w="1600"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本项目</w:t>
                  </w:r>
                </w:p>
              </w:tc>
              <w:tc>
                <w:tcPr>
                  <w:tcW w:w="13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全厂</w:t>
                  </w:r>
                </w:p>
              </w:tc>
              <w:tc>
                <w:tcPr>
                  <w:tcW w:w="1842"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现有项目已取得总量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82" w:type="dxa"/>
                  <w:vMerge w:val="restart"/>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废水</w:t>
                  </w:r>
                </w:p>
              </w:tc>
              <w:tc>
                <w:tcPr>
                  <w:tcW w:w="693" w:type="dxa"/>
                  <w:vMerge w:val="restart"/>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企业排口</w:t>
                  </w:r>
                </w:p>
              </w:tc>
              <w:tc>
                <w:tcPr>
                  <w:tcW w:w="951"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p>
              </w:tc>
              <w:tc>
                <w:tcPr>
                  <w:tcW w:w="1185"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0.8568</w:t>
                  </w:r>
                </w:p>
              </w:tc>
              <w:tc>
                <w:tcPr>
                  <w:tcW w:w="1600"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0.2528</w:t>
                  </w:r>
                </w:p>
              </w:tc>
              <w:tc>
                <w:tcPr>
                  <w:tcW w:w="13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1.1096</w:t>
                  </w:r>
                </w:p>
              </w:tc>
              <w:tc>
                <w:tcPr>
                  <w:tcW w:w="1842"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82"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p>
              </w:tc>
              <w:tc>
                <w:tcPr>
                  <w:tcW w:w="693"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p>
              </w:tc>
              <w:tc>
                <w:tcPr>
                  <w:tcW w:w="951"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1185"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0.0771</w:t>
                  </w:r>
                </w:p>
              </w:tc>
              <w:tc>
                <w:tcPr>
                  <w:tcW w:w="1600"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0.0227</w:t>
                  </w:r>
                </w:p>
              </w:tc>
              <w:tc>
                <w:tcPr>
                  <w:tcW w:w="13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0.0998</w:t>
                  </w:r>
                </w:p>
              </w:tc>
              <w:tc>
                <w:tcPr>
                  <w:tcW w:w="1842"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82"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p>
              </w:tc>
              <w:tc>
                <w:tcPr>
                  <w:tcW w:w="693" w:type="dxa"/>
                  <w:vMerge w:val="restart"/>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污水处理厂排口</w:t>
                  </w:r>
                </w:p>
              </w:tc>
              <w:tc>
                <w:tcPr>
                  <w:tcW w:w="951"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COD</w:t>
                  </w:r>
                  <w:r>
                    <w:rPr>
                      <w:rFonts w:hint="default" w:ascii="Times New Roman" w:hAnsi="Times New Roman" w:eastAsia="宋体" w:cs="Times New Roman"/>
                      <w:color w:val="auto"/>
                      <w:kern w:val="0"/>
                      <w:sz w:val="21"/>
                      <w:szCs w:val="21"/>
                      <w:vertAlign w:val="subscript"/>
                    </w:rPr>
                    <w:t>cr</w:t>
                  </w:r>
                </w:p>
              </w:tc>
              <w:tc>
                <w:tcPr>
                  <w:tcW w:w="1185"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0.0857</w:t>
                  </w:r>
                </w:p>
              </w:tc>
              <w:tc>
                <w:tcPr>
                  <w:tcW w:w="1600"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0.0253</w:t>
                  </w:r>
                </w:p>
              </w:tc>
              <w:tc>
                <w:tcPr>
                  <w:tcW w:w="13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0.111</w:t>
                  </w:r>
                </w:p>
              </w:tc>
              <w:tc>
                <w:tcPr>
                  <w:tcW w:w="1842"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82"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p>
              </w:tc>
              <w:tc>
                <w:tcPr>
                  <w:tcW w:w="693"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p>
              </w:tc>
              <w:tc>
                <w:tcPr>
                  <w:tcW w:w="951"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1185"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0.0086</w:t>
                  </w:r>
                </w:p>
              </w:tc>
              <w:tc>
                <w:tcPr>
                  <w:tcW w:w="1600"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0.0025</w:t>
                  </w:r>
                </w:p>
              </w:tc>
              <w:tc>
                <w:tcPr>
                  <w:tcW w:w="13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0.0111</w:t>
                  </w:r>
                </w:p>
              </w:tc>
              <w:tc>
                <w:tcPr>
                  <w:tcW w:w="1842"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0.017</w:t>
                  </w:r>
                </w:p>
              </w:tc>
            </w:tr>
          </w:tbl>
          <w:p>
            <w:pPr>
              <w:adjustRightInd w:val="0"/>
              <w:spacing w:line="360" w:lineRule="auto"/>
              <w:ind w:firstLine="480" w:firstLineChars="200"/>
              <w:rPr>
                <w:rFonts w:hint="default" w:ascii="Times New Roman" w:hAnsi="Times New Roman" w:eastAsia="宋体" w:cs="Times New Roman"/>
                <w:color w:val="auto"/>
                <w:sz w:val="24"/>
                <w:szCs w:val="21"/>
                <w:highlight w:val="none"/>
                <w:lang w:val="en-GB" w:eastAsia="zh-CN"/>
              </w:rPr>
            </w:pPr>
            <w:r>
              <w:rPr>
                <w:rFonts w:hint="default" w:ascii="Times New Roman" w:hAnsi="Times New Roman" w:eastAsia="宋体" w:cs="Times New Roman"/>
                <w:color w:val="auto"/>
                <w:sz w:val="24"/>
                <w:szCs w:val="21"/>
                <w:highlight w:val="none"/>
                <w:lang w:val="en-GB" w:eastAsia="zh-CN"/>
              </w:rPr>
              <w:t>（</w:t>
            </w:r>
            <w:r>
              <w:rPr>
                <w:rFonts w:hint="default" w:ascii="Times New Roman" w:hAnsi="Times New Roman" w:eastAsia="宋体" w:cs="Times New Roman"/>
                <w:color w:val="auto"/>
                <w:sz w:val="24"/>
                <w:szCs w:val="21"/>
                <w:highlight w:val="none"/>
                <w:lang w:val="en-US" w:eastAsia="zh-CN"/>
              </w:rPr>
              <w:t>2</w:t>
            </w:r>
            <w:r>
              <w:rPr>
                <w:rFonts w:hint="default" w:ascii="Times New Roman" w:hAnsi="Times New Roman" w:eastAsia="宋体" w:cs="Times New Roman"/>
                <w:color w:val="auto"/>
                <w:sz w:val="24"/>
                <w:szCs w:val="21"/>
                <w:highlight w:val="none"/>
                <w:lang w:val="en-GB" w:eastAsia="zh-CN"/>
              </w:rPr>
              <w:t>）废气</w:t>
            </w:r>
          </w:p>
          <w:p>
            <w:pPr>
              <w:pageBreakBefore w:val="0"/>
              <w:kinsoku/>
              <w:bidi w:val="0"/>
              <w:spacing w:line="360" w:lineRule="auto"/>
              <w:ind w:firstLine="480" w:firstLineChars="200"/>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color w:val="auto"/>
                <w:kern w:val="0"/>
                <w:sz w:val="24"/>
                <w:szCs w:val="24"/>
                <w:lang w:eastAsia="zh-CN"/>
              </w:rPr>
              <w:t>全厂</w:t>
            </w:r>
            <w:r>
              <w:rPr>
                <w:rFonts w:hint="default" w:ascii="Times New Roman" w:hAnsi="Times New Roman" w:eastAsia="宋体" w:cs="Times New Roman"/>
                <w:color w:val="auto"/>
                <w:kern w:val="0"/>
                <w:sz w:val="24"/>
                <w:szCs w:val="24"/>
              </w:rPr>
              <w:t>废气污染物排放总量控制指标如下：</w:t>
            </w:r>
          </w:p>
          <w:p>
            <w:pPr>
              <w:pageBreakBefore w:val="0"/>
              <w:kinsoku/>
              <w:bidi w:val="0"/>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eastAsia" w:ascii="Times New Roman" w:hAnsi="Times New Roman" w:eastAsia="宋体" w:cs="Times New Roman"/>
                <w:b/>
                <w:color w:val="auto"/>
                <w:kern w:val="0"/>
                <w:sz w:val="21"/>
                <w:szCs w:val="21"/>
                <w:lang w:val="en-US" w:eastAsia="zh-CN"/>
              </w:rPr>
              <w:t>3-15</w:t>
            </w:r>
            <w:r>
              <w:rPr>
                <w:rFonts w:hint="default" w:ascii="Times New Roman" w:hAnsi="Times New Roman" w:eastAsia="宋体" w:cs="Times New Roman"/>
                <w:b/>
                <w:color w:val="auto"/>
                <w:kern w:val="0"/>
                <w:sz w:val="21"/>
                <w:szCs w:val="21"/>
              </w:rPr>
              <w:t xml:space="preserve">  项目废气污染物排放总量控制指标</w:t>
            </w:r>
          </w:p>
          <w:tbl>
            <w:tblPr>
              <w:tblStyle w:val="39"/>
              <w:tblW w:w="79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7"/>
              <w:gridCol w:w="1336"/>
              <w:gridCol w:w="1466"/>
              <w:gridCol w:w="1224"/>
              <w:gridCol w:w="1114"/>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3" w:type="dxa"/>
                  <w:gridSpan w:val="2"/>
                  <w:vMerge w:val="restart"/>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0"/>
                      <w:sz w:val="21"/>
                      <w:szCs w:val="21"/>
                    </w:rPr>
                    <w:t>污染物名称</w:t>
                  </w:r>
                </w:p>
              </w:tc>
              <w:tc>
                <w:tcPr>
                  <w:tcW w:w="5861" w:type="dxa"/>
                  <w:gridSpan w:val="4"/>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rPr>
                    <w:t>总量控制指标（t/a）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13" w:type="dxa"/>
                  <w:gridSpan w:val="2"/>
                  <w:vMerge w:val="continue"/>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color w:val="auto"/>
                      <w:szCs w:val="21"/>
                    </w:rPr>
                  </w:pPr>
                </w:p>
              </w:tc>
              <w:tc>
                <w:tcPr>
                  <w:tcW w:w="1466"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现有项目</w:t>
                  </w:r>
                </w:p>
              </w:tc>
              <w:tc>
                <w:tcPr>
                  <w:tcW w:w="1224"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本项目</w:t>
                  </w:r>
                </w:p>
              </w:tc>
              <w:tc>
                <w:tcPr>
                  <w:tcW w:w="1114"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全厂</w:t>
                  </w:r>
                </w:p>
              </w:tc>
              <w:tc>
                <w:tcPr>
                  <w:tcW w:w="2057" w:type="dxa"/>
                  <w:tcBorders>
                    <w:tl2br w:val="nil"/>
                    <w:tr2bl w:val="nil"/>
                  </w:tcBorders>
                  <w:noWrap w:val="0"/>
                  <w:vAlign w:val="center"/>
                </w:tcPr>
                <w:p>
                  <w:pPr>
                    <w:pageBreakBefore w:val="0"/>
                    <w:kinsoku/>
                    <w:autoSpaceDE w:val="0"/>
                    <w:autoSpaceDN w:val="0"/>
                    <w:bidi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现有项目已取得总量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7" w:type="dxa"/>
                  <w:vMerge w:val="restart"/>
                  <w:tcBorders>
                    <w:tl2br w:val="nil"/>
                    <w:tr2bl w:val="nil"/>
                  </w:tcBorders>
                  <w:noWrap w:val="0"/>
                  <w:vAlign w:val="center"/>
                </w:tcPr>
                <w:p>
                  <w:pPr>
                    <w:keepNext w:val="0"/>
                    <w:keepLines w:val="0"/>
                    <w:pageBreakBefore w:val="0"/>
                    <w:widowControl w:val="0"/>
                    <w:kinsoku/>
                    <w:wordWrap/>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0"/>
                      <w:sz w:val="21"/>
                      <w:szCs w:val="21"/>
                    </w:rPr>
                    <w:t>废气</w:t>
                  </w:r>
                  <w:r>
                    <w:rPr>
                      <w:rFonts w:hint="default" w:ascii="Times New Roman" w:hAnsi="Times New Roman" w:eastAsia="宋体" w:cs="Times New Roman"/>
                      <w:color w:val="auto"/>
                      <w:kern w:val="0"/>
                      <w:sz w:val="21"/>
                      <w:szCs w:val="21"/>
                      <w:lang w:eastAsia="zh-CN"/>
                    </w:rPr>
                    <w:t>（有组织）</w:t>
                  </w:r>
                </w:p>
              </w:tc>
              <w:tc>
                <w:tcPr>
                  <w:tcW w:w="1336"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w:t>
                  </w:r>
                </w:p>
              </w:tc>
              <w:tc>
                <w:tcPr>
                  <w:tcW w:w="1466"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1.1016</w:t>
                  </w:r>
                </w:p>
              </w:tc>
              <w:tc>
                <w:tcPr>
                  <w:tcW w:w="1224"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0.4215</w:t>
                  </w:r>
                </w:p>
              </w:tc>
              <w:tc>
                <w:tcPr>
                  <w:tcW w:w="1114"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1.5231</w:t>
                  </w:r>
                </w:p>
              </w:tc>
              <w:tc>
                <w:tcPr>
                  <w:tcW w:w="2057"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2.223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7" w:type="dxa"/>
                  <w:vMerge w:val="continue"/>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lang w:eastAsia="zh-CN"/>
                    </w:rPr>
                  </w:pPr>
                </w:p>
              </w:tc>
              <w:tc>
                <w:tcPr>
                  <w:tcW w:w="1336"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kern w:val="0"/>
                      <w:sz w:val="21"/>
                      <w:szCs w:val="21"/>
                    </w:rPr>
                    <w:t>NOx</w:t>
                  </w:r>
                </w:p>
              </w:tc>
              <w:tc>
                <w:tcPr>
                  <w:tcW w:w="1466"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14.973</w:t>
                  </w:r>
                </w:p>
              </w:tc>
              <w:tc>
                <w:tcPr>
                  <w:tcW w:w="1224" w:type="dxa"/>
                  <w:tcBorders>
                    <w:tl2br w:val="nil"/>
                    <w:tr2bl w:val="nil"/>
                  </w:tcBorders>
                  <w:noWrap w:val="0"/>
                  <w:vAlign w:val="center"/>
                </w:tcPr>
                <w:p>
                  <w:pPr>
                    <w:pageBreakBefore w:val="0"/>
                    <w:kinsoku/>
                    <w:bidi w:val="0"/>
                    <w:adjustRightInd w:val="0"/>
                    <w:snapToGrid w:val="0"/>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5.739</w:t>
                  </w:r>
                </w:p>
              </w:tc>
              <w:tc>
                <w:tcPr>
                  <w:tcW w:w="1114"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20.712</w:t>
                  </w:r>
                </w:p>
              </w:tc>
              <w:tc>
                <w:tcPr>
                  <w:tcW w:w="20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29.952</w:t>
                  </w:r>
                </w:p>
              </w:tc>
            </w:tr>
          </w:tbl>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widowControl/>
              <w:spacing w:line="360" w:lineRule="auto"/>
              <w:rPr>
                <w:rFonts w:hint="default" w:ascii="Times New Roman" w:hAnsi="Times New Roman" w:cs="Times New Roman"/>
                <w:b/>
                <w:bCs/>
                <w:color w:val="auto"/>
                <w:sz w:val="24"/>
                <w:lang w:eastAsia="zh-CN"/>
              </w:rPr>
            </w:pPr>
          </w:p>
          <w:p>
            <w:pPr>
              <w:tabs>
                <w:tab w:val="left" w:pos="608"/>
              </w:tabs>
              <w:spacing w:line="360" w:lineRule="auto"/>
              <w:ind w:firstLine="480" w:firstLineChars="200"/>
              <w:rPr>
                <w:rFonts w:hint="default" w:ascii="Times New Roman" w:hAnsi="Times New Roman" w:eastAsia="宋体" w:cs="Times New Roman"/>
                <w:color w:val="auto"/>
                <w:sz w:val="24"/>
                <w:highlight w:val="none"/>
              </w:rPr>
            </w:pPr>
          </w:p>
          <w:p>
            <w:pPr>
              <w:pStyle w:val="3"/>
              <w:spacing w:before="120"/>
              <w:rPr>
                <w:rFonts w:hint="default" w:ascii="Times New Roman" w:hAnsi="Times New Roman" w:eastAsia="黑体" w:cs="Times New Roman"/>
                <w:color w:val="auto"/>
                <w:lang w:eastAsia="zh-CN"/>
              </w:rPr>
            </w:pPr>
          </w:p>
        </w:tc>
      </w:tr>
    </w:tbl>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9"/>
        <w:tblW w:w="944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tcMar>
              <w:left w:w="28" w:type="dxa"/>
              <w:right w:w="28" w:type="dxa"/>
            </w:tcMar>
            <w:vAlign w:val="center"/>
          </w:tcPr>
          <w:p>
            <w:pPr>
              <w:pStyle w:val="34"/>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pPr>
              <w:pStyle w:val="34"/>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pPr>
              <w:pStyle w:val="34"/>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pPr>
              <w:pStyle w:val="34"/>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pPr>
              <w:pStyle w:val="34"/>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720" w:type="dxa"/>
            <w:noWrap w:val="0"/>
            <w:vAlign w:val="center"/>
          </w:tcPr>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本项目施工期仅在房屋内进行设备安装，不涉及土建。项目施工期主要治理措施如下：</w:t>
            </w:r>
          </w:p>
          <w:p>
            <w:pPr>
              <w:widowControl/>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szCs w:val="24"/>
                <w:lang w:bidi="ar"/>
              </w:rPr>
              <w:t>（1）施工废气</w:t>
            </w:r>
          </w:p>
          <w:p>
            <w:pPr>
              <w:widowControl/>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本项目施工期间的废气主要来源于扬尘、汽车运输时的汽车尾气和施工机械设备废气。</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bidi="ar"/>
              </w:rPr>
              <w:t>本项目施工现场洒水降尘，及时清扫地面尘土等措施来减少扬尘产生；施工机械进行了定期保养维护，保证了机械的正常使用率，废气产生量较小，对周围环境影响较小；合理安排运输车辆出入厂区，汽车尾气自然消散。</w:t>
            </w:r>
          </w:p>
          <w:p>
            <w:pPr>
              <w:widowControl/>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szCs w:val="24"/>
                <w:lang w:bidi="ar"/>
              </w:rPr>
              <w:t>综上所述，本项目在采取以上防治措施后，其施工期产生的废气可实现达标排放。</w:t>
            </w:r>
          </w:p>
          <w:p>
            <w:pPr>
              <w:widowControl/>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szCs w:val="24"/>
                <w:lang w:bidi="ar"/>
              </w:rPr>
              <w:t>（2）施工废水</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bidi="ar"/>
              </w:rPr>
              <w:t>施工期废水主要为施工人员的生活污水，主要污染物为COD</w:t>
            </w:r>
            <w:r>
              <w:rPr>
                <w:rFonts w:hint="default" w:ascii="Times New Roman" w:hAnsi="Times New Roman" w:cs="Times New Roman"/>
                <w:color w:val="auto"/>
                <w:sz w:val="15"/>
                <w:szCs w:val="15"/>
                <w:lang w:bidi="ar"/>
              </w:rPr>
              <w:t>cr</w:t>
            </w:r>
            <w:r>
              <w:rPr>
                <w:rFonts w:hint="default" w:ascii="Times New Roman" w:hAnsi="Times New Roman" w:cs="Times New Roman"/>
                <w:color w:val="auto"/>
                <w:sz w:val="24"/>
                <w:szCs w:val="24"/>
                <w:lang w:bidi="ar"/>
              </w:rPr>
              <w:t>、BOD</w:t>
            </w:r>
            <w:r>
              <w:rPr>
                <w:rFonts w:hint="default" w:ascii="Times New Roman" w:hAnsi="Times New Roman" w:cs="Times New Roman"/>
                <w:color w:val="auto"/>
                <w:sz w:val="15"/>
                <w:szCs w:val="15"/>
                <w:lang w:bidi="ar"/>
              </w:rPr>
              <w:t>5</w:t>
            </w:r>
            <w:r>
              <w:rPr>
                <w:rFonts w:hint="default" w:ascii="Times New Roman" w:hAnsi="Times New Roman" w:cs="Times New Roman"/>
                <w:color w:val="auto"/>
                <w:sz w:val="24"/>
                <w:szCs w:val="24"/>
                <w:lang w:bidi="ar"/>
              </w:rPr>
              <w:t>、NH</w:t>
            </w:r>
            <w:r>
              <w:rPr>
                <w:rFonts w:hint="default" w:ascii="Times New Roman" w:hAnsi="Times New Roman" w:cs="Times New Roman"/>
                <w:color w:val="auto"/>
                <w:sz w:val="15"/>
                <w:szCs w:val="15"/>
                <w:lang w:bidi="ar"/>
              </w:rPr>
              <w:t>3</w:t>
            </w:r>
            <w:r>
              <w:rPr>
                <w:rFonts w:hint="default" w:ascii="Times New Roman" w:hAnsi="Times New Roman" w:cs="Times New Roman"/>
                <w:color w:val="auto"/>
                <w:sz w:val="24"/>
                <w:szCs w:val="24"/>
                <w:lang w:bidi="ar"/>
              </w:rPr>
              <w:t>-N、SS等。本项目施工期间，工人人数约</w:t>
            </w:r>
            <w:r>
              <w:rPr>
                <w:rFonts w:hint="default" w:ascii="Times New Roman" w:hAnsi="Times New Roman" w:cs="Times New Roman"/>
                <w:color w:val="auto"/>
                <w:sz w:val="24"/>
                <w:szCs w:val="24"/>
                <w:lang w:val="en-US" w:eastAsia="zh-CN" w:bidi="ar"/>
              </w:rPr>
              <w:t>10</w:t>
            </w:r>
            <w:r>
              <w:rPr>
                <w:rFonts w:hint="default" w:ascii="Times New Roman" w:hAnsi="Times New Roman" w:cs="Times New Roman"/>
                <w:color w:val="auto"/>
                <w:sz w:val="24"/>
                <w:szCs w:val="24"/>
                <w:lang w:bidi="ar"/>
              </w:rPr>
              <w:t>人左右，生活废水按排放0.0</w:t>
            </w:r>
            <w:r>
              <w:rPr>
                <w:rFonts w:hint="default" w:ascii="Times New Roman" w:hAnsi="Times New Roman" w:cs="Times New Roman"/>
                <w:color w:val="auto"/>
                <w:sz w:val="24"/>
                <w:szCs w:val="24"/>
                <w:lang w:val="en-US" w:eastAsia="zh-CN" w:bidi="ar"/>
              </w:rPr>
              <w:t>5</w:t>
            </w:r>
            <w:r>
              <w:rPr>
                <w:rFonts w:hint="default" w:ascii="Times New Roman" w:hAnsi="Times New Roman" w:cs="Times New Roman"/>
                <w:color w:val="auto"/>
                <w:sz w:val="24"/>
                <w:szCs w:val="24"/>
                <w:lang w:bidi="ar"/>
              </w:rPr>
              <w:t>m³/人.d计，则生活废水排放量约为</w:t>
            </w:r>
            <w:r>
              <w:rPr>
                <w:rFonts w:hint="default" w:ascii="Times New Roman" w:hAnsi="Times New Roman" w:cs="Times New Roman"/>
                <w:color w:val="auto"/>
                <w:sz w:val="24"/>
                <w:szCs w:val="24"/>
                <w:lang w:val="en-US" w:eastAsia="zh-CN" w:bidi="ar"/>
              </w:rPr>
              <w:t>0.5</w:t>
            </w:r>
            <w:r>
              <w:rPr>
                <w:rFonts w:hint="default" w:ascii="Times New Roman" w:hAnsi="Times New Roman" w:cs="Times New Roman"/>
                <w:color w:val="auto"/>
                <w:sz w:val="24"/>
                <w:szCs w:val="24"/>
                <w:lang w:bidi="ar"/>
              </w:rPr>
              <w:t>m³/d，生活污水进入</w:t>
            </w:r>
            <w:r>
              <w:rPr>
                <w:rFonts w:hint="default" w:ascii="Times New Roman" w:hAnsi="Times New Roman" w:cs="Times New Roman"/>
                <w:color w:val="auto"/>
                <w:sz w:val="24"/>
                <w:szCs w:val="24"/>
                <w:lang w:eastAsia="zh-CN" w:bidi="ar"/>
              </w:rPr>
              <w:t>厂区已建预处理池</w:t>
            </w:r>
            <w:r>
              <w:rPr>
                <w:rFonts w:hint="default" w:ascii="Times New Roman" w:hAnsi="Times New Roman" w:cs="Times New Roman"/>
                <w:color w:val="auto"/>
                <w:sz w:val="24"/>
                <w:szCs w:val="24"/>
                <w:lang w:bidi="ar"/>
              </w:rPr>
              <w:t>进行处理，处理达标后排放。</w:t>
            </w:r>
          </w:p>
          <w:p>
            <w:pPr>
              <w:widowControl/>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szCs w:val="24"/>
                <w:lang w:bidi="ar"/>
              </w:rPr>
              <w:t>（3）施工噪声</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bidi="ar"/>
              </w:rPr>
              <w:t>1）噪声源强</w:t>
            </w:r>
          </w:p>
          <w:p>
            <w:pPr>
              <w:widowControl/>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本项目施工期使用的施工机械，其噪声值在</w:t>
            </w:r>
            <w:r>
              <w:rPr>
                <w:rFonts w:hint="default" w:ascii="Times New Roman" w:hAnsi="Times New Roman" w:cs="Times New Roman"/>
                <w:color w:val="auto"/>
                <w:sz w:val="24"/>
                <w:szCs w:val="24"/>
                <w:lang w:val="en-US" w:eastAsia="zh-CN" w:bidi="ar"/>
              </w:rPr>
              <w:t>95</w:t>
            </w:r>
            <w:r>
              <w:rPr>
                <w:rFonts w:hint="default" w:ascii="Times New Roman" w:hAnsi="Times New Roman" w:cs="Times New Roman"/>
                <w:color w:val="auto"/>
                <w:sz w:val="24"/>
                <w:szCs w:val="24"/>
                <w:lang w:bidi="ar"/>
              </w:rPr>
              <w:t>dB（A）左右。施工单位需严格按照相关要求进行施工，施工期间场界噪声必须满足《建筑施工场界环境噪声排放标准》（GB12523-2011）的要求。为防止施工期对项目周围声环境的影响，本次环评要求施工单位应进一步落实以下噪声防治措施：</w:t>
            </w:r>
          </w:p>
          <w:p>
            <w:pPr>
              <w:widowControl/>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①文明施工，装卸、搬运设备、材料等严禁抛掷；</w:t>
            </w:r>
          </w:p>
          <w:p>
            <w:pPr>
              <w:widowControl/>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②合理安排施工时间，尽量将电钻、切割机等强噪声作业安排在白天进行，杜绝夜间（22</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bidi="ar"/>
              </w:rPr>
              <w:t>00－6</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bidi="ar"/>
              </w:rPr>
              <w:t>00）施工。</w:t>
            </w:r>
          </w:p>
          <w:p>
            <w:pPr>
              <w:widowControl/>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采取上述措施后，施工噪声经距离衰减，大大减小了对外环境的影响，场界噪声能够满足《建筑施工场界环境噪声排放标准》（GB12523-2011）标准要求。</w:t>
            </w:r>
          </w:p>
          <w:p>
            <w:pPr>
              <w:widowControl/>
              <w:spacing w:line="360" w:lineRule="auto"/>
              <w:ind w:firstLine="482" w:firstLineChars="200"/>
              <w:rPr>
                <w:rFonts w:hint="default" w:ascii="Times New Roman" w:hAnsi="Times New Roman" w:cs="Times New Roman"/>
                <w:b/>
                <w:bCs/>
                <w:color w:val="auto"/>
                <w:sz w:val="24"/>
                <w:szCs w:val="24"/>
                <w:lang w:bidi="ar"/>
              </w:rPr>
            </w:pPr>
            <w:r>
              <w:rPr>
                <w:rFonts w:hint="default" w:ascii="Times New Roman" w:hAnsi="Times New Roman" w:cs="Times New Roman"/>
                <w:b/>
                <w:bCs/>
                <w:color w:val="auto"/>
                <w:sz w:val="24"/>
                <w:szCs w:val="24"/>
                <w:lang w:bidi="ar"/>
              </w:rPr>
              <w:t>（4）固体废物</w:t>
            </w:r>
          </w:p>
          <w:p>
            <w:pPr>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kern w:val="0"/>
                <w:sz w:val="24"/>
                <w:szCs w:val="20"/>
              </w:rPr>
              <w:t>本项目施工人数按</w:t>
            </w:r>
            <w:r>
              <w:rPr>
                <w:rFonts w:hint="eastAsia" w:cs="Times New Roman"/>
                <w:color w:val="auto"/>
                <w:kern w:val="0"/>
                <w:sz w:val="24"/>
                <w:szCs w:val="20"/>
                <w:lang w:val="en-US" w:eastAsia="zh-CN"/>
              </w:rPr>
              <w:t>10</w:t>
            </w:r>
            <w:r>
              <w:rPr>
                <w:rFonts w:hint="default" w:ascii="Times New Roman" w:hAnsi="Times New Roman" w:cs="Times New Roman"/>
                <w:color w:val="auto"/>
                <w:kern w:val="0"/>
                <w:sz w:val="24"/>
                <w:szCs w:val="20"/>
              </w:rPr>
              <w:t>人计算，生活垃圾按0.5kg/人﹒d，则施工期生活垃圾产生量为</w:t>
            </w:r>
            <w:r>
              <w:rPr>
                <w:rFonts w:hint="eastAsia" w:cs="Times New Roman"/>
                <w:color w:val="auto"/>
                <w:kern w:val="0"/>
                <w:sz w:val="24"/>
                <w:szCs w:val="20"/>
                <w:lang w:val="en-US" w:eastAsia="zh-CN"/>
              </w:rPr>
              <w:t>5.0</w:t>
            </w:r>
            <w:r>
              <w:rPr>
                <w:rFonts w:hint="default" w:ascii="Times New Roman" w:hAnsi="Times New Roman" w:cs="Times New Roman"/>
                <w:color w:val="auto"/>
                <w:kern w:val="0"/>
                <w:sz w:val="24"/>
                <w:szCs w:val="20"/>
              </w:rPr>
              <w:t>kg/d，依托厂区内设置的垃圾桶集中收集；</w:t>
            </w:r>
            <w:r>
              <w:rPr>
                <w:rFonts w:hint="default" w:ascii="Times New Roman" w:hAnsi="Times New Roman" w:cs="Times New Roman"/>
                <w:color w:val="auto"/>
                <w:sz w:val="24"/>
              </w:rPr>
              <w:t>少量建渣在施工完成后清运交指定渣场处置；</w:t>
            </w:r>
            <w:r>
              <w:rPr>
                <w:rFonts w:hint="default" w:ascii="Times New Roman" w:hAnsi="Times New Roman" w:cs="Times New Roman"/>
                <w:color w:val="auto"/>
                <w:kern w:val="0"/>
                <w:sz w:val="24"/>
                <w:szCs w:val="20"/>
              </w:rPr>
              <w:t>装修用的废装修材料，外售废品收购站回收利用。</w:t>
            </w:r>
          </w:p>
          <w:p>
            <w:pPr>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cs="Times New Roman"/>
                <w:color w:val="auto"/>
                <w:sz w:val="24"/>
                <w:szCs w:val="24"/>
                <w:lang w:bidi="ar"/>
              </w:rPr>
              <w:t>综上所述，项目施工期在严格落实本环评提出的上述措施后，其施工期产生的各种污染可以得到大大降低。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jc w:val="center"/>
        </w:trPr>
        <w:tc>
          <w:tcPr>
            <w:tcW w:w="723"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720" w:type="dxa"/>
            <w:noWrap w:val="0"/>
            <w:vAlign w:val="top"/>
          </w:tcPr>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一、废气</w:t>
            </w:r>
          </w:p>
          <w:p>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本项目运营期产生的废气主要有削片粉尘、粉碎粉尘、风选粉尘、裁边砂光粉尘、拌胶热压废气、导热油炉废气、甲醛储罐废气、制胶废气、燃气锅炉废气。</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削片粉尘：进行湿式作业，并设喷雾装置处理</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粉碎粉尘：依托现有旋风除尘器+脉冲式布袋除尘器处理，由1根15m排气筒（2#）排放</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风选粉尘：设置管道进行密闭负压抽风，通入旋风除尘器+脉冲布袋除尘器处理，经1根15m高排气筒（4#）排放</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裁边砂光粉尘：设置集气罩收集，经过脉冲式布袋除尘器处理，由1根15m排气筒（5#）排放</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拌胶热压废气、导热油炉废气：引入热能中心燃烧处理，经干燥后引入现有旋风除尘+水膜除尘处理，经1根25m高排气筒（1#）排放</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甲醛储罐废气：引入一套活性炭吸附装置处理，经1根15m高排气筒（6#）排放</w:t>
            </w:r>
            <w:r>
              <w:rPr>
                <w:rFonts w:hint="eastAsia" w:ascii="Times New Roman" w:hAnsi="Times New Roman" w:eastAsia="宋体" w:cs="Times New Roman"/>
                <w:color w:val="auto"/>
                <w:sz w:val="24"/>
                <w:lang w:eastAsia="zh-CN"/>
              </w:rPr>
              <w:t>。</w:t>
            </w:r>
          </w:p>
          <w:p>
            <w:pPr>
              <w:spacing w:line="360" w:lineRule="auto"/>
              <w:ind w:firstLine="480" w:firstLineChars="200"/>
              <w:contextualSpacing/>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制胶废气、燃气锅炉废气：制胶反应釜设置密闭管道，将制胶废气引至天然气锅炉低氮燃烧装置，燃烧后经1根15m排气筒（7#）排放。</w:t>
            </w:r>
          </w:p>
          <w:p>
            <w:pPr>
              <w:spacing w:line="360" w:lineRule="auto"/>
              <w:ind w:firstLine="482" w:firstLineChars="200"/>
              <w:rPr>
                <w:b/>
                <w:bCs/>
                <w:color w:val="auto"/>
                <w:sz w:val="24"/>
                <w:highlight w:val="none"/>
              </w:rPr>
            </w:pPr>
            <w:r>
              <w:rPr>
                <w:b/>
                <w:bCs/>
                <w:color w:val="auto"/>
                <w:sz w:val="24"/>
                <w:highlight w:val="none"/>
              </w:rPr>
              <w:t>综上所述，采取上述措施后，项目产生的大气污染物</w:t>
            </w:r>
            <w:r>
              <w:rPr>
                <w:rFonts w:hint="eastAsia"/>
                <w:b/>
                <w:bCs/>
                <w:color w:val="auto"/>
                <w:sz w:val="24"/>
                <w:highlight w:val="none"/>
                <w:lang w:eastAsia="zh-CN"/>
              </w:rPr>
              <w:t>能达标排放，</w:t>
            </w:r>
            <w:r>
              <w:rPr>
                <w:b/>
                <w:bCs/>
                <w:color w:val="auto"/>
                <w:sz w:val="24"/>
                <w:highlight w:val="none"/>
              </w:rPr>
              <w:t>对环境影响较小。同时，本项目外环境相对简单，项目的建设对周围大气环境影响较小。</w:t>
            </w:r>
          </w:p>
          <w:p>
            <w:pPr>
              <w:spacing w:line="360" w:lineRule="auto"/>
              <w:ind w:firstLine="482" w:firstLineChars="200"/>
              <w:rPr>
                <w:rFonts w:hint="default" w:ascii="Times New Roman" w:hAnsi="Times New Roman" w:cs="Times New Roman"/>
                <w:b/>
                <w:color w:val="auto"/>
                <w:sz w:val="24"/>
                <w:highlight w:val="yellow"/>
              </w:rPr>
            </w:pPr>
            <w:r>
              <w:rPr>
                <w:rStyle w:val="50"/>
                <w:b/>
                <w:bCs/>
                <w:color w:val="auto"/>
                <w:kern w:val="0"/>
                <w:position w:val="0"/>
                <w:sz w:val="24"/>
                <w:u w:val="single"/>
              </w:rPr>
              <w:t>具体</w:t>
            </w:r>
            <w:r>
              <w:rPr>
                <w:rStyle w:val="50"/>
                <w:rFonts w:hint="eastAsia"/>
                <w:b/>
                <w:bCs/>
                <w:color w:val="auto"/>
                <w:kern w:val="0"/>
                <w:position w:val="0"/>
                <w:sz w:val="24"/>
                <w:u w:val="single"/>
                <w:lang w:eastAsia="zh-CN"/>
              </w:rPr>
              <w:t>废气</w:t>
            </w:r>
            <w:r>
              <w:rPr>
                <w:rStyle w:val="50"/>
                <w:b/>
                <w:bCs/>
                <w:color w:val="auto"/>
                <w:kern w:val="0"/>
                <w:position w:val="0"/>
                <w:sz w:val="24"/>
                <w:u w:val="single"/>
              </w:rPr>
              <w:t>环境影响</w:t>
            </w:r>
            <w:r>
              <w:rPr>
                <w:rStyle w:val="50"/>
                <w:rFonts w:hint="eastAsia"/>
                <w:b/>
                <w:bCs/>
                <w:color w:val="auto"/>
                <w:kern w:val="0"/>
                <w:position w:val="0"/>
                <w:sz w:val="24"/>
                <w:u w:val="single"/>
                <w:lang w:eastAsia="zh-CN"/>
              </w:rPr>
              <w:t>分析</w:t>
            </w:r>
            <w:r>
              <w:rPr>
                <w:rFonts w:hint="default" w:ascii="Times New Roman" w:hAnsi="Times New Roman" w:eastAsia="宋体" w:cs="Times New Roman"/>
                <w:b/>
                <w:bCs/>
                <w:color w:val="auto"/>
                <w:position w:val="0"/>
                <w:sz w:val="24"/>
                <w:szCs w:val="24"/>
                <w:u w:val="single"/>
              </w:rPr>
              <w:t>见</w:t>
            </w:r>
            <w:r>
              <w:rPr>
                <w:rFonts w:hint="eastAsia" w:ascii="Times New Roman" w:hAnsi="Times New Roman" w:eastAsia="宋体" w:cs="Times New Roman"/>
                <w:b/>
                <w:bCs/>
                <w:color w:val="auto"/>
                <w:position w:val="0"/>
                <w:sz w:val="24"/>
                <w:szCs w:val="24"/>
                <w:u w:val="single"/>
                <w:lang w:eastAsia="zh-CN"/>
              </w:rPr>
              <w:t>大气</w:t>
            </w:r>
            <w:r>
              <w:rPr>
                <w:rFonts w:hint="default" w:ascii="Times New Roman" w:hAnsi="Times New Roman" w:eastAsia="宋体" w:cs="Times New Roman"/>
                <w:b/>
                <w:bCs/>
                <w:color w:val="auto"/>
                <w:position w:val="0"/>
                <w:sz w:val="24"/>
                <w:szCs w:val="24"/>
                <w:u w:val="single"/>
              </w:rPr>
              <w:t>环境影响专项评价章节。</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二、废水</w:t>
            </w:r>
          </w:p>
          <w:p>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1、废水产生及排放情况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本项目产生的废水主要为生活污水、循环冷却水、软水制备浓水、锅炉排水。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highlight w:val="yellow"/>
              </w:rPr>
            </w:pPr>
            <w:r>
              <w:rPr>
                <w:rFonts w:hint="default" w:ascii="Times New Roman" w:hAnsi="Times New Roman" w:eastAsia="宋体" w:cs="Times New Roman"/>
                <w:b/>
                <w:bCs/>
                <w:color w:val="auto"/>
                <w:sz w:val="24"/>
                <w:highlight w:val="none"/>
              </w:rPr>
              <w:t>生活用水：</w:t>
            </w:r>
            <w:r>
              <w:rPr>
                <w:rFonts w:hint="default" w:ascii="Times New Roman" w:hAnsi="Times New Roman" w:eastAsia="宋体" w:cs="Times New Roman"/>
                <w:color w:val="auto"/>
                <w:sz w:val="24"/>
                <w:highlight w:val="none"/>
                <w:lang w:val="en-US" w:eastAsia="zh-CN"/>
              </w:rPr>
              <w:t>本次新增员工12人，厂区不</w:t>
            </w:r>
            <w:r>
              <w:rPr>
                <w:rFonts w:hint="default" w:ascii="Times New Roman" w:hAnsi="Times New Roman" w:eastAsia="宋体" w:cs="Times New Roman"/>
                <w:color w:val="auto"/>
                <w:sz w:val="24"/>
                <w:highlight w:val="none"/>
              </w:rPr>
              <w:t>提供住宿，</w:t>
            </w:r>
            <w:r>
              <w:rPr>
                <w:rFonts w:hint="default" w:ascii="Times New Roman" w:hAnsi="Times New Roman" w:eastAsia="宋体" w:cs="Times New Roman"/>
                <w:color w:val="auto"/>
                <w:sz w:val="24"/>
                <w:szCs w:val="21"/>
                <w:lang w:val="en-US" w:eastAsia="zh-CN"/>
              </w:rPr>
              <w:t>根据现有项目用水情况</w:t>
            </w:r>
            <w:r>
              <w:rPr>
                <w:rFonts w:hint="default" w:ascii="Times New Roman" w:hAnsi="Times New Roman" w:cs="Times New Roman"/>
                <w:color w:val="auto"/>
                <w:sz w:val="24"/>
                <w:szCs w:val="21"/>
              </w:rPr>
              <w:t>，办公</w:t>
            </w:r>
            <w:r>
              <w:rPr>
                <w:rFonts w:hint="default" w:ascii="Times New Roman" w:hAnsi="Times New Roman" w:cs="Times New Roman"/>
                <w:color w:val="auto"/>
                <w:sz w:val="24"/>
              </w:rPr>
              <w:t>生活用水量约1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0L/人·d，</w:t>
            </w:r>
            <w:r>
              <w:rPr>
                <w:rFonts w:hint="default" w:ascii="Times New Roman" w:hAnsi="Times New Roman" w:cs="Times New Roman"/>
                <w:color w:val="auto"/>
                <w:sz w:val="24"/>
                <w:szCs w:val="21"/>
              </w:rPr>
              <w:t>年工作3</w:t>
            </w:r>
            <w:r>
              <w:rPr>
                <w:rFonts w:hint="default" w:ascii="Times New Roman" w:hAnsi="Times New Roman" w:cs="Times New Roman"/>
                <w:color w:val="auto"/>
                <w:sz w:val="24"/>
                <w:szCs w:val="21"/>
                <w:lang w:val="en-US" w:eastAsia="zh-CN"/>
              </w:rPr>
              <w:t>00</w:t>
            </w:r>
            <w:r>
              <w:rPr>
                <w:rFonts w:hint="default" w:ascii="Times New Roman" w:hAnsi="Times New Roman" w:cs="Times New Roman"/>
                <w:color w:val="auto"/>
                <w:sz w:val="24"/>
                <w:szCs w:val="21"/>
              </w:rPr>
              <w:t>天，则用水量共计</w:t>
            </w:r>
            <w:r>
              <w:rPr>
                <w:rFonts w:hint="default" w:ascii="Times New Roman" w:hAnsi="Times New Roman" w:cs="Times New Roman"/>
                <w:color w:val="auto"/>
                <w:sz w:val="24"/>
                <w:szCs w:val="21"/>
                <w:lang w:val="en-US" w:eastAsia="zh-CN"/>
              </w:rPr>
              <w:t>1.2</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w:t>
            </w:r>
            <w:r>
              <w:rPr>
                <w:rFonts w:hint="default" w:ascii="Times New Roman" w:hAnsi="Times New Roman" w:cs="Times New Roman"/>
                <w:color w:val="auto"/>
                <w:sz w:val="24"/>
                <w:szCs w:val="21"/>
                <w:lang w:val="en-US" w:eastAsia="zh-CN"/>
              </w:rPr>
              <w:t>360</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/a）</w:t>
            </w:r>
            <w:r>
              <w:rPr>
                <w:rFonts w:hint="default" w:ascii="Times New Roman" w:hAnsi="Times New Roman" w:cs="Times New Roman"/>
                <w:color w:val="auto"/>
                <w:kern w:val="0"/>
                <w:sz w:val="24"/>
                <w:szCs w:val="21"/>
              </w:rPr>
              <w:t>。</w:t>
            </w:r>
            <w:r>
              <w:rPr>
                <w:rFonts w:hint="default" w:ascii="Times New Roman" w:hAnsi="Times New Roman" w:cs="Times New Roman"/>
                <w:color w:val="auto"/>
                <w:sz w:val="24"/>
              </w:rPr>
              <w:t>生活污水产生量约为用水量的80%，本项目</w:t>
            </w:r>
            <w:r>
              <w:rPr>
                <w:rFonts w:hint="default" w:ascii="Times New Roman" w:hAnsi="Times New Roman" w:cs="Times New Roman"/>
                <w:color w:val="auto"/>
                <w:sz w:val="24"/>
                <w:lang w:eastAsia="zh-CN"/>
              </w:rPr>
              <w:t>员工</w:t>
            </w:r>
            <w:r>
              <w:rPr>
                <w:rFonts w:hint="default" w:ascii="Times New Roman" w:hAnsi="Times New Roman" w:cs="Times New Roman"/>
                <w:color w:val="auto"/>
                <w:sz w:val="24"/>
              </w:rPr>
              <w:t>生活污水产生量为</w:t>
            </w:r>
            <w:r>
              <w:rPr>
                <w:rFonts w:hint="default" w:ascii="Times New Roman" w:hAnsi="Times New Roman" w:cs="Times New Roman"/>
                <w:color w:val="auto"/>
                <w:sz w:val="24"/>
                <w:lang w:val="en-US" w:eastAsia="zh-CN"/>
              </w:rPr>
              <w:t>0.96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val="en-US" w:eastAsia="zh-CN"/>
              </w:rPr>
              <w:t>288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b w:val="0"/>
                <w:bCs/>
                <w:color w:val="auto"/>
                <w:sz w:val="24"/>
                <w:lang w:eastAsia="zh-CN"/>
              </w:rPr>
              <w:t>生活污水经</w:t>
            </w:r>
            <w:r>
              <w:rPr>
                <w:rFonts w:hint="default" w:ascii="Times New Roman" w:hAnsi="Times New Roman" w:cs="Times New Roman"/>
                <w:b w:val="0"/>
                <w:bCs/>
                <w:color w:val="auto"/>
                <w:sz w:val="24"/>
                <w:lang w:val="en-US" w:eastAsia="zh-CN"/>
              </w:rPr>
              <w:t>厂区</w:t>
            </w:r>
            <w:r>
              <w:rPr>
                <w:rFonts w:hint="default" w:ascii="Times New Roman" w:hAnsi="Times New Roman" w:eastAsia="宋体" w:cs="Times New Roman"/>
                <w:b w:val="0"/>
                <w:bCs/>
                <w:color w:val="auto"/>
                <w:sz w:val="24"/>
                <w:lang w:val="en-US" w:eastAsia="zh-CN"/>
              </w:rPr>
              <w:t>预处理池</w:t>
            </w:r>
            <w:r>
              <w:rPr>
                <w:rFonts w:hint="default" w:ascii="Times New Roman" w:hAnsi="Times New Roman" w:cs="Times New Roman"/>
                <w:b w:val="0"/>
                <w:bCs/>
                <w:color w:val="auto"/>
                <w:sz w:val="24"/>
              </w:rPr>
              <w:t>处理</w:t>
            </w:r>
            <w:r>
              <w:rPr>
                <w:rFonts w:hint="default" w:ascii="Times New Roman" w:hAnsi="Times New Roman" w:cs="Times New Roman"/>
                <w:b w:val="0"/>
                <w:bCs/>
                <w:color w:val="auto"/>
                <w:sz w:val="24"/>
                <w:lang w:eastAsia="zh-CN"/>
              </w:rPr>
              <w:t>达</w:t>
            </w:r>
            <w:r>
              <w:rPr>
                <w:rFonts w:hint="default" w:ascii="Times New Roman" w:hAnsi="Times New Roman" w:eastAsia="宋体" w:cs="Times New Roman"/>
                <w:b w:val="0"/>
                <w:bCs/>
                <w:color w:val="auto"/>
                <w:sz w:val="24"/>
                <w:lang w:val="en-US" w:eastAsia="zh-CN"/>
              </w:rPr>
              <w:t>《污水综合排放标准》（GB8978-1996）中的三级标准限值</w:t>
            </w:r>
            <w:r>
              <w:rPr>
                <w:rFonts w:hint="default" w:ascii="Times New Roman" w:hAnsi="Times New Roman" w:cs="Times New Roman"/>
                <w:b w:val="0"/>
                <w:bCs/>
                <w:color w:val="auto"/>
                <w:sz w:val="24"/>
              </w:rPr>
              <w:t>后，经园区管网排入</w:t>
            </w:r>
            <w:r>
              <w:rPr>
                <w:rFonts w:hint="default" w:ascii="Times New Roman" w:hAnsi="Times New Roman" w:cs="Times New Roman"/>
                <w:b w:val="0"/>
                <w:bCs/>
                <w:color w:val="auto"/>
                <w:sz w:val="24"/>
                <w:lang w:val="en-US" w:eastAsia="zh-CN"/>
              </w:rPr>
              <w:t>蓬溪县</w:t>
            </w:r>
            <w:r>
              <w:rPr>
                <w:rFonts w:hint="default" w:ascii="Times New Roman" w:hAnsi="Times New Roman" w:cs="Times New Roman"/>
                <w:color w:val="auto"/>
                <w:sz w:val="24"/>
              </w:rPr>
              <w:t>经开区污水处理厂进行处理，尾水达《城镇污水处理厂污染物排放标准》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GB18918-2002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一级A标准后排入芝溪河</w:t>
            </w:r>
            <w:r>
              <w:rPr>
                <w:rFonts w:hint="default" w:ascii="Times New Roman" w:hAnsi="Times New Roman" w:cs="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循环冷却水：</w:t>
            </w:r>
            <w:r>
              <w:rPr>
                <w:rFonts w:hint="default" w:ascii="Times New Roman" w:hAnsi="Times New Roman" w:eastAsia="宋体" w:cs="Times New Roman"/>
                <w:b w:val="0"/>
                <w:bCs w:val="0"/>
                <w:color w:val="auto"/>
                <w:sz w:val="24"/>
                <w:highlight w:val="none"/>
              </w:rPr>
              <w:t>项目</w:t>
            </w:r>
            <w:r>
              <w:rPr>
                <w:rFonts w:hint="default" w:ascii="Times New Roman" w:hAnsi="Times New Roman" w:eastAsia="宋体" w:cs="Times New Roman"/>
                <w:b w:val="0"/>
                <w:bCs w:val="0"/>
                <w:color w:val="auto"/>
                <w:sz w:val="24"/>
                <w:highlight w:val="none"/>
                <w:lang w:val="en-US" w:eastAsia="zh-CN"/>
              </w:rPr>
              <w:t>制胶</w:t>
            </w:r>
            <w:r>
              <w:rPr>
                <w:rFonts w:hint="default" w:ascii="Times New Roman" w:hAnsi="Times New Roman" w:eastAsia="宋体" w:cs="Times New Roman"/>
                <w:b w:val="0"/>
                <w:bCs w:val="0"/>
                <w:color w:val="auto"/>
                <w:sz w:val="24"/>
                <w:highlight w:val="none"/>
              </w:rPr>
              <w:t>生产过程中需使用大量冷却水，冷却用水采用自来水，冷却系统主要由循环水池、循环泵、冷凝器组成，循环水量约70m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/d。冷却过程中，损失水量由新鲜水补充，项目冷却循环系统需补充冷却水水量为2m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/d，该部分水可循环使用，不外排。</w:t>
            </w:r>
          </w:p>
          <w:p>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highlight w:val="none"/>
                <w:lang w:val="en-US" w:eastAsia="zh-CN"/>
              </w:rPr>
              <w:t>锅炉用水：</w:t>
            </w:r>
            <w:r>
              <w:rPr>
                <w:rFonts w:hint="default" w:ascii="Times New Roman" w:hAnsi="Times New Roman" w:eastAsia="宋体" w:cs="Times New Roman"/>
                <w:b w:val="0"/>
                <w:bCs w:val="0"/>
                <w:color w:val="auto"/>
                <w:sz w:val="24"/>
                <w:highlight w:val="none"/>
                <w:lang w:val="en-US" w:eastAsia="zh-CN"/>
              </w:rPr>
              <w:t>项目锅炉需使用软水，本项目设置1台蒸汽锅炉，</w:t>
            </w:r>
            <w:r>
              <w:rPr>
                <w:rFonts w:hint="default" w:ascii="Times New Roman" w:hAnsi="Times New Roman" w:eastAsia="宋体" w:cs="Times New Roman"/>
                <w:b w:val="0"/>
                <w:bCs/>
                <w:color w:val="auto"/>
                <w:sz w:val="24"/>
                <w:szCs w:val="24"/>
                <w:highlight w:val="none"/>
                <w:lang w:val="en-US" w:eastAsia="zh-CN"/>
              </w:rPr>
              <w:t>锅炉</w:t>
            </w:r>
            <w:r>
              <w:rPr>
                <w:rFonts w:hint="default" w:ascii="Times New Roman" w:hAnsi="Times New Roman" w:cs="Times New Roman"/>
                <w:b w:val="0"/>
                <w:bCs/>
                <w:color w:val="auto"/>
                <w:sz w:val="24"/>
                <w:szCs w:val="24"/>
                <w:highlight w:val="none"/>
                <w:lang w:val="en-US" w:eastAsia="zh-CN"/>
              </w:rPr>
              <w:t>循环水量约</w:t>
            </w:r>
            <w:r>
              <w:rPr>
                <w:rFonts w:hint="default" w:ascii="Times New Roman" w:hAnsi="Times New Roman" w:eastAsia="宋体" w:cs="Times New Roman"/>
                <w:b w:val="0"/>
                <w:bCs/>
                <w:color w:val="auto"/>
                <w:sz w:val="24"/>
                <w:szCs w:val="24"/>
                <w:highlight w:val="none"/>
                <w:lang w:val="en-US" w:eastAsia="zh-CN"/>
              </w:rPr>
              <w:t>为1m³/h，</w:t>
            </w:r>
            <w:r>
              <w:rPr>
                <w:rFonts w:hint="default" w:ascii="Times New Roman" w:hAnsi="Times New Roman" w:cs="Times New Roman"/>
                <w:b w:val="0"/>
                <w:bCs/>
                <w:color w:val="auto"/>
                <w:sz w:val="24"/>
                <w:szCs w:val="24"/>
                <w:highlight w:val="none"/>
                <w:lang w:val="en-US" w:eastAsia="zh-CN"/>
              </w:rPr>
              <w:t>日循环水量为8m³/d，</w:t>
            </w:r>
            <w:r>
              <w:rPr>
                <w:rFonts w:hint="default" w:ascii="Times New Roman" w:hAnsi="Times New Roman" w:eastAsia="宋体" w:cs="Times New Roman"/>
                <w:b w:val="0"/>
                <w:bCs/>
                <w:color w:val="auto"/>
                <w:sz w:val="24"/>
                <w:szCs w:val="24"/>
                <w:highlight w:val="none"/>
                <w:lang w:val="en-US" w:eastAsia="zh-CN"/>
              </w:rPr>
              <w:t>锅炉运行时间为</w:t>
            </w:r>
            <w:r>
              <w:rPr>
                <w:rFonts w:hint="default" w:ascii="Times New Roman" w:hAnsi="Times New Roman" w:cs="Times New Roman"/>
                <w:b w:val="0"/>
                <w:bCs/>
                <w:color w:val="auto"/>
                <w:sz w:val="24"/>
                <w:szCs w:val="24"/>
                <w:highlight w:val="none"/>
                <w:lang w:val="en-US" w:eastAsia="zh-CN"/>
              </w:rPr>
              <w:t>2400</w:t>
            </w:r>
            <w:r>
              <w:rPr>
                <w:rFonts w:hint="default" w:ascii="Times New Roman" w:hAnsi="Times New Roman" w:eastAsia="宋体" w:cs="Times New Roman"/>
                <w:b w:val="0"/>
                <w:bCs/>
                <w:color w:val="auto"/>
                <w:sz w:val="24"/>
                <w:szCs w:val="24"/>
                <w:highlight w:val="none"/>
                <w:lang w:val="en-US" w:eastAsia="zh-CN"/>
              </w:rPr>
              <w:t>小时，则锅炉</w:t>
            </w:r>
            <w:r>
              <w:rPr>
                <w:rFonts w:hint="default" w:ascii="Times New Roman" w:hAnsi="Times New Roman" w:cs="Times New Roman"/>
                <w:b w:val="0"/>
                <w:bCs/>
                <w:color w:val="auto"/>
                <w:sz w:val="24"/>
                <w:szCs w:val="24"/>
                <w:highlight w:val="none"/>
                <w:lang w:val="en-US" w:eastAsia="zh-CN"/>
              </w:rPr>
              <w:t>循环水</w:t>
            </w:r>
            <w:r>
              <w:rPr>
                <w:rFonts w:hint="default" w:ascii="Times New Roman" w:hAnsi="Times New Roman" w:eastAsia="宋体" w:cs="Times New Roman"/>
                <w:b w:val="0"/>
                <w:bCs/>
                <w:color w:val="auto"/>
                <w:sz w:val="24"/>
                <w:szCs w:val="24"/>
                <w:highlight w:val="none"/>
                <w:lang w:val="en-US" w:eastAsia="zh-CN"/>
              </w:rPr>
              <w:t>量为</w:t>
            </w:r>
            <w:r>
              <w:rPr>
                <w:rFonts w:hint="default" w:ascii="Times New Roman" w:hAnsi="Times New Roman"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（2400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。锅炉蒸汽间接加热反应釜，经管道冷凝回流后循环使用，损耗量约为5%，则锅炉补充损耗水量为</w:t>
            </w:r>
            <w:r>
              <w:rPr>
                <w:rFonts w:hint="default" w:ascii="Times New Roman" w:hAnsi="Times New Roman" w:cs="Times New Roman"/>
                <w:b w:val="0"/>
                <w:bCs/>
                <w:color w:val="auto"/>
                <w:sz w:val="24"/>
                <w:szCs w:val="24"/>
                <w:highlight w:val="none"/>
                <w:lang w:val="en-US" w:eastAsia="zh-CN"/>
              </w:rPr>
              <w:t>0.4</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（120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lang w:val="en-US" w:eastAsia="zh-CN"/>
              </w:rPr>
              <w:t>锅炉使用过程因水质原因会导致内部</w:t>
            </w:r>
            <w:r>
              <w:rPr>
                <w:rFonts w:hint="eastAsia" w:ascii="Times New Roman" w:hAnsi="Times New Roman" w:eastAsia="宋体" w:cs="Times New Roman"/>
                <w:b w:val="0"/>
                <w:bCs/>
                <w:color w:val="auto"/>
                <w:sz w:val="24"/>
                <w:szCs w:val="24"/>
                <w:lang w:val="en-US" w:eastAsia="zh-CN"/>
              </w:rPr>
              <w:t>结垢</w:t>
            </w:r>
            <w:r>
              <w:rPr>
                <w:rFonts w:hint="default" w:ascii="Times New Roman" w:hAnsi="Times New Roman" w:eastAsia="宋体" w:cs="Times New Roman"/>
                <w:b w:val="0"/>
                <w:bCs/>
                <w:color w:val="auto"/>
                <w:sz w:val="24"/>
                <w:szCs w:val="24"/>
                <w:lang w:val="en-US" w:eastAsia="zh-CN"/>
              </w:rPr>
              <w:t>，影响正常使用，因此，锅炉需定期</w:t>
            </w:r>
            <w:r>
              <w:rPr>
                <w:rFonts w:hint="default" w:ascii="Times New Roman" w:hAnsi="Times New Roman" w:cs="Times New Roman"/>
                <w:b w:val="0"/>
                <w:bCs/>
                <w:color w:val="auto"/>
                <w:sz w:val="24"/>
                <w:szCs w:val="24"/>
                <w:lang w:val="en-US" w:eastAsia="zh-CN"/>
              </w:rPr>
              <w:t>排水</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拟定排水量为0.5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（150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项目锅炉补充软水量为排水量，则补充用水为</w:t>
            </w:r>
            <w:r>
              <w:rPr>
                <w:rFonts w:hint="default" w:ascii="Times New Roman" w:hAnsi="Times New Roman" w:eastAsia="宋体" w:cs="Times New Roman"/>
                <w:b w:val="0"/>
                <w:bCs/>
                <w:color w:val="auto"/>
                <w:sz w:val="24"/>
                <w:szCs w:val="24"/>
                <w:lang w:val="en-US" w:eastAsia="zh-CN"/>
              </w:rPr>
              <w:t>0.9</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（270</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）。锅炉补充用水为软水装置制备的软水，本项目软水制备装置采用反渗透进行制备软水，制备率约80%。则软水装置用水量为</w:t>
            </w:r>
            <w:r>
              <w:rPr>
                <w:rFonts w:hint="default" w:ascii="Times New Roman" w:hAnsi="Times New Roman" w:cs="Times New Roman"/>
                <w:b w:val="0"/>
                <w:bCs/>
                <w:color w:val="auto"/>
                <w:sz w:val="24"/>
                <w:szCs w:val="24"/>
                <w:lang w:val="en-US" w:eastAsia="zh-CN"/>
              </w:rPr>
              <w:t>1.125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337.5</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szCs w:val="24"/>
                <w:highlight w:val="none"/>
                <w:lang w:val="en-US" w:eastAsia="zh-CN"/>
              </w:rPr>
              <w:t>。软水制备浓水量为0.225</w:t>
            </w:r>
            <w:r>
              <w:rPr>
                <w:rFonts w:hint="default" w:ascii="Times New Roman" w:hAnsi="Times New Roman" w:eastAsia="宋体" w:cs="Times New Roman"/>
                <w:b w:val="0"/>
                <w:bCs/>
                <w:color w:val="auto"/>
                <w:sz w:val="24"/>
                <w:szCs w:val="24"/>
                <w:highlight w:val="none"/>
                <w:lang w:val="en-US" w:eastAsia="zh-CN"/>
              </w:rPr>
              <w:t>m³/d（</w:t>
            </w:r>
            <w:r>
              <w:rPr>
                <w:rFonts w:hint="default" w:ascii="Times New Roman" w:hAnsi="Times New Roman" w:cs="Times New Roman"/>
                <w:b w:val="0"/>
                <w:bCs/>
                <w:color w:val="auto"/>
                <w:sz w:val="24"/>
                <w:szCs w:val="24"/>
                <w:highlight w:val="none"/>
                <w:lang w:val="en-US" w:eastAsia="zh-CN"/>
              </w:rPr>
              <w:t>67.5</w:t>
            </w:r>
            <w:r>
              <w:rPr>
                <w:rFonts w:hint="default" w:ascii="Times New Roman" w:hAnsi="Times New Roman" w:eastAsia="宋体" w:cs="Times New Roman"/>
                <w:b w:val="0"/>
                <w:bCs/>
                <w:color w:val="auto"/>
                <w:sz w:val="24"/>
                <w:szCs w:val="24"/>
                <w:highlight w:val="none"/>
                <w:lang w:val="en-US" w:eastAsia="zh-CN"/>
              </w:rPr>
              <w:t>m³/a），</w:t>
            </w:r>
            <w:r>
              <w:rPr>
                <w:rFonts w:hint="default" w:ascii="Times New Roman" w:hAnsi="Times New Roman" w:cs="Times New Roman"/>
                <w:b w:val="0"/>
                <w:bCs/>
                <w:color w:val="auto"/>
                <w:sz w:val="24"/>
                <w:lang w:eastAsia="zh-CN"/>
              </w:rPr>
              <w:t>经</w:t>
            </w:r>
            <w:r>
              <w:rPr>
                <w:rFonts w:hint="default" w:ascii="Times New Roman" w:hAnsi="Times New Roman" w:cs="Times New Roman"/>
                <w:b w:val="0"/>
                <w:bCs/>
                <w:color w:val="auto"/>
                <w:sz w:val="24"/>
                <w:lang w:val="en-US" w:eastAsia="zh-CN"/>
              </w:rPr>
              <w:t>厂区</w:t>
            </w:r>
            <w:r>
              <w:rPr>
                <w:rFonts w:hint="default" w:ascii="Times New Roman" w:hAnsi="Times New Roman" w:eastAsia="宋体" w:cs="Times New Roman"/>
                <w:b w:val="0"/>
                <w:bCs/>
                <w:color w:val="auto"/>
                <w:sz w:val="24"/>
                <w:lang w:val="en-US" w:eastAsia="zh-CN"/>
              </w:rPr>
              <w:t>预处理池</w:t>
            </w:r>
            <w:r>
              <w:rPr>
                <w:rFonts w:hint="default" w:ascii="Times New Roman" w:hAnsi="Times New Roman" w:cs="Times New Roman"/>
                <w:b w:val="0"/>
                <w:bCs/>
                <w:color w:val="auto"/>
                <w:sz w:val="24"/>
              </w:rPr>
              <w:t>处理</w:t>
            </w:r>
            <w:r>
              <w:rPr>
                <w:rFonts w:hint="default" w:ascii="Times New Roman" w:hAnsi="Times New Roman" w:cs="Times New Roman"/>
                <w:b w:val="0"/>
                <w:bCs/>
                <w:color w:val="auto"/>
                <w:sz w:val="24"/>
                <w:lang w:eastAsia="zh-CN"/>
              </w:rPr>
              <w:t>达</w:t>
            </w:r>
            <w:r>
              <w:rPr>
                <w:rFonts w:hint="default" w:ascii="Times New Roman" w:hAnsi="Times New Roman" w:eastAsia="宋体" w:cs="Times New Roman"/>
                <w:b w:val="0"/>
                <w:bCs/>
                <w:color w:val="auto"/>
                <w:sz w:val="24"/>
                <w:lang w:val="en-US" w:eastAsia="zh-CN"/>
              </w:rPr>
              <w:t>《污水综合排放标准》（GB8978-1996）中的三级标准限值</w:t>
            </w:r>
            <w:r>
              <w:rPr>
                <w:rFonts w:hint="default" w:ascii="Times New Roman" w:hAnsi="Times New Roman" w:cs="Times New Roman"/>
                <w:b w:val="0"/>
                <w:bCs/>
                <w:color w:val="auto"/>
                <w:sz w:val="24"/>
              </w:rPr>
              <w:t>后，经园区管网排入</w:t>
            </w:r>
            <w:r>
              <w:rPr>
                <w:rFonts w:hint="default" w:ascii="Times New Roman" w:hAnsi="Times New Roman" w:cs="Times New Roman"/>
                <w:b w:val="0"/>
                <w:bCs/>
                <w:color w:val="auto"/>
                <w:sz w:val="24"/>
                <w:lang w:val="en-US" w:eastAsia="zh-CN"/>
              </w:rPr>
              <w:t>蓬溪县</w:t>
            </w:r>
            <w:r>
              <w:rPr>
                <w:rFonts w:hint="default" w:ascii="Times New Roman" w:hAnsi="Times New Roman" w:cs="Times New Roman"/>
                <w:color w:val="auto"/>
                <w:sz w:val="24"/>
              </w:rPr>
              <w:t>经开区污水处理厂进行处理，尾水达《城镇污水处理厂污染物排放标准》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GB18918-2002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w:t>
            </w:r>
            <w:r>
              <w:rPr>
                <w:rFonts w:hint="default" w:ascii="Times New Roman" w:hAnsi="Times New Roman" w:eastAsia="宋体" w:cs="Times New Roman"/>
                <w:color w:val="auto"/>
                <w:sz w:val="24"/>
              </w:rPr>
              <w:t>级A标准后排入芝溪河</w:t>
            </w:r>
            <w:r>
              <w:rPr>
                <w:rFonts w:hint="default" w:ascii="Times New Roman" w:hAnsi="Times New Roman" w:eastAsia="宋体" w:cs="Times New Roman"/>
                <w:color w:val="auto"/>
                <w:sz w:val="24"/>
                <w:lang w:eastAsia="zh-CN"/>
              </w:rPr>
              <w:t>。</w:t>
            </w:r>
          </w:p>
          <w:p>
            <w:pPr>
              <w:pStyle w:val="160"/>
              <w:ind w:firstLine="480"/>
              <w:rPr>
                <w:rFonts w:hint="default" w:ascii="Times New Roman" w:hAnsi="Times New Roman" w:cs="Times New Roman"/>
                <w:b w:val="0"/>
                <w:bCs/>
                <w:color w:val="auto"/>
                <w:kern w:val="0"/>
                <w:lang w:eastAsia="zh-CN"/>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导热油炉燃烧废气、热压废气依托现有水膜除尘装置处理，</w:t>
            </w:r>
            <w:r>
              <w:rPr>
                <w:rFonts w:hint="default" w:ascii="Times New Roman" w:hAnsi="Times New Roman" w:eastAsia="宋体" w:cs="Times New Roman"/>
                <w:color w:val="auto"/>
                <w:sz w:val="24"/>
              </w:rPr>
              <w:t>水膜除尘用水循环利用，不产生生产废水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其水量现有项目已考虑，本次不再进行计算。厂区地面定期进行清扫，不清洗。</w:t>
            </w:r>
            <w:r>
              <w:rPr>
                <w:rFonts w:hint="eastAsia" w:ascii="Times New Roman" w:hAnsi="Times New Roman" w:eastAsia="宋体" w:cs="Times New Roman"/>
                <w:b w:val="0"/>
                <w:bCs w:val="0"/>
                <w:color w:val="auto"/>
                <w:sz w:val="24"/>
                <w:highlight w:val="none"/>
                <w:lang w:eastAsia="zh-CN"/>
              </w:rPr>
              <w:t>项目制胶反应釜</w:t>
            </w:r>
            <w:r>
              <w:rPr>
                <w:rFonts w:hint="eastAsia" w:ascii="Times New Roman" w:hAnsi="Times New Roman" w:cs="Times New Roman"/>
                <w:color w:val="auto"/>
                <w:sz w:val="24"/>
                <w:szCs w:val="24"/>
                <w:lang w:eastAsia="zh-CN"/>
              </w:rPr>
              <w:t>内为脲醛胶乳液，水清洗效果不佳，因此，不考虑使用水进行清洗，停产期间，待其凝固后，定期清理废胶。</w:t>
            </w:r>
          </w:p>
          <w:p>
            <w:pPr>
              <w:pStyle w:val="160"/>
              <w:ind w:firstLine="480"/>
              <w:rPr>
                <w:rFonts w:hint="default" w:ascii="Times New Roman" w:hAnsi="Times New Roman" w:cs="Times New Roman"/>
                <w:color w:val="auto"/>
                <w:highlight w:val="yellow"/>
              </w:rPr>
            </w:pPr>
            <w:r>
              <w:rPr>
                <w:rFonts w:hint="default" w:ascii="Times New Roman" w:hAnsi="Times New Roman" w:cs="Times New Roman"/>
                <w:color w:val="auto"/>
                <w:highlight w:val="none"/>
              </w:rPr>
              <w:t>项目废水产生源强及治理排放情况见</w:t>
            </w:r>
            <w:r>
              <w:rPr>
                <w:rFonts w:hint="eastAsia" w:cs="Times New Roman"/>
                <w:color w:val="auto"/>
                <w:highlight w:val="none"/>
                <w:lang w:eastAsia="zh-CN"/>
              </w:rPr>
              <w:t>下</w:t>
            </w:r>
            <w:r>
              <w:rPr>
                <w:rFonts w:hint="default" w:ascii="Times New Roman" w:hAnsi="Times New Roman" w:cs="Times New Roman"/>
                <w:color w:val="auto"/>
                <w:highlight w:val="none"/>
              </w:rPr>
              <w:t>表。</w:t>
            </w:r>
          </w:p>
          <w:p>
            <w:pPr>
              <w:pStyle w:val="181"/>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本项目废水产生源强以及排放情况</w:t>
            </w:r>
          </w:p>
          <w:tbl>
            <w:tblPr>
              <w:tblStyle w:val="40"/>
              <w:tblW w:w="84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38"/>
              <w:gridCol w:w="887"/>
              <w:gridCol w:w="1038"/>
              <w:gridCol w:w="1000"/>
              <w:gridCol w:w="787"/>
              <w:gridCol w:w="725"/>
              <w:gridCol w:w="800"/>
              <w:gridCol w:w="958"/>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类别</w:t>
                  </w:r>
                </w:p>
              </w:tc>
              <w:tc>
                <w:tcPr>
                  <w:tcW w:w="8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废水量（t/a）</w:t>
                  </w:r>
                </w:p>
              </w:tc>
              <w:tc>
                <w:tcPr>
                  <w:tcW w:w="88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污染物</w:t>
                  </w:r>
                </w:p>
              </w:tc>
              <w:tc>
                <w:tcPr>
                  <w:tcW w:w="20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产生情况</w:t>
                  </w:r>
                </w:p>
              </w:tc>
              <w:tc>
                <w:tcPr>
                  <w:tcW w:w="78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治理措施</w:t>
                  </w:r>
                </w:p>
              </w:tc>
              <w:tc>
                <w:tcPr>
                  <w:tcW w:w="7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处理效率</w:t>
                  </w:r>
                </w:p>
              </w:tc>
              <w:tc>
                <w:tcPr>
                  <w:tcW w:w="175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排放情况</w:t>
                  </w:r>
                </w:p>
              </w:tc>
              <w:tc>
                <w:tcPr>
                  <w:tcW w:w="74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浓度mg/L</w:t>
                  </w:r>
                </w:p>
              </w:tc>
              <w:tc>
                <w:tcPr>
                  <w:tcW w:w="10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产生量t/a</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浓度mg/L</w:t>
                  </w:r>
                </w:p>
              </w:tc>
              <w:tc>
                <w:tcPr>
                  <w:tcW w:w="95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排放量t/a</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生活污水</w:t>
                  </w:r>
                </w:p>
              </w:tc>
              <w:tc>
                <w:tcPr>
                  <w:tcW w:w="8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288</w:t>
                  </w: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COD</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400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0.1152</w:t>
                  </w:r>
                </w:p>
              </w:tc>
              <w:tc>
                <w:tcPr>
                  <w:tcW w:w="78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预处理池</w:t>
                  </w: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320</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0.0922</w:t>
                  </w:r>
                </w:p>
              </w:tc>
              <w:tc>
                <w:tcPr>
                  <w:tcW w:w="74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蓬溪县经开区污水处理厂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BOD</w:t>
                  </w:r>
                  <w:r>
                    <w:rPr>
                      <w:rFonts w:hint="default" w:ascii="Times New Roman" w:hAnsi="Times New Roman" w:eastAsia="宋体" w:cs="Times New Roman"/>
                      <w:color w:val="auto"/>
                      <w:kern w:val="0"/>
                      <w:sz w:val="21"/>
                      <w:szCs w:val="21"/>
                      <w:vertAlign w:val="subscript"/>
                      <w:lang w:val="en-US" w:eastAsia="zh-CN" w:bidi="ar-SA"/>
                    </w:rPr>
                    <w:t>5</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0.049</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SS</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0.0432</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0.0302</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氨氮</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35</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0.0101</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0.0101</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TP</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锅炉排水</w:t>
                  </w:r>
                </w:p>
              </w:tc>
              <w:tc>
                <w:tcPr>
                  <w:tcW w:w="8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150</w:t>
                  </w: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COD</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200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SS</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150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0.0225</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0.0158</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浓水</w:t>
                  </w:r>
                </w:p>
              </w:tc>
              <w:tc>
                <w:tcPr>
                  <w:tcW w:w="83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67.5</w:t>
                  </w: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COD</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200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0.0108</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3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88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SS</w:t>
                  </w:r>
                </w:p>
              </w:tc>
              <w:tc>
                <w:tcPr>
                  <w:tcW w:w="10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150</w:t>
                  </w:r>
                </w:p>
              </w:tc>
              <w:tc>
                <w:tcPr>
                  <w:tcW w:w="10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0.0101</w:t>
                  </w:r>
                </w:p>
              </w:tc>
              <w:tc>
                <w:tcPr>
                  <w:tcW w:w="7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c>
                <w:tcPr>
                  <w:tcW w:w="7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7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color w:val="auto"/>
                      <w:kern w:val="0"/>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2、排放口情况</w:t>
            </w:r>
          </w:p>
          <w:p>
            <w:pPr>
              <w:adjustRightInd w:val="0"/>
              <w:snapToGrid w:val="0"/>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bCs/>
                <w:color w:val="auto"/>
                <w:sz w:val="24"/>
              </w:rPr>
              <w:t>项目排放口情况见下表。</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排放口情况表</w:t>
            </w:r>
          </w:p>
          <w:tbl>
            <w:tblPr>
              <w:tblStyle w:val="39"/>
              <w:tblW w:w="86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242"/>
              <w:gridCol w:w="1363"/>
              <w:gridCol w:w="2056"/>
              <w:gridCol w:w="2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28" w:type="dxa"/>
                  <w:gridSpan w:val="4"/>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排放口基本情况</w:t>
                  </w:r>
                </w:p>
              </w:tc>
              <w:tc>
                <w:tcPr>
                  <w:tcW w:w="2591" w:type="dxa"/>
                  <w:vMerge w:val="restart"/>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6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排放口名称</w:t>
                  </w:r>
                </w:p>
              </w:tc>
              <w:tc>
                <w:tcPr>
                  <w:tcW w:w="1242"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1363"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2056"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坐标</w:t>
                  </w:r>
                </w:p>
              </w:tc>
              <w:tc>
                <w:tcPr>
                  <w:tcW w:w="2591" w:type="dxa"/>
                  <w:vMerge w:val="continue"/>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6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厂区排口</w:t>
                  </w:r>
                </w:p>
              </w:tc>
              <w:tc>
                <w:tcPr>
                  <w:tcW w:w="1242"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DW001</w:t>
                  </w:r>
                </w:p>
              </w:tc>
              <w:tc>
                <w:tcPr>
                  <w:tcW w:w="1363"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一般排放口</w:t>
                  </w:r>
                </w:p>
              </w:tc>
              <w:tc>
                <w:tcPr>
                  <w:tcW w:w="2056"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r>
                    <w:rPr>
                      <w:rFonts w:hint="default" w:ascii="Times New Roman" w:hAnsi="Times New Roman" w:eastAsia="宋体" w:cs="Times New Roman"/>
                      <w:color w:val="auto"/>
                      <w:kern w:val="2"/>
                      <w:sz w:val="21"/>
                      <w:szCs w:val="21"/>
                      <w:highlight w:val="none"/>
                      <w:lang w:val="en-US" w:eastAsia="zh-CN"/>
                    </w:rPr>
                    <w:t>105.679337</w:t>
                  </w:r>
                </w:p>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纬度</w:t>
                  </w:r>
                  <w:r>
                    <w:rPr>
                      <w:rFonts w:hint="eastAsia" w:ascii="Times New Roman"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30.747309</w:t>
                  </w:r>
                </w:p>
              </w:tc>
              <w:tc>
                <w:tcPr>
                  <w:tcW w:w="259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《污水综合排放标准》（GB8978-1996）三级标准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3、监测计划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w:t>
            </w:r>
            <w:r>
              <w:rPr>
                <w:rFonts w:hint="eastAsia" w:cs="Times New Roman"/>
                <w:color w:val="auto"/>
                <w:sz w:val="24"/>
                <w:lang w:eastAsia="zh-CN"/>
              </w:rPr>
              <w:t>《排污单位自行监测技术指南</w:t>
            </w:r>
            <w:r>
              <w:rPr>
                <w:rFonts w:hint="eastAsia" w:cs="Times New Roman"/>
                <w:color w:val="auto"/>
                <w:sz w:val="24"/>
                <w:lang w:val="en-US" w:eastAsia="zh-CN"/>
              </w:rPr>
              <w:t xml:space="preserve"> 人造板工业</w:t>
            </w:r>
            <w:r>
              <w:rPr>
                <w:rFonts w:hint="eastAsia" w:cs="Times New Roman"/>
                <w:color w:val="auto"/>
                <w:sz w:val="24"/>
                <w:lang w:eastAsia="zh-CN"/>
              </w:rPr>
              <w:t>》（HJ 120</w:t>
            </w:r>
            <w:r>
              <w:rPr>
                <w:rFonts w:hint="eastAsia" w:cs="Times New Roman"/>
                <w:color w:val="auto"/>
                <w:sz w:val="24"/>
                <w:lang w:val="en-US" w:eastAsia="zh-CN"/>
              </w:rPr>
              <w:t>6</w:t>
            </w:r>
            <w:r>
              <w:rPr>
                <w:rFonts w:hint="eastAsia" w:cs="Times New Roman"/>
                <w:color w:val="auto"/>
                <w:sz w:val="24"/>
                <w:lang w:eastAsia="zh-CN"/>
              </w:rPr>
              <w:t>-2021）</w:t>
            </w:r>
            <w:r>
              <w:rPr>
                <w:rFonts w:hint="default" w:ascii="Times New Roman" w:hAnsi="Times New Roman" w:cs="Times New Roman"/>
                <w:color w:val="auto"/>
                <w:sz w:val="24"/>
              </w:rPr>
              <w:t>中自行监测要求，项目废水监测要求具体如下表所示。</w:t>
            </w:r>
          </w:p>
          <w:p>
            <w:pPr>
              <w:adjustRightInd w:val="0"/>
              <w:snapToGrid w:val="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表4-</w:t>
            </w:r>
            <w:r>
              <w:rPr>
                <w:rFonts w:hint="default" w:ascii="Times New Roman" w:hAnsi="Times New Roman" w:cs="Times New Roman"/>
                <w:b/>
                <w:color w:val="auto"/>
                <w:spacing w:val="-10"/>
                <w:szCs w:val="21"/>
                <w:lang w:val="en-US" w:eastAsia="zh-CN"/>
              </w:rPr>
              <w:t>8</w:t>
            </w:r>
            <w:r>
              <w:rPr>
                <w:rFonts w:hint="default" w:ascii="Times New Roman" w:hAnsi="Times New Roman" w:cs="Times New Roman"/>
                <w:b/>
                <w:color w:val="auto"/>
                <w:spacing w:val="-10"/>
                <w:szCs w:val="21"/>
              </w:rPr>
              <w:t xml:space="preserve">  厂区废水监测要求表</w:t>
            </w:r>
          </w:p>
          <w:tbl>
            <w:tblPr>
              <w:tblStyle w:val="39"/>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205"/>
              <w:gridCol w:w="1136"/>
              <w:gridCol w:w="2839"/>
              <w:gridCol w:w="1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noWrap w:val="0"/>
                  <w:vAlign w:val="center"/>
                </w:tcPr>
                <w:p>
                  <w:pPr>
                    <w:pStyle w:val="15"/>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2205" w:type="dxa"/>
                  <w:noWrap w:val="0"/>
                  <w:vAlign w:val="center"/>
                </w:tcPr>
                <w:p>
                  <w:pPr>
                    <w:pStyle w:val="15"/>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1136" w:type="dxa"/>
                  <w:noWrap w:val="0"/>
                  <w:vAlign w:val="center"/>
                </w:tcPr>
                <w:p>
                  <w:pPr>
                    <w:pStyle w:val="15"/>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监测点数</w:t>
                  </w:r>
                </w:p>
              </w:tc>
              <w:tc>
                <w:tcPr>
                  <w:tcW w:w="2839" w:type="dxa"/>
                  <w:noWrap w:val="0"/>
                  <w:vAlign w:val="center"/>
                </w:tcPr>
                <w:p>
                  <w:pPr>
                    <w:pStyle w:val="15"/>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365" w:type="dxa"/>
                  <w:noWrap w:val="0"/>
                  <w:vAlign w:val="center"/>
                </w:tcPr>
                <w:p>
                  <w:pPr>
                    <w:pStyle w:val="15"/>
                    <w:spacing w:line="240" w:lineRule="auto"/>
                    <w:ind w:left="0" w:right="0"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959" w:type="dxa"/>
                  <w:noWrap w:val="0"/>
                  <w:vAlign w:val="center"/>
                </w:tcPr>
                <w:p>
                  <w:pPr>
                    <w:pStyle w:val="15"/>
                    <w:spacing w:line="240" w:lineRule="auto"/>
                    <w:ind w:left="0" w:right="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w:t>
                  </w:r>
                  <w:r>
                    <w:rPr>
                      <w:rFonts w:hint="default" w:ascii="Times New Roman" w:hAnsi="Times New Roman" w:cs="Times New Roman"/>
                      <w:color w:val="auto"/>
                      <w:sz w:val="21"/>
                      <w:szCs w:val="21"/>
                      <w:highlight w:val="none"/>
                      <w:lang w:eastAsia="zh-CN"/>
                    </w:rPr>
                    <w:t>水</w:t>
                  </w:r>
                </w:p>
              </w:tc>
              <w:tc>
                <w:tcPr>
                  <w:tcW w:w="2205" w:type="dxa"/>
                  <w:noWrap w:val="0"/>
                  <w:vAlign w:val="center"/>
                </w:tcPr>
                <w:p>
                  <w:pPr>
                    <w:pStyle w:val="15"/>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厂区排口（DW001）</w:t>
                  </w:r>
                </w:p>
              </w:tc>
              <w:tc>
                <w:tcPr>
                  <w:tcW w:w="1136" w:type="dxa"/>
                  <w:noWrap w:val="0"/>
                  <w:vAlign w:val="center"/>
                </w:tcPr>
                <w:p>
                  <w:pPr>
                    <w:pStyle w:val="15"/>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39" w:type="dxa"/>
                  <w:noWrap w:val="0"/>
                  <w:vAlign w:val="center"/>
                </w:tcPr>
                <w:p>
                  <w:pPr>
                    <w:pStyle w:val="15"/>
                    <w:spacing w:line="240" w:lineRule="auto"/>
                    <w:ind w:left="0" w:right="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pH、COD、氨氮、BOD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、SS、TP、TN、甲醛、色度</w:t>
                  </w:r>
                </w:p>
              </w:tc>
              <w:tc>
                <w:tcPr>
                  <w:tcW w:w="1365" w:type="dxa"/>
                  <w:noWrap w:val="0"/>
                  <w:vAlign w:val="center"/>
                </w:tcPr>
                <w:p>
                  <w:pPr>
                    <w:pStyle w:val="15"/>
                    <w:spacing w:line="240" w:lineRule="auto"/>
                    <w:ind w:left="0" w:right="0"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1次/年</w:t>
                  </w:r>
                </w:p>
              </w:tc>
            </w:tr>
          </w:tbl>
          <w:p>
            <w:pPr>
              <w:pStyle w:val="15"/>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w:t>
            </w:r>
            <w:r>
              <w:rPr>
                <w:rFonts w:hint="default" w:ascii="Times New Roman" w:hAnsi="Times New Roman" w:cs="Times New Roman"/>
                <w:b/>
                <w:bCs/>
                <w:color w:val="auto"/>
                <w:sz w:val="24"/>
                <w:szCs w:val="24"/>
                <w:lang w:eastAsia="zh-CN"/>
              </w:rPr>
              <w:t>污染防治措施</w:t>
            </w:r>
            <w:r>
              <w:rPr>
                <w:rFonts w:hint="default" w:ascii="Times New Roman" w:hAnsi="Times New Roman" w:cs="Times New Roman"/>
                <w:b/>
                <w:bCs/>
                <w:color w:val="auto"/>
                <w:sz w:val="24"/>
                <w:szCs w:val="24"/>
              </w:rPr>
              <w:t>可行性</w:t>
            </w:r>
          </w:p>
          <w:p>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szCs w:val="27"/>
              </w:rPr>
              <w:t>（1）预</w:t>
            </w:r>
            <w:r>
              <w:rPr>
                <w:rFonts w:hint="default" w:ascii="Times New Roman" w:hAnsi="Times New Roman" w:cs="Times New Roman"/>
                <w:b/>
                <w:color w:val="auto"/>
                <w:kern w:val="0"/>
                <w:sz w:val="24"/>
              </w:rPr>
              <w:t>处理池依托可行性分析</w:t>
            </w:r>
          </w:p>
          <w:p>
            <w:pPr>
              <w:pStyle w:val="15"/>
              <w:spacing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0"/>
                <w:sz w:val="24"/>
                <w:szCs w:val="28"/>
                <w:highlight w:val="none"/>
              </w:rPr>
              <w:t>厂区内已建</w:t>
            </w:r>
            <w:r>
              <w:rPr>
                <w:rFonts w:hint="default" w:ascii="Times New Roman" w:hAnsi="Times New Roman" w:cs="Times New Roman"/>
                <w:color w:val="auto"/>
                <w:spacing w:val="0"/>
                <w:sz w:val="24"/>
                <w:highlight w:val="none"/>
              </w:rPr>
              <w:t>预处理池，结构为</w:t>
            </w:r>
            <w:r>
              <w:rPr>
                <w:rFonts w:hint="default" w:ascii="Times New Roman" w:hAnsi="Times New Roman" w:cs="Times New Roman"/>
                <w:color w:val="auto"/>
                <w:spacing w:val="0"/>
                <w:sz w:val="24"/>
                <w:szCs w:val="28"/>
                <w:highlight w:val="none"/>
              </w:rPr>
              <w:t>防渗混凝土池，</w:t>
            </w:r>
            <w:r>
              <w:rPr>
                <w:rFonts w:hint="default" w:ascii="Times New Roman" w:hAnsi="Times New Roman" w:cs="Times New Roman"/>
                <w:color w:val="auto"/>
                <w:spacing w:val="0"/>
                <w:sz w:val="24"/>
                <w:szCs w:val="28"/>
                <w:highlight w:val="none"/>
                <w:lang w:eastAsia="zh-CN"/>
              </w:rPr>
              <w:t>处理能力为</w:t>
            </w:r>
            <w:r>
              <w:rPr>
                <w:rFonts w:hint="default" w:ascii="Times New Roman" w:hAnsi="Times New Roman" w:cs="Times New Roman"/>
                <w:color w:val="auto"/>
                <w:spacing w:val="0"/>
                <w:sz w:val="24"/>
                <w:szCs w:val="28"/>
                <w:highlight w:val="none"/>
                <w:lang w:val="en-US" w:eastAsia="zh-CN"/>
              </w:rPr>
              <w:t>10</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lang w:val="en-US" w:eastAsia="zh-CN"/>
              </w:rPr>
              <w:t>/d</w:t>
            </w:r>
            <w:r>
              <w:rPr>
                <w:rFonts w:hint="default" w:ascii="Times New Roman" w:hAnsi="Times New Roman" w:cs="Times New Roman"/>
                <w:color w:val="auto"/>
                <w:spacing w:val="0"/>
                <w:sz w:val="24"/>
                <w:highlight w:val="none"/>
              </w:rPr>
              <w:t>，</w:t>
            </w:r>
            <w:r>
              <w:rPr>
                <w:rFonts w:hint="default" w:ascii="Times New Roman" w:hAnsi="Times New Roman" w:eastAsia="宋体" w:cs="Times New Roman"/>
                <w:b w:val="0"/>
                <w:bCs w:val="0"/>
                <w:color w:val="auto"/>
                <w:spacing w:val="0"/>
                <w:kern w:val="2"/>
                <w:sz w:val="24"/>
                <w:szCs w:val="24"/>
                <w:highlight w:val="none"/>
                <w:lang w:val="en-US" w:eastAsia="zh-CN" w:bidi="ar-SA"/>
              </w:rPr>
              <w:t>该</w:t>
            </w:r>
            <w:r>
              <w:rPr>
                <w:rFonts w:hint="default" w:ascii="Times New Roman" w:hAnsi="Times New Roman" w:eastAsia="宋体" w:cs="Times New Roman"/>
                <w:b w:val="0"/>
                <w:bCs w:val="0"/>
                <w:color w:val="auto"/>
                <w:spacing w:val="0"/>
                <w:kern w:val="2"/>
                <w:sz w:val="24"/>
                <w:szCs w:val="24"/>
                <w:lang w:val="en-US" w:eastAsia="zh-CN" w:bidi="ar-SA"/>
              </w:rPr>
              <w:t>预处理池目前剩余处理容量约3.5m</w:t>
            </w:r>
            <w:r>
              <w:rPr>
                <w:rFonts w:hint="default" w:ascii="Times New Roman" w:hAnsi="Times New Roman" w:eastAsia="宋体" w:cs="Times New Roman"/>
                <w:b w:val="0"/>
                <w:bCs w:val="0"/>
                <w:color w:val="auto"/>
                <w:spacing w:val="0"/>
                <w:kern w:val="2"/>
                <w:sz w:val="24"/>
                <w:szCs w:val="24"/>
                <w:vertAlign w:val="superscript"/>
                <w:lang w:val="en-US" w:eastAsia="zh-CN" w:bidi="ar-SA"/>
              </w:rPr>
              <w:t>3</w:t>
            </w:r>
            <w:r>
              <w:rPr>
                <w:rFonts w:hint="default" w:ascii="Times New Roman" w:hAnsi="Times New Roman" w:cs="Times New Roman"/>
                <w:color w:val="auto"/>
                <w:spacing w:val="0"/>
                <w:sz w:val="24"/>
                <w:highlight w:val="none"/>
                <w:lang w:val="en-US" w:eastAsia="zh-CN"/>
              </w:rPr>
              <w:t>/d</w:t>
            </w:r>
            <w:r>
              <w:rPr>
                <w:rFonts w:hint="default" w:ascii="Times New Roman" w:hAnsi="Times New Roman" w:eastAsia="宋体" w:cs="Times New Roman"/>
                <w:b w:val="0"/>
                <w:bCs w:val="0"/>
                <w:color w:val="auto"/>
                <w:spacing w:val="0"/>
                <w:kern w:val="2"/>
                <w:sz w:val="24"/>
                <w:szCs w:val="24"/>
                <w:lang w:val="en-US" w:eastAsia="zh-CN" w:bidi="ar-SA"/>
              </w:rPr>
              <w:t>，本项目外排废水为生活污水、锅炉排水、软水制备浓水，水质简单，废水排放</w:t>
            </w:r>
            <w:r>
              <w:rPr>
                <w:rFonts w:hint="default" w:ascii="Times New Roman" w:hAnsi="Times New Roman" w:eastAsia="宋体" w:cs="Times New Roman"/>
                <w:b w:val="0"/>
                <w:bCs w:val="0"/>
                <w:color w:val="auto"/>
                <w:spacing w:val="0"/>
                <w:kern w:val="2"/>
                <w:sz w:val="24"/>
                <w:szCs w:val="24"/>
                <w:highlight w:val="none"/>
                <w:lang w:val="en-US" w:eastAsia="zh-CN" w:bidi="ar-SA"/>
              </w:rPr>
              <w:t>量为1.685</w:t>
            </w:r>
            <w:r>
              <w:rPr>
                <w:rFonts w:hint="default" w:ascii="Times New Roman" w:hAnsi="Times New Roman" w:eastAsia="宋体" w:cs="Times New Roman"/>
                <w:b w:val="0"/>
                <w:bCs w:val="0"/>
                <w:color w:val="auto"/>
                <w:spacing w:val="0"/>
                <w:kern w:val="2"/>
                <w:sz w:val="24"/>
                <w:szCs w:val="24"/>
                <w:lang w:val="en-US" w:eastAsia="zh-CN" w:bidi="ar-SA"/>
              </w:rPr>
              <w:t>m</w:t>
            </w:r>
            <w:r>
              <w:rPr>
                <w:rFonts w:hint="default" w:ascii="Times New Roman" w:hAnsi="Times New Roman" w:eastAsia="宋体" w:cs="Times New Roman"/>
                <w:b w:val="0"/>
                <w:bCs w:val="0"/>
                <w:color w:val="auto"/>
                <w:spacing w:val="0"/>
                <w:kern w:val="2"/>
                <w:sz w:val="24"/>
                <w:szCs w:val="24"/>
                <w:vertAlign w:val="superscript"/>
                <w:lang w:val="en-US" w:eastAsia="zh-CN" w:bidi="ar-SA"/>
              </w:rPr>
              <w:t>3</w:t>
            </w:r>
            <w:r>
              <w:rPr>
                <w:rFonts w:hint="default" w:ascii="Times New Roman" w:hAnsi="Times New Roman" w:cs="Times New Roman"/>
                <w:color w:val="auto"/>
                <w:spacing w:val="0"/>
                <w:sz w:val="24"/>
                <w:highlight w:val="none"/>
                <w:lang w:val="en-US" w:eastAsia="zh-CN"/>
              </w:rPr>
              <w:t>/d</w:t>
            </w:r>
            <w:r>
              <w:rPr>
                <w:rFonts w:hint="default"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cs="Times New Roman"/>
                <w:color w:val="auto"/>
                <w:spacing w:val="0"/>
                <w:sz w:val="24"/>
                <w:szCs w:val="24"/>
              </w:rPr>
              <w:t>因此</w:t>
            </w:r>
            <w:r>
              <w:rPr>
                <w:rFonts w:hint="default" w:ascii="Times New Roman" w:hAnsi="Times New Roman" w:cs="Times New Roman"/>
                <w:color w:val="auto"/>
                <w:spacing w:val="0"/>
                <w:sz w:val="24"/>
                <w:szCs w:val="24"/>
                <w:lang w:eastAsia="zh-CN"/>
              </w:rPr>
              <w:t>，</w:t>
            </w:r>
            <w:r>
              <w:rPr>
                <w:rFonts w:hint="default" w:ascii="Times New Roman" w:hAnsi="Times New Roman" w:cs="Times New Roman"/>
                <w:color w:val="auto"/>
                <w:spacing w:val="0"/>
                <w:sz w:val="24"/>
                <w:szCs w:val="24"/>
              </w:rPr>
              <w:t>预处理池</w:t>
            </w:r>
            <w:r>
              <w:rPr>
                <w:rFonts w:hint="default" w:ascii="Times New Roman" w:hAnsi="Times New Roman" w:eastAsia="宋体" w:cs="Times New Roman"/>
                <w:b w:val="0"/>
                <w:bCs w:val="0"/>
                <w:color w:val="auto"/>
                <w:spacing w:val="0"/>
                <w:kern w:val="2"/>
                <w:sz w:val="24"/>
                <w:szCs w:val="24"/>
                <w:lang w:val="en-US" w:eastAsia="zh-CN" w:bidi="ar-SA"/>
              </w:rPr>
              <w:t>能满足本项目废水预处理需求</w:t>
            </w:r>
            <w:r>
              <w:rPr>
                <w:rFonts w:hint="default" w:ascii="Times New Roman" w:hAnsi="Times New Roman" w:cs="Times New Roman"/>
                <w:color w:val="auto"/>
                <w:spacing w:val="0"/>
                <w:sz w:val="24"/>
                <w:szCs w:val="24"/>
              </w:rPr>
              <w:t>，依托可行。</w:t>
            </w:r>
          </w:p>
          <w:p>
            <w:pPr>
              <w:pageBreakBefore w:val="0"/>
              <w:kinsoku/>
              <w:bidi w:val="0"/>
              <w:adjustRightInd w:val="0"/>
              <w:spacing w:line="360" w:lineRule="auto"/>
              <w:ind w:firstLine="480"/>
              <w:rPr>
                <w:rFonts w:hint="default" w:ascii="Times New Roman" w:hAnsi="Times New Roman" w:eastAsia="宋体" w:cs="Times New Roman"/>
                <w:b/>
                <w:color w:val="auto"/>
                <w:kern w:val="2"/>
                <w:sz w:val="24"/>
                <w:szCs w:val="24"/>
                <w:lang w:val="en-US" w:eastAsia="zh-CN"/>
              </w:rPr>
            </w:pPr>
            <w:r>
              <w:rPr>
                <w:rFonts w:hint="default" w:ascii="Times New Roman" w:hAnsi="Times New Roman" w:cs="Times New Roman"/>
                <w:b/>
                <w:color w:val="auto"/>
                <w:kern w:val="0"/>
                <w:sz w:val="24"/>
              </w:rPr>
              <w:t>（</w:t>
            </w:r>
            <w:r>
              <w:rPr>
                <w:rFonts w:hint="default" w:ascii="Times New Roman" w:hAnsi="Times New Roman" w:cs="Times New Roman"/>
                <w:b/>
                <w:color w:val="auto"/>
                <w:kern w:val="0"/>
                <w:sz w:val="24"/>
                <w:lang w:eastAsia="zh-CN"/>
              </w:rPr>
              <w:t>2）</w:t>
            </w:r>
            <w:r>
              <w:rPr>
                <w:rFonts w:hint="default" w:ascii="Times New Roman" w:hAnsi="Times New Roman" w:eastAsia="宋体" w:cs="Times New Roman"/>
                <w:b/>
                <w:color w:val="auto"/>
                <w:spacing w:val="0"/>
                <w:kern w:val="2"/>
                <w:sz w:val="24"/>
                <w:szCs w:val="24"/>
                <w:lang w:val="en-US" w:eastAsia="zh-CN"/>
              </w:rPr>
              <w:t>蓬溪县经济开发区废水处理</w:t>
            </w:r>
            <w:r>
              <w:rPr>
                <w:rFonts w:hint="default" w:ascii="Times New Roman" w:hAnsi="Times New Roman" w:eastAsia="宋体" w:cs="Times New Roman"/>
                <w:b/>
                <w:color w:val="auto"/>
                <w:kern w:val="2"/>
                <w:sz w:val="24"/>
                <w:szCs w:val="24"/>
                <w:lang w:val="en-US" w:eastAsia="zh-CN"/>
              </w:rPr>
              <w:t>厂依托处理可行性分析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蓬溪县经济开发区废水处理厂位于赤城镇下店子村五组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方家坪</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，占地</w:t>
            </w:r>
            <w:r>
              <w:rPr>
                <w:rFonts w:hint="default" w:ascii="Times New Roman" w:hAnsi="Times New Roman" w:cs="Times New Roman"/>
                <w:color w:val="auto"/>
                <w:sz w:val="24"/>
                <w:szCs w:val="24"/>
                <w:lang w:eastAsia="zh-CN"/>
              </w:rPr>
              <w:t>面</w:t>
            </w:r>
            <w:r>
              <w:rPr>
                <w:rFonts w:hint="default" w:ascii="Times New Roman" w:hAnsi="Times New Roman" w:cs="Times New Roman"/>
                <w:color w:val="auto"/>
                <w:sz w:val="24"/>
                <w:szCs w:val="24"/>
              </w:rPr>
              <w:t>积为26362m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，处理工艺采用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预处理+改良A/O+曝气生物滤池+纤维转盘滤池+紫外线消毒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工艺，纳污范围为上游片区工业园区产生的生活污水和工业废水。目前该</w:t>
            </w:r>
            <w:r>
              <w:rPr>
                <w:rFonts w:hint="default" w:ascii="Times New Roman" w:hAnsi="Times New Roman" w:cs="Times New Roman"/>
                <w:color w:val="auto"/>
                <w:sz w:val="24"/>
                <w:szCs w:val="24"/>
                <w:lang w:eastAsia="zh-CN"/>
              </w:rPr>
              <w:t>废</w:t>
            </w:r>
            <w:r>
              <w:rPr>
                <w:rFonts w:hint="default" w:ascii="Times New Roman" w:hAnsi="Times New Roman" w:cs="Times New Roman"/>
                <w:color w:val="auto"/>
                <w:sz w:val="24"/>
                <w:szCs w:val="24"/>
              </w:rPr>
              <w:t>水处理厂设计规模为2000m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尾水达《城镇污水处理厂污染物排放标准》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GB18918-2002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一级A标准后排入芝溪河。</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本项目外排</w:t>
            </w:r>
            <w:r>
              <w:rPr>
                <w:rFonts w:hint="default" w:ascii="Times New Roman" w:hAnsi="Times New Roman" w:cs="Times New Roman"/>
                <w:color w:val="auto"/>
                <w:sz w:val="24"/>
                <w:highlight w:val="none"/>
              </w:rPr>
              <w:t>废水量为</w:t>
            </w:r>
            <w:r>
              <w:rPr>
                <w:rFonts w:hint="default" w:ascii="Times New Roman" w:hAnsi="Times New Roman" w:cs="Times New Roman"/>
                <w:color w:val="auto"/>
                <w:sz w:val="24"/>
                <w:highlight w:val="none"/>
                <w:lang w:val="en-US" w:eastAsia="zh-CN"/>
              </w:rPr>
              <w:t>1.685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szCs w:val="24"/>
              </w:rPr>
              <w:t>蓬溪县经济开发区废水处理厂</w:t>
            </w:r>
            <w:r>
              <w:rPr>
                <w:rFonts w:hint="default" w:ascii="Times New Roman" w:hAnsi="Times New Roman" w:cs="Times New Roman"/>
                <w:color w:val="auto"/>
                <w:sz w:val="24"/>
                <w:szCs w:val="24"/>
                <w:lang w:eastAsia="zh-CN"/>
              </w:rPr>
              <w:t>目前实际处理量为</w:t>
            </w:r>
            <w:r>
              <w:rPr>
                <w:rFonts w:hint="default" w:ascii="Times New Roman" w:hAnsi="Times New Roman" w:cs="Times New Roman"/>
                <w:color w:val="auto"/>
                <w:sz w:val="24"/>
                <w:szCs w:val="24"/>
                <w:lang w:val="en-US" w:eastAsia="zh-CN"/>
              </w:rPr>
              <w:t>1500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污水处理厂剩余处理容量足够处理本项目废水。</w:t>
            </w:r>
            <w:r>
              <w:rPr>
                <w:rFonts w:hint="default" w:ascii="Times New Roman" w:hAnsi="Times New Roman" w:cs="Times New Roman"/>
                <w:color w:val="auto"/>
                <w:sz w:val="24"/>
              </w:rPr>
              <w:t>因此，污水处理厂能够满足本项目废水排放要求。</w:t>
            </w:r>
          </w:p>
          <w:p>
            <w:pPr>
              <w:pageBreakBefore w:val="0"/>
              <w:kinsoku/>
              <w:bidi w:val="0"/>
              <w:adjustRightInd w:val="0"/>
              <w:snapToGrid w:val="0"/>
              <w:spacing w:line="360" w:lineRule="auto"/>
              <w:ind w:firstLine="480" w:firstLineChars="200"/>
              <w:rPr>
                <w:rFonts w:hint="default" w:ascii="Times New Roman" w:hAnsi="Times New Roman" w:eastAsia="宋体" w:cs="Times New Roman"/>
                <w:color w:val="auto"/>
                <w:kern w:val="0"/>
                <w:sz w:val="24"/>
                <w:szCs w:val="20"/>
                <w:highlight w:val="yellow"/>
              </w:rPr>
            </w:pPr>
            <w:r>
              <w:rPr>
                <w:rFonts w:hint="default" w:ascii="Times New Roman" w:hAnsi="Times New Roman" w:cs="Times New Roman"/>
                <w:color w:val="auto"/>
                <w:sz w:val="24"/>
              </w:rPr>
              <w:t>同时，根据实地调查可知，本项目区域污水管网已经全部建成，且与</w:t>
            </w:r>
            <w:r>
              <w:rPr>
                <w:rFonts w:hint="default" w:ascii="Times New Roman" w:hAnsi="Times New Roman" w:cs="Times New Roman"/>
                <w:color w:val="auto"/>
                <w:sz w:val="24"/>
                <w:lang w:eastAsia="zh-CN"/>
              </w:rPr>
              <w:t>蓬溪县经济开发区废</w:t>
            </w:r>
            <w:r>
              <w:rPr>
                <w:rFonts w:hint="default" w:ascii="Times New Roman" w:hAnsi="Times New Roman" w:eastAsia="宋体" w:cs="Times New Roman"/>
                <w:color w:val="auto"/>
                <w:sz w:val="24"/>
                <w:lang w:eastAsia="zh-CN"/>
              </w:rPr>
              <w:t>水处理厂</w:t>
            </w:r>
            <w:r>
              <w:rPr>
                <w:rFonts w:hint="default" w:ascii="Times New Roman" w:hAnsi="Times New Roman" w:eastAsia="宋体" w:cs="Times New Roman"/>
                <w:color w:val="auto"/>
                <w:sz w:val="24"/>
              </w:rPr>
              <w:t>相接。本项目位于</w:t>
            </w:r>
            <w:r>
              <w:rPr>
                <w:rFonts w:hint="default" w:ascii="Times New Roman" w:hAnsi="Times New Roman" w:eastAsia="宋体" w:cs="Times New Roman"/>
                <w:color w:val="auto"/>
                <w:sz w:val="24"/>
                <w:lang w:eastAsia="zh-CN"/>
              </w:rPr>
              <w:t>蓬溪县经济开发区废水处理厂</w:t>
            </w:r>
            <w:r>
              <w:rPr>
                <w:rFonts w:hint="default" w:ascii="Times New Roman" w:hAnsi="Times New Roman" w:eastAsia="宋体" w:cs="Times New Roman"/>
                <w:color w:val="auto"/>
                <w:sz w:val="24"/>
              </w:rPr>
              <w:t>的纳污范围内，厂区污水经预处理达标后，可排入县</w:t>
            </w:r>
            <w:r>
              <w:rPr>
                <w:rFonts w:hint="default" w:ascii="Times New Roman" w:hAnsi="Times New Roman" w:eastAsia="宋体" w:cs="Times New Roman"/>
                <w:color w:val="auto"/>
                <w:sz w:val="24"/>
                <w:lang w:eastAsia="zh-CN"/>
              </w:rPr>
              <w:t>蓬溪县经济开发区废水处理厂</w:t>
            </w:r>
            <w:r>
              <w:rPr>
                <w:rFonts w:hint="default" w:ascii="Times New Roman" w:hAnsi="Times New Roman" w:eastAsia="宋体" w:cs="Times New Roman"/>
                <w:color w:val="auto"/>
                <w:sz w:val="24"/>
              </w:rPr>
              <w:t>进行处理。因此，本项目外排废水进入</w:t>
            </w:r>
            <w:r>
              <w:rPr>
                <w:rFonts w:hint="default" w:ascii="Times New Roman" w:hAnsi="Times New Roman" w:eastAsia="宋体" w:cs="Times New Roman"/>
                <w:color w:val="auto"/>
                <w:sz w:val="24"/>
                <w:lang w:eastAsia="zh-CN"/>
              </w:rPr>
              <w:t>蓬溪县经济开发区废水处理厂</w:t>
            </w:r>
            <w:r>
              <w:rPr>
                <w:rFonts w:hint="default" w:ascii="Times New Roman" w:hAnsi="Times New Roman" w:eastAsia="宋体" w:cs="Times New Roman"/>
                <w:color w:val="auto"/>
                <w:sz w:val="24"/>
              </w:rPr>
              <w:t>处理是可行的。</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color w:val="auto"/>
                <w:sz w:val="24"/>
              </w:rPr>
            </w:pPr>
            <w:r>
              <w:rPr>
                <w:rFonts w:hint="default" w:ascii="Times New Roman" w:hAnsi="Times New Roman" w:eastAsia="宋体" w:cs="Times New Roman"/>
                <w:b w:val="0"/>
                <w:bCs w:val="0"/>
                <w:color w:val="auto"/>
                <w:kern w:val="0"/>
                <w:sz w:val="24"/>
                <w:szCs w:val="20"/>
                <w:highlight w:val="none"/>
              </w:rPr>
              <w:t>综上所述，项目位于</w:t>
            </w:r>
            <w:r>
              <w:rPr>
                <w:rFonts w:hint="default" w:ascii="Times New Roman" w:hAnsi="Times New Roman" w:eastAsia="宋体" w:cs="Times New Roman"/>
                <w:b w:val="0"/>
                <w:bCs w:val="0"/>
                <w:color w:val="auto"/>
                <w:sz w:val="24"/>
                <w:lang w:eastAsia="zh-CN"/>
              </w:rPr>
              <w:t>蓬溪县经济开发区废水处理厂</w:t>
            </w:r>
            <w:r>
              <w:rPr>
                <w:rFonts w:hint="default" w:ascii="Times New Roman" w:hAnsi="Times New Roman" w:eastAsia="宋体" w:cs="Times New Roman"/>
                <w:b w:val="0"/>
                <w:bCs w:val="0"/>
                <w:color w:val="auto"/>
                <w:kern w:val="0"/>
                <w:sz w:val="24"/>
                <w:szCs w:val="20"/>
                <w:highlight w:val="none"/>
              </w:rPr>
              <w:t>接管范围内，</w:t>
            </w:r>
            <w:r>
              <w:rPr>
                <w:rFonts w:hint="default" w:ascii="Times New Roman" w:hAnsi="Times New Roman" w:eastAsia="宋体" w:cs="Times New Roman"/>
                <w:b w:val="0"/>
                <w:bCs w:val="0"/>
                <w:color w:val="auto"/>
                <w:sz w:val="24"/>
                <w:lang w:eastAsia="zh-CN"/>
              </w:rPr>
              <w:t>蓬溪县经济开发区废水处理厂</w:t>
            </w:r>
            <w:r>
              <w:rPr>
                <w:rFonts w:hint="default" w:ascii="Times New Roman" w:hAnsi="Times New Roman" w:eastAsia="宋体" w:cs="Times New Roman"/>
                <w:b w:val="0"/>
                <w:bCs w:val="0"/>
                <w:color w:val="auto"/>
                <w:kern w:val="0"/>
                <w:sz w:val="24"/>
                <w:szCs w:val="20"/>
                <w:highlight w:val="none"/>
              </w:rPr>
              <w:t>有余量接纳本项目废水，</w:t>
            </w:r>
            <w:r>
              <w:rPr>
                <w:rFonts w:hint="default" w:ascii="Times New Roman" w:hAnsi="Times New Roman" w:eastAsia="宋体" w:cs="Times New Roman"/>
                <w:b w:val="0"/>
                <w:bCs w:val="0"/>
                <w:color w:val="auto"/>
                <w:sz w:val="24"/>
                <w:lang w:eastAsia="zh-CN"/>
              </w:rPr>
              <w:t>蓬溪县经济开发区废水处理厂</w:t>
            </w:r>
            <w:r>
              <w:rPr>
                <w:rFonts w:hint="default" w:ascii="Times New Roman" w:hAnsi="Times New Roman" w:eastAsia="宋体" w:cs="Times New Roman"/>
                <w:b w:val="0"/>
                <w:bCs w:val="0"/>
                <w:color w:val="auto"/>
                <w:kern w:val="0"/>
                <w:sz w:val="24"/>
                <w:szCs w:val="20"/>
                <w:highlight w:val="none"/>
              </w:rPr>
              <w:t>处理工艺满足项目废水接管处理要求，因此，本项目产生废水接管可行。</w:t>
            </w:r>
          </w:p>
          <w:p>
            <w:pPr>
              <w:pStyle w:val="15"/>
              <w:adjustRightInd/>
              <w:snapToGrid/>
              <w:spacing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综上，就服务范围、处理能力而言，本项目废水拟采取处理措施可行，污染物可实现达标排放，不会对地表水产生明显影响。</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三、噪声</w:t>
            </w:r>
          </w:p>
          <w:p>
            <w:pPr>
              <w:autoSpaceDE w:val="0"/>
              <w:autoSpaceDN w:val="0"/>
              <w:adjustRightInd w:val="0"/>
              <w:snapToGrid w:val="0"/>
              <w:spacing w:line="360" w:lineRule="auto"/>
              <w:ind w:firstLine="422" w:firstLineChars="200"/>
              <w:rPr>
                <w:b/>
                <w:bCs/>
                <w:color w:val="auto"/>
                <w:sz w:val="24"/>
              </w:rPr>
            </w:pPr>
            <w:r>
              <w:rPr>
                <w:rFonts w:hint="eastAsia"/>
                <w:b/>
                <w:bCs/>
                <w:color w:val="auto"/>
              </w:rPr>
              <w:t>1、</w:t>
            </w:r>
            <w:r>
              <w:rPr>
                <w:b/>
                <w:bCs/>
                <w:color w:val="auto"/>
                <w:sz w:val="24"/>
              </w:rPr>
              <w:t>噪声源强及治理措施</w:t>
            </w:r>
          </w:p>
          <w:p>
            <w:pPr>
              <w:pStyle w:val="15"/>
              <w:spacing w:line="360" w:lineRule="auto"/>
              <w:ind w:left="0" w:right="0" w:firstLine="480" w:firstLineChars="200"/>
              <w:rPr>
                <w:rFonts w:ascii="Times New Roman"/>
                <w:color w:val="auto"/>
                <w:sz w:val="24"/>
                <w:szCs w:val="24"/>
              </w:rPr>
            </w:pPr>
            <w:r>
              <w:rPr>
                <w:rFonts w:ascii="Times New Roman"/>
                <w:color w:val="auto"/>
                <w:sz w:val="24"/>
              </w:rPr>
              <w:t>本项目噪声源主要为</w:t>
            </w:r>
            <w:r>
              <w:rPr>
                <w:rFonts w:hint="default" w:ascii="Times New Roman" w:hAnsi="Times New Roman" w:cs="Times New Roman"/>
                <w:color w:val="auto"/>
                <w:sz w:val="24"/>
                <w:lang w:eastAsia="zh-CN"/>
              </w:rPr>
              <w:t>各类生产</w:t>
            </w:r>
            <w:r>
              <w:rPr>
                <w:rFonts w:hint="eastAsia" w:ascii="Times New Roman" w:hAnsi="Times New Roman" w:cs="Times New Roman"/>
                <w:color w:val="auto"/>
                <w:sz w:val="24"/>
                <w:lang w:eastAsia="zh-CN"/>
              </w:rPr>
              <w:t>设备</w:t>
            </w:r>
            <w:r>
              <w:rPr>
                <w:rFonts w:hint="default" w:ascii="Times New Roman" w:hAnsi="Times New Roman" w:cs="Times New Roman"/>
                <w:color w:val="auto"/>
                <w:sz w:val="24"/>
                <w:lang w:eastAsia="zh-CN"/>
              </w:rPr>
              <w:t>及风机等</w:t>
            </w:r>
            <w:r>
              <w:rPr>
                <w:rFonts w:ascii="Times New Roman"/>
                <w:color w:val="auto"/>
                <w:sz w:val="24"/>
              </w:rPr>
              <w:t>产生的噪声，</w:t>
            </w:r>
            <w:r>
              <w:rPr>
                <w:rFonts w:ascii="Times New Roman"/>
                <w:color w:val="auto"/>
                <w:sz w:val="24"/>
                <w:szCs w:val="24"/>
              </w:rPr>
              <w:t>为控制项目噪声出现污染影响，建设单位拟采取的</w:t>
            </w:r>
            <w:r>
              <w:rPr>
                <w:rFonts w:ascii="Times New Roman"/>
                <w:color w:val="auto"/>
                <w:kern w:val="0"/>
                <w:sz w:val="24"/>
              </w:rPr>
              <w:t>噪声防治</w:t>
            </w:r>
            <w:r>
              <w:rPr>
                <w:rFonts w:ascii="Times New Roman"/>
                <w:color w:val="auto"/>
                <w:sz w:val="24"/>
                <w:szCs w:val="24"/>
              </w:rPr>
              <w:t>措施如下：</w:t>
            </w:r>
          </w:p>
          <w:p>
            <w:pPr>
              <w:adjustRightInd w:val="0"/>
              <w:snapToGrid w:val="0"/>
              <w:spacing w:line="360" w:lineRule="auto"/>
              <w:ind w:firstLine="480" w:firstLineChars="200"/>
              <w:rPr>
                <w:bCs/>
                <w:color w:val="auto"/>
                <w:spacing w:val="0"/>
                <w:sz w:val="24"/>
              </w:rPr>
            </w:pPr>
            <w:r>
              <w:rPr>
                <w:bCs/>
                <w:color w:val="auto"/>
                <w:spacing w:val="0"/>
                <w:sz w:val="24"/>
              </w:rPr>
              <w:t>①选用低噪设备：充分选用先进的低噪设备，以从声源上降低设备本身噪声。</w:t>
            </w:r>
          </w:p>
          <w:p>
            <w:pPr>
              <w:adjustRightInd w:val="0"/>
              <w:snapToGrid w:val="0"/>
              <w:spacing w:line="360" w:lineRule="auto"/>
              <w:ind w:firstLine="480" w:firstLineChars="200"/>
              <w:rPr>
                <w:bCs/>
                <w:color w:val="auto"/>
                <w:spacing w:val="0"/>
                <w:sz w:val="24"/>
              </w:rPr>
            </w:pPr>
            <w:r>
              <w:rPr>
                <w:bCs/>
                <w:color w:val="auto"/>
                <w:spacing w:val="0"/>
                <w:sz w:val="24"/>
              </w:rPr>
              <w:t>②合理布局：</w:t>
            </w:r>
            <w:r>
              <w:rPr>
                <w:color w:val="auto"/>
                <w:spacing w:val="0"/>
                <w:sz w:val="24"/>
              </w:rPr>
              <w:t>车间内划定分区合理布置声源位置，将高噪声设备集中布置，同时，根据不同生产设备划定独立封闭式生产区域，以减少噪声的影响</w:t>
            </w:r>
            <w:r>
              <w:rPr>
                <w:bCs/>
                <w:color w:val="auto"/>
                <w:spacing w:val="0"/>
                <w:sz w:val="24"/>
              </w:rPr>
              <w:t>。</w:t>
            </w:r>
          </w:p>
          <w:p>
            <w:pPr>
              <w:adjustRightInd w:val="0"/>
              <w:snapToGrid w:val="0"/>
              <w:spacing w:line="360" w:lineRule="auto"/>
              <w:ind w:firstLine="480" w:firstLineChars="200"/>
              <w:rPr>
                <w:bCs/>
                <w:color w:val="auto"/>
                <w:spacing w:val="0"/>
                <w:sz w:val="24"/>
              </w:rPr>
            </w:pPr>
            <w:r>
              <w:rPr>
                <w:bCs/>
                <w:color w:val="auto"/>
                <w:spacing w:val="0"/>
                <w:sz w:val="24"/>
              </w:rPr>
              <w:t>③基础</w:t>
            </w:r>
            <w:r>
              <w:rPr>
                <w:rFonts w:hint="eastAsia"/>
                <w:bCs/>
                <w:color w:val="auto"/>
                <w:spacing w:val="0"/>
                <w:sz w:val="24"/>
                <w:lang w:eastAsia="zh-CN"/>
              </w:rPr>
              <w:t>减振</w:t>
            </w:r>
            <w:r>
              <w:rPr>
                <w:bCs/>
                <w:color w:val="auto"/>
                <w:spacing w:val="0"/>
                <w:sz w:val="24"/>
              </w:rPr>
              <w:t>：</w:t>
            </w:r>
            <w:r>
              <w:rPr>
                <w:color w:val="auto"/>
                <w:spacing w:val="0"/>
                <w:sz w:val="24"/>
              </w:rPr>
              <w:t>因机械设备运转不平衡将导致设备振动和墙体振动从而产生噪声。因此，在机械设备与基础之间增加弹簧或者由弹性材料制作的减振垫层、减振器，这样能有效减少能量的传递，以减小其振动噪声影响</w:t>
            </w:r>
            <w:r>
              <w:rPr>
                <w:bCs/>
                <w:color w:val="auto"/>
                <w:spacing w:val="0"/>
                <w:sz w:val="24"/>
              </w:rPr>
              <w:t>。</w:t>
            </w:r>
          </w:p>
          <w:p>
            <w:pPr>
              <w:adjustRightInd w:val="0"/>
              <w:snapToGrid w:val="0"/>
              <w:spacing w:line="360" w:lineRule="auto"/>
              <w:ind w:firstLine="480" w:firstLineChars="200"/>
              <w:rPr>
                <w:bCs/>
                <w:color w:val="auto"/>
                <w:spacing w:val="0"/>
                <w:sz w:val="24"/>
              </w:rPr>
            </w:pPr>
            <w:r>
              <w:rPr>
                <w:bCs/>
                <w:color w:val="auto"/>
                <w:spacing w:val="0"/>
                <w:sz w:val="24"/>
              </w:rPr>
              <w:t>④厂房隔声：项目在厂房内生产，</w:t>
            </w:r>
            <w:r>
              <w:rPr>
                <w:rFonts w:hint="eastAsia"/>
                <w:bCs/>
                <w:color w:val="auto"/>
                <w:spacing w:val="0"/>
                <w:sz w:val="24"/>
                <w:lang w:eastAsia="zh-CN"/>
              </w:rPr>
              <w:t>高</w:t>
            </w:r>
            <w:r>
              <w:rPr>
                <w:bCs/>
                <w:color w:val="auto"/>
                <w:spacing w:val="0"/>
                <w:sz w:val="24"/>
              </w:rPr>
              <w:t>噪声设置于车间内，经厂房隔声降低噪声的影响。</w:t>
            </w:r>
          </w:p>
          <w:p>
            <w:pPr>
              <w:adjustRightInd w:val="0"/>
              <w:snapToGrid w:val="0"/>
              <w:spacing w:line="360" w:lineRule="auto"/>
              <w:ind w:firstLine="480" w:firstLineChars="200"/>
              <w:rPr>
                <w:bCs/>
                <w:color w:val="auto"/>
                <w:spacing w:val="0"/>
                <w:sz w:val="24"/>
              </w:rPr>
            </w:pPr>
            <w:r>
              <w:rPr>
                <w:bCs/>
                <w:color w:val="auto"/>
                <w:spacing w:val="0"/>
                <w:sz w:val="24"/>
              </w:rPr>
              <w:t>⑤加强维护：</w:t>
            </w:r>
            <w:r>
              <w:rPr>
                <w:color w:val="auto"/>
                <w:spacing w:val="0"/>
                <w:sz w:val="24"/>
              </w:rPr>
              <w:t>定期维护机械设备，以确保设备正常运转，防止设备异常运转造成噪声污染。定期对工厂中陈旧的设备进行及时更换。在采购工厂新设备时，采购人员应将产品的噪声标准考虑在内，并作为评价产品综合性能的一个重要指标。应该优先选择低噪声、低振动的设备</w:t>
            </w:r>
            <w:r>
              <w:rPr>
                <w:bCs/>
                <w:color w:val="auto"/>
                <w:spacing w:val="0"/>
                <w:sz w:val="24"/>
              </w:rPr>
              <w:t>。</w:t>
            </w:r>
          </w:p>
          <w:p>
            <w:pPr>
              <w:pStyle w:val="15"/>
              <w:spacing w:line="360" w:lineRule="auto"/>
              <w:ind w:left="0" w:right="0" w:firstLine="480" w:firstLineChars="200"/>
              <w:rPr>
                <w:rFonts w:ascii="Times New Roman"/>
                <w:bCs/>
                <w:color w:val="auto"/>
                <w:spacing w:val="0"/>
                <w:sz w:val="24"/>
                <w:szCs w:val="24"/>
              </w:rPr>
            </w:pPr>
            <w:r>
              <w:rPr>
                <w:rFonts w:ascii="Times New Roman"/>
                <w:bCs/>
                <w:color w:val="auto"/>
                <w:spacing w:val="0"/>
                <w:sz w:val="24"/>
                <w:szCs w:val="24"/>
              </w:rPr>
              <w:t>⑥加强管理：</w:t>
            </w:r>
            <w:r>
              <w:rPr>
                <w:rFonts w:ascii="Times New Roman"/>
                <w:color w:val="auto"/>
                <w:spacing w:val="0"/>
                <w:sz w:val="24"/>
                <w:szCs w:val="24"/>
              </w:rPr>
              <w:t>加强管理，对原料运输下料时，做到轻卸、缓放。车间内根据生产工艺划定分区，可有效减少厂区内物料转运频次，降低因物料转移过程中因碰撞、跌落、摩擦产生的噪声影响。</w:t>
            </w:r>
            <w:r>
              <w:rPr>
                <w:rFonts w:ascii="Times New Roman"/>
                <w:bCs/>
                <w:color w:val="auto"/>
                <w:spacing w:val="0"/>
                <w:sz w:val="24"/>
                <w:szCs w:val="24"/>
              </w:rPr>
              <w:t>加强职工环保意识教育，提倡文明生产，防止人为噪声。</w:t>
            </w:r>
          </w:p>
          <w:p>
            <w:pPr>
              <w:spacing w:line="360" w:lineRule="auto"/>
              <w:ind w:firstLine="480" w:firstLineChars="200"/>
              <w:rPr>
                <w:rFonts w:hint="default" w:ascii="Times New Roman" w:hAnsi="Times New Roman" w:cs="Times New Roman"/>
                <w:color w:val="auto"/>
                <w:spacing w:val="0"/>
                <w:sz w:val="24"/>
              </w:rPr>
            </w:pPr>
            <w:r>
              <w:rPr>
                <w:bCs/>
                <w:color w:val="auto"/>
                <w:spacing w:val="0"/>
                <w:sz w:val="24"/>
                <w:szCs w:val="24"/>
              </w:rPr>
              <w:t>⑦项目</w:t>
            </w:r>
            <w:r>
              <w:rPr>
                <w:color w:val="auto"/>
                <w:spacing w:val="0"/>
                <w:sz w:val="24"/>
                <w:szCs w:val="24"/>
              </w:rPr>
              <w:t>生产时，企业应为工人提供一定的个人防护措施，例如，佩戴耳塞、耳罩或者防声棉、帽盔等，降低设备生产噪声对企业职工的影响。</w:t>
            </w:r>
          </w:p>
          <w:p>
            <w:pPr>
              <w:autoSpaceDE w:val="0"/>
              <w:autoSpaceDN w:val="0"/>
              <w:adjustRightInd w:val="0"/>
              <w:snapToGrid w:val="0"/>
              <w:spacing w:line="360" w:lineRule="auto"/>
              <w:ind w:firstLine="422" w:firstLineChars="200"/>
              <w:rPr>
                <w:b/>
                <w:bCs/>
                <w:color w:val="auto"/>
                <w:sz w:val="24"/>
              </w:rPr>
            </w:pPr>
            <w:r>
              <w:rPr>
                <w:rFonts w:hint="eastAsia"/>
                <w:b/>
                <w:bCs/>
                <w:color w:val="auto"/>
              </w:rPr>
              <w:t>2、</w:t>
            </w:r>
            <w:r>
              <w:rPr>
                <w:b/>
                <w:bCs/>
                <w:color w:val="auto"/>
                <w:sz w:val="24"/>
              </w:rPr>
              <w:t>噪声达标分析</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color w:val="auto"/>
                <w:sz w:val="24"/>
                <w:szCs w:val="24"/>
              </w:rPr>
            </w:pPr>
            <w:bookmarkStart w:id="3" w:name="_Toc9733"/>
            <w:bookmarkStart w:id="4" w:name="_Toc29171"/>
            <w:bookmarkStart w:id="5" w:name="_Toc29528"/>
            <w:bookmarkStart w:id="6" w:name="_Toc29265"/>
            <w:bookmarkStart w:id="7" w:name="_Toc11420"/>
            <w:bookmarkStart w:id="8" w:name="_Toc12564"/>
            <w:bookmarkStart w:id="9" w:name="_Toc2814"/>
            <w:r>
              <w:rPr>
                <w:rFonts w:hint="eastAsia"/>
                <w:color w:val="auto"/>
                <w:sz w:val="24"/>
                <w:szCs w:val="24"/>
              </w:rPr>
              <w:t>（1）</w:t>
            </w:r>
            <w:r>
              <w:rPr>
                <w:color w:val="auto"/>
                <w:sz w:val="24"/>
                <w:szCs w:val="24"/>
              </w:rPr>
              <w:t>预测模式</w:t>
            </w:r>
            <w:bookmarkEnd w:id="3"/>
            <w:bookmarkEnd w:id="4"/>
            <w:bookmarkEnd w:id="5"/>
            <w:bookmarkEnd w:id="6"/>
            <w:bookmarkEnd w:id="7"/>
            <w:bookmarkEnd w:id="8"/>
            <w:bookmarkEnd w:id="9"/>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①室内声源等效室外声源声功率级计算方法</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设靠近开口处（或窗户）室内、室外某倍频带的声压级分别为Lp1和Lp2。若声源所在室内声场为近似扩散声场，则室外的倍频带声压级可按以下公式近似求出：</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Lp</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i/>
                <w:iCs/>
                <w:color w:val="auto"/>
                <w:kern w:val="0"/>
                <w:sz w:val="24"/>
                <w:szCs w:val="24"/>
                <w:lang w:val="en-US" w:eastAsia="zh-CN" w:bidi="ar"/>
              </w:rPr>
              <w:t>Lp</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TL</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式中：L</w:t>
            </w:r>
            <w:r>
              <w:rPr>
                <w:rFonts w:hint="eastAsia" w:ascii="Times New Roman" w:hAnsi="Times New Roman" w:eastAsia="宋体" w:cs="Times New Roman"/>
                <w:color w:val="auto"/>
                <w:sz w:val="24"/>
                <w:szCs w:val="24"/>
                <w:vertAlign w:val="subscript"/>
                <w:lang w:eastAsia="zh-CN"/>
              </w:rPr>
              <w:t>p1</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靠近开口处（或窗户）室内某倍频带的声压级或A声级，dB；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L</w:t>
            </w:r>
            <w:r>
              <w:rPr>
                <w:rFonts w:hint="eastAsia" w:ascii="Times New Roman" w:hAnsi="Times New Roman" w:eastAsia="宋体" w:cs="Times New Roman"/>
                <w:color w:val="auto"/>
                <w:sz w:val="24"/>
                <w:szCs w:val="24"/>
                <w:vertAlign w:val="subscript"/>
                <w:lang w:eastAsia="zh-CN"/>
              </w:rPr>
              <w:t>p2</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eastAsia="zh-CN"/>
              </w:rPr>
              <w:t>靠近开口处（或窗户）室外某倍频带的声压级或A声级，dB；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TL</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隔墙（或窗户）倍频带或A声级的隔声量，dB。</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然后按照下式计算出所有室内声源在围护结构处产生的i倍频带叠加声压级：</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color w:val="auto"/>
                <w:sz w:val="24"/>
                <w:lang w:eastAsia="zh-CN"/>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"C:\\Users\\Administrator\\AppData\\Roaming\\Tencent\\Users\\1309787040\\QQ\\WinTemp\\RichOle\\}VTP$N4GEAT{}{[C[@C}8`L.png"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1377315" cy="398145"/>
                  <wp:effectExtent l="0" t="0" r="13335" b="1905"/>
                  <wp:docPr id="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56"/>
                          <pic:cNvPicPr>
                            <a:picLocks noChangeAspect="1"/>
                          </pic:cNvPicPr>
                        </pic:nvPicPr>
                        <pic:blipFill>
                          <a:blip r:embed="rId46"/>
                          <a:stretch>
                            <a:fillRect/>
                          </a:stretch>
                        </pic:blipFill>
                        <pic:spPr>
                          <a:xfrm>
                            <a:off x="0" y="0"/>
                            <a:ext cx="1377315" cy="39814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式中：L</w:t>
            </w:r>
            <w:r>
              <w:rPr>
                <w:rFonts w:hint="eastAsia" w:ascii="Times New Roman" w:hAnsi="Times New Roman" w:eastAsia="宋体" w:cs="Times New Roman"/>
                <w:color w:val="auto"/>
                <w:sz w:val="24"/>
                <w:szCs w:val="24"/>
                <w:vertAlign w:val="subscript"/>
                <w:lang w:eastAsia="zh-CN"/>
              </w:rPr>
              <w:t>P1i</w:t>
            </w:r>
            <w:r>
              <w:rPr>
                <w:rFonts w:hint="eastAsia" w:ascii="Times New Roman" w:hAnsi="Times New Roman" w:eastAsia="宋体" w:cs="Times New Roman"/>
                <w:color w:val="auto"/>
                <w:sz w:val="24"/>
                <w:szCs w:val="24"/>
                <w:lang w:eastAsia="zh-CN"/>
              </w:rPr>
              <w:t>（T）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靠近围护结构处室内N个声源i倍频带的叠加声压级，</w:t>
            </w:r>
            <w:r>
              <w:rPr>
                <w:rFonts w:hint="eastAsia" w:ascii="Times New Roman" w:hAnsi="Times New Roman" w:eastAsia="宋体" w:cs="Times New Roman"/>
                <w:color w:val="auto"/>
                <w:sz w:val="24"/>
                <w:szCs w:val="24"/>
                <w:lang w:val="en-US" w:eastAsia="zh-CN"/>
              </w:rPr>
              <w:t>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L</w:t>
            </w:r>
            <w:r>
              <w:rPr>
                <w:rFonts w:hint="eastAsia" w:ascii="Times New Roman" w:hAnsi="Times New Roman" w:eastAsia="宋体" w:cs="Times New Roman"/>
                <w:color w:val="auto"/>
                <w:sz w:val="24"/>
                <w:szCs w:val="24"/>
                <w:vertAlign w:val="subscript"/>
                <w:lang w:eastAsia="zh-CN"/>
              </w:rPr>
              <w:t>p1ij</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室内j声源i倍频带的声压级，dB；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N</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室内声源总数。</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在室内近似为扩散声场时，按下式计算出靠近室外围护结构处的声压级：</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Lp</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i/>
                <w:iCs/>
                <w:color w:val="auto"/>
                <w:kern w:val="0"/>
                <w:sz w:val="24"/>
                <w:szCs w:val="24"/>
                <w:lang w:val="en-US" w:eastAsia="zh-CN" w:bidi="ar"/>
              </w:rPr>
              <w:t>i</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L</w:t>
            </w:r>
            <w:r>
              <w:rPr>
                <w:rFonts w:hint="default" w:ascii="Times New Roman" w:hAnsi="Times New Roman" w:eastAsia="宋体" w:cs="Times New Roman"/>
                <w:color w:val="auto"/>
                <w:kern w:val="0"/>
                <w:sz w:val="24"/>
                <w:szCs w:val="24"/>
                <w:lang w:val="en-US" w:eastAsia="zh-CN" w:bidi="ar"/>
              </w:rPr>
              <w:t>p1i</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TL</w:t>
            </w:r>
            <w:r>
              <w:rPr>
                <w:rFonts w:hint="default" w:ascii="Times New Roman" w:hAnsi="Times New Roman" w:eastAsia="宋体" w:cs="Times New Roman"/>
                <w:color w:val="auto"/>
                <w:kern w:val="0"/>
                <w:sz w:val="24"/>
                <w:szCs w:val="24"/>
                <w:lang w:val="en-US" w:eastAsia="zh-CN" w:bidi="ar"/>
              </w:rPr>
              <w:t>i+6</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式中：Lp2i（T）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靠近围护结构处室外N个声源i倍频带的叠加声压级，dB；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Lp1i（T）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靠近围护结构处室内N个声源i倍频带的叠加声压级，dB；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TLi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围护结构i倍频带的隔声量，dB。</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然后按下式将室外声源的声压级和透过面积换算成等效的室外声源，计算出中心位置位于透声面积（S）处的等效声源的倍频带声功率级。</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Lw</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L</w:t>
            </w:r>
            <w:r>
              <w:rPr>
                <w:rFonts w:hint="default" w:ascii="Times New Roman" w:hAnsi="Times New Roman" w:eastAsia="宋体" w:cs="Times New Roman"/>
                <w:color w:val="auto"/>
                <w:kern w:val="0"/>
                <w:sz w:val="24"/>
                <w:szCs w:val="24"/>
                <w:lang w:val="en-US" w:eastAsia="zh-CN" w:bidi="ar"/>
              </w:rPr>
              <w:t>p2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T</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+10lg</w:t>
            </w:r>
            <w:r>
              <w:rPr>
                <w:rFonts w:hint="default" w:ascii="Times New Roman" w:hAnsi="Times New Roman" w:eastAsia="宋体" w:cs="Times New Roman"/>
                <w:i/>
                <w:iCs/>
                <w:color w:val="auto"/>
                <w:kern w:val="0"/>
                <w:sz w:val="24"/>
                <w:szCs w:val="24"/>
                <w:lang w:val="en-US" w:eastAsia="zh-CN" w:bidi="ar"/>
              </w:rPr>
              <w:t>S</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式中：Lw</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中心位置位于透声面积（S）处的等效声源的倍频带声功率级，dB；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Lp2（T）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靠近围护结构处室外声源的声压级，dB；</w:t>
            </w:r>
          </w:p>
          <w:p>
            <w:pPr>
              <w:keepNext w:val="0"/>
              <w:keepLines w:val="0"/>
              <w:pageBreakBefore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S</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透声面积，m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②室外声源在预测点产生的声级计算模型</w:t>
            </w:r>
          </w:p>
          <w:p>
            <w:pPr>
              <w:keepNext w:val="0"/>
              <w:keepLines w:val="0"/>
              <w:pageBreakBefore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对于室外噪声源主要考虑噪声的几何发散衰减，如果声源处于半自由声场，且已知声源的倍频带声功率级（Lw），将声源的倍频带声功率级换算成倍频带声压级计算公式为：</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Lp</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r</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Lw</w:t>
            </w:r>
            <w:r>
              <w:rPr>
                <w:rFonts w:hint="default" w:ascii="Times New Roman" w:hAnsi="Times New Roman" w:eastAsia="宋体" w:cs="Times New Roman"/>
                <w:color w:val="auto"/>
                <w:kern w:val="0"/>
                <w:sz w:val="24"/>
                <w:szCs w:val="24"/>
                <w:lang w:val="en-US" w:eastAsia="zh-CN" w:bidi="ar"/>
              </w:rPr>
              <w:t>-20lg</w:t>
            </w:r>
            <w:r>
              <w:rPr>
                <w:rFonts w:hint="default" w:ascii="Times New Roman" w:hAnsi="Times New Roman" w:eastAsia="宋体" w:cs="Times New Roman"/>
                <w:i/>
                <w:iCs/>
                <w:color w:val="auto"/>
                <w:kern w:val="0"/>
                <w:sz w:val="24"/>
                <w:szCs w:val="24"/>
                <w:lang w:val="en-US" w:eastAsia="zh-CN" w:bidi="ar"/>
              </w:rPr>
              <w:t>r</w:t>
            </w:r>
            <w:r>
              <w:rPr>
                <w:rFonts w:hint="default" w:ascii="Times New Roman" w:hAnsi="Times New Roman" w:eastAsia="宋体" w:cs="Times New Roman"/>
                <w:color w:val="auto"/>
                <w:kern w:val="0"/>
                <w:sz w:val="24"/>
                <w:szCs w:val="24"/>
                <w:lang w:val="en-US" w:eastAsia="zh-CN" w:bidi="ar"/>
              </w:rPr>
              <w:t>-8</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式中：</w:t>
            </w:r>
            <w:r>
              <w:rPr>
                <w:rFonts w:hint="default" w:ascii="Times New Roman" w:hAnsi="Times New Roman" w:eastAsia="宋体" w:cs="Times New Roman"/>
                <w:i/>
                <w:iCs/>
                <w:color w:val="auto"/>
                <w:kern w:val="0"/>
                <w:sz w:val="24"/>
                <w:szCs w:val="24"/>
                <w:lang w:val="en-US" w:eastAsia="zh-CN" w:bidi="ar"/>
              </w:rPr>
              <w:t>Lp</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i/>
                <w:iCs/>
                <w:color w:val="auto"/>
                <w:kern w:val="0"/>
                <w:sz w:val="24"/>
                <w:szCs w:val="24"/>
                <w:lang w:val="en-US" w:eastAsia="zh-CN" w:bidi="ar"/>
              </w:rPr>
              <w:t>r</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sz w:val="24"/>
                <w:szCs w:val="24"/>
                <w:lang w:eastAsia="zh-CN"/>
              </w:rPr>
              <w:t>——预测点处声压级，dB；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Lw——由点声源产生的倍频带声功率级，dB；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R</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预测点距声源的距离。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szCs w:val="24"/>
                <w:lang w:eastAsia="zh-CN"/>
              </w:rPr>
              <w:t>③建设项目声源在预测点产生的噪声贡献值</w:t>
            </w: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drawing>
                <wp:inline distT="0" distB="0" distL="114300" distR="114300">
                  <wp:extent cx="2116455" cy="405765"/>
                  <wp:effectExtent l="0" t="0" r="17145" b="13335"/>
                  <wp:docPr id="10" name="图片 11" descr="J11QD]}Z{63[495WZ@7VH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J11QD]}Z{63[495WZ@7VHQX"/>
                          <pic:cNvPicPr>
                            <a:picLocks noChangeAspect="1"/>
                          </pic:cNvPicPr>
                        </pic:nvPicPr>
                        <pic:blipFill>
                          <a:blip r:embed="rId47"/>
                          <a:stretch>
                            <a:fillRect/>
                          </a:stretch>
                        </pic:blipFill>
                        <pic:spPr>
                          <a:xfrm>
                            <a:off x="0" y="0"/>
                            <a:ext cx="2116455" cy="405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式中：Leqg</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建设项目声源在预测点产生的噪声贡献值，dB；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T</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用于计算等效声级的时间，s；</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N</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室外声源个数；</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Ti</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在T时间内i声源工作时间，s；</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M</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等效室外声源个数；</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Tj</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在T时间内j声源工作时间，s。</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④噪声预测值</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噪声预测值（Leqg）计算公式为：</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color w:val="auto"/>
                <w:sz w:val="24"/>
                <w:lang w:eastAsia="zh-CN"/>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"C:\\Users\\Administrator\\AppData\\Roaming\\Tencent\\Users\\1309787040\\QQ\\WinTemp\\RichOle\\G1LGU9(D_[Z$`FH(Z9G{P%K.png"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1664970" cy="320675"/>
                  <wp:effectExtent l="0" t="0" r="11430" b="3175"/>
                  <wp:docPr id="1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56"/>
                          <pic:cNvPicPr>
                            <a:picLocks noChangeAspect="1"/>
                          </pic:cNvPicPr>
                        </pic:nvPicPr>
                        <pic:blipFill>
                          <a:blip r:embed="rId48"/>
                          <a:stretch>
                            <a:fillRect/>
                          </a:stretch>
                        </pic:blipFill>
                        <pic:spPr>
                          <a:xfrm>
                            <a:off x="0" y="0"/>
                            <a:ext cx="1664970" cy="32067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式中：Leq</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噪声预测值，dB；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Leqg</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建设项目声源在预测点产生的噪声贡献值，dB；</w:t>
            </w:r>
          </w:p>
          <w:p>
            <w:pPr>
              <w:keepNext w:val="0"/>
              <w:keepLines w:val="0"/>
              <w:pageBreakBefore w:val="0"/>
              <w:kinsoku/>
              <w:wordWrap/>
              <w:overflowPunct/>
              <w:topLinePunct w:val="0"/>
              <w:autoSpaceDE/>
              <w:autoSpaceDN/>
              <w:bidi w:val="0"/>
              <w:adjustRightInd/>
              <w:snapToGrid w:val="0"/>
              <w:spacing w:line="360" w:lineRule="auto"/>
              <w:ind w:firstLine="1200" w:firstLineChars="500"/>
              <w:textAlignment w:val="auto"/>
              <w:rPr>
                <w:color w:val="auto"/>
                <w:sz w:val="24"/>
                <w:szCs w:val="24"/>
              </w:rPr>
            </w:pPr>
            <w:r>
              <w:rPr>
                <w:rFonts w:hint="eastAsia" w:ascii="Times New Roman" w:hAnsi="Times New Roman" w:eastAsia="宋体" w:cs="Times New Roman"/>
                <w:color w:val="auto"/>
                <w:sz w:val="24"/>
                <w:lang w:eastAsia="zh-CN"/>
              </w:rPr>
              <w:t>Leqb</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预测点的背景噪声值，dB。</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color w:val="auto"/>
                <w:sz w:val="24"/>
                <w:szCs w:val="24"/>
              </w:rPr>
            </w:pPr>
            <w:r>
              <w:rPr>
                <w:color w:val="auto"/>
                <w:sz w:val="24"/>
                <w:szCs w:val="24"/>
              </w:rPr>
              <w:t>（</w:t>
            </w:r>
            <w:r>
              <w:rPr>
                <w:rFonts w:hint="eastAsia"/>
                <w:color w:val="auto"/>
                <w:sz w:val="24"/>
                <w:szCs w:val="24"/>
              </w:rPr>
              <w:t>2</w:t>
            </w:r>
            <w:r>
              <w:rPr>
                <w:color w:val="auto"/>
                <w:sz w:val="24"/>
                <w:szCs w:val="24"/>
              </w:rPr>
              <w:t>）厂界达标</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cs="Times New Roman"/>
                <w:b/>
                <w:color w:val="auto"/>
                <w:sz w:val="10"/>
                <w:szCs w:val="10"/>
                <w:lang w:eastAsia="zh-CN"/>
              </w:rPr>
            </w:pPr>
            <w:r>
              <w:rPr>
                <w:color w:val="auto"/>
                <w:sz w:val="24"/>
                <w:szCs w:val="24"/>
              </w:rPr>
              <w:t>项目主要噪声为设备运行时产生的，主要设备布置在车间内，所有高噪声设备设基础减振，再经过厂房隔声后，预计可以隔声降噪15dB</w:t>
            </w:r>
            <w:r>
              <w:rPr>
                <w:rFonts w:hint="eastAsia"/>
                <w:color w:val="auto"/>
                <w:sz w:val="24"/>
                <w:szCs w:val="24"/>
                <w:lang w:eastAsia="zh-CN"/>
              </w:rPr>
              <w:t>（</w:t>
            </w:r>
            <w:r>
              <w:rPr>
                <w:color w:val="auto"/>
                <w:sz w:val="24"/>
                <w:szCs w:val="24"/>
              </w:rPr>
              <w:t>A</w:t>
            </w:r>
            <w:r>
              <w:rPr>
                <w:rFonts w:hint="eastAsia"/>
                <w:color w:val="auto"/>
                <w:sz w:val="24"/>
                <w:szCs w:val="24"/>
                <w:lang w:eastAsia="zh-CN"/>
              </w:rPr>
              <w:t>）</w:t>
            </w:r>
            <w:r>
              <w:rPr>
                <w:color w:val="auto"/>
                <w:sz w:val="24"/>
                <w:szCs w:val="24"/>
              </w:rPr>
              <w:t>。对各厂界昼间噪声影响值进行影响预测。</w:t>
            </w:r>
          </w:p>
          <w:p>
            <w:pPr>
              <w:keepNext w:val="0"/>
              <w:keepLines w:val="0"/>
              <w:pageBreakBefore w:val="0"/>
              <w:kinsoku/>
              <w:wordWrap/>
              <w:overflowPunct/>
              <w:topLinePunct w:val="0"/>
              <w:autoSpaceDE/>
              <w:autoSpaceDN/>
              <w:bidi w:val="0"/>
              <w:adjustRightInd/>
              <w:snapToGrid w:val="0"/>
              <w:spacing w:line="360" w:lineRule="auto"/>
              <w:ind w:firstLine="201" w:firstLineChars="200"/>
              <w:textAlignment w:val="auto"/>
              <w:rPr>
                <w:rFonts w:hint="eastAsia" w:ascii="Times New Roman" w:hAnsi="Times New Roman" w:eastAsia="宋体" w:cs="Times New Roman"/>
                <w:b/>
                <w:color w:val="auto"/>
                <w:sz w:val="10"/>
                <w:szCs w:val="10"/>
                <w:lang w:eastAsia="zh-CN"/>
              </w:rPr>
            </w:pPr>
          </w:p>
        </w:tc>
      </w:tr>
    </w:tbl>
    <w:p>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9"/>
        <w:tblW w:w="1365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30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jc w:val="center"/>
        </w:trPr>
        <w:tc>
          <w:tcPr>
            <w:tcW w:w="560"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13093" w:type="dxa"/>
            <w:noWrap w:val="0"/>
            <w:vAlign w:val="top"/>
          </w:tcPr>
          <w:p>
            <w:pPr>
              <w:pStyle w:val="10"/>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项目</w:t>
            </w:r>
            <w:r>
              <w:rPr>
                <w:rFonts w:hint="default" w:ascii="Times New Roman" w:hAnsi="Times New Roman" w:eastAsia="宋体" w:cs="Times New Roman"/>
                <w:b/>
                <w:bCs/>
                <w:color w:val="auto"/>
                <w:sz w:val="21"/>
                <w:szCs w:val="21"/>
                <w:lang w:eastAsia="zh-CN"/>
              </w:rPr>
              <w:t>噪声源强调查清单（室内声源）</w:t>
            </w:r>
          </w:p>
          <w:tbl>
            <w:tblPr>
              <w:tblStyle w:val="39"/>
              <w:tblW w:w="1287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66"/>
              <w:gridCol w:w="675"/>
              <w:gridCol w:w="1000"/>
              <w:gridCol w:w="287"/>
              <w:gridCol w:w="663"/>
              <w:gridCol w:w="587"/>
              <w:gridCol w:w="463"/>
              <w:gridCol w:w="512"/>
              <w:gridCol w:w="388"/>
              <w:gridCol w:w="562"/>
              <w:gridCol w:w="550"/>
              <w:gridCol w:w="450"/>
              <w:gridCol w:w="488"/>
              <w:gridCol w:w="437"/>
              <w:gridCol w:w="600"/>
              <w:gridCol w:w="588"/>
              <w:gridCol w:w="550"/>
              <w:gridCol w:w="662"/>
              <w:gridCol w:w="725"/>
              <w:gridCol w:w="463"/>
              <w:gridCol w:w="450"/>
              <w:gridCol w:w="461"/>
              <w:gridCol w:w="438"/>
              <w:gridCol w:w="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bookmarkStart w:id="10" w:name="PT_6"/>
                  <w:r>
                    <w:rPr>
                      <w:rFonts w:hint="default" w:ascii="Times New Roman" w:hAnsi="Times New Roman" w:eastAsia="宋体" w:cs="Times New Roman"/>
                      <w:b/>
                      <w:color w:val="auto"/>
                      <w:sz w:val="21"/>
                      <w:szCs w:val="21"/>
                    </w:rPr>
                    <w:t>序号</w:t>
                  </w:r>
                </w:p>
              </w:tc>
              <w:tc>
                <w:tcPr>
                  <w:tcW w:w="675"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建筑物名称</w:t>
                  </w:r>
                </w:p>
              </w:tc>
              <w:tc>
                <w:tcPr>
                  <w:tcW w:w="1000"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28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型号</w:t>
                  </w:r>
                </w:p>
              </w:tc>
              <w:tc>
                <w:tcPr>
                  <w:tcW w:w="663"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lang w:eastAsia="zh-CN"/>
                    </w:rPr>
                    <w:t>声源源强</w:t>
                  </w:r>
                </w:p>
              </w:tc>
              <w:tc>
                <w:tcPr>
                  <w:tcW w:w="58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1363" w:type="dxa"/>
                  <w:gridSpan w:val="3"/>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2050" w:type="dxa"/>
                  <w:gridSpan w:val="4"/>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2175" w:type="dxa"/>
                  <w:gridSpan w:val="4"/>
                  <w:tcBorders>
                    <w:tl2br w:val="nil"/>
                    <w:tr2bl w:val="nil"/>
                  </w:tcBorders>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室内边界声级/dB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66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c>
                <w:tcPr>
                  <w:tcW w:w="72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 / 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bookmarkStart w:id="11" w:name="PT_10"/>
                  <w:bookmarkEnd w:id="11"/>
                  <w:r>
                    <w:rPr>
                      <w:rFonts w:hint="default" w:ascii="Times New Roman" w:hAnsi="Times New Roman" w:eastAsia="宋体" w:cs="Times New Roman"/>
                      <w:b/>
                      <w:color w:val="auto"/>
                      <w:sz w:val="21"/>
                      <w:szCs w:val="21"/>
                      <w:lang w:eastAsia="zh-CN"/>
                    </w:rPr>
                    <w:t>）</w:t>
                  </w:r>
                </w:p>
              </w:tc>
              <w:tc>
                <w:tcPr>
                  <w:tcW w:w="2324" w:type="dxa"/>
                  <w:gridSpan w:val="5"/>
                  <w:tcBorders>
                    <w:tl2br w:val="nil"/>
                    <w:tr2bl w:val="nil"/>
                  </w:tcBorders>
                  <w:noWrap w:val="0"/>
                  <w:vAlign w:val="center"/>
                </w:tcPr>
                <w:p>
                  <w:pPr>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建筑物外噪声声压级/dB</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rPr>
                    <w:t>A</w:t>
                  </w:r>
                  <w:r>
                    <w:rPr>
                      <w:rFonts w:hint="default" w:ascii="Times New Roman" w:hAnsi="Times New Roman" w:eastAsia="宋体" w:cs="Times New Roman"/>
                      <w:b/>
                      <w:bCs w:val="0"/>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675"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1000"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2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声功率级/dB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725"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粉碎机</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w:t>
                  </w:r>
                </w:p>
              </w:tc>
              <w:tc>
                <w:tcPr>
                  <w:tcW w:w="587"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设备减震，厂房隔声，合理布局</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16.6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-36.8</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64.5</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43.9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95.9</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68.3</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6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r>
                    <w:rPr>
                      <w:rFonts w:hint="default" w:ascii="Times New Roman" w:hAnsi="Times New Roman" w:eastAsia="Arial" w:cs="Times New Roman"/>
                      <w:color w:val="auto"/>
                      <w:sz w:val="21"/>
                      <w:szCs w:val="21"/>
                    </w:rPr>
                    <w:t>12</w:t>
                  </w:r>
                  <w:r>
                    <w:rPr>
                      <w:rFonts w:hint="default" w:ascii="Times New Roman" w:hAnsi="Times New Roman" w:eastAsia="宋体" w:cs="Times New Roman"/>
                      <w:color w:val="auto"/>
                      <w:sz w:val="21"/>
                      <w:szCs w:val="21"/>
                      <w:lang w:val="en-US" w:eastAsia="zh-CN"/>
                    </w:rPr>
                    <w:t>h</w:t>
                  </w: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42.3</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干燥机</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-53.5</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14.5</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36.3</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55.6</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103.6</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662"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昼夜</w:t>
                  </w:r>
                  <w:r>
                    <w:rPr>
                      <w:rFonts w:hint="default" w:ascii="Times New Roman" w:hAnsi="Times New Roman" w:eastAsia="Arial" w:cs="Times New Roman"/>
                      <w:color w:val="auto"/>
                      <w:sz w:val="21"/>
                      <w:szCs w:val="21"/>
                    </w:rPr>
                    <w:t>24</w:t>
                  </w:r>
                  <w:r>
                    <w:rPr>
                      <w:rFonts w:hint="default" w:ascii="Times New Roman" w:hAnsi="Times New Roman" w:eastAsia="宋体" w:cs="Times New Roman"/>
                      <w:color w:val="auto"/>
                      <w:sz w:val="21"/>
                      <w:szCs w:val="21"/>
                      <w:lang w:val="en-US" w:eastAsia="zh-CN"/>
                    </w:rPr>
                    <w:t>h</w:t>
                  </w: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筛分机</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-17.4</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-65.3</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25.0</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27.4</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44.8</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112.6</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61.7</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35.7</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风选机1</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-23.5</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-88.5</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37.4</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32.2</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132.9</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67.2</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41.2</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风选机2</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-28.7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-89.9</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42.8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26.8</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132.7</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67.1</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66.7</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41.1</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导热油炉</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-81.5</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9.4</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60.2</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134.4</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62.0</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62.4</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61.7</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36.0</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36.4</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35.7</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拌胶搅拌罐</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-69.3</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56.4</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7.4</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11.4</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132.4</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52.2</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26.2</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25.9</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反应釜1</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36.2</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68.8</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138.3</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52.7</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60.2</w:t>
                  </w:r>
                </w:p>
              </w:tc>
              <w:tc>
                <w:tcPr>
                  <w:tcW w:w="662"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昼间</w:t>
                  </w:r>
                  <w:r>
                    <w:rPr>
                      <w:rFonts w:hint="default" w:ascii="Times New Roman" w:hAnsi="Times New Roman" w:eastAsia="Arial" w:cs="Times New Roman"/>
                      <w:color w:val="auto"/>
                      <w:sz w:val="21"/>
                      <w:szCs w:val="21"/>
                    </w:rPr>
                    <w:t>8</w:t>
                  </w:r>
                  <w:r>
                    <w:rPr>
                      <w:rFonts w:hint="default" w:ascii="Times New Roman" w:hAnsi="Times New Roman" w:eastAsia="宋体" w:cs="Times New Roman"/>
                      <w:color w:val="auto"/>
                      <w:sz w:val="21"/>
                      <w:szCs w:val="21"/>
                      <w:lang w:val="en-US" w:eastAsia="zh-CN"/>
                    </w:rPr>
                    <w:t>h</w:t>
                  </w: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34.2</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反应釜2</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67.5</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19.5</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138.1</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49.0</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2.2</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60.0</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34.0</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10</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反应釜3</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39.3</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69.6</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12.6</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138.1</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55.9</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33.8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锅炉</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65.3</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11.4</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133.2</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57.1</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7.2</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67.2</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41.2</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桥洞板专用压机1</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48.2</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-67.6</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42.9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24.9</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135.1</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昼夜</w:t>
                  </w:r>
                  <w:r>
                    <w:rPr>
                      <w:rFonts w:hint="default" w:ascii="Times New Roman" w:hAnsi="Times New Roman" w:eastAsia="Arial" w:cs="Times New Roman"/>
                      <w:color w:val="auto"/>
                      <w:sz w:val="21"/>
                      <w:szCs w:val="21"/>
                    </w:rPr>
                    <w:t>24</w:t>
                  </w:r>
                  <w:r>
                    <w:rPr>
                      <w:rFonts w:hint="default" w:ascii="Times New Roman" w:hAnsi="Times New Roman" w:eastAsia="宋体" w:cs="Times New Roman"/>
                      <w:color w:val="auto"/>
                      <w:sz w:val="21"/>
                      <w:szCs w:val="21"/>
                      <w:lang w:val="en-US" w:eastAsia="zh-CN"/>
                    </w:rPr>
                    <w:t>h</w:t>
                  </w: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桥洞板专用压机2</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53.2</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-66.2</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37.7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30.1</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135.4</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14</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桥洞板专用压机3</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-64.8</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33.8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33.9</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135.2</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桥洞板专用压机4</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70</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-60.6</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20.0</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4.7</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47.8</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135.4</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16</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桥洞板专用压机5</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73.6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-59.4</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16.2</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4.7</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51.6</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135.4</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57.7</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31.7</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17</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桥洞板专用压机6</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76.6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-58.1</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5.0</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54.8</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135.1</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57.6</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31.6</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18</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桥洞板专用压机7</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79.7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9.6</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5.3</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58.2</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134.9</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57.0</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57.5</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31.0</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31.5</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19</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桥洞板专用压机8</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73.3</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-39.6</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10.9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57.0</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116.6</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57.0</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31.0</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20</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桥洞板专用压机9</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70.6</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-40.5</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13.7</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54.2</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116.6</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桥洞板专用压机10</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68.5</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-41.2</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52.0</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116.5</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56.9</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30.9</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22</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桥洞板专用压机11</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75</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64.7</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-42.9</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20.0</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23.2</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47.8</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117.0</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56.8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30.8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锯床</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39.3</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-49.7</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46.3</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21.5</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115.3</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砂光机</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33.9</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-51.2</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51.9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24.8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15.9</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115.0</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71.9</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45.9</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6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w:t>
                  </w:r>
                </w:p>
              </w:tc>
              <w:tc>
                <w:tcPr>
                  <w:tcW w:w="67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6#厂房</w:t>
                  </w:r>
                </w:p>
              </w:tc>
              <w:tc>
                <w:tcPr>
                  <w:tcW w:w="10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空压机</w:t>
                  </w:r>
                </w:p>
              </w:tc>
              <w:tc>
                <w:tcPr>
                  <w:tcW w:w="28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6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90</w:t>
                  </w:r>
                </w:p>
              </w:tc>
              <w:tc>
                <w:tcPr>
                  <w:tcW w:w="587"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-52.7</w:t>
                  </w:r>
                </w:p>
              </w:tc>
              <w:tc>
                <w:tcPr>
                  <w:tcW w:w="3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1.2</w:t>
                  </w:r>
                </w:p>
              </w:tc>
              <w:tc>
                <w:tcPr>
                  <w:tcW w:w="56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59.2</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25.6</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8.7</w:t>
                  </w:r>
                </w:p>
              </w:tc>
              <w:tc>
                <w:tcPr>
                  <w:tcW w:w="4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114.2</w:t>
                  </w:r>
                </w:p>
              </w:tc>
              <w:tc>
                <w:tcPr>
                  <w:tcW w:w="437"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0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58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72.1</w:t>
                  </w:r>
                </w:p>
              </w:tc>
              <w:tc>
                <w:tcPr>
                  <w:tcW w:w="5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71.8</w:t>
                  </w:r>
                </w:p>
              </w:tc>
              <w:tc>
                <w:tcPr>
                  <w:tcW w:w="662"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p>
              </w:tc>
              <w:tc>
                <w:tcPr>
                  <w:tcW w:w="72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26.0</w:t>
                  </w:r>
                </w:p>
              </w:tc>
              <w:tc>
                <w:tcPr>
                  <w:tcW w:w="463"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5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46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46.1</w:t>
                  </w:r>
                </w:p>
              </w:tc>
              <w:tc>
                <w:tcPr>
                  <w:tcW w:w="438"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45.8</w:t>
                  </w:r>
                </w:p>
              </w:tc>
              <w:tc>
                <w:tcPr>
                  <w:tcW w:w="512"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w:t>
                  </w:r>
                </w:p>
              </w:tc>
            </w:tr>
            <w:bookmarkEnd w:id="10"/>
          </w:tbl>
          <w:p>
            <w:pPr>
              <w:pStyle w:val="10"/>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val="0"/>
                <w:bCs/>
                <w:color w:val="auto"/>
                <w:sz w:val="21"/>
                <w:szCs w:val="21"/>
                <w:lang w:val="en-US" w:eastAsia="zh-CN"/>
              </w:rPr>
              <w:t>注：表中坐标以厂界中心（105.680603,30.744825）为坐标原点，正东向为X轴正方向，正北向为Y轴正方向</w:t>
            </w:r>
          </w:p>
          <w:p>
            <w:pPr>
              <w:pStyle w:val="10"/>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4-1</w:t>
            </w:r>
            <w:r>
              <w:rPr>
                <w:rFonts w:hint="eastAsia" w:ascii="Times New Roman" w:hAnsi="Times New Roman" w:cs="Times New Roman"/>
                <w:b/>
                <w:bCs/>
                <w:color w:val="auto"/>
                <w:sz w:val="21"/>
                <w:szCs w:val="21"/>
                <w:lang w:val="en-US" w:eastAsia="zh-CN"/>
              </w:rPr>
              <w:t>0</w:t>
            </w:r>
            <w:r>
              <w:rPr>
                <w:rFonts w:hint="default" w:ascii="Times New Roman" w:hAnsi="Times New Roman" w:eastAsia="宋体" w:cs="Times New Roman"/>
                <w:b/>
                <w:bCs/>
                <w:color w:val="auto"/>
                <w:sz w:val="21"/>
                <w:szCs w:val="21"/>
                <w:lang w:val="en-US" w:eastAsia="zh-CN"/>
              </w:rPr>
              <w:t xml:space="preserve">  项目</w:t>
            </w:r>
            <w:r>
              <w:rPr>
                <w:rFonts w:hint="default" w:ascii="Times New Roman" w:hAnsi="Times New Roman" w:eastAsia="宋体" w:cs="Times New Roman"/>
                <w:b/>
                <w:bCs/>
                <w:color w:val="auto"/>
                <w:sz w:val="21"/>
                <w:szCs w:val="21"/>
                <w:lang w:eastAsia="zh-CN"/>
              </w:rPr>
              <w:t>噪声源强调查清单（室外声源）</w:t>
            </w:r>
          </w:p>
          <w:tbl>
            <w:tblPr>
              <w:tblStyle w:val="39"/>
              <w:tblW w:w="128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293"/>
              <w:gridCol w:w="1113"/>
              <w:gridCol w:w="953"/>
              <w:gridCol w:w="1105"/>
              <w:gridCol w:w="2901"/>
              <w:gridCol w:w="2102"/>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9"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229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3171" w:type="dxa"/>
                  <w:gridSpan w:val="3"/>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2901"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lang w:eastAsia="zh-CN"/>
                    </w:rPr>
                    <w:t>声源源强（任选一种）</w:t>
                  </w:r>
                </w:p>
              </w:tc>
              <w:tc>
                <w:tcPr>
                  <w:tcW w:w="210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1506"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229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111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9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110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2901" w:type="dxa"/>
                  <w:tcBorders>
                    <w:tl2br w:val="nil"/>
                    <w:tr2bl w:val="nil"/>
                  </w:tcBorders>
                  <w:noWrap w:val="0"/>
                  <w:vAlign w:val="center"/>
                </w:tcPr>
                <w:p>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声功率级/dB</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lang w:eastAsia="zh-CN"/>
                    </w:rPr>
                    <w:t>）</w:t>
                  </w:r>
                </w:p>
              </w:tc>
              <w:tc>
                <w:tcPr>
                  <w:tcW w:w="210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1506"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9"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eastAsia="Arial" w:cs="Times New Roman"/>
                      <w:color w:val="auto"/>
                      <w:sz w:val="20"/>
                    </w:rPr>
                    <w:t>1</w:t>
                  </w:r>
                </w:p>
              </w:tc>
              <w:tc>
                <w:tcPr>
                  <w:tcW w:w="22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4#风机</w:t>
                  </w:r>
                </w:p>
              </w:tc>
              <w:tc>
                <w:tcPr>
                  <w:tcW w:w="111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-31.8</w:t>
                  </w:r>
                </w:p>
              </w:tc>
              <w:tc>
                <w:tcPr>
                  <w:tcW w:w="95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-99.4</w:t>
                  </w:r>
                </w:p>
              </w:tc>
              <w:tc>
                <w:tcPr>
                  <w:tcW w:w="110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290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90</w:t>
                  </w:r>
                </w:p>
              </w:tc>
              <w:tc>
                <w:tcPr>
                  <w:tcW w:w="2102" w:type="dxa"/>
                  <w:vMerge w:val="restar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合理布局，基础减振</w:t>
                  </w:r>
                </w:p>
              </w:tc>
              <w:tc>
                <w:tcPr>
                  <w:tcW w:w="15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eastAsia="zh-CN"/>
                    </w:rPr>
                    <w:t>昼夜</w:t>
                  </w:r>
                  <w:r>
                    <w:rPr>
                      <w:rFonts w:hint="default" w:ascii="Times New Roman" w:hAnsi="Times New Roman" w:eastAsia="Arial" w:cs="Times New Roman"/>
                      <w:color w:val="auto"/>
                      <w:sz w:val="21"/>
                      <w:szCs w:val="21"/>
                    </w:rPr>
                    <w:t>24</w:t>
                  </w:r>
                  <w:r>
                    <w:rPr>
                      <w:rFonts w:hint="default" w:ascii="Times New Roman" w:hAnsi="Times New Roman" w:cs="Times New Roman"/>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9" w:type="dxa"/>
                  <w:tcBorders>
                    <w:tl2br w:val="nil"/>
                    <w:tr2bl w:val="nil"/>
                  </w:tcBorders>
                  <w:noWrap w:val="0"/>
                  <w:vAlign w:val="center"/>
                </w:tcPr>
                <w:p>
                  <w:pPr>
                    <w:jc w:val="center"/>
                    <w:rPr>
                      <w:rFonts w:hint="default" w:ascii="Times New Roman" w:hAnsi="Times New Roman" w:cs="Times New Roman"/>
                      <w:color w:val="auto"/>
                    </w:rPr>
                  </w:pPr>
                  <w:r>
                    <w:rPr>
                      <w:rFonts w:hint="default" w:ascii="Times New Roman" w:hAnsi="Times New Roman" w:eastAsia="Arial" w:cs="Times New Roman"/>
                      <w:color w:val="auto"/>
                      <w:sz w:val="20"/>
                    </w:rPr>
                    <w:t>2</w:t>
                  </w:r>
                </w:p>
              </w:tc>
              <w:tc>
                <w:tcPr>
                  <w:tcW w:w="22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5#风机</w:t>
                  </w:r>
                </w:p>
              </w:tc>
              <w:tc>
                <w:tcPr>
                  <w:tcW w:w="111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16.6</w:t>
                  </w:r>
                </w:p>
              </w:tc>
              <w:tc>
                <w:tcPr>
                  <w:tcW w:w="95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-54.4</w:t>
                  </w:r>
                </w:p>
              </w:tc>
              <w:tc>
                <w:tcPr>
                  <w:tcW w:w="110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290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90</w:t>
                  </w:r>
                </w:p>
              </w:tc>
              <w:tc>
                <w:tcPr>
                  <w:tcW w:w="2102" w:type="dxa"/>
                  <w:vMerge w:val="continue"/>
                  <w:tcBorders>
                    <w:tl2br w:val="nil"/>
                    <w:tr2bl w:val="nil"/>
                  </w:tcBorders>
                  <w:noWrap w:val="0"/>
                  <w:vAlign w:val="center"/>
                </w:tcPr>
                <w:p>
                  <w:pPr>
                    <w:jc w:val="center"/>
                    <w:rPr>
                      <w:rFonts w:hint="default" w:ascii="Times New Roman" w:hAnsi="Times New Roman" w:cs="Times New Roman"/>
                      <w:color w:val="auto"/>
                    </w:rPr>
                  </w:pP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9" w:type="dxa"/>
                  <w:tcBorders>
                    <w:tl2br w:val="nil"/>
                    <w:tr2bl w:val="nil"/>
                  </w:tcBorders>
                  <w:noWrap w:val="0"/>
                  <w:vAlign w:val="center"/>
                </w:tcPr>
                <w:p>
                  <w:pPr>
                    <w:jc w:val="center"/>
                    <w:rPr>
                      <w:rFonts w:hint="eastAsia" w:ascii="Times New Roman" w:hAnsi="Times New Roman" w:eastAsia="宋体" w:cs="Times New Roman"/>
                      <w:color w:val="auto"/>
                      <w:sz w:val="20"/>
                      <w:lang w:val="en-US" w:eastAsia="zh-CN"/>
                    </w:rPr>
                  </w:pPr>
                  <w:r>
                    <w:rPr>
                      <w:rFonts w:hint="eastAsia" w:eastAsia="宋体" w:cs="Times New Roman"/>
                      <w:color w:val="auto"/>
                      <w:sz w:val="20"/>
                      <w:lang w:val="en-US" w:eastAsia="zh-CN"/>
                    </w:rPr>
                    <w:t>3</w:t>
                  </w:r>
                </w:p>
              </w:tc>
              <w:tc>
                <w:tcPr>
                  <w:tcW w:w="22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6#风机</w:t>
                  </w:r>
                </w:p>
              </w:tc>
              <w:tc>
                <w:tcPr>
                  <w:tcW w:w="111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52.1</w:t>
                  </w:r>
                </w:p>
              </w:tc>
              <w:tc>
                <w:tcPr>
                  <w:tcW w:w="95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72.6</w:t>
                  </w:r>
                </w:p>
              </w:tc>
              <w:tc>
                <w:tcPr>
                  <w:tcW w:w="110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290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90</w:t>
                  </w:r>
                </w:p>
              </w:tc>
              <w:tc>
                <w:tcPr>
                  <w:tcW w:w="2102" w:type="dxa"/>
                  <w:vMerge w:val="continue"/>
                  <w:tcBorders>
                    <w:tl2br w:val="nil"/>
                    <w:tr2bl w:val="nil"/>
                  </w:tcBorders>
                  <w:noWrap w:val="0"/>
                  <w:vAlign w:val="center"/>
                </w:tcPr>
                <w:p>
                  <w:pPr>
                    <w:jc w:val="center"/>
                    <w:rPr>
                      <w:rFonts w:hint="default" w:ascii="Times New Roman" w:hAnsi="Times New Roman" w:cs="Times New Roman"/>
                      <w:color w:val="auto"/>
                    </w:rPr>
                  </w:pP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sz w:val="10"/>
                <w:szCs w:val="10"/>
                <w:lang w:eastAsia="zh-CN"/>
              </w:rPr>
            </w:pPr>
            <w:r>
              <w:rPr>
                <w:rFonts w:hint="default" w:ascii="Times New Roman" w:hAnsi="Times New Roman" w:eastAsia="宋体" w:cs="Times New Roman"/>
                <w:b w:val="0"/>
                <w:bCs/>
                <w:color w:val="auto"/>
                <w:sz w:val="21"/>
                <w:szCs w:val="21"/>
                <w:lang w:val="en-US" w:eastAsia="zh-CN"/>
              </w:rPr>
              <w:t>注：表中坐标以厂界中心（105.680603,30.744825）为坐标原点，正东向为X轴正方向，正北向为Y轴正方向</w:t>
            </w:r>
          </w:p>
        </w:tc>
      </w:tr>
    </w:tbl>
    <w:p>
      <w:pPr>
        <w:rPr>
          <w:color w:val="auto"/>
        </w:rPr>
        <w:sectPr>
          <w:pgSz w:w="16840" w:h="11907" w:orient="landscape"/>
          <w:pgMar w:top="1417" w:right="1701"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9"/>
        <w:tblW w:w="944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jc w:val="center"/>
        </w:trPr>
        <w:tc>
          <w:tcPr>
            <w:tcW w:w="723"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720" w:type="dxa"/>
            <w:noWrap w:val="0"/>
            <w:vAlign w:val="top"/>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color w:val="auto"/>
                <w:szCs w:val="21"/>
                <w:highlight w:val="none"/>
              </w:rPr>
            </w:pPr>
            <w:r>
              <w:rPr>
                <w:rFonts w:hint="eastAsia"/>
                <w:b/>
                <w:color w:val="auto"/>
                <w:szCs w:val="21"/>
                <w:highlight w:val="none"/>
              </w:rPr>
              <w:t>表4-1</w:t>
            </w:r>
            <w:r>
              <w:rPr>
                <w:rFonts w:hint="eastAsia"/>
                <w:b/>
                <w:color w:val="auto"/>
                <w:szCs w:val="21"/>
                <w:highlight w:val="none"/>
                <w:lang w:val="en-US" w:eastAsia="zh-CN"/>
              </w:rPr>
              <w:t>1</w:t>
            </w:r>
            <w:r>
              <w:rPr>
                <w:rFonts w:hint="eastAsia"/>
                <w:b/>
                <w:color w:val="auto"/>
                <w:szCs w:val="21"/>
                <w:highlight w:val="none"/>
              </w:rPr>
              <w:t xml:space="preserve">  </w:t>
            </w:r>
            <w:r>
              <w:rPr>
                <w:b/>
                <w:bCs/>
                <w:color w:val="auto"/>
                <w:szCs w:val="21"/>
                <w:highlight w:val="none"/>
              </w:rPr>
              <w:t>厂界噪声贡献值预测</w:t>
            </w:r>
          </w:p>
          <w:tbl>
            <w:tblPr>
              <w:tblStyle w:val="39"/>
              <w:tblW w:w="850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88"/>
              <w:gridCol w:w="806"/>
              <w:gridCol w:w="689"/>
              <w:gridCol w:w="849"/>
              <w:gridCol w:w="981"/>
              <w:gridCol w:w="987"/>
              <w:gridCol w:w="988"/>
              <w:gridCol w:w="987"/>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283" w:type="dxa"/>
                  <w:gridSpan w:val="3"/>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849"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981"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w:t>
                  </w:r>
                </w:p>
              </w:tc>
              <w:tc>
                <w:tcPr>
                  <w:tcW w:w="98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现状值</w:t>
                  </w:r>
                  <w:r>
                    <w:rPr>
                      <w:rFonts w:hint="default" w:ascii="Times New Roman" w:hAnsi="Times New Roman" w:eastAsia="宋体" w:cs="Times New Roman"/>
                      <w:b/>
                      <w:color w:val="auto"/>
                      <w:sz w:val="21"/>
                      <w:szCs w:val="21"/>
                    </w:rPr>
                    <w:t>（dB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w:t>
                  </w:r>
                </w:p>
              </w:tc>
              <w:tc>
                <w:tcPr>
                  <w:tcW w:w="988"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预测值</w:t>
                  </w:r>
                  <w:r>
                    <w:rPr>
                      <w:rFonts w:hint="default" w:ascii="Times New Roman" w:hAnsi="Times New Roman" w:eastAsia="宋体" w:cs="Times New Roman"/>
                      <w:b/>
                      <w:color w:val="auto"/>
                      <w:sz w:val="21"/>
                      <w:szCs w:val="21"/>
                      <w:highlight w:val="none"/>
                    </w:rPr>
                    <w:t>（dB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98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70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84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981"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98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98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98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0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78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56.1</w:t>
                  </w:r>
                </w:p>
              </w:tc>
              <w:tc>
                <w:tcPr>
                  <w:tcW w:w="806"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75.3</w:t>
                  </w:r>
                </w:p>
              </w:tc>
              <w:tc>
                <w:tcPr>
                  <w:tcW w:w="68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54.9</w:t>
                  </w:r>
                </w:p>
              </w:tc>
              <w:tc>
                <w:tcPr>
                  <w:tcW w:w="98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55</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58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88"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56.1</w:t>
                  </w:r>
                </w:p>
              </w:tc>
              <w:tc>
                <w:tcPr>
                  <w:tcW w:w="806"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75.3</w:t>
                  </w:r>
                </w:p>
              </w:tc>
              <w:tc>
                <w:tcPr>
                  <w:tcW w:w="689"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54.9</w:t>
                  </w:r>
                </w:p>
              </w:tc>
              <w:tc>
                <w:tcPr>
                  <w:tcW w:w="98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45</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-105.6</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52.6</w:t>
                  </w:r>
                </w:p>
              </w:tc>
              <w:tc>
                <w:tcPr>
                  <w:tcW w:w="98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54</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-105.6</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52.6</w:t>
                  </w:r>
                </w:p>
              </w:tc>
              <w:tc>
                <w:tcPr>
                  <w:tcW w:w="98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44</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-107.9</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41.3</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56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-107.9</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41.3</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48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57.8</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29.9</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78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806"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131.6</w:t>
                  </w:r>
                </w:p>
              </w:tc>
              <w:tc>
                <w:tcPr>
                  <w:tcW w:w="68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81"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9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98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708"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adjustRightInd w:val="0"/>
              <w:snapToGrid w:val="0"/>
              <w:spacing w:before="120" w:beforeLines="50" w:line="360" w:lineRule="auto"/>
              <w:ind w:firstLine="480" w:firstLineChars="200"/>
              <w:rPr>
                <w:color w:val="auto"/>
                <w:sz w:val="24"/>
              </w:rPr>
            </w:pPr>
            <w:r>
              <w:rPr>
                <w:color w:val="auto"/>
                <w:sz w:val="24"/>
              </w:rPr>
              <w:t>由上表可知，本项目在营运过程中通过采取对设备基础减震、设置隔声等措施后，厂界昼间噪声预测值</w:t>
            </w:r>
            <w:r>
              <w:rPr>
                <w:rFonts w:hint="eastAsia"/>
                <w:color w:val="auto"/>
                <w:sz w:val="24"/>
              </w:rPr>
              <w:t>均</w:t>
            </w:r>
            <w:r>
              <w:rPr>
                <w:color w:val="auto"/>
                <w:sz w:val="24"/>
              </w:rPr>
              <w:t>满足《工业企业厂界环境噪声排放标准》（GB12348-2008）中的3类标准限值要求，</w:t>
            </w:r>
            <w:r>
              <w:rPr>
                <w:rFonts w:hint="eastAsia"/>
                <w:color w:val="auto"/>
                <w:sz w:val="24"/>
              </w:rPr>
              <w:t>可</w:t>
            </w:r>
            <w:r>
              <w:rPr>
                <w:color w:val="auto"/>
                <w:sz w:val="24"/>
              </w:rPr>
              <w:t>实现达标排放。</w:t>
            </w:r>
          </w:p>
          <w:p>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3、监测要求</w:t>
            </w:r>
          </w:p>
          <w:p>
            <w:pPr>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bCs/>
                <w:color w:val="auto"/>
                <w:sz w:val="24"/>
              </w:rPr>
              <w:t>根据</w:t>
            </w:r>
            <w:r>
              <w:rPr>
                <w:rFonts w:hint="eastAsia" w:cs="Times New Roman"/>
                <w:color w:val="auto"/>
                <w:sz w:val="24"/>
                <w:lang w:eastAsia="zh-CN"/>
              </w:rPr>
              <w:t>《排污单位自行监测技术指南</w:t>
            </w:r>
            <w:r>
              <w:rPr>
                <w:rFonts w:hint="eastAsia" w:cs="Times New Roman"/>
                <w:color w:val="auto"/>
                <w:sz w:val="24"/>
                <w:lang w:val="en-US" w:eastAsia="zh-CN"/>
              </w:rPr>
              <w:t xml:space="preserve"> 人造板工业</w:t>
            </w:r>
            <w:r>
              <w:rPr>
                <w:rFonts w:hint="eastAsia" w:cs="Times New Roman"/>
                <w:color w:val="auto"/>
                <w:sz w:val="24"/>
                <w:lang w:eastAsia="zh-CN"/>
              </w:rPr>
              <w:t>》（HJ 120</w:t>
            </w:r>
            <w:r>
              <w:rPr>
                <w:rFonts w:hint="eastAsia" w:cs="Times New Roman"/>
                <w:color w:val="auto"/>
                <w:sz w:val="24"/>
                <w:lang w:val="en-US" w:eastAsia="zh-CN"/>
              </w:rPr>
              <w:t>6</w:t>
            </w:r>
            <w:r>
              <w:rPr>
                <w:rFonts w:hint="eastAsia" w:cs="Times New Roman"/>
                <w:color w:val="auto"/>
                <w:sz w:val="24"/>
                <w:lang w:eastAsia="zh-CN"/>
              </w:rPr>
              <w:t>-2021）</w:t>
            </w:r>
            <w:r>
              <w:rPr>
                <w:rFonts w:hint="default" w:ascii="Times New Roman" w:hAnsi="Times New Roman" w:cs="Times New Roman"/>
                <w:color w:val="auto"/>
                <w:sz w:val="24"/>
              </w:rPr>
              <w:t>中自行监测要求，</w:t>
            </w:r>
            <w:r>
              <w:rPr>
                <w:rFonts w:hint="default" w:ascii="Times New Roman" w:hAnsi="Times New Roman" w:cs="Times New Roman"/>
                <w:bCs/>
                <w:color w:val="auto"/>
                <w:sz w:val="24"/>
              </w:rPr>
              <w:t>本项目噪声监测计划见下表。</w:t>
            </w:r>
          </w:p>
          <w:p>
            <w:pPr>
              <w:topLinePunct/>
              <w:jc w:val="center"/>
              <w:rPr>
                <w:rFonts w:hint="default" w:ascii="Times New Roman" w:hAnsi="Times New Roman" w:cs="Times New Roman"/>
                <w:b/>
                <w:bCs/>
                <w:color w:val="auto"/>
                <w:szCs w:val="21"/>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2</w:t>
            </w:r>
            <w:r>
              <w:rPr>
                <w:rFonts w:hint="default" w:ascii="Times New Roman" w:hAnsi="Times New Roman" w:cs="Times New Roman"/>
                <w:b/>
                <w:bCs/>
                <w:color w:val="auto"/>
              </w:rPr>
              <w:t xml:space="preserve">  项目营运期环境监测计划</w:t>
            </w:r>
          </w:p>
          <w:tbl>
            <w:tblPr>
              <w:tblStyle w:val="3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625"/>
              <w:gridCol w:w="1087"/>
              <w:gridCol w:w="2425"/>
              <w:gridCol w:w="2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2" w:type="dxa"/>
                  <w:noWrap w:val="0"/>
                  <w:vAlign w:val="center"/>
                </w:tcPr>
                <w:p>
                  <w:pPr>
                    <w:jc w:val="center"/>
                    <w:outlineLvl w:val="3"/>
                    <w:rPr>
                      <w:rFonts w:hint="default" w:ascii="Times New Roman" w:hAnsi="Times New Roman" w:cs="Times New Roman"/>
                      <w:b/>
                      <w:color w:val="auto"/>
                    </w:rPr>
                  </w:pPr>
                  <w:r>
                    <w:rPr>
                      <w:rFonts w:hint="default" w:ascii="Times New Roman" w:hAnsi="Times New Roman" w:cs="Times New Roman"/>
                      <w:b/>
                      <w:color w:val="auto"/>
                    </w:rPr>
                    <w:t>类别</w:t>
                  </w:r>
                </w:p>
              </w:tc>
              <w:tc>
                <w:tcPr>
                  <w:tcW w:w="1625" w:type="dxa"/>
                  <w:noWrap w:val="0"/>
                  <w:vAlign w:val="center"/>
                </w:tcPr>
                <w:p>
                  <w:pPr>
                    <w:jc w:val="center"/>
                    <w:outlineLvl w:val="3"/>
                    <w:rPr>
                      <w:rFonts w:hint="default" w:ascii="Times New Roman" w:hAnsi="Times New Roman" w:cs="Times New Roman"/>
                      <w:b/>
                      <w:color w:val="auto"/>
                    </w:rPr>
                  </w:pPr>
                  <w:r>
                    <w:rPr>
                      <w:rFonts w:hint="default" w:ascii="Times New Roman" w:hAnsi="Times New Roman" w:cs="Times New Roman"/>
                      <w:b/>
                      <w:color w:val="auto"/>
                    </w:rPr>
                    <w:t>污染源</w:t>
                  </w:r>
                </w:p>
              </w:tc>
              <w:tc>
                <w:tcPr>
                  <w:tcW w:w="1087" w:type="dxa"/>
                  <w:noWrap w:val="0"/>
                  <w:vAlign w:val="center"/>
                </w:tcPr>
                <w:p>
                  <w:pPr>
                    <w:jc w:val="center"/>
                    <w:outlineLvl w:val="3"/>
                    <w:rPr>
                      <w:rFonts w:hint="default" w:ascii="Times New Roman" w:hAnsi="Times New Roman" w:cs="Times New Roman"/>
                      <w:b/>
                      <w:color w:val="auto"/>
                    </w:rPr>
                  </w:pPr>
                  <w:r>
                    <w:rPr>
                      <w:rFonts w:hint="default" w:ascii="Times New Roman" w:hAnsi="Times New Roman" w:cs="Times New Roman"/>
                      <w:b/>
                      <w:color w:val="auto"/>
                    </w:rPr>
                    <w:t>监测项目</w:t>
                  </w:r>
                </w:p>
              </w:tc>
              <w:tc>
                <w:tcPr>
                  <w:tcW w:w="2425" w:type="dxa"/>
                  <w:noWrap w:val="0"/>
                  <w:vAlign w:val="center"/>
                </w:tcPr>
                <w:p>
                  <w:pPr>
                    <w:jc w:val="center"/>
                    <w:outlineLvl w:val="3"/>
                    <w:rPr>
                      <w:rFonts w:hint="default" w:ascii="Times New Roman" w:hAnsi="Times New Roman" w:cs="Times New Roman"/>
                      <w:b/>
                      <w:color w:val="auto"/>
                    </w:rPr>
                  </w:pPr>
                  <w:r>
                    <w:rPr>
                      <w:rFonts w:hint="default" w:ascii="Times New Roman" w:hAnsi="Times New Roman" w:cs="Times New Roman"/>
                      <w:b/>
                      <w:color w:val="auto"/>
                    </w:rPr>
                    <w:t>监测点位</w:t>
                  </w:r>
                </w:p>
              </w:tc>
              <w:tc>
                <w:tcPr>
                  <w:tcW w:w="2485" w:type="dxa"/>
                  <w:noWrap w:val="0"/>
                  <w:vAlign w:val="center"/>
                </w:tcPr>
                <w:p>
                  <w:pPr>
                    <w:jc w:val="center"/>
                    <w:outlineLvl w:val="3"/>
                    <w:rPr>
                      <w:rFonts w:hint="default" w:ascii="Times New Roman" w:hAnsi="Times New Roman" w:cs="Times New Roman"/>
                      <w:b/>
                      <w:color w:val="auto"/>
                    </w:rPr>
                  </w:pPr>
                  <w:r>
                    <w:rPr>
                      <w:rFonts w:hint="default" w:ascii="Times New Roman" w:hAnsi="Times New Roman" w:cs="Times New Roman"/>
                      <w:b/>
                      <w:color w:val="auto"/>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2" w:type="dxa"/>
                  <w:noWrap w:val="0"/>
                  <w:vAlign w:val="center"/>
                </w:tcPr>
                <w:p>
                  <w:pPr>
                    <w:jc w:val="center"/>
                    <w:outlineLvl w:val="3"/>
                    <w:rPr>
                      <w:rFonts w:hint="default" w:ascii="Times New Roman" w:hAnsi="Times New Roman" w:cs="Times New Roman"/>
                      <w:color w:val="auto"/>
                    </w:rPr>
                  </w:pPr>
                  <w:r>
                    <w:rPr>
                      <w:rFonts w:hint="default" w:ascii="Times New Roman" w:hAnsi="Times New Roman" w:cs="Times New Roman"/>
                      <w:color w:val="auto"/>
                    </w:rPr>
                    <w:t>噪声</w:t>
                  </w:r>
                </w:p>
              </w:tc>
              <w:tc>
                <w:tcPr>
                  <w:tcW w:w="1625" w:type="dxa"/>
                  <w:noWrap w:val="0"/>
                  <w:vAlign w:val="center"/>
                </w:tcPr>
                <w:p>
                  <w:pPr>
                    <w:jc w:val="center"/>
                    <w:outlineLvl w:val="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设备运行噪声</w:t>
                  </w:r>
                </w:p>
              </w:tc>
              <w:tc>
                <w:tcPr>
                  <w:tcW w:w="1087" w:type="dxa"/>
                  <w:noWrap w:val="0"/>
                  <w:vAlign w:val="center"/>
                </w:tcPr>
                <w:p>
                  <w:pPr>
                    <w:jc w:val="center"/>
                    <w:outlineLvl w:val="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425" w:type="dxa"/>
                  <w:noWrap w:val="0"/>
                  <w:vAlign w:val="center"/>
                </w:tcPr>
                <w:p>
                  <w:pPr>
                    <w:jc w:val="center"/>
                    <w:outlineLvl w:val="3"/>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项目</w:t>
                  </w:r>
                  <w:r>
                    <w:rPr>
                      <w:rFonts w:hint="default" w:ascii="Times New Roman" w:hAnsi="Times New Roman" w:cs="Times New Roman"/>
                      <w:color w:val="auto"/>
                      <w:sz w:val="21"/>
                      <w:szCs w:val="21"/>
                    </w:rPr>
                    <w:t>四周厂界外1m处</w:t>
                  </w:r>
                </w:p>
              </w:tc>
              <w:tc>
                <w:tcPr>
                  <w:tcW w:w="2485" w:type="dxa"/>
                  <w:noWrap w:val="0"/>
                  <w:vAlign w:val="center"/>
                </w:tcPr>
                <w:p>
                  <w:pPr>
                    <w:jc w:val="center"/>
                    <w:outlineLvl w:val="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1次/季度，每天昼间1次</w:t>
                  </w:r>
                </w:p>
              </w:tc>
            </w:tr>
          </w:tbl>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四、固废</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本项目运营期中固体废物主要为一般固废和危险废物。</w:t>
            </w:r>
          </w:p>
          <w:p>
            <w:pPr>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1、</w:t>
            </w:r>
            <w:r>
              <w:rPr>
                <w:rFonts w:hint="default" w:ascii="Times New Roman" w:hAnsi="Times New Roman" w:cs="Times New Roman"/>
                <w:b/>
                <w:bCs/>
                <w:color w:val="auto"/>
                <w:kern w:val="0"/>
                <w:sz w:val="24"/>
              </w:rPr>
              <w:t>产生量核算：</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（1）一般固废</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fldChar w:fldCharType="begin"/>
            </w:r>
            <w:r>
              <w:rPr>
                <w:rFonts w:hint="default" w:ascii="Times New Roman" w:hAnsi="Times New Roman" w:eastAsia="宋体" w:cs="Times New Roman"/>
                <w:color w:val="auto"/>
                <w:spacing w:val="0"/>
                <w:kern w:val="0"/>
                <w:sz w:val="24"/>
                <w:szCs w:val="24"/>
                <w:lang w:val="en-US" w:eastAsia="zh-CN" w:bidi="ar-SA"/>
              </w:rPr>
              <w:instrText xml:space="preserve"> = 1 \* GB3 \* MERGEFORMAT </w:instrText>
            </w:r>
            <w:r>
              <w:rPr>
                <w:rFonts w:hint="default" w:ascii="Times New Roman" w:hAnsi="Times New Roman" w:eastAsia="宋体" w:cs="Times New Roman"/>
                <w:color w:val="auto"/>
                <w:spacing w:val="0"/>
                <w:kern w:val="0"/>
                <w:sz w:val="24"/>
                <w:szCs w:val="24"/>
                <w:lang w:val="en-US" w:eastAsia="zh-CN" w:bidi="ar-SA"/>
              </w:rPr>
              <w:fldChar w:fldCharType="separate"/>
            </w:r>
            <w:r>
              <w:rPr>
                <w:rFonts w:hint="default" w:ascii="Times New Roman" w:hAnsi="Times New Roman" w:eastAsia="宋体" w:cs="Times New Roman"/>
                <w:color w:val="auto"/>
                <w:spacing w:val="0"/>
                <w:kern w:val="0"/>
                <w:sz w:val="24"/>
                <w:szCs w:val="24"/>
                <w:lang w:val="en-US" w:eastAsia="zh-CN" w:bidi="ar-SA"/>
              </w:rPr>
              <w:t>①</w:t>
            </w:r>
            <w:r>
              <w:rPr>
                <w:rFonts w:hint="default" w:ascii="Times New Roman" w:hAnsi="Times New Roman" w:eastAsia="宋体" w:cs="Times New Roman"/>
                <w:color w:val="auto"/>
                <w:spacing w:val="0"/>
                <w:kern w:val="0"/>
                <w:sz w:val="24"/>
                <w:szCs w:val="24"/>
                <w:lang w:val="en-US" w:eastAsia="zh-CN" w:bidi="ar-SA"/>
              </w:rPr>
              <w:fldChar w:fldCharType="end"/>
            </w:r>
            <w:r>
              <w:rPr>
                <w:rFonts w:hint="default" w:ascii="Times New Roman" w:hAnsi="Times New Roman" w:eastAsia="宋体" w:cs="Times New Roman"/>
                <w:color w:val="auto"/>
                <w:spacing w:val="0"/>
                <w:kern w:val="0"/>
                <w:sz w:val="24"/>
                <w:szCs w:val="24"/>
                <w:lang w:val="en-US" w:eastAsia="zh-CN" w:bidi="ar-SA"/>
              </w:rPr>
              <w:t>收集的粉尘：</w:t>
            </w:r>
            <w:r>
              <w:rPr>
                <w:rFonts w:hint="default" w:ascii="Times New Roman" w:hAnsi="Times New Roman" w:eastAsia="宋体" w:cs="Times New Roman"/>
                <w:color w:val="auto"/>
                <w:spacing w:val="0"/>
                <w:kern w:val="0"/>
                <w:sz w:val="24"/>
                <w:szCs w:val="20"/>
                <w:lang w:val="zh-CN" w:eastAsia="zh-CN" w:bidi="ar-SA"/>
              </w:rPr>
              <w:t>本项目设置旋风、布袋除尘器收集处理粉尘废气，</w:t>
            </w:r>
            <w:r>
              <w:rPr>
                <w:rFonts w:hint="default" w:ascii="Times New Roman" w:hAnsi="Times New Roman" w:eastAsia="宋体" w:cs="Times New Roman"/>
                <w:color w:val="auto"/>
                <w:spacing w:val="0"/>
                <w:kern w:val="0"/>
                <w:sz w:val="24"/>
                <w:szCs w:val="20"/>
                <w:highlight w:val="none"/>
                <w:lang w:val="zh-CN" w:eastAsia="zh-CN" w:bidi="ar-SA"/>
              </w:rPr>
              <w:t>根据工程分析可知项</w:t>
            </w:r>
            <w:r>
              <w:rPr>
                <w:rFonts w:hint="default" w:ascii="Times New Roman" w:hAnsi="Times New Roman" w:eastAsia="宋体" w:cs="Times New Roman"/>
                <w:color w:val="auto"/>
                <w:spacing w:val="0"/>
                <w:kern w:val="0"/>
                <w:sz w:val="24"/>
                <w:szCs w:val="24"/>
                <w:lang w:val="zh-CN" w:eastAsia="zh-CN" w:bidi="ar-SA"/>
              </w:rPr>
              <w:t>目除尘器粉尘收集量约为</w:t>
            </w:r>
            <w:r>
              <w:rPr>
                <w:rFonts w:hint="default" w:ascii="Times New Roman" w:hAnsi="Times New Roman" w:eastAsia="宋体" w:cs="Times New Roman"/>
                <w:color w:val="auto"/>
                <w:spacing w:val="0"/>
                <w:kern w:val="0"/>
                <w:sz w:val="24"/>
                <w:szCs w:val="24"/>
                <w:lang w:val="en-US" w:eastAsia="zh-CN" w:bidi="ar-SA"/>
              </w:rPr>
              <w:t>68.456</w:t>
            </w:r>
            <w:r>
              <w:rPr>
                <w:rFonts w:hint="default" w:ascii="Times New Roman" w:hAnsi="Times New Roman" w:eastAsia="宋体" w:cs="Times New Roman"/>
                <w:color w:val="auto"/>
                <w:spacing w:val="0"/>
                <w:kern w:val="0"/>
                <w:sz w:val="24"/>
                <w:szCs w:val="24"/>
                <w:lang w:val="zh-CN" w:eastAsia="zh-CN" w:bidi="ar-SA"/>
              </w:rPr>
              <w:t>t/a；外售</w:t>
            </w:r>
            <w:r>
              <w:rPr>
                <w:rFonts w:hint="eastAsia" w:cs="Times New Roman"/>
                <w:color w:val="auto"/>
                <w:spacing w:val="0"/>
                <w:kern w:val="0"/>
                <w:sz w:val="24"/>
                <w:szCs w:val="24"/>
                <w:lang w:val="en-US" w:eastAsia="zh-CN" w:bidi="ar-SA"/>
              </w:rPr>
              <w:t>给</w:t>
            </w:r>
            <w:r>
              <w:rPr>
                <w:rFonts w:hint="default" w:ascii="Times New Roman" w:hAnsi="Times New Roman" w:eastAsia="宋体" w:cs="Times New Roman"/>
                <w:color w:val="auto"/>
                <w:spacing w:val="0"/>
                <w:kern w:val="0"/>
                <w:sz w:val="24"/>
                <w:szCs w:val="24"/>
                <w:lang w:val="zh-CN" w:eastAsia="zh-CN" w:bidi="ar-SA"/>
              </w:rPr>
              <w:t>可回收利用单位处理。</w:t>
            </w:r>
            <w:r>
              <w:rPr>
                <w:rFonts w:hint="default" w:ascii="Times New Roman" w:hAnsi="Times New Roman" w:eastAsia="宋体" w:cs="Times New Roman"/>
                <w:color w:val="auto"/>
                <w:spacing w:val="0"/>
                <w:kern w:val="0"/>
                <w:sz w:val="24"/>
                <w:szCs w:val="24"/>
                <w:lang w:val="en-US" w:eastAsia="zh-CN" w:bidi="ar-SA"/>
              </w:rPr>
              <w:t>根据《固体废物分类与代码目录》，本项目</w:t>
            </w:r>
            <w:r>
              <w:rPr>
                <w:rFonts w:hint="eastAsia" w:ascii="Times New Roman" w:hAnsi="Times New Roman" w:eastAsia="宋体" w:cs="Times New Roman"/>
                <w:color w:val="auto"/>
                <w:spacing w:val="0"/>
                <w:kern w:val="0"/>
                <w:sz w:val="24"/>
                <w:szCs w:val="24"/>
                <w:lang w:val="en-US" w:eastAsia="zh-CN" w:bidi="ar-SA"/>
              </w:rPr>
              <w:t>产生的</w:t>
            </w:r>
            <w:r>
              <w:rPr>
                <w:rFonts w:hint="default" w:ascii="Times New Roman" w:hAnsi="Times New Roman" w:eastAsia="宋体" w:cs="Times New Roman"/>
                <w:color w:val="auto"/>
                <w:spacing w:val="0"/>
                <w:kern w:val="0"/>
                <w:sz w:val="24"/>
                <w:szCs w:val="24"/>
                <w:lang w:val="en-US" w:eastAsia="zh-CN" w:bidi="ar-SA"/>
              </w:rPr>
              <w:t>收集的粉尘属于</w:t>
            </w:r>
            <w:r>
              <w:rPr>
                <w:rFonts w:hint="eastAsia" w:ascii="Times New Roman" w:hAnsi="Times New Roman" w:eastAsia="宋体" w:cs="Times New Roman"/>
                <w:color w:val="auto"/>
                <w:spacing w:val="0"/>
                <w:kern w:val="0"/>
                <w:sz w:val="24"/>
                <w:szCs w:val="24"/>
                <w:lang w:val="en-US" w:eastAsia="zh-CN" w:bidi="ar-SA"/>
              </w:rPr>
              <w:t>可再生类废物</w:t>
            </w:r>
            <w:r>
              <w:rPr>
                <w:rFonts w:hint="default" w:ascii="Times New Roman" w:hAnsi="Times New Roman" w:eastAsia="宋体" w:cs="Times New Roman"/>
                <w:color w:val="auto"/>
                <w:spacing w:val="0"/>
                <w:kern w:val="0"/>
                <w:sz w:val="24"/>
                <w:szCs w:val="24"/>
                <w:lang w:val="en-US" w:eastAsia="zh-CN" w:bidi="ar-SA"/>
              </w:rPr>
              <w:t>SW</w:t>
            </w:r>
            <w:r>
              <w:rPr>
                <w:rFonts w:hint="eastAsia" w:ascii="Times New Roman" w:hAnsi="Times New Roman" w:eastAsia="宋体" w:cs="Times New Roman"/>
                <w:color w:val="auto"/>
                <w:spacing w:val="0"/>
                <w:kern w:val="0"/>
                <w:sz w:val="24"/>
                <w:szCs w:val="24"/>
                <w:lang w:val="en-US" w:eastAsia="zh-CN" w:bidi="ar-SA"/>
              </w:rPr>
              <w:t>17</w:t>
            </w:r>
            <w:r>
              <w:rPr>
                <w:rFonts w:hint="default" w:ascii="Times New Roman" w:hAnsi="Times New Roman" w:eastAsia="宋体" w:cs="Times New Roman"/>
                <w:color w:val="auto"/>
                <w:spacing w:val="0"/>
                <w:kern w:val="0"/>
                <w:sz w:val="24"/>
                <w:szCs w:val="24"/>
                <w:lang w:val="en-US" w:eastAsia="zh-CN" w:bidi="ar-SA"/>
              </w:rPr>
              <w:t>（900-099-S</w:t>
            </w:r>
            <w:r>
              <w:rPr>
                <w:rFonts w:hint="eastAsia" w:ascii="Times New Roman" w:hAnsi="Times New Roman" w:eastAsia="宋体" w:cs="Times New Roman"/>
                <w:color w:val="auto"/>
                <w:spacing w:val="0"/>
                <w:kern w:val="0"/>
                <w:sz w:val="24"/>
                <w:szCs w:val="24"/>
                <w:lang w:val="en-US" w:eastAsia="zh-CN" w:bidi="ar-SA"/>
              </w:rPr>
              <w:t>17</w:t>
            </w:r>
            <w:r>
              <w:rPr>
                <w:rFonts w:hint="default" w:ascii="Times New Roman" w:hAnsi="Times New Roman" w:eastAsia="宋体" w:cs="Times New Roman"/>
                <w:color w:val="auto"/>
                <w:spacing w:val="0"/>
                <w:kern w:val="0"/>
                <w:sz w:val="24"/>
                <w:szCs w:val="24"/>
                <w:lang w:val="en-US" w:eastAsia="zh-CN" w:bidi="ar-SA"/>
              </w:rPr>
              <w:t>）。</w:t>
            </w:r>
          </w:p>
          <w:p>
            <w:pPr>
              <w:keepNext w:val="0"/>
              <w:keepLines w:val="0"/>
              <w:pageBreakBefore w:val="0"/>
              <w:tabs>
                <w:tab w:val="left" w:pos="2010"/>
              </w:tabs>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②废边角料</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highlight w:val="none"/>
                <w:lang w:val="en-US" w:eastAsia="zh-CN"/>
              </w:rPr>
              <w:t>不合格品</w:t>
            </w:r>
            <w:r>
              <w:rPr>
                <w:rFonts w:hint="default" w:ascii="Times New Roman" w:hAnsi="Times New Roman" w:eastAsia="宋体" w:cs="Times New Roman"/>
                <w:color w:val="auto"/>
                <w:spacing w:val="0"/>
                <w:sz w:val="24"/>
                <w:szCs w:val="24"/>
                <w:highlight w:val="none"/>
              </w:rPr>
              <w:t>：本项目木料加工过程中会产生废边角料等废木料，产生量</w:t>
            </w:r>
            <w:r>
              <w:rPr>
                <w:rFonts w:hint="default" w:ascii="Times New Roman" w:hAnsi="Times New Roman" w:eastAsia="宋体" w:cs="Times New Roman"/>
                <w:color w:val="auto"/>
                <w:spacing w:val="0"/>
                <w:sz w:val="24"/>
                <w:szCs w:val="24"/>
                <w:highlight w:val="none"/>
                <w:lang w:val="en-US" w:eastAsia="zh-CN"/>
              </w:rPr>
              <w:t>约为110</w:t>
            </w:r>
            <w:r>
              <w:rPr>
                <w:rFonts w:hint="default" w:ascii="Times New Roman" w:hAnsi="Times New Roman" w:eastAsia="宋体" w:cs="Times New Roman"/>
                <w:color w:val="auto"/>
                <w:spacing w:val="0"/>
                <w:sz w:val="24"/>
                <w:szCs w:val="24"/>
                <w:highlight w:val="none"/>
              </w:rPr>
              <w:t>t/a</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回</w:t>
            </w:r>
            <w:r>
              <w:rPr>
                <w:rFonts w:hint="default" w:ascii="Times New Roman" w:hAnsi="Times New Roman" w:eastAsia="宋体" w:cs="Times New Roman"/>
                <w:color w:val="auto"/>
                <w:spacing w:val="0"/>
                <w:sz w:val="24"/>
                <w:szCs w:val="24"/>
              </w:rPr>
              <w:t>用于刨花板的生产，不外排。</w:t>
            </w:r>
            <w:r>
              <w:rPr>
                <w:rFonts w:hint="default" w:ascii="Times New Roman" w:hAnsi="Times New Roman" w:eastAsia="宋体" w:cs="Times New Roman"/>
                <w:color w:val="auto"/>
                <w:spacing w:val="0"/>
                <w:kern w:val="0"/>
                <w:sz w:val="24"/>
                <w:szCs w:val="24"/>
                <w:lang w:val="en-US" w:eastAsia="zh-CN" w:bidi="ar-SA"/>
              </w:rPr>
              <w:t>根据《固体废物分类与代码目录》，本项目</w:t>
            </w:r>
            <w:r>
              <w:rPr>
                <w:rFonts w:hint="eastAsia" w:ascii="Times New Roman" w:hAnsi="Times New Roman" w:eastAsia="宋体" w:cs="Times New Roman"/>
                <w:color w:val="auto"/>
                <w:spacing w:val="0"/>
                <w:kern w:val="0"/>
                <w:sz w:val="24"/>
                <w:szCs w:val="24"/>
                <w:lang w:val="en-US" w:eastAsia="zh-CN" w:bidi="ar-SA"/>
              </w:rPr>
              <w:t>产生的</w:t>
            </w:r>
            <w:r>
              <w:rPr>
                <w:rFonts w:hint="default" w:ascii="Times New Roman" w:hAnsi="Times New Roman" w:eastAsia="宋体" w:cs="Times New Roman"/>
                <w:color w:val="auto"/>
                <w:spacing w:val="0"/>
                <w:sz w:val="24"/>
                <w:szCs w:val="24"/>
              </w:rPr>
              <w:t>废边角料</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highlight w:val="none"/>
                <w:lang w:val="en-US" w:eastAsia="zh-CN"/>
              </w:rPr>
              <w:t>不合格品</w:t>
            </w:r>
            <w:r>
              <w:rPr>
                <w:rFonts w:hint="default" w:ascii="Times New Roman" w:hAnsi="Times New Roman" w:eastAsia="宋体" w:cs="Times New Roman"/>
                <w:color w:val="auto"/>
                <w:spacing w:val="0"/>
                <w:kern w:val="0"/>
                <w:sz w:val="24"/>
                <w:szCs w:val="24"/>
                <w:lang w:val="en-US" w:eastAsia="zh-CN" w:bidi="ar-SA"/>
              </w:rPr>
              <w:t>属于</w:t>
            </w:r>
            <w:r>
              <w:rPr>
                <w:rFonts w:hint="eastAsia" w:ascii="Times New Roman" w:hAnsi="Times New Roman" w:eastAsia="宋体" w:cs="Times New Roman"/>
                <w:color w:val="auto"/>
                <w:spacing w:val="0"/>
                <w:kern w:val="0"/>
                <w:sz w:val="24"/>
                <w:szCs w:val="24"/>
                <w:lang w:val="en-US" w:eastAsia="zh-CN" w:bidi="ar-SA"/>
              </w:rPr>
              <w:t>其他可再生类废物</w:t>
            </w:r>
            <w:r>
              <w:rPr>
                <w:rFonts w:hint="default" w:ascii="Times New Roman" w:hAnsi="Times New Roman" w:eastAsia="宋体" w:cs="Times New Roman"/>
                <w:color w:val="auto"/>
                <w:spacing w:val="0"/>
                <w:kern w:val="0"/>
                <w:sz w:val="24"/>
                <w:szCs w:val="24"/>
                <w:lang w:val="en-US" w:eastAsia="zh-CN" w:bidi="ar-SA"/>
              </w:rPr>
              <w:t>SW</w:t>
            </w:r>
            <w:r>
              <w:rPr>
                <w:rFonts w:hint="eastAsia" w:ascii="Times New Roman" w:hAnsi="Times New Roman" w:eastAsia="宋体" w:cs="Times New Roman"/>
                <w:color w:val="auto"/>
                <w:spacing w:val="0"/>
                <w:kern w:val="0"/>
                <w:sz w:val="24"/>
                <w:szCs w:val="24"/>
                <w:lang w:val="en-US" w:eastAsia="zh-CN" w:bidi="ar-SA"/>
              </w:rPr>
              <w:t>17</w:t>
            </w:r>
            <w:r>
              <w:rPr>
                <w:rFonts w:hint="default" w:ascii="Times New Roman" w:hAnsi="Times New Roman" w:eastAsia="宋体" w:cs="Times New Roman"/>
                <w:color w:val="auto"/>
                <w:spacing w:val="0"/>
                <w:kern w:val="0"/>
                <w:sz w:val="24"/>
                <w:szCs w:val="24"/>
                <w:lang w:val="en-US" w:eastAsia="zh-CN" w:bidi="ar-SA"/>
              </w:rPr>
              <w:t>（900-0</w:t>
            </w:r>
            <w:r>
              <w:rPr>
                <w:rFonts w:hint="eastAsia" w:ascii="Times New Roman" w:hAnsi="Times New Roman" w:eastAsia="宋体" w:cs="Times New Roman"/>
                <w:color w:val="auto"/>
                <w:spacing w:val="0"/>
                <w:kern w:val="0"/>
                <w:sz w:val="24"/>
                <w:szCs w:val="24"/>
                <w:lang w:val="en-US" w:eastAsia="zh-CN" w:bidi="ar-SA"/>
              </w:rPr>
              <w:t>0</w:t>
            </w:r>
            <w:r>
              <w:rPr>
                <w:rFonts w:hint="default" w:ascii="Times New Roman" w:hAnsi="Times New Roman" w:eastAsia="宋体" w:cs="Times New Roman"/>
                <w:color w:val="auto"/>
                <w:spacing w:val="0"/>
                <w:kern w:val="0"/>
                <w:sz w:val="24"/>
                <w:szCs w:val="24"/>
                <w:lang w:val="en-US" w:eastAsia="zh-CN" w:bidi="ar-SA"/>
              </w:rPr>
              <w:t>9-S</w:t>
            </w:r>
            <w:r>
              <w:rPr>
                <w:rFonts w:hint="eastAsia" w:ascii="Times New Roman" w:hAnsi="Times New Roman" w:eastAsia="宋体" w:cs="Times New Roman"/>
                <w:color w:val="auto"/>
                <w:spacing w:val="0"/>
                <w:kern w:val="0"/>
                <w:sz w:val="24"/>
                <w:szCs w:val="24"/>
                <w:lang w:val="en-US" w:eastAsia="zh-CN" w:bidi="ar-SA"/>
              </w:rPr>
              <w:t>17</w:t>
            </w:r>
            <w:r>
              <w:rPr>
                <w:rFonts w:hint="default" w:ascii="Times New Roman" w:hAnsi="Times New Roman" w:eastAsia="宋体" w:cs="Times New Roman"/>
                <w:color w:val="auto"/>
                <w:spacing w:val="0"/>
                <w:kern w:val="0"/>
                <w:sz w:val="24"/>
                <w:szCs w:val="24"/>
                <w:lang w:val="en-US" w:eastAsia="zh-CN" w:bidi="ar-SA"/>
              </w:rPr>
              <w:t>）。</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③</w:t>
            </w:r>
            <w:r>
              <w:rPr>
                <w:rFonts w:hint="default" w:ascii="Times New Roman" w:hAnsi="Times New Roman" w:eastAsia="宋体" w:cs="Times New Roman"/>
                <w:bCs/>
                <w:color w:val="auto"/>
                <w:spacing w:val="0"/>
                <w:sz w:val="24"/>
                <w:szCs w:val="24"/>
              </w:rPr>
              <w:t>泥沙、石块、金属等杂质</w:t>
            </w:r>
            <w:r>
              <w:rPr>
                <w:rFonts w:hint="default" w:ascii="Times New Roman" w:hAnsi="Times New Roman" w:eastAsia="宋体" w:cs="Times New Roman"/>
                <w:color w:val="auto"/>
                <w:spacing w:val="0"/>
                <w:sz w:val="24"/>
                <w:szCs w:val="24"/>
              </w:rPr>
              <w:t>：项目在削片前设置有金属探测器，对金属杂质进行筛选，由于项目物料来源较为原木及上游厂家的边角料，泥沙、石块、金属杂质的含量极少，产生量约为2.0t/a。</w:t>
            </w:r>
            <w:r>
              <w:rPr>
                <w:rFonts w:hint="default" w:ascii="Times New Roman" w:hAnsi="Times New Roman" w:cs="Times New Roman"/>
                <w:color w:val="auto"/>
                <w:sz w:val="24"/>
                <w:szCs w:val="24"/>
              </w:rPr>
              <w:t>金属杂质外售废品回收站，泥沙运至渣土堆场</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kern w:val="0"/>
                <w:sz w:val="24"/>
                <w:szCs w:val="24"/>
                <w:lang w:val="en-US" w:eastAsia="zh-CN" w:bidi="ar-SA"/>
              </w:rPr>
              <w:t>根据《固体废物分类与代码目录》，本项目</w:t>
            </w:r>
            <w:r>
              <w:rPr>
                <w:rFonts w:hint="eastAsia" w:ascii="Times New Roman" w:hAnsi="Times New Roman" w:eastAsia="宋体" w:cs="Times New Roman"/>
                <w:color w:val="auto"/>
                <w:spacing w:val="0"/>
                <w:kern w:val="0"/>
                <w:sz w:val="24"/>
                <w:szCs w:val="24"/>
                <w:lang w:val="en-US" w:eastAsia="zh-CN" w:bidi="ar-SA"/>
              </w:rPr>
              <w:t>产生的</w:t>
            </w:r>
            <w:r>
              <w:rPr>
                <w:rFonts w:hint="default" w:ascii="Times New Roman" w:hAnsi="Times New Roman" w:eastAsia="宋体" w:cs="Times New Roman"/>
                <w:bCs/>
                <w:color w:val="auto"/>
                <w:spacing w:val="0"/>
                <w:sz w:val="24"/>
                <w:szCs w:val="24"/>
              </w:rPr>
              <w:t>泥沙、石块、金属等杂质</w:t>
            </w:r>
            <w:r>
              <w:rPr>
                <w:rFonts w:hint="default" w:ascii="Times New Roman" w:hAnsi="Times New Roman" w:eastAsia="宋体" w:cs="Times New Roman"/>
                <w:color w:val="auto"/>
                <w:spacing w:val="0"/>
                <w:kern w:val="0"/>
                <w:sz w:val="24"/>
                <w:szCs w:val="24"/>
                <w:lang w:val="en-US" w:eastAsia="zh-CN" w:bidi="ar-SA"/>
              </w:rPr>
              <w:t>属于</w:t>
            </w:r>
            <w:r>
              <w:rPr>
                <w:rFonts w:hint="eastAsia" w:ascii="Times New Roman" w:hAnsi="Times New Roman" w:eastAsia="宋体" w:cs="Times New Roman"/>
                <w:color w:val="auto"/>
                <w:spacing w:val="0"/>
                <w:kern w:val="0"/>
                <w:sz w:val="24"/>
                <w:szCs w:val="24"/>
                <w:lang w:val="en-US" w:eastAsia="zh-CN" w:bidi="ar-SA"/>
              </w:rPr>
              <w:t>其他工业固废SW59（900-099-S59）</w:t>
            </w:r>
            <w:r>
              <w:rPr>
                <w:rFonts w:hint="default" w:ascii="Times New Roman" w:hAnsi="Times New Roman" w:eastAsia="宋体" w:cs="Times New Roman"/>
                <w:color w:val="auto"/>
                <w:spacing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sz w:val="24"/>
                <w:szCs w:val="24"/>
              </w:rPr>
              <w:t>④</w:t>
            </w:r>
            <w:r>
              <w:rPr>
                <w:rFonts w:hint="default" w:ascii="Times New Roman" w:hAnsi="Times New Roman" w:eastAsia="宋体" w:cs="Times New Roman"/>
                <w:bCs/>
                <w:color w:val="auto"/>
                <w:spacing w:val="0"/>
                <w:kern w:val="0"/>
                <w:sz w:val="24"/>
                <w:szCs w:val="20"/>
                <w:lang w:val="zh-CN" w:eastAsia="zh-CN" w:bidi="ar-SA"/>
              </w:rPr>
              <w:t>水膜除尘循环水池中沉渣：项目干燥废气经旋风除尘后再进入水膜除</w:t>
            </w:r>
            <w:r>
              <w:rPr>
                <w:rFonts w:hint="default" w:ascii="Times New Roman" w:hAnsi="Times New Roman" w:eastAsia="宋体" w:cs="Times New Roman"/>
                <w:bCs/>
                <w:color w:val="auto"/>
                <w:spacing w:val="0"/>
                <w:kern w:val="0"/>
                <w:sz w:val="24"/>
                <w:szCs w:val="20"/>
                <w:highlight w:val="none"/>
                <w:lang w:val="zh-CN" w:eastAsia="zh-CN" w:bidi="ar-SA"/>
              </w:rPr>
              <w:t>尘，废气飞灰在循环水池中形成沉渣，定期打捞，根据业主提供资料，</w:t>
            </w:r>
            <w:r>
              <w:rPr>
                <w:rFonts w:hint="default" w:ascii="Times New Roman" w:hAnsi="Times New Roman" w:eastAsia="宋体" w:cs="Times New Roman"/>
                <w:bCs/>
                <w:color w:val="auto"/>
                <w:spacing w:val="0"/>
                <w:kern w:val="0"/>
                <w:sz w:val="24"/>
                <w:szCs w:val="20"/>
                <w:highlight w:val="none"/>
                <w:lang w:val="en-US" w:eastAsia="zh-CN" w:bidi="ar-SA"/>
              </w:rPr>
              <w:t>本项目新增</w:t>
            </w:r>
            <w:r>
              <w:rPr>
                <w:rFonts w:hint="default" w:ascii="Times New Roman" w:hAnsi="Times New Roman" w:eastAsia="宋体" w:cs="Times New Roman"/>
                <w:bCs/>
                <w:color w:val="auto"/>
                <w:spacing w:val="0"/>
                <w:kern w:val="0"/>
                <w:sz w:val="24"/>
                <w:szCs w:val="20"/>
                <w:highlight w:val="none"/>
                <w:lang w:val="zh-CN" w:eastAsia="zh-CN" w:bidi="ar-SA"/>
              </w:rPr>
              <w:t>产生量约</w:t>
            </w:r>
            <w:r>
              <w:rPr>
                <w:rFonts w:hint="default" w:ascii="Times New Roman" w:hAnsi="Times New Roman" w:eastAsia="宋体" w:cs="Times New Roman"/>
                <w:bCs/>
                <w:color w:val="auto"/>
                <w:spacing w:val="0"/>
                <w:kern w:val="0"/>
                <w:sz w:val="24"/>
                <w:szCs w:val="20"/>
                <w:highlight w:val="none"/>
                <w:lang w:val="en-US" w:eastAsia="zh-CN" w:bidi="ar-SA"/>
              </w:rPr>
              <w:t>0.4</w:t>
            </w:r>
            <w:r>
              <w:rPr>
                <w:rFonts w:hint="default" w:ascii="Times New Roman" w:hAnsi="Times New Roman" w:eastAsia="宋体" w:cs="Times New Roman"/>
                <w:bCs/>
                <w:color w:val="auto"/>
                <w:spacing w:val="0"/>
                <w:kern w:val="0"/>
                <w:sz w:val="24"/>
                <w:szCs w:val="20"/>
                <w:highlight w:val="none"/>
                <w:lang w:val="zh-CN" w:eastAsia="zh-CN" w:bidi="ar-SA"/>
              </w:rPr>
              <w:t>t/a，</w:t>
            </w:r>
            <w:r>
              <w:rPr>
                <w:rFonts w:hint="default" w:ascii="Times New Roman" w:hAnsi="Times New Roman" w:eastAsia="宋体" w:cs="Times New Roman"/>
                <w:bCs/>
                <w:color w:val="auto"/>
                <w:spacing w:val="0"/>
                <w:kern w:val="0"/>
                <w:sz w:val="24"/>
                <w:szCs w:val="20"/>
                <w:lang w:val="zh-CN" w:eastAsia="zh-CN" w:bidi="ar-SA"/>
              </w:rPr>
              <w:t>运营期按照一般工业固废要求进行收集、暂存、处置，最终可外售有机肥制造企业生产有机肥。</w:t>
            </w:r>
            <w:r>
              <w:rPr>
                <w:rFonts w:hint="default" w:ascii="Times New Roman" w:hAnsi="Times New Roman" w:eastAsia="宋体" w:cs="Times New Roman"/>
                <w:color w:val="auto"/>
                <w:spacing w:val="0"/>
                <w:kern w:val="0"/>
                <w:sz w:val="24"/>
                <w:szCs w:val="24"/>
                <w:lang w:val="en-US" w:eastAsia="zh-CN" w:bidi="ar-SA"/>
              </w:rPr>
              <w:t>根据《固体废物分类与代码目录》，本项目</w:t>
            </w:r>
            <w:r>
              <w:rPr>
                <w:rFonts w:hint="eastAsia" w:ascii="Times New Roman" w:hAnsi="Times New Roman" w:eastAsia="宋体" w:cs="Times New Roman"/>
                <w:color w:val="auto"/>
                <w:spacing w:val="0"/>
                <w:kern w:val="0"/>
                <w:sz w:val="24"/>
                <w:szCs w:val="24"/>
                <w:lang w:val="en-US" w:eastAsia="zh-CN" w:bidi="ar-SA"/>
              </w:rPr>
              <w:t>产生的</w:t>
            </w:r>
            <w:r>
              <w:rPr>
                <w:rFonts w:hint="default" w:ascii="Times New Roman" w:hAnsi="Times New Roman" w:eastAsia="宋体" w:cs="Times New Roman"/>
                <w:bCs/>
                <w:color w:val="auto"/>
                <w:spacing w:val="0"/>
                <w:kern w:val="0"/>
                <w:sz w:val="24"/>
                <w:szCs w:val="20"/>
                <w:lang w:val="zh-CN" w:eastAsia="zh-CN" w:bidi="ar-SA"/>
              </w:rPr>
              <w:t>水膜除尘循环水池中沉渣</w:t>
            </w:r>
            <w:r>
              <w:rPr>
                <w:rFonts w:hint="default" w:ascii="Times New Roman" w:hAnsi="Times New Roman" w:eastAsia="宋体" w:cs="Times New Roman"/>
                <w:color w:val="auto"/>
                <w:spacing w:val="0"/>
                <w:kern w:val="0"/>
                <w:sz w:val="24"/>
                <w:szCs w:val="24"/>
                <w:lang w:val="en-US" w:eastAsia="zh-CN" w:bidi="ar-SA"/>
              </w:rPr>
              <w:t>属于</w:t>
            </w:r>
            <w:r>
              <w:rPr>
                <w:rFonts w:hint="eastAsia" w:ascii="Times New Roman" w:hAnsi="Times New Roman" w:eastAsia="宋体" w:cs="Times New Roman"/>
                <w:color w:val="auto"/>
                <w:spacing w:val="0"/>
                <w:kern w:val="0"/>
                <w:sz w:val="24"/>
                <w:szCs w:val="24"/>
                <w:lang w:val="en-US" w:eastAsia="zh-CN" w:bidi="ar-SA"/>
              </w:rPr>
              <w:t>其他工业固废SW59（900-</w:t>
            </w:r>
            <w:r>
              <w:rPr>
                <w:rFonts w:hint="eastAsia" w:ascii="Times New Roman" w:hAnsi="Times New Roman" w:eastAsia="宋体" w:cs="Times New Roman"/>
                <w:color w:val="auto"/>
                <w:spacing w:val="0"/>
                <w:kern w:val="0"/>
                <w:sz w:val="24"/>
                <w:szCs w:val="24"/>
                <w:highlight w:val="none"/>
                <w:lang w:val="en-US" w:eastAsia="zh-CN" w:bidi="ar-SA"/>
              </w:rPr>
              <w:t>099-S59）</w:t>
            </w:r>
            <w:r>
              <w:rPr>
                <w:rFonts w:hint="default" w:ascii="Times New Roman" w:hAnsi="Times New Roman" w:eastAsia="宋体" w:cs="Times New Roman"/>
                <w:color w:val="auto"/>
                <w:spacing w:val="0"/>
                <w:kern w:val="0"/>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auto"/>
                <w:spacing w:val="0"/>
                <w:kern w:val="0"/>
                <w:sz w:val="24"/>
                <w:szCs w:val="20"/>
                <w:lang w:val="en-US" w:eastAsia="zh-CN" w:bidi="ar-SA"/>
              </w:rPr>
            </w:pPr>
            <w:r>
              <w:rPr>
                <w:rFonts w:hint="default" w:ascii="Times New Roman" w:hAnsi="Times New Roman" w:eastAsia="宋体" w:cs="Times New Roman"/>
                <w:bCs/>
                <w:color w:val="auto"/>
                <w:spacing w:val="0"/>
                <w:kern w:val="0"/>
                <w:sz w:val="24"/>
                <w:szCs w:val="20"/>
                <w:lang w:val="zh-CN" w:eastAsia="zh-CN" w:bidi="ar-SA"/>
              </w:rPr>
              <w:t>⑤</w:t>
            </w:r>
            <w:r>
              <w:rPr>
                <w:rFonts w:hint="default" w:ascii="Times New Roman" w:hAnsi="Times New Roman" w:eastAsia="宋体" w:cs="Times New Roman"/>
                <w:bCs/>
                <w:color w:val="auto"/>
                <w:spacing w:val="0"/>
                <w:kern w:val="0"/>
                <w:sz w:val="24"/>
                <w:szCs w:val="20"/>
                <w:lang w:val="en-US" w:eastAsia="zh-CN" w:bidi="ar-SA"/>
              </w:rPr>
              <w:t>废包装材料：</w:t>
            </w:r>
            <w:r>
              <w:rPr>
                <w:rFonts w:hint="default" w:ascii="Times New Roman" w:hAnsi="Times New Roman" w:cs="Times New Roman"/>
                <w:color w:val="auto"/>
                <w:spacing w:val="0"/>
                <w:sz w:val="24"/>
              </w:rPr>
              <w:t>尿素、</w:t>
            </w:r>
            <w:r>
              <w:rPr>
                <w:rFonts w:hint="default" w:ascii="Times New Roman" w:hAnsi="Times New Roman" w:cs="Times New Roman"/>
                <w:color w:val="auto"/>
                <w:spacing w:val="0"/>
                <w:sz w:val="24"/>
                <w:highlight w:val="none"/>
              </w:rPr>
              <w:t>三聚氰胺等原料投加时产生的废包装袋，属于一般固体废物，产生量约为</w:t>
            </w:r>
            <w:r>
              <w:rPr>
                <w:rFonts w:hint="default" w:ascii="Times New Roman" w:hAnsi="Times New Roman" w:cs="Times New Roman"/>
                <w:color w:val="auto"/>
                <w:spacing w:val="0"/>
                <w:sz w:val="24"/>
                <w:highlight w:val="none"/>
                <w:lang w:val="en-US" w:eastAsia="zh-CN"/>
              </w:rPr>
              <w:t>0.5</w:t>
            </w:r>
            <w:r>
              <w:rPr>
                <w:rFonts w:hint="default" w:ascii="Times New Roman" w:hAnsi="Times New Roman" w:cs="Times New Roman"/>
                <w:color w:val="auto"/>
                <w:spacing w:val="0"/>
                <w:sz w:val="24"/>
                <w:highlight w:val="none"/>
              </w:rPr>
              <w:t>t/a，收集</w:t>
            </w:r>
            <w:r>
              <w:rPr>
                <w:rFonts w:hint="default" w:ascii="Times New Roman" w:hAnsi="Times New Roman" w:cs="Times New Roman"/>
                <w:color w:val="auto"/>
                <w:spacing w:val="0"/>
                <w:sz w:val="24"/>
              </w:rPr>
              <w:t>后外售回收</w:t>
            </w:r>
            <w:r>
              <w:rPr>
                <w:rFonts w:hint="default" w:ascii="Times New Roman" w:hAnsi="Times New Roman" w:cs="Times New Roman"/>
                <w:color w:val="auto"/>
                <w:spacing w:val="0"/>
                <w:sz w:val="24"/>
                <w:lang w:val="en-US" w:eastAsia="zh-CN"/>
              </w:rPr>
              <w:t>站</w:t>
            </w:r>
            <w:r>
              <w:rPr>
                <w:rFonts w:hint="default" w:ascii="Times New Roman" w:hAnsi="Times New Roman" w:cs="Times New Roman"/>
                <w:color w:val="auto"/>
                <w:spacing w:val="0"/>
                <w:sz w:val="24"/>
              </w:rPr>
              <w:t>。</w:t>
            </w:r>
            <w:r>
              <w:rPr>
                <w:rFonts w:hint="default" w:ascii="Times New Roman" w:hAnsi="Times New Roman" w:cs="Times New Roman"/>
                <w:color w:val="auto"/>
                <w:kern w:val="0"/>
                <w:sz w:val="24"/>
              </w:rPr>
              <w:t>本项目产生的废包装</w:t>
            </w:r>
            <w:r>
              <w:rPr>
                <w:rFonts w:hint="default" w:ascii="Times New Roman" w:hAnsi="Times New Roman" w:cs="Times New Roman"/>
                <w:color w:val="auto"/>
                <w:kern w:val="0"/>
                <w:sz w:val="24"/>
                <w:lang w:eastAsia="zh-CN"/>
              </w:rPr>
              <w:t>材料</w:t>
            </w:r>
            <w:r>
              <w:rPr>
                <w:rFonts w:hint="default" w:ascii="Times New Roman" w:hAnsi="Times New Roman" w:cs="Times New Roman"/>
                <w:color w:val="auto"/>
                <w:kern w:val="0"/>
                <w:sz w:val="24"/>
              </w:rPr>
              <w:t>属于</w:t>
            </w:r>
            <w:r>
              <w:rPr>
                <w:rFonts w:hint="default" w:ascii="Times New Roman" w:hAnsi="Times New Roman" w:cs="Times New Roman"/>
                <w:color w:val="auto"/>
                <w:kern w:val="0"/>
                <w:sz w:val="24"/>
                <w:lang w:eastAsia="zh-CN"/>
              </w:rPr>
              <w:t>可再生类废物</w:t>
            </w:r>
            <w:r>
              <w:rPr>
                <w:rFonts w:hint="default" w:ascii="Times New Roman" w:hAnsi="Times New Roman" w:cs="Times New Roman"/>
                <w:color w:val="auto"/>
                <w:kern w:val="0"/>
                <w:sz w:val="24"/>
              </w:rPr>
              <w:t>SW</w:t>
            </w:r>
            <w:r>
              <w:rPr>
                <w:rFonts w:hint="default" w:ascii="Times New Roman" w:hAnsi="Times New Roman" w:cs="Times New Roman"/>
                <w:color w:val="auto"/>
                <w:kern w:val="0"/>
                <w:sz w:val="24"/>
                <w:lang w:val="en-US" w:eastAsia="zh-CN"/>
              </w:rPr>
              <w:t>17</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900-003-S17</w:t>
            </w:r>
            <w:r>
              <w:rPr>
                <w:rFonts w:hint="default" w:ascii="Times New Roman" w:hAnsi="Times New Roman" w:eastAsia="宋体" w:cs="Times New Roman"/>
                <w:color w:val="auto"/>
                <w:spacing w:val="0"/>
                <w:kern w:val="0"/>
                <w:sz w:val="24"/>
                <w:szCs w:val="24"/>
                <w:lang w:val="en-US" w:eastAsia="zh-CN" w:bidi="ar-SA"/>
              </w:rPr>
              <w:t>）。</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color w:val="auto"/>
                <w:spacing w:val="0"/>
                <w:sz w:val="24"/>
                <w:szCs w:val="24"/>
              </w:rPr>
              <w:t>⑥</w:t>
            </w:r>
            <w:r>
              <w:rPr>
                <w:rFonts w:hint="default" w:ascii="Times New Roman" w:hAnsi="Times New Roman" w:eastAsia="宋体" w:cs="Times New Roman"/>
                <w:bCs/>
                <w:color w:val="auto"/>
                <w:spacing w:val="0"/>
                <w:sz w:val="24"/>
                <w:szCs w:val="24"/>
              </w:rPr>
              <w:t>生物质燃料灰渣</w:t>
            </w:r>
            <w:r>
              <w:rPr>
                <w:rFonts w:hint="default" w:ascii="Times New Roman" w:hAnsi="Times New Roman" w:eastAsia="宋体" w:cs="Times New Roman"/>
                <w:bCs/>
                <w:color w:val="auto"/>
                <w:spacing w:val="0"/>
                <w:sz w:val="24"/>
                <w:szCs w:val="24"/>
                <w:lang w:eastAsia="zh-CN"/>
              </w:rPr>
              <w:t>：类比现有项目</w:t>
            </w:r>
            <w:r>
              <w:rPr>
                <w:rFonts w:hint="default" w:ascii="Times New Roman" w:hAnsi="Times New Roman" w:eastAsia="宋体" w:cs="Times New Roman"/>
                <w:bCs/>
                <w:color w:val="auto"/>
                <w:spacing w:val="0"/>
                <w:sz w:val="24"/>
                <w:szCs w:val="24"/>
              </w:rPr>
              <w:t>生物质锅炉灰渣</w:t>
            </w:r>
            <w:r>
              <w:rPr>
                <w:rFonts w:hint="default" w:ascii="Times New Roman" w:hAnsi="Times New Roman" w:eastAsia="宋体" w:cs="Times New Roman"/>
                <w:bCs/>
                <w:color w:val="auto"/>
                <w:spacing w:val="0"/>
                <w:sz w:val="24"/>
                <w:szCs w:val="24"/>
                <w:lang w:eastAsia="zh-CN"/>
              </w:rPr>
              <w:t>主要为炉渣和飞灰，</w:t>
            </w:r>
            <w:r>
              <w:rPr>
                <w:rFonts w:hint="default" w:ascii="Times New Roman" w:hAnsi="Times New Roman" w:eastAsia="宋体" w:cs="Times New Roman"/>
                <w:bCs/>
                <w:color w:val="auto"/>
                <w:spacing w:val="0"/>
                <w:sz w:val="24"/>
                <w:szCs w:val="24"/>
              </w:rPr>
              <w:t>产生量</w:t>
            </w:r>
            <w:r>
              <w:rPr>
                <w:rFonts w:hint="default" w:ascii="Times New Roman" w:hAnsi="Times New Roman" w:eastAsia="宋体" w:cs="Times New Roman"/>
                <w:bCs/>
                <w:color w:val="auto"/>
                <w:spacing w:val="0"/>
                <w:sz w:val="24"/>
                <w:szCs w:val="24"/>
                <w:lang w:eastAsia="zh-CN"/>
              </w:rPr>
              <w:t>约为</w:t>
            </w:r>
            <w:r>
              <w:rPr>
                <w:rFonts w:hint="default" w:ascii="Times New Roman" w:hAnsi="Times New Roman" w:eastAsia="宋体" w:cs="Times New Roman"/>
                <w:bCs/>
                <w:color w:val="auto"/>
                <w:spacing w:val="0"/>
                <w:sz w:val="24"/>
                <w:szCs w:val="24"/>
                <w:lang w:val="en-US" w:eastAsia="zh-CN"/>
              </w:rPr>
              <w:t>87t/a。</w:t>
            </w:r>
            <w:r>
              <w:rPr>
                <w:rFonts w:hint="default" w:ascii="Times New Roman" w:hAnsi="Times New Roman" w:eastAsia="宋体" w:cs="Times New Roman"/>
                <w:bCs/>
                <w:color w:val="auto"/>
                <w:spacing w:val="0"/>
                <w:sz w:val="24"/>
                <w:szCs w:val="24"/>
              </w:rPr>
              <w:t>本项目产生的炉渣经刮板除渣机排出炉体后，分类暂存于渣库，定期外销做有机肥；降尘池收集的飞灰及旋风除尘器收集的飞灰袋装后堆放于灰库，定期外销做有机肥处理。</w:t>
            </w:r>
            <w:r>
              <w:rPr>
                <w:rFonts w:hint="default" w:ascii="Times New Roman" w:hAnsi="Times New Roman" w:eastAsia="宋体" w:cs="Times New Roman"/>
                <w:color w:val="auto"/>
                <w:spacing w:val="0"/>
                <w:kern w:val="0"/>
                <w:sz w:val="24"/>
                <w:szCs w:val="24"/>
                <w:lang w:val="en-US" w:eastAsia="zh-CN" w:bidi="ar-SA"/>
              </w:rPr>
              <w:t>根据《固体废物分类</w:t>
            </w:r>
            <w:r>
              <w:rPr>
                <w:rFonts w:hint="default" w:ascii="Times New Roman" w:hAnsi="Times New Roman" w:eastAsia="宋体" w:cs="Times New Roman"/>
                <w:color w:val="auto"/>
                <w:spacing w:val="0"/>
                <w:kern w:val="0"/>
                <w:sz w:val="24"/>
                <w:szCs w:val="24"/>
                <w:highlight w:val="none"/>
                <w:lang w:val="en-US" w:eastAsia="zh-CN" w:bidi="ar-SA"/>
              </w:rPr>
              <w:t>与代码目录》，本项目</w:t>
            </w:r>
            <w:r>
              <w:rPr>
                <w:rFonts w:hint="eastAsia" w:ascii="Times New Roman" w:hAnsi="Times New Roman" w:eastAsia="宋体" w:cs="Times New Roman"/>
                <w:color w:val="auto"/>
                <w:spacing w:val="0"/>
                <w:kern w:val="0"/>
                <w:sz w:val="24"/>
                <w:szCs w:val="24"/>
                <w:highlight w:val="none"/>
                <w:lang w:val="en-US" w:eastAsia="zh-CN" w:bidi="ar-SA"/>
              </w:rPr>
              <w:t>产生的</w:t>
            </w:r>
            <w:r>
              <w:rPr>
                <w:rFonts w:hint="default" w:ascii="Times New Roman" w:hAnsi="Times New Roman" w:eastAsia="宋体" w:cs="Times New Roman"/>
                <w:bCs/>
                <w:color w:val="auto"/>
                <w:spacing w:val="0"/>
                <w:sz w:val="24"/>
                <w:szCs w:val="24"/>
                <w:highlight w:val="none"/>
              </w:rPr>
              <w:t>生物质燃料灰渣</w:t>
            </w:r>
            <w:r>
              <w:rPr>
                <w:rFonts w:hint="default" w:ascii="Times New Roman" w:hAnsi="Times New Roman" w:eastAsia="宋体" w:cs="Times New Roman"/>
                <w:color w:val="auto"/>
                <w:spacing w:val="0"/>
                <w:kern w:val="0"/>
                <w:sz w:val="24"/>
                <w:szCs w:val="24"/>
                <w:highlight w:val="none"/>
                <w:lang w:val="en-US" w:eastAsia="zh-CN" w:bidi="ar-SA"/>
              </w:rPr>
              <w:t>属于</w:t>
            </w:r>
            <w:r>
              <w:rPr>
                <w:rFonts w:hint="eastAsia" w:cs="Times New Roman"/>
                <w:color w:val="auto"/>
                <w:spacing w:val="0"/>
                <w:kern w:val="0"/>
                <w:sz w:val="24"/>
                <w:szCs w:val="24"/>
                <w:highlight w:val="none"/>
                <w:lang w:val="en-US" w:eastAsia="zh-CN" w:bidi="ar-SA"/>
              </w:rPr>
              <w:t>炉渣</w:t>
            </w:r>
            <w:r>
              <w:rPr>
                <w:rFonts w:hint="eastAsia" w:ascii="Times New Roman" w:hAnsi="Times New Roman" w:eastAsia="宋体" w:cs="Times New Roman"/>
                <w:color w:val="auto"/>
                <w:spacing w:val="0"/>
                <w:kern w:val="0"/>
                <w:sz w:val="24"/>
                <w:szCs w:val="24"/>
                <w:highlight w:val="none"/>
                <w:lang w:val="en-US" w:eastAsia="zh-CN" w:bidi="ar-SA"/>
              </w:rPr>
              <w:t>SW03（900-099-S03）</w:t>
            </w:r>
            <w:r>
              <w:rPr>
                <w:rFonts w:hint="default" w:ascii="Times New Roman" w:hAnsi="Times New Roman" w:eastAsia="宋体" w:cs="Times New Roman"/>
                <w:color w:val="auto"/>
                <w:spacing w:val="0"/>
                <w:kern w:val="0"/>
                <w:sz w:val="24"/>
                <w:szCs w:val="24"/>
                <w:highlight w:val="none"/>
                <w:lang w:val="en-US" w:eastAsia="zh-CN" w:bidi="ar-SA"/>
              </w:rPr>
              <w:t>。</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eastAsia="宋体" w:cs="Times New Roman"/>
                <w:bCs/>
                <w:color w:val="auto"/>
                <w:spacing w:val="0"/>
                <w:sz w:val="24"/>
                <w:szCs w:val="24"/>
              </w:rPr>
              <w:t>⑦</w:t>
            </w:r>
            <w:r>
              <w:rPr>
                <w:rFonts w:hint="default" w:ascii="Times New Roman" w:hAnsi="Times New Roman" w:eastAsia="宋体" w:cs="Times New Roman"/>
                <w:bCs/>
                <w:color w:val="auto"/>
                <w:spacing w:val="0"/>
                <w:sz w:val="24"/>
                <w:szCs w:val="24"/>
                <w:lang w:eastAsia="zh-CN"/>
              </w:rPr>
              <w:t>生活垃圾：</w:t>
            </w:r>
            <w:r>
              <w:rPr>
                <w:rFonts w:hint="default" w:ascii="Times New Roman" w:hAnsi="Times New Roman" w:cs="Times New Roman"/>
                <w:color w:val="auto"/>
                <w:kern w:val="0"/>
                <w:sz w:val="24"/>
                <w:highlight w:val="none"/>
                <w:lang w:val="en-US" w:eastAsia="zh-CN"/>
              </w:rPr>
              <w:t>项目设置员工12人，年生产300d，办公生活垃圾产污系数按0.5kg/人·d计算，员工生活垃圾产生量约1.8t/a，垃圾桶袋装收集，定期交由环卫部门清运处置。</w:t>
            </w:r>
            <w:r>
              <w:rPr>
                <w:rFonts w:hint="default" w:ascii="Times New Roman" w:hAnsi="Times New Roman" w:eastAsia="宋体" w:cs="Times New Roman"/>
                <w:color w:val="auto"/>
                <w:spacing w:val="0"/>
                <w:kern w:val="0"/>
                <w:sz w:val="24"/>
                <w:szCs w:val="24"/>
                <w:lang w:val="en-US" w:eastAsia="zh-CN" w:bidi="ar-SA"/>
              </w:rPr>
              <w:t>根据《固体废物分类与代码目录》，本项目</w:t>
            </w:r>
            <w:r>
              <w:rPr>
                <w:rFonts w:hint="eastAsia" w:ascii="Times New Roman" w:hAnsi="Times New Roman" w:eastAsia="宋体" w:cs="Times New Roman"/>
                <w:color w:val="auto"/>
                <w:spacing w:val="0"/>
                <w:kern w:val="0"/>
                <w:sz w:val="24"/>
                <w:szCs w:val="24"/>
                <w:lang w:val="en-US" w:eastAsia="zh-CN" w:bidi="ar-SA"/>
              </w:rPr>
              <w:t>产生的</w:t>
            </w:r>
            <w:r>
              <w:rPr>
                <w:rFonts w:hint="default" w:ascii="Times New Roman" w:hAnsi="Times New Roman" w:eastAsia="宋体" w:cs="Times New Roman"/>
                <w:color w:val="auto"/>
                <w:spacing w:val="0"/>
                <w:kern w:val="0"/>
                <w:sz w:val="24"/>
                <w:szCs w:val="24"/>
                <w:lang w:val="en-US" w:eastAsia="zh-CN" w:bidi="ar-SA"/>
              </w:rPr>
              <w:t>收集的粉尘属于</w:t>
            </w:r>
            <w:r>
              <w:rPr>
                <w:rFonts w:hint="default" w:ascii="Times New Roman" w:hAnsi="Times New Roman" w:cs="Times New Roman"/>
                <w:color w:val="auto"/>
                <w:kern w:val="0"/>
                <w:sz w:val="24"/>
              </w:rPr>
              <w:t>S</w:t>
            </w:r>
            <w:r>
              <w:rPr>
                <w:rFonts w:hint="default" w:ascii="Times New Roman" w:hAnsi="Times New Roman" w:cs="Times New Roman"/>
                <w:color w:val="auto"/>
                <w:kern w:val="0"/>
                <w:sz w:val="24"/>
                <w:lang w:val="en-US" w:eastAsia="zh-CN"/>
              </w:rPr>
              <w:t>W64</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900-099-S64</w:t>
            </w:r>
            <w:r>
              <w:rPr>
                <w:rFonts w:hint="default" w:ascii="Times New Roman" w:hAnsi="Times New Roman" w:cs="Times New Roman"/>
                <w:color w:val="auto"/>
                <w:kern w:val="0"/>
                <w:sz w:val="24"/>
              </w:rPr>
              <w:t>）</w:t>
            </w:r>
            <w:r>
              <w:rPr>
                <w:rFonts w:hint="default" w:ascii="Times New Roman" w:hAnsi="Times New Roman" w:eastAsia="宋体" w:cs="Times New Roman"/>
                <w:color w:val="auto"/>
                <w:spacing w:val="0"/>
                <w:kern w:val="0"/>
                <w:sz w:val="24"/>
                <w:szCs w:val="24"/>
                <w:lang w:val="en-US" w:eastAsia="zh-CN" w:bidi="ar-SA"/>
              </w:rPr>
              <w:t>。</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（2）危险废物</w:t>
            </w:r>
          </w:p>
          <w:p>
            <w:pPr>
              <w:adjustRightInd w:val="0"/>
              <w:snapToGrid w:val="0"/>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eastAsia="zh-CN"/>
              </w:rPr>
              <w:t>废机油、废机油桶、含油手套：</w:t>
            </w:r>
            <w:r>
              <w:rPr>
                <w:rFonts w:hint="default" w:ascii="Times New Roman" w:hAnsi="Times New Roman" w:eastAsia="宋体" w:cs="Times New Roman"/>
                <w:color w:val="auto"/>
                <w:sz w:val="24"/>
                <w:szCs w:val="24"/>
              </w:rPr>
              <w:t>本项目机械维修等会有废机油</w:t>
            </w:r>
            <w:r>
              <w:rPr>
                <w:rFonts w:hint="default" w:ascii="Times New Roman" w:hAnsi="Times New Roman" w:eastAsia="宋体" w:cs="Times New Roman"/>
                <w:color w:val="auto"/>
                <w:sz w:val="24"/>
                <w:szCs w:val="24"/>
                <w:lang w:eastAsia="zh-CN"/>
              </w:rPr>
              <w:t>、废机油桶</w:t>
            </w:r>
            <w:r>
              <w:rPr>
                <w:rFonts w:hint="default" w:ascii="Times New Roman" w:hAnsi="Times New Roman" w:eastAsia="宋体" w:cs="Times New Roman"/>
                <w:color w:val="auto"/>
                <w:sz w:val="24"/>
                <w:szCs w:val="24"/>
              </w:rPr>
              <w:t>、含油废手套产生，废机油</w:t>
            </w:r>
            <w:r>
              <w:rPr>
                <w:rFonts w:hint="default" w:ascii="Times New Roman" w:hAnsi="Times New Roman" w:eastAsia="宋体" w:cs="Times New Roman"/>
                <w:color w:val="auto"/>
                <w:sz w:val="24"/>
                <w:szCs w:val="24"/>
                <w:lang w:eastAsia="zh-CN"/>
              </w:rPr>
              <w:t>、废机油桶</w:t>
            </w:r>
            <w:r>
              <w:rPr>
                <w:rFonts w:hint="default" w:ascii="Times New Roman" w:hAnsi="Times New Roman" w:eastAsia="宋体" w:cs="Times New Roman"/>
                <w:color w:val="auto"/>
                <w:sz w:val="24"/>
                <w:szCs w:val="24"/>
              </w:rPr>
              <w:t>产生量约为0.01t/a，含油废手套产生量约为0.005t/a。</w:t>
            </w:r>
            <w:r>
              <w:rPr>
                <w:rFonts w:hint="default" w:ascii="Times New Roman" w:hAnsi="Times New Roman" w:cs="Times New Roman"/>
                <w:color w:val="auto"/>
                <w:kern w:val="0"/>
                <w:sz w:val="24"/>
                <w:highlight w:val="none"/>
              </w:rPr>
              <w:t>属于《国家危险废物名录》（202</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年）中</w:t>
            </w:r>
            <w:r>
              <w:rPr>
                <w:rFonts w:hint="eastAsia" w:cs="Times New Roman"/>
                <w:color w:val="auto"/>
                <w:lang w:eastAsia="zh-CN"/>
              </w:rPr>
              <w:t>“</w:t>
            </w:r>
            <w:r>
              <w:rPr>
                <w:rFonts w:hint="default" w:ascii="Times New Roman" w:hAnsi="Times New Roman" w:cs="Times New Roman"/>
                <w:color w:val="auto"/>
                <w:kern w:val="0"/>
                <w:sz w:val="24"/>
                <w:highlight w:val="none"/>
              </w:rPr>
              <w:t>HW08（90</w:t>
            </w:r>
            <w:r>
              <w:rPr>
                <w:rFonts w:hint="default" w:ascii="Times New Roman" w:hAnsi="Times New Roman" w:eastAsia="宋体" w:cs="Times New Roman"/>
                <w:color w:val="auto"/>
                <w:kern w:val="0"/>
                <w:sz w:val="24"/>
                <w:highlight w:val="none"/>
              </w:rPr>
              <w:t>0-249-08）</w:t>
            </w:r>
            <w:r>
              <w:rPr>
                <w:rFonts w:hint="eastAsia" w:cs="Times New Roman"/>
                <w:color w:val="auto"/>
                <w:kern w:val="0"/>
                <w:sz w:val="24"/>
                <w:highlight w:val="none"/>
                <w:lang w:eastAsia="zh-CN"/>
              </w:rPr>
              <w:t>、</w:t>
            </w:r>
            <w:r>
              <w:rPr>
                <w:rFonts w:hint="default" w:ascii="Times New Roman" w:hAnsi="Times New Roman" w:cs="Times New Roman"/>
                <w:color w:val="auto"/>
              </w:rPr>
              <w:t>HW49（900-041-49）</w:t>
            </w:r>
            <w:r>
              <w:rPr>
                <w:rFonts w:hint="eastAsia" w:cs="Times New Roman"/>
                <w:color w:val="auto"/>
                <w:lang w:eastAsia="zh-CN"/>
              </w:rPr>
              <w:t>”。</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1"/>
                <w:lang w:val="en-US" w:eastAsia="zh-CN" w:bidi="ar-SA"/>
              </w:rPr>
              <w:t>②废导热油：</w:t>
            </w:r>
            <w:r>
              <w:rPr>
                <w:rFonts w:hint="default" w:ascii="Times New Roman" w:hAnsi="Times New Roman" w:eastAsia="宋体" w:cs="Times New Roman"/>
                <w:color w:val="auto"/>
                <w:sz w:val="24"/>
                <w:szCs w:val="24"/>
                <w:lang w:val="en-US" w:eastAsia="zh-CN"/>
              </w:rPr>
              <w:t>本项目导热油定期更换，更换后会产生废导热油，导热油按照8~9年更换一次计算，则每更换一次产生量为1t/次。更换由专业的单位进行，更换后的废导热油直接交由有资质的单位收集处置，不在厂区暂存。</w:t>
            </w:r>
            <w:r>
              <w:rPr>
                <w:rFonts w:hint="default" w:ascii="Times New Roman" w:hAnsi="Times New Roman" w:cs="Times New Roman"/>
                <w:color w:val="auto"/>
                <w:kern w:val="0"/>
                <w:sz w:val="24"/>
                <w:highlight w:val="none"/>
              </w:rPr>
              <w:t>属于《国家危险废物名录》（202</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年）中</w:t>
            </w:r>
            <w:r>
              <w:rPr>
                <w:rFonts w:hint="eastAsia" w:cs="Times New Roman"/>
                <w:color w:val="auto"/>
                <w:lang w:eastAsia="zh-CN"/>
              </w:rPr>
              <w:t>“</w:t>
            </w:r>
            <w:r>
              <w:rPr>
                <w:rFonts w:hint="default" w:ascii="Times New Roman" w:hAnsi="Times New Roman" w:cs="Times New Roman"/>
                <w:color w:val="auto"/>
                <w:kern w:val="0"/>
                <w:sz w:val="24"/>
                <w:highlight w:val="none"/>
              </w:rPr>
              <w:t>HW08（90</w:t>
            </w:r>
            <w:r>
              <w:rPr>
                <w:rFonts w:hint="default" w:ascii="Times New Roman" w:hAnsi="Times New Roman" w:eastAsia="宋体" w:cs="Times New Roman"/>
                <w:color w:val="auto"/>
                <w:kern w:val="0"/>
                <w:sz w:val="24"/>
                <w:highlight w:val="none"/>
              </w:rPr>
              <w:t>0-249-08）</w:t>
            </w:r>
            <w:r>
              <w:rPr>
                <w:rFonts w:hint="eastAsia" w:cs="Times New Roman"/>
                <w:color w:val="auto"/>
                <w:lang w:eastAsia="zh-CN"/>
              </w:rPr>
              <w:t>”。</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③废胶：项目制胶反应釜定期清理会产生废胶、施胶机长时间运行会产生固体脲醛树脂胶，产生量约为1.686t/a，收集后交由有资质的单位处置。</w:t>
            </w:r>
            <w:r>
              <w:rPr>
                <w:rFonts w:hint="default" w:ascii="Times New Roman" w:hAnsi="Times New Roman" w:cs="Times New Roman"/>
                <w:color w:val="auto"/>
                <w:kern w:val="0"/>
                <w:sz w:val="24"/>
                <w:highlight w:val="none"/>
              </w:rPr>
              <w:t>属于《国家危险废物名录》（202</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年）中</w:t>
            </w:r>
            <w:r>
              <w:rPr>
                <w:rFonts w:hint="eastAsia" w:cs="Times New Roman"/>
                <w:color w:val="auto"/>
                <w:lang w:eastAsia="zh-CN"/>
              </w:rPr>
              <w:t>“HW13（900-01</w:t>
            </w:r>
            <w:r>
              <w:rPr>
                <w:rFonts w:hint="eastAsia" w:cs="Times New Roman"/>
                <w:color w:val="auto"/>
                <w:lang w:val="en-US" w:eastAsia="zh-CN"/>
              </w:rPr>
              <w:t>4</w:t>
            </w:r>
            <w:r>
              <w:rPr>
                <w:rFonts w:hint="eastAsia" w:cs="Times New Roman"/>
                <w:color w:val="auto"/>
                <w:lang w:eastAsia="zh-CN"/>
              </w:rPr>
              <w:t>-13）”。</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④废活性炭：</w:t>
            </w:r>
            <w:r>
              <w:rPr>
                <w:rFonts w:hint="default" w:ascii="Times New Roman" w:hAnsi="Times New Roman" w:eastAsia="宋体" w:cs="Times New Roman"/>
                <w:color w:val="auto"/>
                <w:sz w:val="24"/>
                <w:szCs w:val="24"/>
                <w:lang w:val="en-GB" w:eastAsia="zh-CN"/>
              </w:rPr>
              <w:t>项目拟设置</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GB" w:eastAsia="zh-CN"/>
              </w:rPr>
              <w:t>套</w:t>
            </w:r>
            <w:r>
              <w:rPr>
                <w:rFonts w:hint="default" w:ascii="Times New Roman" w:hAnsi="Times New Roman" w:eastAsia="宋体" w:cs="Times New Roman"/>
                <w:color w:val="auto"/>
                <w:sz w:val="24"/>
                <w:szCs w:val="24"/>
                <w:lang w:val="en-US" w:eastAsia="zh-CN"/>
              </w:rPr>
              <w:t>“二级活性炭+15m排气筒”</w:t>
            </w:r>
            <w:r>
              <w:rPr>
                <w:rFonts w:hint="default" w:ascii="Times New Roman" w:hAnsi="Times New Roman" w:eastAsia="宋体" w:cs="Times New Roman"/>
                <w:color w:val="auto"/>
                <w:sz w:val="24"/>
                <w:szCs w:val="24"/>
                <w:lang w:val="en-GB" w:eastAsia="zh-CN"/>
              </w:rPr>
              <w:t>装置处理甲醛储罐废气，</w:t>
            </w:r>
            <w:r>
              <w:rPr>
                <w:rFonts w:hint="default" w:ascii="Times New Roman" w:hAnsi="Times New Roman" w:eastAsia="宋体" w:cs="Times New Roman"/>
                <w:color w:val="auto"/>
                <w:sz w:val="24"/>
                <w:szCs w:val="24"/>
                <w:lang w:val="en-US" w:eastAsia="zh-CN"/>
              </w:rPr>
              <w:t>根据四川省大气污染防治保障中心在2024年4月发布的《四川省挥发性有机物治理之活性炭使用管理常见问题工具书》：“采用一次性颗粒状活性炭处理挥发性有机物（VOCs）废气时，通常年活性炭使用量不应低于VOCs产生量的5倍，即1吨VOCs产生量，需用5吨活性炭吸附”。项目甲醛储罐废气产生量约为0.041t/a，则活性炭用量不低于0.205t/a。活性炭在累计使用500小时或填装3个月后便需要换新。拟设置单次活性炭填充量为0.5t，每3个月更换一次，年填充量为2t，满足活性炭使用量不低于VOCs产生量的5倍的要求。废活性炭产生量为2.0t/a，收集后暂存于危险废物暂存间，委托资质单位处置。</w:t>
            </w:r>
            <w:r>
              <w:rPr>
                <w:rFonts w:hint="default" w:ascii="Times New Roman" w:hAnsi="Times New Roman" w:cs="Times New Roman"/>
                <w:color w:val="auto"/>
                <w:kern w:val="0"/>
                <w:sz w:val="24"/>
                <w:highlight w:val="none"/>
              </w:rPr>
              <w:t>属于《国家危险废物名录》（202</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年）中</w:t>
            </w:r>
            <w:r>
              <w:rPr>
                <w:rFonts w:hint="eastAsia" w:cs="Times New Roman"/>
                <w:color w:val="auto"/>
                <w:lang w:eastAsia="zh-CN"/>
              </w:rPr>
              <w:t>“HW</w:t>
            </w:r>
            <w:r>
              <w:rPr>
                <w:rFonts w:hint="eastAsia" w:cs="Times New Roman"/>
                <w:color w:val="auto"/>
                <w:lang w:val="en-US" w:eastAsia="zh-CN"/>
              </w:rPr>
              <w:t>49</w:t>
            </w:r>
            <w:r>
              <w:rPr>
                <w:rFonts w:hint="eastAsia" w:cs="Times New Roman"/>
                <w:color w:val="auto"/>
                <w:lang w:eastAsia="zh-CN"/>
              </w:rPr>
              <w:t>（</w:t>
            </w:r>
            <w:r>
              <w:rPr>
                <w:rFonts w:hint="default" w:ascii="Times New Roman" w:hAnsi="Times New Roman" w:cs="Times New Roman"/>
                <w:color w:val="auto"/>
                <w:sz w:val="24"/>
                <w:highlight w:val="none"/>
              </w:rPr>
              <w:t>900-039-49</w:t>
            </w:r>
            <w:r>
              <w:rPr>
                <w:rFonts w:hint="eastAsia" w:cs="Times New Roman"/>
                <w:color w:val="auto"/>
                <w:lang w:eastAsia="zh-CN"/>
              </w:rPr>
              <w:t>）”。</w:t>
            </w:r>
          </w:p>
          <w:p>
            <w:pPr>
              <w:pStyle w:val="182"/>
              <w:keepNext w:val="0"/>
              <w:keepLines w:val="0"/>
              <w:pageBreakBefore w:val="0"/>
              <w:widowControl w:val="0"/>
              <w:kinsoku/>
              <w:wordWrap/>
              <w:overflowPunct/>
              <w:topLinePunct w:val="0"/>
              <w:autoSpaceDE/>
              <w:autoSpaceDN/>
              <w:bidi w:val="0"/>
              <w:adjustRightInd w:val="0"/>
              <w:snapToGrid/>
              <w:ind w:left="0" w:right="0"/>
              <w:textAlignment w:val="baseline"/>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2、治理措施</w:t>
            </w:r>
          </w:p>
          <w:p>
            <w:pPr>
              <w:pStyle w:val="182"/>
              <w:keepNext w:val="0"/>
              <w:keepLines w:val="0"/>
              <w:pageBreakBefore w:val="0"/>
              <w:widowControl w:val="0"/>
              <w:kinsoku/>
              <w:wordWrap/>
              <w:overflowPunct/>
              <w:topLinePunct w:val="0"/>
              <w:autoSpaceDE/>
              <w:autoSpaceDN/>
              <w:bidi w:val="0"/>
              <w:adjustRightInd w:val="0"/>
              <w:snapToGrid/>
              <w:ind w:left="0" w:right="0" w:firstLine="482"/>
              <w:textAlignment w:val="baseline"/>
              <w:rPr>
                <w:rFonts w:hint="default" w:ascii="Times New Roman" w:hAnsi="Times New Roman" w:eastAsia="宋体" w:cs="Times New Roman"/>
                <w:b w:val="0"/>
                <w:bCs w:val="0"/>
                <w:color w:val="auto"/>
                <w:highlight w:val="none"/>
                <w:lang w:eastAsia="zh-CN"/>
              </w:rPr>
            </w:pPr>
            <w:r>
              <w:rPr>
                <w:rFonts w:hint="default" w:ascii="Times New Roman" w:hAnsi="Times New Roman" w:cs="Times New Roman"/>
                <w:b/>
                <w:bCs/>
                <w:color w:val="auto"/>
                <w:highlight w:val="none"/>
                <w:lang w:eastAsia="zh-CN"/>
              </w:rPr>
              <w:t>一般固废：</w:t>
            </w:r>
            <w:r>
              <w:rPr>
                <w:rFonts w:hint="default" w:ascii="Times New Roman" w:hAnsi="Times New Roman" w:cs="Times New Roman"/>
                <w:b w:val="0"/>
                <w:bCs w:val="0"/>
                <w:color w:val="auto"/>
                <w:highlight w:val="none"/>
                <w:lang w:eastAsia="zh-CN"/>
              </w:rPr>
              <w:t>生活垃圾集中收集至垃圾桶中，由环卫部门定期清理；收集的粉尘外售</w:t>
            </w:r>
            <w:r>
              <w:rPr>
                <w:rFonts w:hint="eastAsia" w:cs="Times New Roman"/>
                <w:b w:val="0"/>
                <w:bCs w:val="0"/>
                <w:color w:val="auto"/>
                <w:highlight w:val="none"/>
                <w:lang w:val="en-US" w:eastAsia="zh-CN"/>
              </w:rPr>
              <w:t>给</w:t>
            </w:r>
            <w:r>
              <w:rPr>
                <w:rFonts w:hint="default" w:ascii="Times New Roman" w:hAnsi="Times New Roman" w:cs="Times New Roman"/>
                <w:b w:val="0"/>
                <w:bCs w:val="0"/>
                <w:color w:val="auto"/>
                <w:highlight w:val="none"/>
                <w:lang w:eastAsia="zh-CN"/>
              </w:rPr>
              <w:t>可回收利用的单位；废边角料、不合格品回用于生产；金属外售废品回收站，泥沙运至弃土堆场；沉渣、灰渣外售用作有机肥</w:t>
            </w:r>
            <w:r>
              <w:rPr>
                <w:rFonts w:hint="default" w:ascii="Times New Roman" w:hAnsi="Times New Roman" w:eastAsia="宋体" w:cs="Times New Roman"/>
                <w:b w:val="0"/>
                <w:bCs w:val="0"/>
                <w:color w:val="auto"/>
                <w:kern w:val="0"/>
                <w:sz w:val="24"/>
                <w:highlight w:val="none"/>
                <w:lang w:val="en-US" w:eastAsia="zh-CN"/>
              </w:rPr>
              <w:t>。</w:t>
            </w:r>
          </w:p>
          <w:p>
            <w:pPr>
              <w:pStyle w:val="182"/>
              <w:keepNext w:val="0"/>
              <w:keepLines w:val="0"/>
              <w:pageBreakBefore w:val="0"/>
              <w:widowControl w:val="0"/>
              <w:kinsoku/>
              <w:wordWrap/>
              <w:overflowPunct/>
              <w:topLinePunct w:val="0"/>
              <w:autoSpaceDE/>
              <w:autoSpaceDN/>
              <w:bidi w:val="0"/>
              <w:adjustRightInd w:val="0"/>
              <w:snapToGrid/>
              <w:ind w:left="0" w:right="0" w:firstLine="482"/>
              <w:textAlignment w:val="baseline"/>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危险废物：</w:t>
            </w:r>
            <w:r>
              <w:rPr>
                <w:rFonts w:hint="default" w:ascii="Times New Roman" w:hAnsi="Times New Roman" w:cs="Times New Roman"/>
                <w:b w:val="0"/>
                <w:bCs w:val="0"/>
                <w:color w:val="auto"/>
                <w:highlight w:val="none"/>
                <w:lang w:eastAsia="zh-CN"/>
              </w:rPr>
              <w:t>废活性炭、</w:t>
            </w:r>
            <w:r>
              <w:rPr>
                <w:rFonts w:hint="eastAsia" w:cs="Times New Roman"/>
                <w:b w:val="0"/>
                <w:bCs w:val="0"/>
                <w:color w:val="auto"/>
                <w:highlight w:val="none"/>
                <w:lang w:eastAsia="zh-CN"/>
              </w:rPr>
              <w:t>废导热油、废胶</w:t>
            </w:r>
            <w:r>
              <w:rPr>
                <w:rFonts w:hint="default" w:ascii="Times New Roman" w:hAnsi="Times New Roman" w:cs="Times New Roman"/>
                <w:b w:val="0"/>
                <w:bCs w:val="0"/>
                <w:color w:val="auto"/>
                <w:highlight w:val="none"/>
                <w:lang w:eastAsia="zh-CN"/>
              </w:rPr>
              <w:t>、</w:t>
            </w:r>
            <w:r>
              <w:rPr>
                <w:rFonts w:hint="default" w:ascii="Times New Roman" w:hAnsi="Times New Roman" w:eastAsia="宋体" w:cs="Times New Roman"/>
                <w:color w:val="auto"/>
                <w:sz w:val="24"/>
                <w:szCs w:val="24"/>
                <w:highlight w:val="none"/>
                <w:lang w:eastAsia="zh-CN"/>
              </w:rPr>
              <w:t>废机油、废机油桶、含油手套</w:t>
            </w:r>
            <w:r>
              <w:rPr>
                <w:rFonts w:hint="default" w:ascii="Times New Roman" w:hAnsi="Times New Roman" w:cs="Times New Roman"/>
                <w:b w:val="0"/>
                <w:bCs w:val="0"/>
                <w:color w:val="auto"/>
                <w:highlight w:val="none"/>
                <w:lang w:eastAsia="zh-CN"/>
              </w:rPr>
              <w:t>分类收集暂存</w:t>
            </w:r>
            <w:r>
              <w:rPr>
                <w:rFonts w:hint="eastAsia" w:cs="Times New Roman"/>
                <w:b w:val="0"/>
                <w:bCs w:val="0"/>
                <w:color w:val="auto"/>
                <w:highlight w:val="none"/>
                <w:lang w:eastAsia="zh-CN"/>
              </w:rPr>
              <w:t>已建</w:t>
            </w:r>
            <w:r>
              <w:rPr>
                <w:rFonts w:hint="default" w:ascii="Times New Roman" w:hAnsi="Times New Roman" w:cs="Times New Roman"/>
                <w:b w:val="0"/>
                <w:bCs w:val="0"/>
                <w:color w:val="auto"/>
                <w:highlight w:val="none"/>
                <w:lang w:eastAsia="zh-CN"/>
              </w:rPr>
              <w:t>危废暂存间（</w:t>
            </w:r>
            <w:r>
              <w:rPr>
                <w:rFonts w:hint="eastAsia" w:cs="Times New Roman"/>
                <w:b w:val="0"/>
                <w:bCs w:val="0"/>
                <w:color w:val="auto"/>
                <w:highlight w:val="none"/>
                <w:lang w:val="en-US" w:eastAsia="zh-CN"/>
              </w:rPr>
              <w:t>10</w:t>
            </w:r>
            <w:r>
              <w:rPr>
                <w:rFonts w:hint="default" w:ascii="Times New Roman" w:hAnsi="Times New Roman" w:cs="Times New Roman"/>
                <w:b w:val="0"/>
                <w:bCs w:val="0"/>
                <w:color w:val="auto"/>
                <w:highlight w:val="none"/>
                <w:lang w:val="en-US" w:eastAsia="zh-CN"/>
              </w:rPr>
              <w:t>m</w:t>
            </w:r>
            <w:r>
              <w:rPr>
                <w:rFonts w:hint="default"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vertAlign w:val="baseline"/>
                <w:lang w:val="en-US" w:eastAsia="zh-CN"/>
              </w:rPr>
              <w:t>，</w:t>
            </w:r>
            <w:r>
              <w:rPr>
                <w:rFonts w:hint="default" w:cs="Times New Roman"/>
                <w:b w:val="0"/>
                <w:bCs w:val="0"/>
                <w:color w:val="auto"/>
                <w:highlight w:val="none"/>
                <w:lang w:val="en-US" w:eastAsia="zh-CN"/>
              </w:rPr>
              <w:t>位于5#</w:t>
            </w:r>
            <w:r>
              <w:rPr>
                <w:rFonts w:hint="default" w:cs="Times New Roman"/>
                <w:b w:val="0"/>
                <w:bCs w:val="0"/>
                <w:color w:val="auto"/>
                <w:highlight w:val="none"/>
                <w:lang w:eastAsia="zh-CN"/>
              </w:rPr>
              <w:t>厂房</w:t>
            </w:r>
            <w:r>
              <w:rPr>
                <w:rFonts w:hint="default" w:ascii="Times New Roman" w:hAnsi="Times New Roman" w:cs="Times New Roman"/>
                <w:b w:val="0"/>
                <w:bCs w:val="0"/>
                <w:color w:val="auto"/>
                <w:highlight w:val="none"/>
                <w:lang w:eastAsia="zh-CN"/>
              </w:rPr>
              <w:t>）内，</w:t>
            </w:r>
            <w:r>
              <w:rPr>
                <w:rFonts w:hint="default" w:ascii="Times New Roman" w:hAnsi="Times New Roman" w:cs="Times New Roman"/>
                <w:b w:val="0"/>
                <w:bCs w:val="0"/>
                <w:color w:val="auto"/>
                <w:highlight w:val="none"/>
              </w:rPr>
              <w:t>定期交由有资质的单位进行处理。</w:t>
            </w:r>
            <w:r>
              <w:rPr>
                <w:color w:val="auto"/>
                <w:szCs w:val="24"/>
                <w:highlight w:val="none"/>
              </w:rPr>
              <w:t>危废暂存间地面</w:t>
            </w:r>
            <w:r>
              <w:rPr>
                <w:rFonts w:hint="eastAsia"/>
                <w:color w:val="auto"/>
                <w:szCs w:val="24"/>
                <w:highlight w:val="none"/>
                <w:lang w:eastAsia="zh-CN"/>
              </w:rPr>
              <w:t>已</w:t>
            </w:r>
            <w:r>
              <w:rPr>
                <w:color w:val="auto"/>
                <w:szCs w:val="24"/>
                <w:highlight w:val="none"/>
              </w:rPr>
              <w:t>进行防腐、防渗处理防止危险废物发生泄漏造成地下水污染；并设置明显的警示标识，由专人管理</w:t>
            </w:r>
            <w:r>
              <w:rPr>
                <w:rFonts w:hint="eastAsia"/>
                <w:color w:val="auto"/>
                <w:szCs w:val="24"/>
                <w:highlight w:val="none"/>
                <w:lang w:eastAsia="zh-CN"/>
              </w:rPr>
              <w:t>。运营过程中</w:t>
            </w:r>
            <w:r>
              <w:rPr>
                <w:color w:val="auto"/>
                <w:szCs w:val="24"/>
                <w:highlight w:val="none"/>
              </w:rPr>
              <w:t>厂方应</w:t>
            </w:r>
            <w:r>
              <w:rPr>
                <w:rFonts w:hint="eastAsia"/>
                <w:color w:val="auto"/>
                <w:szCs w:val="24"/>
                <w:highlight w:val="none"/>
                <w:lang w:eastAsia="zh-CN"/>
              </w:rPr>
              <w:t>委托有资质单位</w:t>
            </w:r>
            <w:r>
              <w:rPr>
                <w:color w:val="auto"/>
                <w:szCs w:val="24"/>
                <w:highlight w:val="none"/>
              </w:rPr>
              <w:t>及时、妥善清运</w:t>
            </w:r>
            <w:r>
              <w:rPr>
                <w:rFonts w:hint="eastAsia"/>
                <w:color w:val="auto"/>
                <w:szCs w:val="24"/>
                <w:highlight w:val="none"/>
                <w:lang w:eastAsia="zh-CN"/>
              </w:rPr>
              <w:t>处置</w:t>
            </w:r>
            <w:r>
              <w:rPr>
                <w:color w:val="auto"/>
                <w:szCs w:val="24"/>
                <w:highlight w:val="none"/>
              </w:rPr>
              <w:t>危险废物，尽量减少危险废物临时贮存量；建立危废处置台账。</w:t>
            </w:r>
          </w:p>
          <w:p>
            <w:pPr>
              <w:pStyle w:val="15"/>
              <w:spacing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表4-1</w:t>
            </w:r>
            <w:r>
              <w:rPr>
                <w:rFonts w:hint="eastAsia" w:asci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项目一般固废产排情况一览表</w:t>
            </w:r>
          </w:p>
          <w:tbl>
            <w:tblPr>
              <w:tblStyle w:val="3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3"/>
              <w:gridCol w:w="1245"/>
              <w:gridCol w:w="1578"/>
              <w:gridCol w:w="1100"/>
              <w:gridCol w:w="600"/>
              <w:gridCol w:w="717"/>
              <w:gridCol w:w="1590"/>
              <w:gridCol w:w="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产生环节</w:t>
                  </w:r>
                </w:p>
              </w:tc>
              <w:tc>
                <w:tcPr>
                  <w:tcW w:w="1245"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1578" w:type="dxa"/>
                  <w:noWrap w:val="0"/>
                  <w:vAlign w:val="center"/>
                </w:tcPr>
                <w:p>
                  <w:pPr>
                    <w:tabs>
                      <w:tab w:val="left" w:pos="195"/>
                    </w:tabs>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代码</w:t>
                  </w:r>
                </w:p>
              </w:tc>
              <w:tc>
                <w:tcPr>
                  <w:tcW w:w="1100" w:type="dxa"/>
                  <w:noWrap w:val="0"/>
                  <w:vAlign w:val="center"/>
                </w:tcPr>
                <w:p>
                  <w:pPr>
                    <w:tabs>
                      <w:tab w:val="left" w:pos="195"/>
                    </w:tabs>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属性</w:t>
                  </w:r>
                </w:p>
              </w:tc>
              <w:tc>
                <w:tcPr>
                  <w:tcW w:w="600"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物理性状</w:t>
                  </w:r>
                </w:p>
              </w:tc>
              <w:tc>
                <w:tcPr>
                  <w:tcW w:w="717"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年产生量</w:t>
                  </w:r>
                  <w:r>
                    <w:rPr>
                      <w:rFonts w:hint="eastAsia" w:cs="Times New Roman"/>
                      <w:b/>
                      <w:color w:val="auto"/>
                      <w:kern w:val="0"/>
                      <w:sz w:val="21"/>
                      <w:szCs w:val="21"/>
                      <w:lang w:eastAsia="zh-CN"/>
                    </w:rPr>
                    <w:t>（</w:t>
                  </w:r>
                  <w:r>
                    <w:rPr>
                      <w:rFonts w:hint="default" w:ascii="Times New Roman" w:hAnsi="Times New Roman" w:cs="Times New Roman"/>
                      <w:bCs/>
                      <w:color w:val="auto"/>
                      <w:kern w:val="0"/>
                    </w:rPr>
                    <w:t>t/a</w:t>
                  </w:r>
                  <w:r>
                    <w:rPr>
                      <w:rFonts w:hint="eastAsia" w:cs="Times New Roman"/>
                      <w:b/>
                      <w:color w:val="auto"/>
                      <w:kern w:val="0"/>
                      <w:sz w:val="21"/>
                      <w:szCs w:val="21"/>
                      <w:lang w:eastAsia="zh-CN"/>
                    </w:rPr>
                    <w:t>）</w:t>
                  </w:r>
                </w:p>
              </w:tc>
              <w:tc>
                <w:tcPr>
                  <w:tcW w:w="1590"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利用处置方和去向</w:t>
                  </w:r>
                </w:p>
              </w:tc>
              <w:tc>
                <w:tcPr>
                  <w:tcW w:w="951" w:type="dxa"/>
                  <w:noWrap w:val="0"/>
                  <w:vAlign w:val="center"/>
                </w:tcPr>
                <w:p>
                  <w:pPr>
                    <w:tabs>
                      <w:tab w:val="left" w:pos="195"/>
                    </w:tabs>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利用或处置量</w:t>
                  </w:r>
                  <w:r>
                    <w:rPr>
                      <w:rFonts w:hint="eastAsia" w:cs="Times New Roman"/>
                      <w:b/>
                      <w:color w:val="auto"/>
                      <w:kern w:val="0"/>
                      <w:sz w:val="21"/>
                      <w:szCs w:val="21"/>
                      <w:lang w:eastAsia="zh-CN"/>
                    </w:rPr>
                    <w:t>（</w:t>
                  </w:r>
                  <w:r>
                    <w:rPr>
                      <w:rFonts w:hint="default" w:ascii="Times New Roman" w:hAnsi="Times New Roman" w:cs="Times New Roman"/>
                      <w:bCs/>
                      <w:color w:val="auto"/>
                      <w:kern w:val="0"/>
                    </w:rPr>
                    <w:t>t/a</w:t>
                  </w:r>
                  <w:r>
                    <w:rPr>
                      <w:rFonts w:hint="eastAsia" w:cs="Times New Roman"/>
                      <w:b/>
                      <w:color w:val="auto"/>
                      <w:kern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办公生活</w:t>
                  </w:r>
                </w:p>
              </w:tc>
              <w:tc>
                <w:tcPr>
                  <w:tcW w:w="1245"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生活垃圾</w:t>
                  </w:r>
                </w:p>
              </w:tc>
              <w:tc>
                <w:tcPr>
                  <w:tcW w:w="1578"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snapToGrid w:val="0"/>
                      <w:color w:val="auto"/>
                    </w:rPr>
                    <w:t>SW64（900-099-S64）</w:t>
                  </w:r>
                </w:p>
              </w:tc>
              <w:tc>
                <w:tcPr>
                  <w:tcW w:w="11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一般固废</w:t>
                  </w:r>
                </w:p>
              </w:tc>
              <w:tc>
                <w:tcPr>
                  <w:tcW w:w="6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固</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lang w:val="en-US" w:eastAsia="zh-CN"/>
                    </w:rPr>
                    <w:t>1.8</w:t>
                  </w:r>
                </w:p>
              </w:tc>
              <w:tc>
                <w:tcPr>
                  <w:tcW w:w="159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eastAsia="宋体" w:cs="Times New Roman"/>
                      <w:bCs/>
                      <w:color w:val="auto"/>
                      <w:kern w:val="0"/>
                      <w:lang w:val="en-US" w:eastAsia="zh-CN"/>
                    </w:rPr>
                    <w:t>交由环卫部门清运</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kern w:val="0"/>
                      <w:lang w:eastAsia="zh-CN"/>
                    </w:rPr>
                    <w:t>废气处理</w:t>
                  </w:r>
                </w:p>
              </w:tc>
              <w:tc>
                <w:tcPr>
                  <w:tcW w:w="1245"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lang w:eastAsia="zh-CN"/>
                    </w:rPr>
                    <w:t>收集的粉尘</w:t>
                  </w:r>
                </w:p>
              </w:tc>
              <w:tc>
                <w:tcPr>
                  <w:tcW w:w="157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lang w:val="en-US" w:eastAsia="zh-CN"/>
                    </w:rPr>
                    <w:t>SW17（900-099-S17）</w:t>
                  </w:r>
                </w:p>
              </w:tc>
              <w:tc>
                <w:tcPr>
                  <w:tcW w:w="110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一般固废</w:t>
                  </w:r>
                </w:p>
              </w:tc>
              <w:tc>
                <w:tcPr>
                  <w:tcW w:w="6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固</w:t>
                  </w:r>
                </w:p>
              </w:tc>
              <w:tc>
                <w:tcPr>
                  <w:tcW w:w="7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lang w:val="en-US" w:eastAsia="zh-CN"/>
                    </w:rPr>
                    <w:t>68.456</w:t>
                  </w:r>
                </w:p>
              </w:tc>
              <w:tc>
                <w:tcPr>
                  <w:tcW w:w="159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lang w:eastAsia="zh-CN"/>
                    </w:rPr>
                    <w:t>外售</w:t>
                  </w:r>
                  <w:r>
                    <w:rPr>
                      <w:rFonts w:hint="eastAsia" w:cs="Times New Roman"/>
                      <w:bCs/>
                      <w:color w:val="auto"/>
                      <w:kern w:val="0"/>
                      <w:lang w:val="en-US" w:eastAsia="zh-CN"/>
                    </w:rPr>
                    <w:t>给</w:t>
                  </w:r>
                  <w:r>
                    <w:rPr>
                      <w:rFonts w:hint="default" w:ascii="Times New Roman" w:hAnsi="Times New Roman" w:cs="Times New Roman"/>
                      <w:bCs/>
                      <w:color w:val="auto"/>
                      <w:kern w:val="0"/>
                      <w:lang w:eastAsia="zh-CN"/>
                    </w:rPr>
                    <w:t>可回收利用单位处理</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lang w:val="en-US" w:eastAsia="zh-CN"/>
                    </w:rPr>
                    <w:t>68.456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lang w:eastAsia="zh-CN"/>
                    </w:rPr>
                    <w:t>生产</w:t>
                  </w:r>
                </w:p>
              </w:tc>
              <w:tc>
                <w:tcPr>
                  <w:tcW w:w="1245"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废边角料、不合格品</w:t>
                  </w:r>
                </w:p>
              </w:tc>
              <w:tc>
                <w:tcPr>
                  <w:tcW w:w="157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highlight w:val="none"/>
                      <w:u w:val="none"/>
                      <w:lang w:val="en-US" w:eastAsia="zh-CN" w:bidi="ar-SA"/>
                    </w:rPr>
                  </w:pPr>
                  <w:r>
                    <w:rPr>
                      <w:rFonts w:hint="default" w:ascii="Times New Roman" w:hAnsi="Times New Roman" w:eastAsia="宋体" w:cs="Times New Roman"/>
                      <w:bCs/>
                      <w:snapToGrid w:val="0"/>
                      <w:color w:val="auto"/>
                      <w:lang w:eastAsia="zh-CN"/>
                    </w:rPr>
                    <w:t>SW17（900-0</w:t>
                  </w:r>
                  <w:r>
                    <w:rPr>
                      <w:rFonts w:hint="default" w:ascii="Times New Roman" w:hAnsi="Times New Roman" w:eastAsia="宋体" w:cs="Times New Roman"/>
                      <w:bCs/>
                      <w:snapToGrid w:val="0"/>
                      <w:color w:val="auto"/>
                      <w:lang w:val="en-US" w:eastAsia="zh-CN"/>
                    </w:rPr>
                    <w:t>0</w:t>
                  </w:r>
                  <w:r>
                    <w:rPr>
                      <w:rFonts w:hint="default" w:ascii="Times New Roman" w:hAnsi="Times New Roman" w:eastAsia="宋体" w:cs="Times New Roman"/>
                      <w:bCs/>
                      <w:snapToGrid w:val="0"/>
                      <w:color w:val="auto"/>
                      <w:lang w:eastAsia="zh-CN"/>
                    </w:rPr>
                    <w:t>9-S17）</w:t>
                  </w:r>
                </w:p>
              </w:tc>
              <w:tc>
                <w:tcPr>
                  <w:tcW w:w="110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一般固废</w:t>
                  </w:r>
                </w:p>
              </w:tc>
              <w:tc>
                <w:tcPr>
                  <w:tcW w:w="6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固</w:t>
                  </w:r>
                </w:p>
              </w:tc>
              <w:tc>
                <w:tcPr>
                  <w:tcW w:w="7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110</w:t>
                  </w:r>
                </w:p>
              </w:tc>
              <w:tc>
                <w:tcPr>
                  <w:tcW w:w="159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bCs/>
                      <w:color w:val="auto"/>
                      <w:kern w:val="0"/>
                      <w:lang w:eastAsia="zh-CN"/>
                    </w:rPr>
                    <w:t>回用于刨花板生产</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原料筛选</w:t>
                  </w:r>
                </w:p>
              </w:tc>
              <w:tc>
                <w:tcPr>
                  <w:tcW w:w="1245"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泥沙、石块、金属等杂质</w:t>
                  </w:r>
                </w:p>
              </w:tc>
              <w:tc>
                <w:tcPr>
                  <w:tcW w:w="1578"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bCs/>
                      <w:snapToGrid w:val="0"/>
                      <w:color w:val="auto"/>
                      <w:lang w:eastAsia="zh-CN"/>
                    </w:rPr>
                    <w:t>SW</w:t>
                  </w:r>
                  <w:r>
                    <w:rPr>
                      <w:rFonts w:hint="default" w:ascii="Times New Roman" w:hAnsi="Times New Roman" w:eastAsia="宋体" w:cs="Times New Roman"/>
                      <w:bCs/>
                      <w:snapToGrid w:val="0"/>
                      <w:color w:val="auto"/>
                      <w:lang w:val="en-US" w:eastAsia="zh-CN"/>
                    </w:rPr>
                    <w:t>59</w:t>
                  </w:r>
                  <w:r>
                    <w:rPr>
                      <w:rFonts w:hint="default" w:ascii="Times New Roman" w:hAnsi="Times New Roman" w:eastAsia="宋体" w:cs="Times New Roman"/>
                      <w:bCs/>
                      <w:snapToGrid w:val="0"/>
                      <w:color w:val="auto"/>
                      <w:lang w:eastAsia="zh-CN"/>
                    </w:rPr>
                    <w:t>（900-0</w:t>
                  </w:r>
                  <w:r>
                    <w:rPr>
                      <w:rFonts w:hint="default" w:ascii="Times New Roman" w:hAnsi="Times New Roman" w:eastAsia="宋体" w:cs="Times New Roman"/>
                      <w:bCs/>
                      <w:snapToGrid w:val="0"/>
                      <w:color w:val="auto"/>
                      <w:lang w:val="en-US" w:eastAsia="zh-CN"/>
                    </w:rPr>
                    <w:t>9</w:t>
                  </w:r>
                  <w:r>
                    <w:rPr>
                      <w:rFonts w:hint="default" w:ascii="Times New Roman" w:hAnsi="Times New Roman" w:eastAsia="宋体" w:cs="Times New Roman"/>
                      <w:bCs/>
                      <w:snapToGrid w:val="0"/>
                      <w:color w:val="auto"/>
                      <w:lang w:eastAsia="zh-CN"/>
                    </w:rPr>
                    <w:t>9-S</w:t>
                  </w:r>
                  <w:r>
                    <w:rPr>
                      <w:rFonts w:hint="default" w:ascii="Times New Roman" w:hAnsi="Times New Roman" w:eastAsia="宋体" w:cs="Times New Roman"/>
                      <w:bCs/>
                      <w:snapToGrid w:val="0"/>
                      <w:color w:val="auto"/>
                      <w:lang w:val="en-US" w:eastAsia="zh-CN"/>
                    </w:rPr>
                    <w:t>59</w:t>
                  </w:r>
                  <w:r>
                    <w:rPr>
                      <w:rFonts w:hint="default" w:ascii="Times New Roman" w:hAnsi="Times New Roman" w:eastAsia="宋体" w:cs="Times New Roman"/>
                      <w:bCs/>
                      <w:snapToGrid w:val="0"/>
                      <w:color w:val="auto"/>
                      <w:lang w:eastAsia="zh-CN"/>
                    </w:rPr>
                    <w:t>）</w:t>
                  </w:r>
                </w:p>
              </w:tc>
              <w:tc>
                <w:tcPr>
                  <w:tcW w:w="11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一般固废</w:t>
                  </w:r>
                </w:p>
              </w:tc>
              <w:tc>
                <w:tcPr>
                  <w:tcW w:w="60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固</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lang w:val="en-US" w:eastAsia="zh-CN"/>
                    </w:rPr>
                    <w:t>2.0</w:t>
                  </w:r>
                </w:p>
              </w:tc>
              <w:tc>
                <w:tcPr>
                  <w:tcW w:w="159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lang w:eastAsia="zh-CN"/>
                    </w:rPr>
                    <w:t>金属杂质外售废品回收站，泥沙运至渣土堆场</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除尘</w:t>
                  </w:r>
                </w:p>
              </w:tc>
              <w:tc>
                <w:tcPr>
                  <w:tcW w:w="1245"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水膜除尘循环水池中沉渣</w:t>
                  </w:r>
                </w:p>
              </w:tc>
              <w:tc>
                <w:tcPr>
                  <w:tcW w:w="1578"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bCs/>
                      <w:snapToGrid w:val="0"/>
                      <w:color w:val="auto"/>
                      <w:lang w:eastAsia="zh-CN"/>
                    </w:rPr>
                    <w:t>SW</w:t>
                  </w:r>
                  <w:r>
                    <w:rPr>
                      <w:rFonts w:hint="default" w:ascii="Times New Roman" w:hAnsi="Times New Roman" w:eastAsia="宋体" w:cs="Times New Roman"/>
                      <w:bCs/>
                      <w:snapToGrid w:val="0"/>
                      <w:color w:val="auto"/>
                      <w:lang w:val="en-US" w:eastAsia="zh-CN"/>
                    </w:rPr>
                    <w:t>59</w:t>
                  </w:r>
                  <w:r>
                    <w:rPr>
                      <w:rFonts w:hint="default" w:ascii="Times New Roman" w:hAnsi="Times New Roman" w:eastAsia="宋体" w:cs="Times New Roman"/>
                      <w:bCs/>
                      <w:snapToGrid w:val="0"/>
                      <w:color w:val="auto"/>
                      <w:lang w:eastAsia="zh-CN"/>
                    </w:rPr>
                    <w:t>（900-0</w:t>
                  </w:r>
                  <w:r>
                    <w:rPr>
                      <w:rFonts w:hint="default" w:ascii="Times New Roman" w:hAnsi="Times New Roman" w:eastAsia="宋体" w:cs="Times New Roman"/>
                      <w:bCs/>
                      <w:snapToGrid w:val="0"/>
                      <w:color w:val="auto"/>
                      <w:lang w:val="en-US" w:eastAsia="zh-CN"/>
                    </w:rPr>
                    <w:t>9</w:t>
                  </w:r>
                  <w:r>
                    <w:rPr>
                      <w:rFonts w:hint="default" w:ascii="Times New Roman" w:hAnsi="Times New Roman" w:eastAsia="宋体" w:cs="Times New Roman"/>
                      <w:bCs/>
                      <w:snapToGrid w:val="0"/>
                      <w:color w:val="auto"/>
                      <w:lang w:eastAsia="zh-CN"/>
                    </w:rPr>
                    <w:t>9-S</w:t>
                  </w:r>
                  <w:r>
                    <w:rPr>
                      <w:rFonts w:hint="default" w:ascii="Times New Roman" w:hAnsi="Times New Roman" w:eastAsia="宋体" w:cs="Times New Roman"/>
                      <w:bCs/>
                      <w:snapToGrid w:val="0"/>
                      <w:color w:val="auto"/>
                      <w:lang w:val="en-US" w:eastAsia="zh-CN"/>
                    </w:rPr>
                    <w:t>59</w:t>
                  </w:r>
                  <w:r>
                    <w:rPr>
                      <w:rFonts w:hint="default" w:ascii="Times New Roman" w:hAnsi="Times New Roman" w:eastAsia="宋体" w:cs="Times New Roman"/>
                      <w:bCs/>
                      <w:snapToGrid w:val="0"/>
                      <w:color w:val="auto"/>
                      <w:lang w:eastAsia="zh-CN"/>
                    </w:rPr>
                    <w:t>）</w:t>
                  </w:r>
                </w:p>
              </w:tc>
              <w:tc>
                <w:tcPr>
                  <w:tcW w:w="11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一般固废</w:t>
                  </w:r>
                </w:p>
              </w:tc>
              <w:tc>
                <w:tcPr>
                  <w:tcW w:w="60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固</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lang w:val="en-US" w:eastAsia="zh-CN"/>
                    </w:rPr>
                    <w:t>0.4</w:t>
                  </w:r>
                </w:p>
              </w:tc>
              <w:tc>
                <w:tcPr>
                  <w:tcW w:w="1590" w:type="dxa"/>
                  <w:vMerge w:val="restart"/>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lang w:eastAsia="zh-CN"/>
                    </w:rPr>
                    <w:t>定期外销做有机肥处理</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热能供给</w:t>
                  </w:r>
                </w:p>
              </w:tc>
              <w:tc>
                <w:tcPr>
                  <w:tcW w:w="1245"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生物质燃料灰渣</w:t>
                  </w:r>
                </w:p>
              </w:tc>
              <w:tc>
                <w:tcPr>
                  <w:tcW w:w="1578"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bCs/>
                      <w:snapToGrid w:val="0"/>
                      <w:color w:val="auto"/>
                      <w:lang w:eastAsia="zh-CN"/>
                    </w:rPr>
                    <w:t>SW</w:t>
                  </w:r>
                  <w:r>
                    <w:rPr>
                      <w:rFonts w:hint="default" w:ascii="Times New Roman" w:hAnsi="Times New Roman" w:eastAsia="宋体" w:cs="Times New Roman"/>
                      <w:bCs/>
                      <w:snapToGrid w:val="0"/>
                      <w:color w:val="auto"/>
                      <w:lang w:val="en-US" w:eastAsia="zh-CN"/>
                    </w:rPr>
                    <w:t>03</w:t>
                  </w:r>
                  <w:r>
                    <w:rPr>
                      <w:rFonts w:hint="default" w:ascii="Times New Roman" w:hAnsi="Times New Roman" w:eastAsia="宋体" w:cs="Times New Roman"/>
                      <w:bCs/>
                      <w:snapToGrid w:val="0"/>
                      <w:color w:val="auto"/>
                      <w:lang w:eastAsia="zh-CN"/>
                    </w:rPr>
                    <w:t>（900-0</w:t>
                  </w:r>
                  <w:r>
                    <w:rPr>
                      <w:rFonts w:hint="default" w:ascii="Times New Roman" w:hAnsi="Times New Roman" w:eastAsia="宋体" w:cs="Times New Roman"/>
                      <w:bCs/>
                      <w:snapToGrid w:val="0"/>
                      <w:color w:val="auto"/>
                      <w:lang w:val="en-US" w:eastAsia="zh-CN"/>
                    </w:rPr>
                    <w:t>9</w:t>
                  </w:r>
                  <w:r>
                    <w:rPr>
                      <w:rFonts w:hint="default" w:ascii="Times New Roman" w:hAnsi="Times New Roman" w:eastAsia="宋体" w:cs="Times New Roman"/>
                      <w:bCs/>
                      <w:snapToGrid w:val="0"/>
                      <w:color w:val="auto"/>
                      <w:lang w:eastAsia="zh-CN"/>
                    </w:rPr>
                    <w:t>9-S</w:t>
                  </w:r>
                  <w:r>
                    <w:rPr>
                      <w:rFonts w:hint="default" w:ascii="Times New Roman" w:hAnsi="Times New Roman" w:eastAsia="宋体" w:cs="Times New Roman"/>
                      <w:bCs/>
                      <w:snapToGrid w:val="0"/>
                      <w:color w:val="auto"/>
                      <w:lang w:val="en-US" w:eastAsia="zh-CN"/>
                    </w:rPr>
                    <w:t>03</w:t>
                  </w:r>
                  <w:r>
                    <w:rPr>
                      <w:rFonts w:hint="default" w:ascii="Times New Roman" w:hAnsi="Times New Roman" w:eastAsia="宋体" w:cs="Times New Roman"/>
                      <w:bCs/>
                      <w:snapToGrid w:val="0"/>
                      <w:color w:val="auto"/>
                      <w:lang w:eastAsia="zh-CN"/>
                    </w:rPr>
                    <w:t>）</w:t>
                  </w:r>
                </w:p>
              </w:tc>
              <w:tc>
                <w:tcPr>
                  <w:tcW w:w="11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一般固废</w:t>
                  </w:r>
                </w:p>
              </w:tc>
              <w:tc>
                <w:tcPr>
                  <w:tcW w:w="60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固</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lang w:val="en-US" w:eastAsia="zh-CN"/>
                    </w:rPr>
                    <w:t>87</w:t>
                  </w:r>
                </w:p>
              </w:tc>
              <w:tc>
                <w:tcPr>
                  <w:tcW w:w="1590" w:type="dxa"/>
                  <w:vMerge w:val="continue"/>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3"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原料</w:t>
                  </w:r>
                </w:p>
              </w:tc>
              <w:tc>
                <w:tcPr>
                  <w:tcW w:w="1245"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lang w:val="zh-CN" w:eastAsia="zh-CN"/>
                    </w:rPr>
                    <w:t>废包装材料</w:t>
                  </w:r>
                </w:p>
              </w:tc>
              <w:tc>
                <w:tcPr>
                  <w:tcW w:w="1578"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bCs/>
                      <w:snapToGrid w:val="0"/>
                      <w:color w:val="auto"/>
                      <w:lang w:eastAsia="zh-CN"/>
                    </w:rPr>
                    <w:t>SW17（900-003-S17）</w:t>
                  </w:r>
                </w:p>
              </w:tc>
              <w:tc>
                <w:tcPr>
                  <w:tcW w:w="110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一般固废</w:t>
                  </w:r>
                </w:p>
              </w:tc>
              <w:tc>
                <w:tcPr>
                  <w:tcW w:w="60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rPr>
                    <w:t>固</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lang w:val="en-US" w:eastAsia="zh-CN"/>
                    </w:rPr>
                    <w:t>0.5</w:t>
                  </w:r>
                </w:p>
              </w:tc>
              <w:tc>
                <w:tcPr>
                  <w:tcW w:w="1590" w:type="dxa"/>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lang w:eastAsia="zh-CN"/>
                    </w:rPr>
                    <w:t>外售废品回收站</w:t>
                  </w:r>
                </w:p>
              </w:tc>
              <w:tc>
                <w:tcPr>
                  <w:tcW w:w="95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lang w:val="en-US" w:eastAsia="zh-CN"/>
                    </w:rPr>
                    <w:t>0.5</w:t>
                  </w:r>
                </w:p>
              </w:tc>
            </w:tr>
          </w:tbl>
          <w:p>
            <w:pPr>
              <w:pStyle w:val="15"/>
              <w:spacing w:before="120" w:beforeLines="5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表4-1</w:t>
            </w:r>
            <w:r>
              <w:rPr>
                <w:rFonts w:hint="eastAsia" w:asci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项目危险废物产排情况一览表</w:t>
            </w:r>
          </w:p>
          <w:tbl>
            <w:tblPr>
              <w:tblStyle w:val="39"/>
              <w:tblW w:w="85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8"/>
              <w:gridCol w:w="892"/>
              <w:gridCol w:w="1489"/>
              <w:gridCol w:w="783"/>
              <w:gridCol w:w="750"/>
              <w:gridCol w:w="983"/>
              <w:gridCol w:w="767"/>
              <w:gridCol w:w="683"/>
              <w:gridCol w:w="800"/>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658"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产生环节</w:t>
                  </w:r>
                </w:p>
              </w:tc>
              <w:tc>
                <w:tcPr>
                  <w:tcW w:w="892"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名称</w:t>
                  </w:r>
                </w:p>
              </w:tc>
              <w:tc>
                <w:tcPr>
                  <w:tcW w:w="1489"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危废代码</w:t>
                  </w:r>
                </w:p>
              </w:tc>
              <w:tc>
                <w:tcPr>
                  <w:tcW w:w="783"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物理性状</w:t>
                  </w:r>
                </w:p>
              </w:tc>
              <w:tc>
                <w:tcPr>
                  <w:tcW w:w="750"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环境危险特性</w:t>
                  </w:r>
                </w:p>
              </w:tc>
              <w:tc>
                <w:tcPr>
                  <w:tcW w:w="983"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主要有毒有害物质名称</w:t>
                  </w:r>
                </w:p>
              </w:tc>
              <w:tc>
                <w:tcPr>
                  <w:tcW w:w="767"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产废周期</w:t>
                  </w:r>
                </w:p>
              </w:tc>
              <w:tc>
                <w:tcPr>
                  <w:tcW w:w="683"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年产生量</w:t>
                  </w:r>
                  <w:r>
                    <w:rPr>
                      <w:rFonts w:hint="eastAsia" w:cs="Times New Roman"/>
                      <w:b/>
                      <w:color w:val="auto"/>
                      <w:kern w:val="0"/>
                      <w:sz w:val="21"/>
                      <w:szCs w:val="21"/>
                      <w:lang w:eastAsia="zh-CN"/>
                    </w:rPr>
                    <w:t>（</w:t>
                  </w:r>
                  <w:r>
                    <w:rPr>
                      <w:rFonts w:hint="default" w:ascii="Times New Roman" w:hAnsi="Times New Roman" w:cs="Times New Roman"/>
                      <w:bCs/>
                      <w:color w:val="auto"/>
                      <w:kern w:val="0"/>
                    </w:rPr>
                    <w:t>t/a</w:t>
                  </w:r>
                  <w:r>
                    <w:rPr>
                      <w:rFonts w:hint="eastAsia" w:cs="Times New Roman"/>
                      <w:b/>
                      <w:color w:val="auto"/>
                      <w:kern w:val="0"/>
                      <w:sz w:val="21"/>
                      <w:szCs w:val="21"/>
                      <w:lang w:eastAsia="zh-CN"/>
                    </w:rPr>
                    <w:t>）</w:t>
                  </w:r>
                </w:p>
              </w:tc>
              <w:tc>
                <w:tcPr>
                  <w:tcW w:w="800"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利用处置方和去向</w:t>
                  </w:r>
                </w:p>
              </w:tc>
              <w:tc>
                <w:tcPr>
                  <w:tcW w:w="750" w:type="dxa"/>
                  <w:noWrap w:val="0"/>
                  <w:vAlign w:val="center"/>
                </w:tcPr>
                <w:p>
                  <w:pPr>
                    <w:tabs>
                      <w:tab w:val="left" w:pos="195"/>
                    </w:tabs>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利用或处置量</w:t>
                  </w:r>
                  <w:r>
                    <w:rPr>
                      <w:rFonts w:hint="eastAsia" w:cs="Times New Roman"/>
                      <w:b/>
                      <w:color w:val="auto"/>
                      <w:kern w:val="0"/>
                      <w:sz w:val="21"/>
                      <w:szCs w:val="21"/>
                      <w:lang w:eastAsia="zh-CN"/>
                    </w:rPr>
                    <w:t>（</w:t>
                  </w:r>
                  <w:r>
                    <w:rPr>
                      <w:rFonts w:hint="default" w:ascii="Times New Roman" w:hAnsi="Times New Roman" w:cs="Times New Roman"/>
                      <w:bCs/>
                      <w:color w:val="auto"/>
                      <w:kern w:val="0"/>
                    </w:rPr>
                    <w:t>t/a</w:t>
                  </w:r>
                  <w:r>
                    <w:rPr>
                      <w:rFonts w:hint="eastAsia" w:cs="Times New Roman"/>
                      <w:b/>
                      <w:color w:val="auto"/>
                      <w:kern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65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lang w:eastAsia="zh-CN"/>
                    </w:rPr>
                    <w:t>设备维护</w:t>
                  </w:r>
                </w:p>
              </w:tc>
              <w:tc>
                <w:tcPr>
                  <w:tcW w:w="892"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废机油、废机油桶、含油手套</w:t>
                  </w:r>
                </w:p>
              </w:tc>
              <w:tc>
                <w:tcPr>
                  <w:tcW w:w="1489"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HW49（900-041-49）HW08</w:t>
                  </w:r>
                </w:p>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color w:val="auto"/>
                    </w:rPr>
                    <w:t>（900-249-08）</w:t>
                  </w:r>
                </w:p>
              </w:tc>
              <w:tc>
                <w:tcPr>
                  <w:tcW w:w="7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液、</w:t>
                  </w:r>
                  <w:r>
                    <w:rPr>
                      <w:rFonts w:hint="default" w:ascii="Times New Roman" w:hAnsi="Times New Roman" w:cs="Times New Roman"/>
                      <w:bCs/>
                      <w:color w:val="auto"/>
                      <w:kern w:val="0"/>
                    </w:rPr>
                    <w:t>固</w:t>
                  </w: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T、</w:t>
                  </w:r>
                  <w:r>
                    <w:rPr>
                      <w:rFonts w:hint="default" w:ascii="Times New Roman" w:hAnsi="Times New Roman" w:cs="Times New Roman"/>
                      <w:color w:val="auto"/>
                      <w:kern w:val="0"/>
                    </w:rPr>
                    <w:t>I</w:t>
                  </w:r>
                </w:p>
              </w:tc>
              <w:tc>
                <w:tcPr>
                  <w:tcW w:w="9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rPr>
                    <w:t>矿物油</w:t>
                  </w:r>
                </w:p>
              </w:tc>
              <w:tc>
                <w:tcPr>
                  <w:tcW w:w="767"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不定期</w:t>
                  </w:r>
                </w:p>
              </w:tc>
              <w:tc>
                <w:tcPr>
                  <w:tcW w:w="6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0.015</w:t>
                  </w:r>
                </w:p>
              </w:tc>
              <w:tc>
                <w:tcPr>
                  <w:tcW w:w="800" w:type="dxa"/>
                  <w:vMerge w:val="restart"/>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highlight w:val="none"/>
                    </w:rPr>
                    <w:t>暂存于危废暂存间，</w:t>
                  </w:r>
                  <w:r>
                    <w:rPr>
                      <w:rFonts w:hint="default" w:ascii="Times New Roman" w:hAnsi="Times New Roman" w:cs="Times New Roman"/>
                      <w:color w:val="auto"/>
                      <w:spacing w:val="0"/>
                      <w:highlight w:val="none"/>
                    </w:rPr>
                    <w:t>委托资质单位处置</w:t>
                  </w: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lang w:val="en-US" w:eastAsia="zh-CN"/>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65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kern w:val="0"/>
                      <w:lang w:eastAsia="zh-CN"/>
                    </w:rPr>
                    <w:t>生产</w:t>
                  </w:r>
                </w:p>
              </w:tc>
              <w:tc>
                <w:tcPr>
                  <w:tcW w:w="892"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废导热油</w:t>
                  </w:r>
                </w:p>
              </w:tc>
              <w:tc>
                <w:tcPr>
                  <w:tcW w:w="1489"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HW08</w:t>
                  </w:r>
                </w:p>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（900-249-08）</w:t>
                  </w:r>
                </w:p>
              </w:tc>
              <w:tc>
                <w:tcPr>
                  <w:tcW w:w="7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固</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T</w:t>
                  </w:r>
                </w:p>
              </w:tc>
              <w:tc>
                <w:tcPr>
                  <w:tcW w:w="9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矿物油</w:t>
                  </w:r>
                </w:p>
              </w:tc>
              <w:tc>
                <w:tcPr>
                  <w:tcW w:w="767"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8~9年1次</w:t>
                  </w:r>
                </w:p>
              </w:tc>
              <w:tc>
                <w:tcPr>
                  <w:tcW w:w="6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1t/次</w:t>
                  </w:r>
                </w:p>
              </w:tc>
              <w:tc>
                <w:tcPr>
                  <w:tcW w:w="800" w:type="dxa"/>
                  <w:vMerge w:val="continue"/>
                  <w:noWrap w:val="0"/>
                  <w:vAlign w:val="center"/>
                </w:tcPr>
                <w:p>
                  <w:pPr>
                    <w:tabs>
                      <w:tab w:val="left" w:pos="195"/>
                    </w:tabs>
                    <w:jc w:val="center"/>
                    <w:rPr>
                      <w:rFonts w:hint="default" w:ascii="Times New Roman" w:hAnsi="Times New Roman" w:cs="Times New Roman"/>
                      <w:bCs/>
                      <w:color w:val="auto"/>
                      <w:kern w:val="0"/>
                      <w:sz w:val="21"/>
                      <w:szCs w:val="21"/>
                      <w:lang w:val="en-US" w:eastAsia="zh-CN" w:bidi="ar-SA"/>
                    </w:rPr>
                  </w:pP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lang w:val="en-US" w:eastAsia="zh-CN"/>
                    </w:rPr>
                    <w:t>1t/次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65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Cs w:val="21"/>
                    </w:rPr>
                  </w:pPr>
                  <w:r>
                    <w:rPr>
                      <w:rFonts w:hint="default" w:ascii="Times New Roman" w:hAnsi="Times New Roman" w:cs="Times New Roman"/>
                      <w:color w:val="auto"/>
                      <w:kern w:val="0"/>
                      <w:lang w:eastAsia="zh-CN"/>
                    </w:rPr>
                    <w:t>生产</w:t>
                  </w:r>
                </w:p>
              </w:tc>
              <w:tc>
                <w:tcPr>
                  <w:tcW w:w="892"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废胶</w:t>
                  </w:r>
                </w:p>
              </w:tc>
              <w:tc>
                <w:tcPr>
                  <w:tcW w:w="1489"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HW13（900-016-13）</w:t>
                  </w:r>
                </w:p>
              </w:tc>
              <w:tc>
                <w:tcPr>
                  <w:tcW w:w="78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固</w:t>
                  </w:r>
                </w:p>
              </w:tc>
              <w:tc>
                <w:tcPr>
                  <w:tcW w:w="7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T</w:t>
                  </w:r>
                </w:p>
              </w:tc>
              <w:tc>
                <w:tcPr>
                  <w:tcW w:w="9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胶</w:t>
                  </w:r>
                </w:p>
              </w:tc>
              <w:tc>
                <w:tcPr>
                  <w:tcW w:w="767"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不定期</w:t>
                  </w:r>
                </w:p>
              </w:tc>
              <w:tc>
                <w:tcPr>
                  <w:tcW w:w="6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1.686</w:t>
                  </w:r>
                </w:p>
              </w:tc>
              <w:tc>
                <w:tcPr>
                  <w:tcW w:w="800" w:type="dxa"/>
                  <w:vMerge w:val="continue"/>
                  <w:noWrap w:val="0"/>
                  <w:vAlign w:val="center"/>
                </w:tcPr>
                <w:p>
                  <w:pPr>
                    <w:tabs>
                      <w:tab w:val="left" w:pos="195"/>
                    </w:tabs>
                    <w:jc w:val="center"/>
                    <w:rPr>
                      <w:rFonts w:hint="default" w:ascii="Times New Roman" w:hAnsi="Times New Roman" w:cs="Times New Roman"/>
                      <w:bCs/>
                      <w:color w:val="auto"/>
                      <w:kern w:val="0"/>
                      <w:sz w:val="21"/>
                      <w:szCs w:val="21"/>
                      <w:lang w:val="en-US" w:eastAsia="zh-CN" w:bidi="ar-SA"/>
                    </w:rPr>
                  </w:pP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lang w:val="en-US" w:eastAsia="zh-CN"/>
                    </w:rPr>
                    <w:t>1.686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658"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kern w:val="0"/>
                      <w:lang w:eastAsia="zh-CN"/>
                    </w:rPr>
                    <w:t>废气处理</w:t>
                  </w:r>
                </w:p>
              </w:tc>
              <w:tc>
                <w:tcPr>
                  <w:tcW w:w="892"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color w:val="auto"/>
                    </w:rPr>
                    <w:t>废活性炭</w:t>
                  </w:r>
                </w:p>
              </w:tc>
              <w:tc>
                <w:tcPr>
                  <w:tcW w:w="1489"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HW49（900-039-49）</w:t>
                  </w:r>
                </w:p>
              </w:tc>
              <w:tc>
                <w:tcPr>
                  <w:tcW w:w="7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固</w:t>
                  </w: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T</w:t>
                  </w:r>
                </w:p>
              </w:tc>
              <w:tc>
                <w:tcPr>
                  <w:tcW w:w="9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eastAsia="zh-CN"/>
                    </w:rPr>
                    <w:t>甲醛</w:t>
                  </w:r>
                </w:p>
              </w:tc>
              <w:tc>
                <w:tcPr>
                  <w:tcW w:w="767"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rPr>
                    <w:t>3个月</w:t>
                  </w:r>
                </w:p>
              </w:tc>
              <w:tc>
                <w:tcPr>
                  <w:tcW w:w="683"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4"/>
                      <w:lang w:val="en-US" w:eastAsia="zh-CN" w:bidi="ar-SA"/>
                    </w:rPr>
                  </w:pPr>
                  <w:r>
                    <w:rPr>
                      <w:rFonts w:hint="default" w:ascii="Times New Roman" w:hAnsi="Times New Roman" w:cs="Times New Roman"/>
                      <w:bCs/>
                      <w:color w:val="auto"/>
                      <w:kern w:val="0"/>
                      <w:lang w:val="en-US" w:eastAsia="zh-CN"/>
                    </w:rPr>
                    <w:t>2</w:t>
                  </w:r>
                </w:p>
              </w:tc>
              <w:tc>
                <w:tcPr>
                  <w:tcW w:w="800" w:type="dxa"/>
                  <w:vMerge w:val="continue"/>
                  <w:noWrap w:val="0"/>
                  <w:vAlign w:val="center"/>
                </w:tcPr>
                <w:p>
                  <w:pPr>
                    <w:tabs>
                      <w:tab w:val="left" w:pos="195"/>
                    </w:tabs>
                    <w:jc w:val="center"/>
                    <w:rPr>
                      <w:rFonts w:hint="default" w:ascii="Times New Roman" w:hAnsi="Times New Roman" w:cs="Times New Roman"/>
                      <w:bCs/>
                      <w:color w:val="auto"/>
                      <w:kern w:val="0"/>
                      <w:szCs w:val="21"/>
                    </w:rPr>
                  </w:pPr>
                </w:p>
              </w:tc>
              <w:tc>
                <w:tcPr>
                  <w:tcW w:w="750" w:type="dxa"/>
                  <w:shd w:val="clear" w:color="auto" w:fill="auto"/>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lang w:val="en-US" w:eastAsia="zh-CN"/>
                    </w:rPr>
                    <w:t>2</w:t>
                  </w:r>
                </w:p>
              </w:tc>
            </w:tr>
          </w:tbl>
          <w:p>
            <w:pPr>
              <w:spacing w:before="120" w:beforeLines="50" w:line="360" w:lineRule="auto"/>
              <w:ind w:firstLine="480" w:firstLineChars="200"/>
              <w:rPr>
                <w:b/>
                <w:bCs/>
                <w:color w:val="auto"/>
                <w:sz w:val="24"/>
              </w:rPr>
            </w:pPr>
            <w:r>
              <w:rPr>
                <w:snapToGrid w:val="0"/>
                <w:color w:val="auto"/>
                <w:kern w:val="40"/>
                <w:sz w:val="24"/>
              </w:rPr>
              <w:t>按照《危险化学品安全管理条例》、《危险废物贮存污染控制标准》（GB18597-20</w:t>
            </w:r>
            <w:r>
              <w:rPr>
                <w:rFonts w:hint="eastAsia"/>
                <w:snapToGrid w:val="0"/>
                <w:color w:val="auto"/>
                <w:kern w:val="40"/>
                <w:sz w:val="24"/>
                <w:lang w:val="en-US" w:eastAsia="zh-CN"/>
              </w:rPr>
              <w:t>23</w:t>
            </w:r>
            <w:r>
              <w:rPr>
                <w:snapToGrid w:val="0"/>
                <w:color w:val="auto"/>
                <w:kern w:val="40"/>
                <w:sz w:val="24"/>
              </w:rPr>
              <w:t>）</w:t>
            </w:r>
            <w:r>
              <w:rPr>
                <w:rFonts w:hint="eastAsia"/>
                <w:snapToGrid w:val="0"/>
                <w:color w:val="auto"/>
                <w:kern w:val="40"/>
                <w:sz w:val="24"/>
                <w:lang w:eastAsia="zh-CN"/>
              </w:rPr>
              <w:t>、《建设项目危险废物环境影响评价指南》</w:t>
            </w:r>
            <w:r>
              <w:rPr>
                <w:snapToGrid w:val="0"/>
                <w:color w:val="auto"/>
                <w:kern w:val="40"/>
                <w:sz w:val="24"/>
              </w:rPr>
              <w:t>，结合本项目产生的危险废物性质，本项目应做到：</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bCs/>
                <w:color w:val="auto"/>
                <w:sz w:val="24"/>
                <w:szCs w:val="32"/>
              </w:rPr>
            </w:pPr>
            <w:r>
              <w:rPr>
                <w:b/>
                <w:bCs/>
                <w:color w:val="auto"/>
                <w:sz w:val="24"/>
                <w:szCs w:val="32"/>
              </w:rPr>
              <w:t>危废暂存间设置要求：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32"/>
              </w:rPr>
            </w:pPr>
            <w:r>
              <w:rPr>
                <w:color w:val="auto"/>
                <w:sz w:val="24"/>
                <w:szCs w:val="32"/>
              </w:rPr>
              <w:t>①危险废物贮存间</w:t>
            </w:r>
            <w:r>
              <w:rPr>
                <w:rFonts w:hint="eastAsia"/>
                <w:color w:val="auto"/>
                <w:sz w:val="24"/>
                <w:szCs w:val="32"/>
                <w:lang w:eastAsia="zh-CN"/>
              </w:rPr>
              <w:t>必须</w:t>
            </w:r>
            <w:r>
              <w:rPr>
                <w:color w:val="auto"/>
                <w:sz w:val="24"/>
                <w:szCs w:val="32"/>
              </w:rPr>
              <w:t>密闭建设，门口内侧设立围堰，地面应做好硬化及</w:t>
            </w:r>
            <w:r>
              <w:rPr>
                <w:rFonts w:hint="eastAsia"/>
                <w:color w:val="auto"/>
                <w:sz w:val="24"/>
                <w:szCs w:val="32"/>
              </w:rPr>
              <w:t>“</w:t>
            </w:r>
            <w:r>
              <w:rPr>
                <w:rFonts w:hint="eastAsia"/>
                <w:color w:val="auto"/>
                <w:sz w:val="24"/>
                <w:szCs w:val="32"/>
                <w:lang w:eastAsia="zh-CN"/>
              </w:rPr>
              <w:t>六</w:t>
            </w:r>
            <w:r>
              <w:rPr>
                <w:color w:val="auto"/>
                <w:sz w:val="24"/>
                <w:szCs w:val="32"/>
              </w:rPr>
              <w:t>防</w:t>
            </w:r>
            <w:r>
              <w:rPr>
                <w:rFonts w:hint="eastAsia"/>
                <w:color w:val="auto"/>
                <w:sz w:val="24"/>
                <w:szCs w:val="32"/>
              </w:rPr>
              <w:t>”</w:t>
            </w:r>
            <w:r>
              <w:rPr>
                <w:color w:val="auto"/>
                <w:sz w:val="24"/>
                <w:szCs w:val="32"/>
              </w:rPr>
              <w:t>（</w:t>
            </w:r>
            <w:r>
              <w:rPr>
                <w:rFonts w:hint="eastAsia" w:cs="Times New Roman"/>
                <w:color w:val="auto"/>
                <w:sz w:val="24"/>
                <w:szCs w:val="24"/>
              </w:rPr>
              <w:t>防风、防晒、防雨、防漏、防渗、防腐</w:t>
            </w:r>
            <w:r>
              <w:rPr>
                <w:color w:val="auto"/>
                <w:sz w:val="24"/>
                <w:szCs w:val="32"/>
              </w:rPr>
              <w:t>）措施。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32"/>
              </w:rPr>
            </w:pPr>
            <w:r>
              <w:rPr>
                <w:color w:val="auto"/>
                <w:sz w:val="24"/>
                <w:szCs w:val="32"/>
              </w:rPr>
              <w:t>②</w:t>
            </w:r>
            <w:r>
              <w:rPr>
                <w:rFonts w:hint="eastAsia"/>
                <w:color w:val="auto"/>
                <w:sz w:val="24"/>
                <w:szCs w:val="32"/>
              </w:rPr>
              <w:t>危险废物贮存、利用、处置设施标志宜设置二维码，对设施使用情况进行信息化管理</w:t>
            </w:r>
            <w:r>
              <w:rPr>
                <w:color w:val="auto"/>
                <w:sz w:val="24"/>
                <w:szCs w:val="32"/>
              </w:rPr>
              <w:t>。</w:t>
            </w:r>
            <w:r>
              <w:rPr>
                <w:rFonts w:hint="eastAsia"/>
                <w:color w:val="auto"/>
                <w:sz w:val="24"/>
                <w:szCs w:val="32"/>
              </w:rPr>
              <w:t>危险废物贮存、利用、处置设施标志应包含三角形警告性图形标志和文字性辅助标志，其中三角形警告性图形标志应符合GB 15562.2</w:t>
            </w:r>
            <w:r>
              <w:rPr>
                <w:rFonts w:hint="eastAsia"/>
                <w:color w:val="auto"/>
                <w:sz w:val="24"/>
                <w:szCs w:val="32"/>
                <w:lang w:eastAsia="zh-CN"/>
              </w:rPr>
              <w:t>（含</w:t>
            </w:r>
            <w:r>
              <w:rPr>
                <w:rFonts w:hint="eastAsia"/>
                <w:color w:val="auto"/>
                <w:sz w:val="24"/>
                <w:szCs w:val="32"/>
                <w:lang w:val="en-US" w:eastAsia="zh-CN"/>
              </w:rPr>
              <w:t>2023修改单</w:t>
            </w:r>
            <w:r>
              <w:rPr>
                <w:rFonts w:hint="eastAsia"/>
                <w:color w:val="auto"/>
                <w:sz w:val="24"/>
                <w:szCs w:val="32"/>
                <w:lang w:eastAsia="zh-CN"/>
              </w:rPr>
              <w:t>）、</w:t>
            </w:r>
            <w:r>
              <w:rPr>
                <w:rFonts w:hint="eastAsia"/>
                <w:color w:val="auto"/>
                <w:sz w:val="24"/>
                <w:szCs w:val="32"/>
                <w:lang w:val="en-US" w:eastAsia="zh-CN"/>
              </w:rPr>
              <w:t>HJ1276-2022</w:t>
            </w:r>
            <w:r>
              <w:rPr>
                <w:rFonts w:hint="eastAsia"/>
                <w:color w:val="auto"/>
                <w:sz w:val="24"/>
                <w:szCs w:val="32"/>
              </w:rPr>
              <w:t>中的要求。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32"/>
              </w:rPr>
            </w:pPr>
            <w:r>
              <w:rPr>
                <w:rFonts w:hint="eastAsia"/>
                <w:color w:val="auto"/>
                <w:sz w:val="24"/>
                <w:szCs w:val="32"/>
              </w:rPr>
              <w:t>危险废物贮存、利用、处置设施标志应以醒目的文字标注危险废物设施的类型。危险废物贮存、利用、处置设施标志还应包含危险废物设施所属的单位名称、设施编码、负责人及联系方式。</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32"/>
              </w:rPr>
            </w:pPr>
            <w:r>
              <w:rPr>
                <w:color w:val="auto"/>
                <w:sz w:val="24"/>
                <w:szCs w:val="32"/>
              </w:rPr>
              <w:t>③危险废物贮存间应设置隔离安全门锁</w:t>
            </w:r>
            <w:r>
              <w:rPr>
                <w:rFonts w:hint="eastAsia"/>
                <w:color w:val="auto"/>
                <w:sz w:val="24"/>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32"/>
              </w:rPr>
            </w:pPr>
            <w:r>
              <w:rPr>
                <w:color w:val="auto"/>
                <w:sz w:val="24"/>
                <w:szCs w:val="32"/>
              </w:rPr>
              <w:t>④不同种类危险废物应有明显的过道划分，墙上张贴危废名称，液态危废需将</w:t>
            </w:r>
            <w:r>
              <w:rPr>
                <w:rFonts w:hint="eastAsia"/>
                <w:color w:val="auto"/>
                <w:sz w:val="24"/>
                <w:szCs w:val="32"/>
                <w:lang w:eastAsia="zh-CN"/>
              </w:rPr>
              <w:t>盛装</w:t>
            </w:r>
            <w:r>
              <w:rPr>
                <w:color w:val="auto"/>
                <w:sz w:val="24"/>
                <w:szCs w:val="32"/>
              </w:rPr>
              <w:t>容器放至防泄漏托盘内并在容器粘贴危险废物标签。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32"/>
              </w:rPr>
            </w:pPr>
            <w:r>
              <w:rPr>
                <w:color w:val="auto"/>
                <w:sz w:val="24"/>
                <w:szCs w:val="32"/>
              </w:rPr>
              <w:t>⑤建立台账并悬挂于危废间内，转入及转出（处置、自利用）需要填写危废种类、数量、时间及负责人员姓名。</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32"/>
              </w:rPr>
            </w:pPr>
            <w:r>
              <w:rPr>
                <w:color w:val="auto"/>
                <w:sz w:val="24"/>
                <w:szCs w:val="32"/>
              </w:rPr>
              <w:t>⑥危险废物贮存间内禁止存放除危险废物及应急工具以他的其他物品。</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Cs/>
                <w:color w:val="auto"/>
                <w:sz w:val="24"/>
                <w:szCs w:val="32"/>
              </w:rPr>
            </w:pPr>
            <w:r>
              <w:rPr>
                <w:bCs/>
                <w:color w:val="auto"/>
                <w:sz w:val="24"/>
                <w:szCs w:val="32"/>
              </w:rPr>
              <w:t>根据《危险废物贮存处置管理规定》的相关规定，本次环评对本项目危险废物暂存另提出如下要求：</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bCs/>
                <w:color w:val="auto"/>
                <w:sz w:val="24"/>
                <w:szCs w:val="32"/>
              </w:rPr>
            </w:pPr>
            <w:r>
              <w:rPr>
                <w:b/>
                <w:bCs/>
                <w:color w:val="auto"/>
                <w:sz w:val="24"/>
                <w:szCs w:val="32"/>
              </w:rPr>
              <w:t>危险废物收集和暂存：</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①按废弃物类别配备相应的收集容器，容器不能有破损、盖子损坏</w:t>
            </w:r>
            <w:r>
              <w:rPr>
                <w:rFonts w:hint="eastAsia"/>
                <w:color w:val="auto"/>
                <w:sz w:val="24"/>
                <w:szCs w:val="32"/>
                <w:lang w:eastAsia="zh-CN"/>
              </w:rPr>
              <w:t>或其他</w:t>
            </w:r>
            <w:r>
              <w:rPr>
                <w:color w:val="auto"/>
                <w:sz w:val="24"/>
                <w:szCs w:val="32"/>
              </w:rPr>
              <w:t>可能导致废弃物泄漏的隐患。废弃物收集容器应粘贴危险废弃物标签，明显标示其中的废弃物名称、主要成分与性质，并保持清晰可见。</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②危险废弃物严格投放在相应的收集容器中，严禁将危险废弃物与生活垃圾混装。</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③危险废弃物收集容器应存放在符合安全与环保要求的专门场所及室内特定区域，要避免高温、日晒、雨淋，远离火源。存放危险废弃物的场所应张贴危险废弃物标志、危险废物管理制度、危险化学品及危险废物意外事故防范措施和应急预案、危险废物储存库房管理规定等。</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bCs/>
                <w:color w:val="auto"/>
                <w:sz w:val="24"/>
                <w:szCs w:val="32"/>
              </w:rPr>
            </w:pPr>
            <w:r>
              <w:rPr>
                <w:b/>
                <w:bCs/>
                <w:color w:val="auto"/>
                <w:sz w:val="24"/>
                <w:szCs w:val="32"/>
              </w:rPr>
              <w:t>危险废物转运和处理：</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color w:val="auto"/>
                <w:sz w:val="24"/>
                <w:szCs w:val="32"/>
              </w:rPr>
            </w:pPr>
            <w:r>
              <w:rPr>
                <w:rFonts w:hint="eastAsia"/>
                <w:color w:val="auto"/>
                <w:sz w:val="24"/>
                <w:szCs w:val="32"/>
              </w:rPr>
              <w:t>危险废物的转移应严格按照2021年11月30日发布的《危险废物转移管理办法》(生态环境部公安部交通运输部部令第 23号)相关要求执行。</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b/>
                <w:bCs/>
                <w:color w:val="auto"/>
                <w:sz w:val="24"/>
                <w:szCs w:val="32"/>
              </w:rPr>
            </w:pPr>
            <w:r>
              <w:rPr>
                <w:b/>
                <w:bCs/>
                <w:color w:val="auto"/>
                <w:sz w:val="24"/>
                <w:szCs w:val="32"/>
              </w:rPr>
              <w:t>危险废物管理制度：</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①危险废物的收集、暂存、转移、综合利用活动必须遵守国家和地方有关规定。</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②危险废物的容器和包装物以及收集、暂存、转移、处置危险废物的设施、场所，必须设置危险废物识别标志。</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③对危险废物暂时贮存场所要加强管理，定期巡检，确保危险废物不扩散、不渗漏、不丢失等。</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④制定危险废物管理计划，并向县环境保护部门申报危险废物的种类、产生量、流向、贮存、处置等有关资料。</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⑤禁止向环境倾倒、堆置危险废物。</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⑥禁止将危险废物混入非危险废物中收集、暂存、转移、处置。</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⑦需要转移危险废物时，严格对危险废物进行转移处置，必须按照相关规定办理危险废物转移联单，未经批准，不得进行转移。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⑧禁止将危险废物转移至无危险废物经营资质的单位。</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⑨运输危险废物，必须采取防止污染环境的措施，并遵守国家有关危险货物运输管理的规定。禁止将危险废物与旅客在同一运输工具上载运。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32"/>
              </w:rPr>
            </w:pPr>
            <w:r>
              <w:rPr>
                <w:color w:val="auto"/>
                <w:sz w:val="24"/>
                <w:szCs w:val="32"/>
              </w:rPr>
              <w:t>⑩制定危险废物污染事故防范措施和应急预案，并报县生态环境部门进行备案，建立健全危险废物管理</w:t>
            </w:r>
            <w:r>
              <w:rPr>
                <w:rFonts w:hint="eastAsia"/>
                <w:color w:val="auto"/>
                <w:sz w:val="24"/>
                <w:szCs w:val="32"/>
              </w:rPr>
              <w:t>台账</w:t>
            </w:r>
            <w:r>
              <w:rPr>
                <w:color w:val="auto"/>
                <w:sz w:val="24"/>
                <w:szCs w:val="32"/>
              </w:rPr>
              <w:t>。</w:t>
            </w:r>
          </w:p>
          <w:p>
            <w:pPr>
              <w:spacing w:line="360" w:lineRule="auto"/>
              <w:ind w:firstLine="480"/>
              <w:jc w:val="both"/>
              <w:rPr>
                <w:color w:val="auto"/>
                <w:sz w:val="24"/>
              </w:rPr>
            </w:pPr>
            <w:r>
              <w:rPr>
                <w:color w:val="auto"/>
                <w:sz w:val="24"/>
                <w:szCs w:val="32"/>
              </w:rPr>
              <w:t>⑪因发生事故或者其他突发性事件，造成危险废物严重污染环境时，必须立即采取措施消除或者减轻对环境的污染危害，及时通报可能受到污染危害的单位和居民，并向市生态环境部门和有关部门报告，接受调查处理。</w:t>
            </w:r>
          </w:p>
          <w:p>
            <w:pPr>
              <w:pStyle w:val="15"/>
              <w:spacing w:line="360" w:lineRule="auto"/>
              <w:ind w:left="0" w:right="0" w:firstLine="482" w:firstLineChars="200"/>
              <w:rPr>
                <w:rFonts w:hint="default" w:ascii="Times New Roman" w:hAnsi="Times New Roman" w:cs="Times New Roman"/>
                <w:b/>
                <w:color w:val="auto"/>
                <w:sz w:val="24"/>
                <w:szCs w:val="24"/>
                <w:highlight w:val="yellow"/>
              </w:rPr>
            </w:pPr>
            <w:r>
              <w:rPr>
                <w:rFonts w:ascii="Times New Roman"/>
                <w:b/>
                <w:color w:val="auto"/>
                <w:sz w:val="24"/>
                <w:szCs w:val="24"/>
              </w:rPr>
              <w:t>综上所述，本项目产生的各种固体废物均有合理可行处置去向，在厂内暂存时不会造成二次污染，不会对环境造成不利影响。</w:t>
            </w:r>
          </w:p>
          <w:p>
            <w:pPr>
              <w:adjustRightInd w:val="0"/>
              <w:snapToGrid w:val="0"/>
              <w:spacing w:line="360" w:lineRule="auto"/>
              <w:rPr>
                <w:rFonts w:hint="default" w:ascii="Times New Roman" w:hAnsi="Times New Roman" w:cs="Times New Roman"/>
                <w:b/>
                <w:bCs/>
                <w:color w:val="auto"/>
                <w:spacing w:val="-10"/>
                <w:sz w:val="24"/>
              </w:rPr>
            </w:pPr>
            <w:r>
              <w:rPr>
                <w:rFonts w:hint="default" w:ascii="Times New Roman" w:hAnsi="Times New Roman" w:cs="Times New Roman"/>
                <w:b/>
                <w:color w:val="auto"/>
                <w:spacing w:val="-10"/>
                <w:sz w:val="24"/>
              </w:rPr>
              <w:t>五、</w:t>
            </w:r>
            <w:r>
              <w:rPr>
                <w:rFonts w:hint="default" w:ascii="Times New Roman" w:hAnsi="Times New Roman" w:cs="Times New Roman"/>
                <w:b/>
                <w:bCs/>
                <w:color w:val="auto"/>
                <w:spacing w:val="-10"/>
                <w:sz w:val="24"/>
              </w:rPr>
              <w:t>土壤及地下水防治措施</w:t>
            </w:r>
          </w:p>
          <w:p>
            <w:pPr>
              <w:pStyle w:val="21"/>
              <w:rPr>
                <w:rFonts w:hint="default" w:ascii="Times New Roman" w:hAnsi="Times New Roman" w:cs="Times New Roman"/>
                <w:color w:val="auto"/>
                <w:highlight w:val="none"/>
              </w:rPr>
            </w:pPr>
            <w:r>
              <w:rPr>
                <w:rFonts w:hint="default" w:ascii="Times New Roman" w:hAnsi="Times New Roman" w:cs="Times New Roman"/>
                <w:color w:val="auto"/>
                <w:highlight w:val="none"/>
              </w:rPr>
              <w:t>为防治项目可能对地下水、土壤的污染，本项目应对项目地面实施防渗处理，做到防雨、防渗、防漏，防治污染物随雨水流入水体而污染水体。</w:t>
            </w:r>
          </w:p>
          <w:p>
            <w:pPr>
              <w:pStyle w:val="21"/>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（1）地下水防治要求及措施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地下水污染防治坚持“源头控制、末端防治、污染监控、应急响应、相结合”的原则，即采取主控控制和被动控制相结合的措施。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主动控制即从源头控制措施，主要包括设备、污水处理设施及处理构筑物采取相应措施，防止和降低污染物跑、冒、滴、漏，将污染物泄漏的环境风险事故降到最低程度。</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被动控制措施即末端控制措施，在污染区地面进行防渗处理，防止洒落地面的污染物渗入地下，并把滞留在地面的污染物收集起来，集中处理。</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应急响应措施，包括一旦发现地下水污染事故，立即启动应急预案、采取应急控制措施控制地下水污染，并使污染得到治理。</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治理措施：本次评价将</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eastAsia="zh-CN"/>
              </w:rPr>
              <w:t>划分</w:t>
            </w:r>
            <w:r>
              <w:rPr>
                <w:rFonts w:hint="default" w:ascii="Times New Roman" w:hAnsi="Times New Roman" w:eastAsia="宋体" w:cs="Times New Roman"/>
                <w:color w:val="auto"/>
                <w:sz w:val="24"/>
              </w:rPr>
              <w:t>为重点防渗区、一般防渗区，划分区域如下</w:t>
            </w:r>
            <w:r>
              <w:rPr>
                <w:rFonts w:hint="default" w:ascii="Times New Roman" w:hAnsi="Times New Roman" w:eastAsia="宋体" w:cs="Times New Roman"/>
                <w:color w:val="auto"/>
                <w:sz w:val="24"/>
                <w:lang w:eastAsia="zh-CN"/>
              </w:rPr>
              <w:t>表所示。</w:t>
            </w:r>
          </w:p>
          <w:p>
            <w:pPr>
              <w:ind w:firstLine="480"/>
              <w:jc w:val="center"/>
              <w:rPr>
                <w:rFonts w:hint="default" w:ascii="Times New Roman" w:hAnsi="Times New Roman" w:cs="Times New Roman"/>
                <w:b/>
                <w:bCs/>
                <w:color w:val="auto"/>
                <w:szCs w:val="20"/>
              </w:rPr>
            </w:pPr>
            <w:r>
              <w:rPr>
                <w:rFonts w:hint="default" w:ascii="Times New Roman" w:hAnsi="Times New Roman" w:cs="Times New Roman"/>
                <w:b/>
                <w:bCs/>
                <w:color w:val="auto"/>
                <w:szCs w:val="20"/>
              </w:rPr>
              <w:t>表4-1</w:t>
            </w:r>
            <w:r>
              <w:rPr>
                <w:rFonts w:hint="eastAsia" w:cs="Times New Roman"/>
                <w:b/>
                <w:bCs/>
                <w:color w:val="auto"/>
                <w:szCs w:val="20"/>
                <w:lang w:val="en-US" w:eastAsia="zh-CN"/>
              </w:rPr>
              <w:t>5</w:t>
            </w:r>
            <w:r>
              <w:rPr>
                <w:rFonts w:hint="default" w:ascii="Times New Roman" w:hAnsi="Times New Roman" w:cs="Times New Roman"/>
                <w:b/>
                <w:bCs/>
                <w:color w:val="auto"/>
                <w:szCs w:val="20"/>
              </w:rPr>
              <w:t xml:space="preserve">  本项目分区防渗一览表</w:t>
            </w:r>
          </w:p>
          <w:tbl>
            <w:tblPr>
              <w:tblStyle w:val="39"/>
              <w:tblW w:w="849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055"/>
              <w:gridCol w:w="3309"/>
              <w:gridCol w:w="1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160"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防渗分区</w:t>
                  </w:r>
                </w:p>
              </w:tc>
              <w:tc>
                <w:tcPr>
                  <w:tcW w:w="2055"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区域</w:t>
                  </w:r>
                </w:p>
              </w:tc>
              <w:tc>
                <w:tcPr>
                  <w:tcW w:w="3309"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防渗技术要求</w:t>
                  </w:r>
                </w:p>
              </w:tc>
              <w:tc>
                <w:tcPr>
                  <w:tcW w:w="1972" w:type="dxa"/>
                  <w:tcBorders>
                    <w:tl2br w:val="nil"/>
                    <w:tr2bl w:val="nil"/>
                  </w:tcBorders>
                  <w:noWrap w:val="0"/>
                  <w:vAlign w:val="center"/>
                </w:tcPr>
                <w:p>
                  <w:pPr>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lang w:val="en-US" w:eastAsia="zh-CN"/>
                    </w:rPr>
                    <w:t>已采取</w:t>
                  </w:r>
                  <w:r>
                    <w:rPr>
                      <w:rFonts w:hint="default" w:ascii="Times New Roman" w:hAnsi="Times New Roman" w:cs="Times New Roman"/>
                      <w:b/>
                      <w:bCs/>
                      <w:color w:val="auto"/>
                      <w:kern w:val="0"/>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160"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重点</w:t>
                  </w:r>
                </w:p>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防渗区</w:t>
                  </w:r>
                </w:p>
              </w:tc>
              <w:tc>
                <w:tcPr>
                  <w:tcW w:w="20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rPr>
                    <w:t>制胶车间</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事故池、胶储存区</w:t>
                  </w:r>
                </w:p>
              </w:tc>
              <w:tc>
                <w:tcPr>
                  <w:tcW w:w="330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等效粘土防渗层Mb≥6.0m，渗透系数为≤10</w:t>
                  </w:r>
                  <w:r>
                    <w:rPr>
                      <w:rFonts w:hint="default" w:ascii="Times New Roman" w:hAnsi="Times New Roman" w:cs="Times New Roman"/>
                      <w:color w:val="auto"/>
                      <w:kern w:val="0"/>
                      <w:vertAlign w:val="superscript"/>
                    </w:rPr>
                    <w:t>-7</w:t>
                  </w:r>
                  <w:r>
                    <w:rPr>
                      <w:rFonts w:hint="default" w:ascii="Times New Roman" w:hAnsi="Times New Roman" w:cs="Times New Roman"/>
                      <w:color w:val="auto"/>
                      <w:kern w:val="0"/>
                    </w:rPr>
                    <w:t>cm/s</w:t>
                  </w:r>
                </w:p>
              </w:tc>
              <w:tc>
                <w:tcPr>
                  <w:tcW w:w="1972"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采取防渗混凝土+防腐涂料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160"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p>
              </w:tc>
              <w:tc>
                <w:tcPr>
                  <w:tcW w:w="2055"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危废暂存间</w:t>
                  </w:r>
                </w:p>
              </w:tc>
              <w:tc>
                <w:tcPr>
                  <w:tcW w:w="330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等效粘土防渗层Mb≥</w:t>
                  </w:r>
                  <w:r>
                    <w:rPr>
                      <w:rFonts w:hint="default" w:ascii="Times New Roman" w:hAnsi="Times New Roman" w:cs="Times New Roman"/>
                      <w:color w:val="auto"/>
                      <w:kern w:val="0"/>
                      <w:lang w:val="en-US" w:eastAsia="zh-CN"/>
                    </w:rPr>
                    <w:t>1</w:t>
                  </w:r>
                  <w:r>
                    <w:rPr>
                      <w:rFonts w:hint="default" w:ascii="Times New Roman" w:hAnsi="Times New Roman" w:cs="Times New Roman"/>
                      <w:color w:val="auto"/>
                      <w:kern w:val="0"/>
                    </w:rPr>
                    <w:t>.0m，渗透系数为≤10</w:t>
                  </w:r>
                  <w:r>
                    <w:rPr>
                      <w:rFonts w:hint="default" w:ascii="Times New Roman" w:hAnsi="Times New Roman" w:cs="Times New Roman"/>
                      <w:color w:val="auto"/>
                      <w:kern w:val="0"/>
                      <w:vertAlign w:val="superscript"/>
                    </w:rPr>
                    <w:t>-10</w:t>
                  </w:r>
                  <w:r>
                    <w:rPr>
                      <w:rFonts w:hint="default" w:ascii="Times New Roman" w:hAnsi="Times New Roman" w:cs="Times New Roman"/>
                      <w:color w:val="auto"/>
                      <w:kern w:val="0"/>
                    </w:rPr>
                    <w:t>cm/s</w:t>
                  </w:r>
                </w:p>
              </w:tc>
              <w:tc>
                <w:tcPr>
                  <w:tcW w:w="1972"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混凝土+2mm厚</w:t>
                  </w:r>
                  <w:r>
                    <w:rPr>
                      <w:rFonts w:hint="default" w:ascii="Times New Roman" w:hAnsi="Times New Roman" w:cs="Times New Roman"/>
                      <w:color w:val="auto"/>
                      <w:kern w:val="0"/>
                      <w:lang w:val="en-US" w:eastAsia="zh-CN"/>
                    </w:rPr>
                    <w:t>HDPE膜</w:t>
                  </w:r>
                  <w:r>
                    <w:rPr>
                      <w:rFonts w:hint="default" w:ascii="Times New Roman" w:hAnsi="Times New Roman" w:cs="Times New Roman"/>
                      <w:color w:val="auto"/>
                      <w:kern w:val="0"/>
                    </w:rPr>
                    <w:t>+防渗托盘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0"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一般防渗区</w:t>
                  </w:r>
                </w:p>
              </w:tc>
              <w:tc>
                <w:tcPr>
                  <w:tcW w:w="20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lang w:val="en-US" w:eastAsia="zh-CN"/>
                    </w:rPr>
                    <w:t>车间其余位置</w:t>
                  </w:r>
                </w:p>
              </w:tc>
              <w:tc>
                <w:tcPr>
                  <w:tcW w:w="3309"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等效粘土防渗层Mb≥1.5m，渗透系数为≤10</w:t>
                  </w:r>
                  <w:r>
                    <w:rPr>
                      <w:rFonts w:hint="default" w:ascii="Times New Roman" w:hAnsi="Times New Roman" w:cs="Times New Roman"/>
                      <w:color w:val="auto"/>
                      <w:kern w:val="0"/>
                      <w:vertAlign w:val="superscript"/>
                    </w:rPr>
                    <w:t>-7</w:t>
                  </w:r>
                  <w:r>
                    <w:rPr>
                      <w:rFonts w:hint="default" w:ascii="Times New Roman" w:hAnsi="Times New Roman" w:cs="Times New Roman"/>
                      <w:color w:val="auto"/>
                      <w:kern w:val="0"/>
                    </w:rPr>
                    <w:t>cm/s</w:t>
                  </w:r>
                </w:p>
              </w:tc>
              <w:tc>
                <w:tcPr>
                  <w:tcW w:w="1972" w:type="dxa"/>
                  <w:tcBorders>
                    <w:tl2br w:val="nil"/>
                    <w:tr2bl w:val="nil"/>
                  </w:tcBorders>
                  <w:noWrap w:val="0"/>
                  <w:vAlign w:val="center"/>
                </w:tcPr>
                <w:p>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已采取防渗混凝土防渗</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本项目防渗工程措施严格执行“源头控制、分区防治、污染监控、应急响应”的原则，采取上述防渗措施后，项目对地下水基本不会造成影响。</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（2）土壤环境影响防治措施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本项目污染物质可以通过多种途径进入土壤，主要类型有以下三种：</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①大气污染型：污染物质来源于被污染的大气，污染物质主要集中在土壤表层，大气中的</w:t>
            </w:r>
            <w:r>
              <w:rPr>
                <w:rFonts w:hint="eastAsia" w:cs="Times New Roman"/>
                <w:bCs/>
                <w:color w:val="auto"/>
                <w:sz w:val="24"/>
                <w:lang w:eastAsia="zh-CN"/>
              </w:rPr>
              <w:t>颗粒物、</w:t>
            </w:r>
            <w:r>
              <w:rPr>
                <w:rFonts w:hint="default" w:ascii="Times New Roman" w:hAnsi="Times New Roman" w:cs="Times New Roman"/>
                <w:bCs/>
                <w:color w:val="auto"/>
                <w:sz w:val="24"/>
              </w:rPr>
              <w:t>有机废气等降落地面，会造成土壤的多种污染。</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②水污染型：废水不能做到达标排放或事故状态下未经处理直接排放，或发生泄漏，致使土壤受到无机盐、有机物的污染。</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③固体废物污染型：一般固体废物及各项危险废物等在运输、贮存或堆放过程中通过扩散、降水淋洗等直接或间接地影响土壤。</w:t>
            </w:r>
          </w:p>
          <w:p>
            <w:pPr>
              <w:adjustRightInd w:val="0"/>
              <w:snapToGrid w:val="0"/>
              <w:spacing w:line="360" w:lineRule="auto"/>
              <w:ind w:firstLine="480" w:firstLineChars="200"/>
              <w:rPr>
                <w:rFonts w:hint="default" w:ascii="Times New Roman" w:hAnsi="Times New Roman" w:cs="Times New Roman"/>
                <w:b/>
                <w:bCs/>
                <w:color w:val="auto"/>
                <w:spacing w:val="-10"/>
                <w:sz w:val="24"/>
              </w:rPr>
            </w:pPr>
            <w:r>
              <w:rPr>
                <w:rFonts w:hint="default" w:ascii="Times New Roman" w:hAnsi="Times New Roman" w:cs="Times New Roman"/>
                <w:bCs/>
                <w:color w:val="auto"/>
                <w:sz w:val="24"/>
              </w:rPr>
              <w:t>本项目废气污染物排放量较小，可经过收集治理后达标排放，不会对周边土壤环境造成明显不利影响；废水可通过污水管网进入污水处理系统处理后达标排放。同时，</w:t>
            </w:r>
            <w:r>
              <w:rPr>
                <w:rFonts w:hint="default" w:ascii="Times New Roman" w:hAnsi="Times New Roman" w:cs="Times New Roman"/>
                <w:color w:val="auto"/>
                <w:sz w:val="24"/>
              </w:rPr>
              <w:t>各项固体废物均分类收集并进行合理无害化处置。因此，本项目运营对区域土壤环境影响较小。</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bCs/>
                <w:color w:val="auto"/>
                <w:spacing w:val="-10"/>
                <w:sz w:val="24"/>
              </w:rPr>
              <w:t>六、</w:t>
            </w:r>
            <w:r>
              <w:rPr>
                <w:rFonts w:hint="default" w:ascii="Times New Roman" w:hAnsi="Times New Roman" w:cs="Times New Roman"/>
                <w:b/>
                <w:color w:val="auto"/>
                <w:sz w:val="24"/>
              </w:rPr>
              <w:t>环境风险</w:t>
            </w:r>
          </w:p>
          <w:p>
            <w:pPr>
              <w:spacing w:line="360" w:lineRule="auto"/>
              <w:ind w:firstLine="482" w:firstLineChars="200"/>
              <w:rPr>
                <w:rFonts w:hint="default" w:ascii="Times New Roman" w:hAnsi="Times New Roman" w:cs="Times New Roman"/>
                <w:b/>
                <w:spacing w:val="0"/>
                <w:w w:val="100"/>
                <w:position w:val="0"/>
                <w:sz w:val="24"/>
              </w:rPr>
            </w:pPr>
            <w:r>
              <w:rPr>
                <w:rFonts w:hint="eastAsia" w:ascii="Times New Roman" w:hAnsi="Times New Roman" w:cs="Times New Roman"/>
                <w:b/>
                <w:spacing w:val="0"/>
                <w:w w:val="100"/>
                <w:position w:val="0"/>
                <w:sz w:val="24"/>
                <w:lang w:eastAsia="zh-CN"/>
              </w:rPr>
              <w:t>（</w:t>
            </w:r>
            <w:r>
              <w:rPr>
                <w:rFonts w:hint="eastAsia" w:ascii="Times New Roman" w:hAnsi="Times New Roman" w:cs="Times New Roman"/>
                <w:b/>
                <w:spacing w:val="0"/>
                <w:w w:val="100"/>
                <w:position w:val="0"/>
                <w:sz w:val="24"/>
                <w:lang w:val="en-US" w:eastAsia="zh-CN"/>
              </w:rPr>
              <w:t>1</w:t>
            </w:r>
            <w:r>
              <w:rPr>
                <w:rFonts w:hint="eastAsia" w:ascii="Times New Roman" w:hAnsi="Times New Roman" w:cs="Times New Roman"/>
                <w:b/>
                <w:spacing w:val="0"/>
                <w:w w:val="100"/>
                <w:position w:val="0"/>
                <w:sz w:val="24"/>
                <w:lang w:eastAsia="zh-CN"/>
              </w:rPr>
              <w:t>）</w:t>
            </w:r>
            <w:r>
              <w:rPr>
                <w:rFonts w:hint="default" w:ascii="Times New Roman" w:hAnsi="Times New Roman" w:cs="Times New Roman"/>
                <w:b/>
                <w:spacing w:val="0"/>
                <w:w w:val="100"/>
                <w:position w:val="0"/>
                <w:sz w:val="24"/>
              </w:rPr>
              <w:t>风险源识别</w:t>
            </w:r>
          </w:p>
          <w:p>
            <w:pPr>
              <w:adjustRightInd w:val="0"/>
              <w:snapToGrid w:val="0"/>
              <w:spacing w:line="360" w:lineRule="auto"/>
              <w:ind w:firstLine="480" w:firstLineChars="200"/>
              <w:rPr>
                <w:rFonts w:hint="default" w:ascii="Times New Roman" w:hAnsi="Times New Roman" w:cs="Times New Roman"/>
                <w:bCs/>
                <w:spacing w:val="0"/>
                <w:w w:val="100"/>
                <w:position w:val="0"/>
                <w:sz w:val="24"/>
              </w:rPr>
            </w:pPr>
            <w:r>
              <w:rPr>
                <w:rFonts w:hint="default" w:ascii="Times New Roman" w:hAnsi="Times New Roman" w:cs="Times New Roman"/>
                <w:bCs/>
                <w:spacing w:val="0"/>
                <w:w w:val="100"/>
                <w:position w:val="0"/>
                <w:sz w:val="24"/>
              </w:rPr>
              <w:t>危险物质数量与临界量比值（Q）为每种危险物质在厂界内的最大存在总量与其在HJ169-2018附录B中对应临界量的比值。</w:t>
            </w:r>
          </w:p>
          <w:p>
            <w:pPr>
              <w:spacing w:line="360" w:lineRule="auto"/>
              <w:ind w:firstLine="480" w:firstLineChars="200"/>
              <w:rPr>
                <w:rFonts w:hint="default" w:ascii="Times New Roman" w:hAnsi="Times New Roman" w:cs="Times New Roman"/>
                <w:bCs/>
                <w:spacing w:val="0"/>
                <w:w w:val="100"/>
                <w:position w:val="0"/>
                <w:sz w:val="24"/>
              </w:rPr>
            </w:pPr>
            <w:r>
              <w:rPr>
                <w:rFonts w:hint="default" w:ascii="Times New Roman" w:hAnsi="Times New Roman" w:cs="Times New Roman"/>
                <w:bCs/>
                <w:spacing w:val="0"/>
                <w:w w:val="100"/>
                <w:position w:val="0"/>
                <w:sz w:val="24"/>
              </w:rPr>
              <w:t>①危险物质数量与临界量比值（Q）</w:t>
            </w:r>
          </w:p>
          <w:p>
            <w:pPr>
              <w:spacing w:line="360" w:lineRule="auto"/>
              <w:ind w:firstLine="480" w:firstLineChars="200"/>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t>根据《建设项目环境风险评价技术导则》（HJ169-2018）附录C中“C.1.1危险物种数量与临界量比值（Q）”计算所涉及的每种危险物质在厂界内的最大存在总量与其在附录B中对应临界量的比值计算Q值。</w:t>
            </w:r>
          </w:p>
          <w:p>
            <w:pPr>
              <w:spacing w:line="360" w:lineRule="auto"/>
              <w:ind w:firstLine="480" w:firstLineChars="200"/>
              <w:rPr>
                <w:rFonts w:hint="default" w:ascii="Times New Roman" w:hAnsi="Times New Roman" w:cs="Times New Roman"/>
                <w:spacing w:val="0"/>
                <w:w w:val="100"/>
                <w:position w:val="0"/>
                <w:sz w:val="24"/>
                <w:szCs w:val="24"/>
              </w:rPr>
            </w:pPr>
            <w:r>
              <w:rPr>
                <w:rFonts w:hint="default" w:ascii="Times New Roman" w:hAnsi="Times New Roman" w:cs="Times New Roman"/>
                <w:spacing w:val="0"/>
                <w:w w:val="100"/>
                <w:position w:val="0"/>
                <w:sz w:val="24"/>
                <w:szCs w:val="24"/>
              </w:rPr>
              <w:t>当只涉及一种危险物质时，计算该物质的总量与其临界量比值，即为Q；</w:t>
            </w:r>
          </w:p>
          <w:p>
            <w:pPr>
              <w:spacing w:line="360" w:lineRule="auto"/>
              <w:ind w:firstLine="480" w:firstLineChars="200"/>
              <w:rPr>
                <w:rFonts w:hint="default" w:ascii="Times New Roman" w:hAnsi="Times New Roman" w:cs="Times New Roman"/>
                <w:spacing w:val="0"/>
                <w:w w:val="100"/>
                <w:position w:val="0"/>
                <w:sz w:val="24"/>
                <w:szCs w:val="24"/>
              </w:rPr>
            </w:pPr>
            <w:r>
              <w:rPr>
                <w:rFonts w:hint="default" w:ascii="Times New Roman" w:hAnsi="Times New Roman" w:cs="Times New Roman"/>
                <w:spacing w:val="0"/>
                <w:w w:val="100"/>
                <w:position w:val="0"/>
                <w:sz w:val="24"/>
                <w:szCs w:val="24"/>
              </w:rPr>
              <w:t>当存在多种危险物质时，则按式（C.1）计算物质总量与其临界量比值（Q）：</w:t>
            </w:r>
          </w:p>
          <w:p>
            <w:pPr>
              <w:pStyle w:val="131"/>
              <w:snapToGrid w:val="0"/>
              <w:spacing w:before="48" w:after="48"/>
              <w:ind w:right="-210" w:firstLine="480"/>
              <w:jc w:val="center"/>
              <w:rPr>
                <w:rFonts w:hint="default" w:ascii="Times New Roman" w:hAnsi="Times New Roman" w:cs="Times New Roman"/>
                <w:spacing w:val="0"/>
                <w:w w:val="100"/>
                <w:position w:val="0"/>
                <w:sz w:val="24"/>
                <w:szCs w:val="24"/>
              </w:rPr>
            </w:pPr>
            <w:r>
              <w:rPr>
                <w:rFonts w:hint="default" w:ascii="Times New Roman" w:hAnsi="Times New Roman" w:cs="Times New Roman"/>
                <w:spacing w:val="0"/>
                <w:w w:val="100"/>
                <w:position w:val="0"/>
                <w:sz w:val="24"/>
                <w:szCs w:val="24"/>
              </w:rPr>
              <w:object>
                <v:shape id="_x0000_i1036" o:spt="75" type="#_x0000_t75" style="height:36.65pt;width:201.25pt;" o:ole="t" filled="f" o:preferrelative="t" stroked="f" coordsize="21600,21600">
                  <v:path/>
                  <v:fill on="f" focussize="0,0"/>
                  <v:stroke on="f" joinstyle="miter"/>
                  <v:imagedata r:id="rId50" o:title=""/>
                  <o:lock v:ext="edit" aspectratio="t"/>
                  <w10:wrap type="none"/>
                  <w10:anchorlock/>
                </v:shape>
                <o:OLEObject Type="Embed" ProgID="Equation.3" ShapeID="_x0000_i1036" DrawAspect="Content" ObjectID="_1468075736" r:id="rId49">
                  <o:LockedField>false</o:LockedField>
                </o:OLEObject>
              </w:object>
            </w:r>
          </w:p>
          <w:p>
            <w:pPr>
              <w:pStyle w:val="131"/>
              <w:snapToGrid w:val="0"/>
              <w:spacing w:before="48" w:after="48"/>
              <w:ind w:right="-210" w:firstLine="480"/>
              <w:rPr>
                <w:rFonts w:hint="default" w:ascii="Times New Roman" w:hAnsi="Times New Roman" w:cs="Times New Roman"/>
                <w:spacing w:val="0"/>
                <w:w w:val="100"/>
                <w:kern w:val="2"/>
                <w:position w:val="0"/>
                <w:sz w:val="24"/>
                <w:szCs w:val="24"/>
              </w:rPr>
            </w:pPr>
            <w:r>
              <w:rPr>
                <w:rFonts w:hint="default" w:ascii="Times New Roman" w:hAnsi="Times New Roman" w:cs="Times New Roman"/>
                <w:spacing w:val="0"/>
                <w:w w:val="100"/>
                <w:kern w:val="2"/>
                <w:position w:val="0"/>
                <w:sz w:val="24"/>
                <w:szCs w:val="24"/>
              </w:rPr>
              <w:t>式中：q</w:t>
            </w:r>
            <w:r>
              <w:rPr>
                <w:rFonts w:hint="default" w:ascii="Times New Roman" w:hAnsi="Times New Roman" w:cs="Times New Roman"/>
                <w:spacing w:val="0"/>
                <w:w w:val="100"/>
                <w:kern w:val="2"/>
                <w:position w:val="0"/>
                <w:sz w:val="24"/>
                <w:szCs w:val="24"/>
                <w:vertAlign w:val="subscript"/>
              </w:rPr>
              <w:t>1</w:t>
            </w:r>
            <w:r>
              <w:rPr>
                <w:rFonts w:hint="default" w:ascii="Times New Roman" w:hAnsi="Times New Roman" w:cs="Times New Roman"/>
                <w:spacing w:val="0"/>
                <w:w w:val="100"/>
                <w:kern w:val="2"/>
                <w:position w:val="0"/>
                <w:sz w:val="24"/>
                <w:szCs w:val="24"/>
              </w:rPr>
              <w:t>，q</w:t>
            </w:r>
            <w:r>
              <w:rPr>
                <w:rFonts w:hint="default" w:ascii="Times New Roman" w:hAnsi="Times New Roman" w:cs="Times New Roman"/>
                <w:spacing w:val="0"/>
                <w:w w:val="100"/>
                <w:kern w:val="2"/>
                <w:position w:val="0"/>
                <w:sz w:val="24"/>
                <w:szCs w:val="24"/>
                <w:vertAlign w:val="subscript"/>
              </w:rPr>
              <w:t>2</w:t>
            </w:r>
            <w:r>
              <w:rPr>
                <w:rFonts w:hint="default" w:ascii="Times New Roman" w:hAnsi="Times New Roman" w:cs="Times New Roman"/>
                <w:spacing w:val="0"/>
                <w:w w:val="100"/>
                <w:kern w:val="2"/>
                <w:position w:val="0"/>
                <w:sz w:val="24"/>
                <w:szCs w:val="24"/>
              </w:rPr>
              <w:t>，...，q</w:t>
            </w:r>
            <w:r>
              <w:rPr>
                <w:rFonts w:hint="default" w:ascii="Times New Roman" w:hAnsi="Times New Roman" w:cs="Times New Roman"/>
                <w:spacing w:val="0"/>
                <w:w w:val="100"/>
                <w:kern w:val="2"/>
                <w:position w:val="0"/>
                <w:sz w:val="24"/>
                <w:szCs w:val="24"/>
                <w:vertAlign w:val="subscript"/>
              </w:rPr>
              <w:t>n</w:t>
            </w:r>
            <w:r>
              <w:rPr>
                <w:rFonts w:hint="default" w:ascii="Times New Roman" w:hAnsi="Times New Roman" w:cs="Times New Roman"/>
                <w:spacing w:val="0"/>
                <w:w w:val="100"/>
                <w:kern w:val="2"/>
                <w:position w:val="0"/>
                <w:sz w:val="24"/>
                <w:szCs w:val="24"/>
              </w:rPr>
              <w:t>——每种危险物质的最大存在总量，t；</w:t>
            </w:r>
          </w:p>
          <w:p>
            <w:pPr>
              <w:pStyle w:val="131"/>
              <w:snapToGrid w:val="0"/>
              <w:spacing w:before="48" w:after="48"/>
              <w:ind w:right="-210" w:firstLine="1200" w:firstLineChars="500"/>
              <w:rPr>
                <w:rFonts w:hint="default" w:ascii="Times New Roman" w:hAnsi="Times New Roman" w:cs="Times New Roman"/>
                <w:spacing w:val="0"/>
                <w:w w:val="100"/>
                <w:kern w:val="2"/>
                <w:position w:val="0"/>
                <w:sz w:val="24"/>
                <w:szCs w:val="24"/>
              </w:rPr>
            </w:pPr>
            <w:r>
              <w:rPr>
                <w:rFonts w:hint="default" w:ascii="Times New Roman" w:hAnsi="Times New Roman" w:cs="Times New Roman"/>
                <w:spacing w:val="0"/>
                <w:w w:val="100"/>
                <w:kern w:val="2"/>
                <w:position w:val="0"/>
                <w:sz w:val="24"/>
                <w:szCs w:val="24"/>
              </w:rPr>
              <w:t>Q</w:t>
            </w:r>
            <w:r>
              <w:rPr>
                <w:rFonts w:hint="default" w:ascii="Times New Roman" w:hAnsi="Times New Roman" w:cs="Times New Roman"/>
                <w:spacing w:val="0"/>
                <w:w w:val="100"/>
                <w:kern w:val="2"/>
                <w:position w:val="0"/>
                <w:sz w:val="24"/>
                <w:szCs w:val="24"/>
                <w:vertAlign w:val="subscript"/>
              </w:rPr>
              <w:t>1</w:t>
            </w:r>
            <w:r>
              <w:rPr>
                <w:rFonts w:hint="default" w:ascii="Times New Roman" w:hAnsi="Times New Roman" w:cs="Times New Roman"/>
                <w:spacing w:val="0"/>
                <w:w w:val="100"/>
                <w:kern w:val="2"/>
                <w:position w:val="0"/>
                <w:sz w:val="24"/>
                <w:szCs w:val="24"/>
              </w:rPr>
              <w:t>，Q</w:t>
            </w:r>
            <w:r>
              <w:rPr>
                <w:rFonts w:hint="default" w:ascii="Times New Roman" w:hAnsi="Times New Roman" w:cs="Times New Roman"/>
                <w:spacing w:val="0"/>
                <w:w w:val="100"/>
                <w:kern w:val="2"/>
                <w:position w:val="0"/>
                <w:sz w:val="24"/>
                <w:szCs w:val="24"/>
                <w:vertAlign w:val="subscript"/>
              </w:rPr>
              <w:t>2</w:t>
            </w:r>
            <w:r>
              <w:rPr>
                <w:rFonts w:hint="default" w:ascii="Times New Roman" w:hAnsi="Times New Roman" w:cs="Times New Roman"/>
                <w:spacing w:val="0"/>
                <w:w w:val="100"/>
                <w:kern w:val="2"/>
                <w:position w:val="0"/>
                <w:sz w:val="24"/>
                <w:szCs w:val="24"/>
              </w:rPr>
              <w:t>，...，Q</w:t>
            </w:r>
            <w:r>
              <w:rPr>
                <w:rFonts w:hint="default" w:ascii="Times New Roman" w:hAnsi="Times New Roman" w:cs="Times New Roman"/>
                <w:spacing w:val="0"/>
                <w:w w:val="100"/>
                <w:kern w:val="2"/>
                <w:position w:val="0"/>
                <w:sz w:val="24"/>
                <w:szCs w:val="24"/>
                <w:vertAlign w:val="subscript"/>
              </w:rPr>
              <w:t>n</w:t>
            </w:r>
            <w:r>
              <w:rPr>
                <w:rFonts w:hint="default" w:ascii="Times New Roman" w:hAnsi="Times New Roman" w:cs="Times New Roman"/>
                <w:spacing w:val="0"/>
                <w:w w:val="100"/>
                <w:kern w:val="2"/>
                <w:position w:val="0"/>
                <w:sz w:val="24"/>
                <w:szCs w:val="24"/>
              </w:rPr>
              <w:t>——每种危险物质的临界量，t。</w:t>
            </w:r>
          </w:p>
          <w:p>
            <w:pPr>
              <w:pStyle w:val="131"/>
              <w:snapToGrid w:val="0"/>
              <w:spacing w:before="48" w:after="48"/>
              <w:ind w:right="-210" w:firstLine="480"/>
              <w:rPr>
                <w:rFonts w:hint="default" w:ascii="Times New Roman" w:hAnsi="Times New Roman" w:cs="Times New Roman"/>
                <w:spacing w:val="0"/>
                <w:w w:val="100"/>
                <w:kern w:val="2"/>
                <w:position w:val="0"/>
                <w:sz w:val="24"/>
                <w:szCs w:val="24"/>
              </w:rPr>
            </w:pPr>
            <w:r>
              <w:rPr>
                <w:rFonts w:hint="default" w:ascii="Times New Roman" w:hAnsi="Times New Roman" w:cs="Times New Roman"/>
                <w:spacing w:val="0"/>
                <w:w w:val="100"/>
                <w:kern w:val="2"/>
                <w:position w:val="0"/>
                <w:sz w:val="24"/>
                <w:szCs w:val="24"/>
              </w:rPr>
              <w:t>当Q＜1时，该项目环境风险潜势为Ⅰ。</w:t>
            </w:r>
          </w:p>
          <w:p>
            <w:pPr>
              <w:adjustRightInd w:val="0"/>
              <w:snapToGrid w:val="0"/>
              <w:spacing w:line="360" w:lineRule="auto"/>
              <w:ind w:firstLine="480" w:firstLineChars="200"/>
              <w:rPr>
                <w:rFonts w:hint="default" w:ascii="Times New Roman" w:hAnsi="Times New Roman" w:cs="Times New Roman"/>
                <w:bCs/>
                <w:spacing w:val="0"/>
                <w:w w:val="100"/>
                <w:position w:val="0"/>
                <w:sz w:val="24"/>
              </w:rPr>
            </w:pPr>
            <w:r>
              <w:rPr>
                <w:rFonts w:hint="default" w:ascii="Times New Roman" w:hAnsi="Times New Roman" w:cs="Times New Roman"/>
                <w:spacing w:val="0"/>
                <w:w w:val="100"/>
                <w:position w:val="0"/>
                <w:sz w:val="24"/>
              </w:rPr>
              <w:t>当Q≥1时，将Q值划分为：（1）1≤Q＜10；（2）10≤Q＜100；（3）Q≥100。</w:t>
            </w:r>
          </w:p>
          <w:p>
            <w:pPr>
              <w:spacing w:line="360" w:lineRule="auto"/>
              <w:ind w:firstLine="480"/>
              <w:rPr>
                <w:rFonts w:hint="default" w:ascii="Times New Roman" w:hAnsi="Times New Roman" w:cs="Times New Roman"/>
                <w:spacing w:val="0"/>
                <w:w w:val="100"/>
                <w:position w:val="0"/>
                <w:sz w:val="24"/>
              </w:rPr>
            </w:pPr>
            <w:r>
              <w:rPr>
                <w:rFonts w:hint="default" w:ascii="Times New Roman" w:hAnsi="Times New Roman" w:cs="Times New Roman"/>
                <w:spacing w:val="0"/>
                <w:w w:val="100"/>
                <w:position w:val="0"/>
                <w:sz w:val="24"/>
              </w:rPr>
              <w:t>本项目在生产过程中涉及使用风险物质较多，依据《建设项目风险评价技术导则》（HJT169-2018）--附录B重点关注的危险物质及临界量，本项目风险物质及临界量比值Q计算如下：</w:t>
            </w:r>
          </w:p>
          <w:p>
            <w:pPr>
              <w:jc w:val="center"/>
              <w:rPr>
                <w:rFonts w:hint="default" w:ascii="Times New Roman" w:hAnsi="Times New Roman" w:cs="Times New Roman"/>
                <w:b/>
                <w:spacing w:val="0"/>
                <w:w w:val="100"/>
                <w:position w:val="0"/>
              </w:rPr>
            </w:pPr>
            <w:r>
              <w:rPr>
                <w:rFonts w:hint="default" w:ascii="Times New Roman" w:hAnsi="Times New Roman" w:cs="Times New Roman"/>
                <w:b/>
                <w:spacing w:val="0"/>
                <w:w w:val="100"/>
                <w:position w:val="0"/>
              </w:rPr>
              <w:t>表4-</w:t>
            </w:r>
            <w:r>
              <w:rPr>
                <w:rFonts w:hint="default" w:ascii="Times New Roman" w:hAnsi="Times New Roman" w:cs="Times New Roman"/>
                <w:b/>
                <w:spacing w:val="0"/>
                <w:w w:val="100"/>
                <w:position w:val="0"/>
                <w:lang w:val="en-US" w:eastAsia="zh-CN"/>
              </w:rPr>
              <w:t>42</w:t>
            </w:r>
            <w:r>
              <w:rPr>
                <w:rFonts w:hint="default" w:ascii="Times New Roman" w:hAnsi="Times New Roman" w:cs="Times New Roman"/>
                <w:b/>
                <w:bCs/>
                <w:szCs w:val="21"/>
                <w:lang w:val="en-US" w:eastAsia="zh-CN"/>
              </w:rPr>
              <w:t xml:space="preserve">    </w:t>
            </w:r>
            <w:r>
              <w:rPr>
                <w:rFonts w:hint="default" w:ascii="Times New Roman" w:hAnsi="Times New Roman" w:cs="Times New Roman"/>
                <w:b/>
                <w:spacing w:val="0"/>
                <w:w w:val="100"/>
                <w:position w:val="0"/>
              </w:rPr>
              <w:t>突发环境事件风险物质及临界量</w:t>
            </w:r>
          </w:p>
          <w:tbl>
            <w:tblPr>
              <w:tblStyle w:val="39"/>
              <w:tblW w:w="850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88"/>
              <w:gridCol w:w="2280"/>
              <w:gridCol w:w="859"/>
              <w:gridCol w:w="2309"/>
              <w:gridCol w:w="1082"/>
              <w:gridCol w:w="138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40" w:hRule="atLeast"/>
                <w:jc w:val="center"/>
              </w:trPr>
              <w:tc>
                <w:tcPr>
                  <w:tcW w:w="588"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序号</w:t>
                  </w:r>
                </w:p>
              </w:tc>
              <w:tc>
                <w:tcPr>
                  <w:tcW w:w="2280"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危险物质名称</w:t>
                  </w:r>
                </w:p>
              </w:tc>
              <w:tc>
                <w:tcPr>
                  <w:tcW w:w="859"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CAS号</w:t>
                  </w:r>
                </w:p>
              </w:tc>
              <w:tc>
                <w:tcPr>
                  <w:tcW w:w="2309"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最大存在总量q</w:t>
                  </w:r>
                  <w:r>
                    <w:rPr>
                      <w:rFonts w:hint="default" w:ascii="Times New Roman" w:hAnsi="Times New Roman" w:eastAsia="宋体" w:cs="Times New Roman"/>
                      <w:b/>
                      <w:color w:val="auto"/>
                      <w:spacing w:val="0"/>
                      <w:kern w:val="21"/>
                      <w:sz w:val="21"/>
                      <w:szCs w:val="21"/>
                      <w:vertAlign w:val="subscript"/>
                      <w:lang w:val="en-US" w:eastAsia="zh-CN" w:bidi="ar-SA"/>
                    </w:rPr>
                    <w:t>n</w:t>
                  </w:r>
                  <w:r>
                    <w:rPr>
                      <w:rFonts w:hint="default" w:ascii="Times New Roman" w:hAnsi="Times New Roman" w:eastAsia="宋体" w:cs="Times New Roman"/>
                      <w:b/>
                      <w:color w:val="auto"/>
                      <w:spacing w:val="0"/>
                      <w:kern w:val="21"/>
                      <w:sz w:val="21"/>
                      <w:szCs w:val="21"/>
                      <w:lang w:val="en-US" w:eastAsia="zh-CN" w:bidi="ar-SA"/>
                    </w:rPr>
                    <w:t>/t</w:t>
                  </w:r>
                </w:p>
              </w:tc>
              <w:tc>
                <w:tcPr>
                  <w:tcW w:w="1082"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临界量Q</w:t>
                  </w:r>
                  <w:r>
                    <w:rPr>
                      <w:rFonts w:hint="default" w:ascii="Times New Roman" w:hAnsi="Times New Roman" w:eastAsia="宋体" w:cs="Times New Roman"/>
                      <w:b/>
                      <w:color w:val="auto"/>
                      <w:spacing w:val="0"/>
                      <w:kern w:val="21"/>
                      <w:sz w:val="21"/>
                      <w:szCs w:val="21"/>
                      <w:vertAlign w:val="subscript"/>
                      <w:lang w:val="en-US" w:eastAsia="zh-CN" w:bidi="ar-SA"/>
                    </w:rPr>
                    <w:t>n</w:t>
                  </w:r>
                  <w:r>
                    <w:rPr>
                      <w:rFonts w:hint="default" w:ascii="Times New Roman" w:hAnsi="Times New Roman" w:eastAsia="宋体" w:cs="Times New Roman"/>
                      <w:b/>
                      <w:color w:val="auto"/>
                      <w:spacing w:val="0"/>
                      <w:kern w:val="21"/>
                      <w:sz w:val="21"/>
                      <w:szCs w:val="21"/>
                      <w:lang w:val="en-US" w:eastAsia="zh-CN" w:bidi="ar-SA"/>
                    </w:rPr>
                    <w:t>/t</w:t>
                  </w:r>
                </w:p>
              </w:tc>
              <w:tc>
                <w:tcPr>
                  <w:tcW w:w="1382" w:type="dxa"/>
                  <w:tcBorders>
                    <w:tl2br w:val="nil"/>
                    <w:tr2bl w:val="nil"/>
                  </w:tcBorders>
                  <w:noWrap w:val="0"/>
                  <w:vAlign w:val="center"/>
                </w:tcPr>
                <w:p>
                  <w:pPr>
                    <w:widowControl w:val="0"/>
                    <w:snapToGrid w:val="0"/>
                    <w:ind w:firstLine="0" w:firstLineChars="0"/>
                    <w:jc w:val="center"/>
                    <w:rPr>
                      <w:rFonts w:hint="default" w:ascii="Times New Roman" w:hAnsi="Times New Roman" w:eastAsia="宋体" w:cs="Times New Roman"/>
                      <w:b/>
                      <w:color w:val="auto"/>
                      <w:spacing w:val="0"/>
                      <w:kern w:val="21"/>
                      <w:sz w:val="21"/>
                      <w:szCs w:val="21"/>
                      <w:lang w:val="en-US" w:eastAsia="zh-CN" w:bidi="ar-SA"/>
                    </w:rPr>
                  </w:pPr>
                  <w:r>
                    <w:rPr>
                      <w:rFonts w:hint="default" w:ascii="Times New Roman" w:hAnsi="Times New Roman" w:eastAsia="宋体" w:cs="Times New Roman"/>
                      <w:b/>
                      <w:color w:val="auto"/>
                      <w:spacing w:val="0"/>
                      <w:kern w:val="21"/>
                      <w:sz w:val="21"/>
                      <w:szCs w:val="21"/>
                      <w:lang w:val="en-US" w:eastAsia="zh-CN" w:bidi="ar-SA"/>
                    </w:rPr>
                    <w:t>危险物质Q值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5" w:hRule="atLeast"/>
                <w:jc w:val="center"/>
              </w:trPr>
              <w:tc>
                <w:tcPr>
                  <w:tcW w:w="588"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color w:val="auto"/>
                      <w:spacing w:val="0"/>
                      <w:kern w:val="21"/>
                      <w:sz w:val="21"/>
                      <w:szCs w:val="21"/>
                      <w:lang w:val="en-US" w:eastAsia="zh-CN" w:bidi="ar-SA"/>
                    </w:rPr>
                  </w:pPr>
                  <w:r>
                    <w:rPr>
                      <w:rFonts w:hint="default" w:ascii="Times New Roman" w:hAnsi="Times New Roman" w:eastAsia="宋体" w:cs="Times New Roman"/>
                      <w:color w:val="auto"/>
                      <w:spacing w:val="0"/>
                      <w:kern w:val="21"/>
                      <w:sz w:val="21"/>
                      <w:szCs w:val="21"/>
                      <w:lang w:val="en-US" w:eastAsia="zh-CN" w:bidi="ar-SA"/>
                    </w:rPr>
                    <w:t>1</w:t>
                  </w:r>
                </w:p>
              </w:tc>
              <w:tc>
                <w:tcPr>
                  <w:tcW w:w="2280"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37%</w:t>
                  </w:r>
                  <w:r>
                    <w:rPr>
                      <w:rFonts w:hint="default" w:ascii="Times New Roman" w:hAnsi="Times New Roman" w:cs="Times New Roman"/>
                      <w:color w:val="auto"/>
                      <w:kern w:val="0"/>
                      <w:sz w:val="21"/>
                      <w:szCs w:val="21"/>
                      <w:highlight w:val="none"/>
                      <w:lang w:val="en-US" w:eastAsia="zh-CN"/>
                    </w:rPr>
                    <w:t>甲醛</w:t>
                  </w:r>
                </w:p>
              </w:tc>
              <w:tc>
                <w:tcPr>
                  <w:tcW w:w="859"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50-00-0</w:t>
                  </w:r>
                </w:p>
              </w:tc>
              <w:tc>
                <w:tcPr>
                  <w:tcW w:w="2309"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highlight w:val="none"/>
                      <w:lang w:val="en-US" w:eastAsia="zh-CN"/>
                    </w:rPr>
                    <w:t>60</w:t>
                  </w:r>
                  <w:r>
                    <w:rPr>
                      <w:rFonts w:hint="default" w:ascii="Times New Roman" w:hAnsi="Times New Roman" w:cs="Times New Roman"/>
                      <w:color w:val="auto"/>
                      <w:highlight w:val="none"/>
                      <w:lang w:val="en-US" w:eastAsia="zh-CN"/>
                    </w:rPr>
                    <w:t>（折为纯物质量为19.98）</w:t>
                  </w:r>
                </w:p>
              </w:tc>
              <w:tc>
                <w:tcPr>
                  <w:tcW w:w="1082"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0.5</w:t>
                  </w:r>
                </w:p>
              </w:tc>
              <w:tc>
                <w:tcPr>
                  <w:tcW w:w="138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highlight w:val="none"/>
                      <w:lang w:val="en-US" w:eastAsia="zh-CN"/>
                    </w:rPr>
                    <w:t>44.4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588"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color w:val="auto"/>
                      <w:spacing w:val="0"/>
                      <w:kern w:val="21"/>
                      <w:sz w:val="21"/>
                      <w:szCs w:val="21"/>
                      <w:lang w:val="en-US" w:eastAsia="zh-CN" w:bidi="ar-SA"/>
                    </w:rPr>
                  </w:pPr>
                  <w:r>
                    <w:rPr>
                      <w:rFonts w:hint="default" w:ascii="Times New Roman" w:hAnsi="Times New Roman" w:eastAsia="宋体" w:cs="Times New Roman"/>
                      <w:color w:val="auto"/>
                      <w:spacing w:val="0"/>
                      <w:kern w:val="21"/>
                      <w:sz w:val="21"/>
                      <w:szCs w:val="21"/>
                      <w:lang w:val="en-US" w:eastAsia="zh-CN" w:bidi="ar-SA"/>
                    </w:rPr>
                    <w:t>2</w:t>
                  </w:r>
                </w:p>
              </w:tc>
              <w:tc>
                <w:tcPr>
                  <w:tcW w:w="2280"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油类物质（导热油、机油）</w:t>
                  </w:r>
                </w:p>
              </w:tc>
              <w:tc>
                <w:tcPr>
                  <w:tcW w:w="859"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w:t>
                  </w:r>
                </w:p>
              </w:tc>
              <w:tc>
                <w:tcPr>
                  <w:tcW w:w="2309" w:type="dxa"/>
                  <w:tcBorders>
                    <w:tl2br w:val="nil"/>
                    <w:tr2bl w:val="nil"/>
                  </w:tcBorders>
                  <w:noWrap w:val="0"/>
                  <w:tcMar>
                    <w:left w:w="28" w:type="dxa"/>
                    <w:right w:w="28" w:type="dxa"/>
                  </w:tcMar>
                  <w:vAlign w:val="center"/>
                </w:tcPr>
                <w:p>
                  <w:pPr>
                    <w:widowControl/>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rPr>
                    <w:t>1.0</w:t>
                  </w:r>
                </w:p>
              </w:tc>
              <w:tc>
                <w:tcPr>
                  <w:tcW w:w="1082"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2500</w:t>
                  </w:r>
                </w:p>
              </w:tc>
              <w:tc>
                <w:tcPr>
                  <w:tcW w:w="138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8" w:hRule="atLeast"/>
                <w:jc w:val="center"/>
              </w:trPr>
              <w:tc>
                <w:tcPr>
                  <w:tcW w:w="588" w:type="dxa"/>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color w:val="auto"/>
                      <w:spacing w:val="0"/>
                      <w:kern w:val="21"/>
                      <w:sz w:val="21"/>
                      <w:szCs w:val="21"/>
                      <w:lang w:val="en-US" w:eastAsia="zh-CN" w:bidi="ar-SA"/>
                    </w:rPr>
                  </w:pPr>
                  <w:r>
                    <w:rPr>
                      <w:rFonts w:hint="default" w:ascii="Times New Roman" w:hAnsi="Times New Roman" w:eastAsia="宋体" w:cs="Times New Roman"/>
                      <w:color w:val="auto"/>
                      <w:spacing w:val="0"/>
                      <w:kern w:val="21"/>
                      <w:sz w:val="21"/>
                      <w:szCs w:val="21"/>
                      <w:lang w:val="en-US" w:eastAsia="zh-CN" w:bidi="ar-SA"/>
                    </w:rPr>
                    <w:t>3</w:t>
                  </w:r>
                </w:p>
              </w:tc>
              <w:tc>
                <w:tcPr>
                  <w:tcW w:w="2280"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氢氧化钠</w:t>
                  </w:r>
                </w:p>
              </w:tc>
              <w:tc>
                <w:tcPr>
                  <w:tcW w:w="859" w:type="dxa"/>
                  <w:tcBorders>
                    <w:tl2br w:val="nil"/>
                    <w:tr2bl w:val="nil"/>
                  </w:tcBorders>
                  <w:noWrap w:val="0"/>
                  <w:tcMar>
                    <w:left w:w="28" w:type="dxa"/>
                    <w:right w:w="28" w:type="dxa"/>
                  </w:tcMar>
                  <w:vAlign w:val="center"/>
                </w:tcPr>
                <w:p>
                  <w:pPr>
                    <w:widowControl/>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rPr>
                    <w:t>144-62-7</w:t>
                  </w:r>
                </w:p>
              </w:tc>
              <w:tc>
                <w:tcPr>
                  <w:tcW w:w="2309" w:type="dxa"/>
                  <w:tcBorders>
                    <w:tl2br w:val="nil"/>
                    <w:tr2bl w:val="nil"/>
                  </w:tcBorders>
                  <w:noWrap w:val="0"/>
                  <w:tcMar>
                    <w:left w:w="28" w:type="dxa"/>
                    <w:right w:w="28" w:type="dxa"/>
                  </w:tcMar>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1.5</w:t>
                  </w:r>
                </w:p>
              </w:tc>
              <w:tc>
                <w:tcPr>
                  <w:tcW w:w="1082" w:type="dxa"/>
                  <w:tcBorders>
                    <w:tl2br w:val="nil"/>
                    <w:tr2bl w:val="nil"/>
                  </w:tcBorders>
                  <w:noWrap w:val="0"/>
                  <w:tcMar>
                    <w:left w:w="28" w:type="dxa"/>
                    <w:right w:w="28" w:type="dxa"/>
                  </w:tcMar>
                  <w:vAlign w:val="top"/>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50</w:t>
                  </w:r>
                </w:p>
              </w:tc>
              <w:tc>
                <w:tcPr>
                  <w:tcW w:w="1382" w:type="dxa"/>
                  <w:tcBorders>
                    <w:tl2br w:val="nil"/>
                    <w:tr2bl w:val="nil"/>
                  </w:tcBorders>
                  <w:noWrap w:val="0"/>
                  <w:vAlign w:val="top"/>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highlight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29" w:hRule="atLeast"/>
                <w:jc w:val="center"/>
              </w:trPr>
              <w:tc>
                <w:tcPr>
                  <w:tcW w:w="7118" w:type="dxa"/>
                  <w:gridSpan w:val="5"/>
                  <w:tcBorders>
                    <w:tl2br w:val="nil"/>
                    <w:tr2bl w:val="nil"/>
                  </w:tcBorders>
                  <w:noWrap w:val="0"/>
                  <w:tcMar>
                    <w:left w:w="28" w:type="dxa"/>
                    <w:right w:w="28" w:type="dxa"/>
                  </w:tcMar>
                  <w:vAlign w:val="center"/>
                </w:tcPr>
                <w:p>
                  <w:pPr>
                    <w:widowControl w:val="0"/>
                    <w:snapToGrid w:val="0"/>
                    <w:ind w:firstLine="0" w:firstLineChars="0"/>
                    <w:jc w:val="center"/>
                    <w:rPr>
                      <w:rFonts w:hint="default" w:ascii="Times New Roman" w:hAnsi="Times New Roman" w:eastAsia="宋体" w:cs="Times New Roman"/>
                      <w:color w:val="auto"/>
                      <w:spacing w:val="0"/>
                      <w:kern w:val="21"/>
                      <w:sz w:val="21"/>
                      <w:szCs w:val="21"/>
                      <w:lang w:val="en-US" w:eastAsia="zh-CN" w:bidi="ar-SA"/>
                    </w:rPr>
                  </w:pPr>
                  <w:r>
                    <w:rPr>
                      <w:rFonts w:hint="default" w:ascii="Times New Roman" w:hAnsi="Times New Roman" w:eastAsia="宋体" w:cs="Times New Roman"/>
                      <w:color w:val="auto"/>
                      <w:spacing w:val="-2"/>
                      <w:kern w:val="21"/>
                      <w:sz w:val="21"/>
                      <w:szCs w:val="21"/>
                      <w:lang w:val="en-US" w:eastAsia="zh-CN" w:bidi="ar-SA"/>
                    </w:rPr>
                    <w:t>项目Q值Σ</w:t>
                  </w:r>
                </w:p>
              </w:tc>
              <w:tc>
                <w:tcPr>
                  <w:tcW w:w="1382" w:type="dxa"/>
                  <w:tcBorders>
                    <w:tl2br w:val="nil"/>
                    <w:tr2bl w:val="nil"/>
                  </w:tcBorders>
                  <w:noWrap w:val="0"/>
                  <w:vAlign w:val="center"/>
                </w:tcPr>
                <w:p>
                  <w:pPr>
                    <w:widowControl w:val="0"/>
                    <w:snapToGrid w:val="0"/>
                    <w:ind w:firstLine="0" w:firstLineChars="0"/>
                    <w:jc w:val="center"/>
                    <w:rPr>
                      <w:rFonts w:hint="default" w:ascii="Times New Roman" w:hAnsi="Times New Roman" w:eastAsia="宋体" w:cs="Times New Roman"/>
                      <w:color w:val="auto"/>
                      <w:spacing w:val="0"/>
                      <w:kern w:val="21"/>
                      <w:sz w:val="21"/>
                      <w:szCs w:val="21"/>
                      <w:lang w:val="en-US" w:eastAsia="zh-CN" w:bidi="ar-SA"/>
                    </w:rPr>
                  </w:pPr>
                  <w:r>
                    <w:rPr>
                      <w:rFonts w:hint="eastAsia" w:ascii="Times New Roman" w:hAnsi="Times New Roman" w:eastAsia="宋体" w:cs="Times New Roman"/>
                      <w:color w:val="auto"/>
                      <w:spacing w:val="0"/>
                      <w:kern w:val="21"/>
                      <w:sz w:val="21"/>
                      <w:szCs w:val="21"/>
                      <w:highlight w:val="none"/>
                      <w:lang w:val="en-US" w:eastAsia="zh-CN" w:bidi="ar-SA"/>
                    </w:rPr>
                    <w:t>44.43</w:t>
                  </w:r>
                  <w:r>
                    <w:rPr>
                      <w:rFonts w:hint="default" w:ascii="Times New Roman" w:hAnsi="Times New Roman" w:eastAsia="宋体" w:cs="Times New Roman"/>
                      <w:color w:val="auto"/>
                      <w:spacing w:val="0"/>
                      <w:kern w:val="21"/>
                      <w:sz w:val="21"/>
                      <w:szCs w:val="21"/>
                      <w:highlight w:val="none"/>
                      <w:lang w:val="en-US" w:eastAsia="zh-CN" w:bidi="ar-SA"/>
                    </w:rPr>
                    <w:t>04</w:t>
                  </w:r>
                </w:p>
              </w:tc>
            </w:tr>
          </w:tbl>
          <w:p>
            <w:pPr>
              <w:adjustRightInd w:val="0"/>
              <w:snapToGrid w:val="0"/>
              <w:spacing w:before="120" w:beforeLines="50" w:line="360" w:lineRule="auto"/>
              <w:ind w:firstLine="480" w:firstLineChars="200"/>
              <w:rPr>
                <w:rFonts w:hint="default" w:ascii="Times New Roman" w:hAnsi="Times New Roman" w:cs="Times New Roman"/>
                <w:bCs/>
                <w:spacing w:val="0"/>
                <w:w w:val="100"/>
                <w:position w:val="0"/>
                <w:sz w:val="24"/>
              </w:rPr>
            </w:pPr>
            <w:r>
              <w:rPr>
                <w:rFonts w:hint="default" w:ascii="Times New Roman" w:hAnsi="Times New Roman" w:cs="Times New Roman"/>
                <w:spacing w:val="0"/>
                <w:w w:val="100"/>
                <w:position w:val="0"/>
                <w:sz w:val="24"/>
              </w:rPr>
              <w:t>从</w:t>
            </w:r>
            <w:r>
              <w:rPr>
                <w:rFonts w:hint="eastAsia" w:ascii="Times New Roman" w:hAnsi="Times New Roman" w:cs="Times New Roman"/>
                <w:spacing w:val="0"/>
                <w:w w:val="100"/>
                <w:position w:val="0"/>
                <w:sz w:val="24"/>
                <w:lang w:eastAsia="zh-CN"/>
              </w:rPr>
              <w:t>上</w:t>
            </w:r>
            <w:r>
              <w:rPr>
                <w:rFonts w:hint="default" w:ascii="Times New Roman" w:hAnsi="Times New Roman" w:cs="Times New Roman"/>
                <w:spacing w:val="0"/>
                <w:w w:val="100"/>
                <w:position w:val="0"/>
                <w:sz w:val="24"/>
              </w:rPr>
              <w:t>表可以看出，本项目Q＞1。</w:t>
            </w:r>
          </w:p>
          <w:p>
            <w:pPr>
              <w:adjustRightInd w:val="0"/>
              <w:snapToGrid w:val="0"/>
              <w:spacing w:line="360" w:lineRule="auto"/>
              <w:ind w:firstLine="482" w:firstLineChars="200"/>
              <w:rPr>
                <w:rFonts w:hint="default" w:ascii="Times New Roman" w:hAnsi="Times New Roman" w:cs="Times New Roman"/>
                <w:bCs/>
                <w:spacing w:val="0"/>
                <w:w w:val="100"/>
                <w:position w:val="0"/>
                <w:sz w:val="24"/>
              </w:rPr>
            </w:pPr>
            <w:r>
              <w:rPr>
                <w:rFonts w:hint="eastAsia" w:ascii="Times New Roman" w:hAnsi="Times New Roman" w:cs="Times New Roman"/>
                <w:b/>
                <w:spacing w:val="0"/>
                <w:w w:val="100"/>
                <w:position w:val="0"/>
                <w:sz w:val="24"/>
                <w:lang w:eastAsia="zh-CN"/>
              </w:rPr>
              <w:t>（</w:t>
            </w:r>
            <w:r>
              <w:rPr>
                <w:rFonts w:hint="eastAsia" w:ascii="Times New Roman" w:hAnsi="Times New Roman" w:cs="Times New Roman"/>
                <w:b/>
                <w:spacing w:val="0"/>
                <w:w w:val="100"/>
                <w:position w:val="0"/>
                <w:sz w:val="24"/>
                <w:lang w:val="en-US" w:eastAsia="zh-CN"/>
              </w:rPr>
              <w:t>2</w:t>
            </w:r>
            <w:r>
              <w:rPr>
                <w:rFonts w:hint="eastAsia" w:ascii="Times New Roman" w:hAnsi="Times New Roman" w:cs="Times New Roman"/>
                <w:b/>
                <w:spacing w:val="0"/>
                <w:w w:val="100"/>
                <w:position w:val="0"/>
                <w:sz w:val="24"/>
                <w:lang w:eastAsia="zh-CN"/>
              </w:rPr>
              <w:t>）</w:t>
            </w:r>
            <w:r>
              <w:rPr>
                <w:rFonts w:hint="default" w:ascii="Times New Roman" w:hAnsi="Times New Roman" w:cs="Times New Roman"/>
                <w:b/>
                <w:spacing w:val="0"/>
                <w:w w:val="100"/>
                <w:position w:val="0"/>
                <w:sz w:val="24"/>
              </w:rPr>
              <w:t>环境风险分析</w:t>
            </w:r>
          </w:p>
          <w:p>
            <w:pPr>
              <w:spacing w:line="360" w:lineRule="auto"/>
              <w:ind w:firstLine="470" w:firstLineChars="196"/>
              <w:jc w:val="left"/>
              <w:rPr>
                <w:rFonts w:hint="default" w:ascii="Times New Roman" w:hAnsi="Times New Roman" w:cs="Times New Roman"/>
                <w:b/>
                <w:spacing w:val="0"/>
                <w:w w:val="100"/>
                <w:position w:val="0"/>
                <w:sz w:val="24"/>
              </w:rPr>
            </w:pPr>
            <w:r>
              <w:rPr>
                <w:rFonts w:hint="default" w:ascii="Times New Roman" w:hAnsi="Times New Roman" w:cs="Times New Roman"/>
                <w:bCs/>
                <w:spacing w:val="0"/>
                <w:w w:val="100"/>
                <w:position w:val="0"/>
                <w:sz w:val="24"/>
                <w:lang w:bidi="ar"/>
              </w:rPr>
              <w:t>根据《建设项目环境影响报告表编制技术指南》（污染影响类）（试行）：有毒有害和易燃易爆危险物质存储量超过临界量的建设项目应设置风险专项评价，本项目环境风险分析见专题评价</w:t>
            </w:r>
            <w:r>
              <w:rPr>
                <w:rFonts w:hint="default" w:ascii="Times New Roman" w:hAnsi="Times New Roman" w:cs="Times New Roman"/>
                <w:spacing w:val="0"/>
                <w:w w:val="100"/>
                <w:position w:val="0"/>
                <w:sz w:val="24"/>
              </w:rPr>
              <w:t>。</w:t>
            </w:r>
          </w:p>
          <w:p>
            <w:pPr>
              <w:spacing w:line="360" w:lineRule="auto"/>
              <w:ind w:firstLine="472" w:firstLineChars="196"/>
              <w:jc w:val="left"/>
              <w:rPr>
                <w:rFonts w:hint="default" w:ascii="Times New Roman" w:hAnsi="Times New Roman" w:cs="Times New Roman"/>
                <w:b/>
                <w:spacing w:val="0"/>
                <w:w w:val="100"/>
                <w:position w:val="0"/>
                <w:sz w:val="24"/>
              </w:rPr>
            </w:pPr>
            <w:r>
              <w:rPr>
                <w:rFonts w:hint="eastAsia" w:ascii="Times New Roman" w:hAnsi="Times New Roman" w:cs="Times New Roman"/>
                <w:b/>
                <w:spacing w:val="0"/>
                <w:w w:val="100"/>
                <w:position w:val="0"/>
                <w:sz w:val="24"/>
                <w:lang w:eastAsia="zh-CN"/>
              </w:rPr>
              <w:t>（</w:t>
            </w:r>
            <w:r>
              <w:rPr>
                <w:rFonts w:hint="eastAsia" w:ascii="Times New Roman" w:hAnsi="Times New Roman" w:cs="Times New Roman"/>
                <w:b/>
                <w:spacing w:val="0"/>
                <w:w w:val="100"/>
                <w:position w:val="0"/>
                <w:sz w:val="24"/>
                <w:lang w:val="en-US" w:eastAsia="zh-CN"/>
              </w:rPr>
              <w:t>3</w:t>
            </w:r>
            <w:r>
              <w:rPr>
                <w:rFonts w:hint="eastAsia" w:ascii="Times New Roman" w:hAnsi="Times New Roman" w:cs="Times New Roman"/>
                <w:b/>
                <w:spacing w:val="0"/>
                <w:w w:val="100"/>
                <w:position w:val="0"/>
                <w:sz w:val="24"/>
                <w:lang w:eastAsia="zh-CN"/>
              </w:rPr>
              <w:t>）</w:t>
            </w:r>
            <w:r>
              <w:rPr>
                <w:rFonts w:hint="default" w:ascii="Times New Roman" w:hAnsi="Times New Roman" w:cs="Times New Roman"/>
                <w:b/>
                <w:spacing w:val="0"/>
                <w:w w:val="100"/>
                <w:position w:val="0"/>
                <w:sz w:val="24"/>
              </w:rPr>
              <w:t>环境风险结论</w:t>
            </w:r>
          </w:p>
          <w:p>
            <w:pPr>
              <w:adjustRightInd w:val="0"/>
              <w:snapToGrid w:val="0"/>
              <w:spacing w:line="360" w:lineRule="auto"/>
              <w:ind w:firstLine="480" w:firstLineChars="200"/>
              <w:rPr>
                <w:rFonts w:hint="default" w:ascii="Times New Roman" w:hAnsi="Times New Roman" w:cs="Times New Roman"/>
                <w:bCs/>
                <w:spacing w:val="0"/>
                <w:w w:val="100"/>
                <w:position w:val="0"/>
                <w:sz w:val="24"/>
              </w:rPr>
            </w:pPr>
            <w:r>
              <w:rPr>
                <w:rFonts w:hint="default" w:ascii="Times New Roman" w:hAnsi="Times New Roman" w:cs="Times New Roman"/>
                <w:spacing w:val="0"/>
                <w:w w:val="100"/>
                <w:position w:val="0"/>
                <w:sz w:val="24"/>
              </w:rPr>
              <w:t>本项目存在一定环境风险，为防范风险事故的发生，建设单位只要严格按照本报告提出的要求，加强管理，思想上引起重视，建立健全相应的应急预案与应急措施并得到认真落实，可以将环境风险降低到可接受的水平。从环境风险角度，本项目的建设是可行的。</w:t>
            </w:r>
          </w:p>
          <w:p>
            <w:pPr>
              <w:adjustRightInd w:val="0"/>
              <w:snapToGrid w:val="0"/>
              <w:jc w:val="center"/>
              <w:rPr>
                <w:rFonts w:hint="default" w:ascii="Times New Roman" w:hAnsi="Times New Roman" w:cs="Times New Roman"/>
                <w:b/>
                <w:spacing w:val="0"/>
                <w:w w:val="100"/>
                <w:position w:val="0"/>
                <w:szCs w:val="21"/>
              </w:rPr>
            </w:pPr>
            <w:r>
              <w:rPr>
                <w:rFonts w:hint="default" w:ascii="Times New Roman" w:hAnsi="Times New Roman" w:cs="Times New Roman"/>
                <w:b/>
                <w:spacing w:val="0"/>
                <w:w w:val="100"/>
                <w:position w:val="0"/>
                <w:szCs w:val="21"/>
              </w:rPr>
              <w:t>表4-</w:t>
            </w:r>
            <w:r>
              <w:rPr>
                <w:rFonts w:hint="default" w:ascii="Times New Roman" w:hAnsi="Times New Roman" w:cs="Times New Roman"/>
                <w:b/>
                <w:spacing w:val="0"/>
                <w:w w:val="100"/>
                <w:position w:val="0"/>
                <w:szCs w:val="21"/>
                <w:lang w:val="en-US" w:eastAsia="zh-CN"/>
              </w:rPr>
              <w:t>43</w:t>
            </w:r>
            <w:r>
              <w:rPr>
                <w:rFonts w:hint="default" w:ascii="Times New Roman" w:hAnsi="Times New Roman" w:cs="Times New Roman"/>
                <w:b/>
                <w:bCs/>
                <w:szCs w:val="21"/>
                <w:lang w:val="en-US" w:eastAsia="zh-CN"/>
              </w:rPr>
              <w:t xml:space="preserve">    </w:t>
            </w:r>
            <w:r>
              <w:rPr>
                <w:rFonts w:hint="default" w:ascii="Times New Roman" w:hAnsi="Times New Roman" w:cs="Times New Roman"/>
                <w:b/>
                <w:spacing w:val="0"/>
                <w:w w:val="100"/>
                <w:position w:val="0"/>
                <w:szCs w:val="21"/>
              </w:rPr>
              <w:t>项目风险投资一览表</w:t>
            </w:r>
          </w:p>
          <w:tbl>
            <w:tblPr>
              <w:tblStyle w:val="39"/>
              <w:tblW w:w="850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20"/>
              <w:gridCol w:w="4147"/>
              <w:gridCol w:w="612"/>
              <w:gridCol w:w="846"/>
              <w:gridCol w:w="2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序号</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防范措施</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台（套）</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投资</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（万元）</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b/>
                      <w:bCs w:val="0"/>
                      <w:color w:val="auto"/>
                      <w:spacing w:val="-2"/>
                      <w:kern w:val="0"/>
                      <w:sz w:val="21"/>
                      <w:szCs w:val="21"/>
                    </w:rPr>
                  </w:pPr>
                  <w:r>
                    <w:rPr>
                      <w:rFonts w:hint="default" w:ascii="Times New Roman" w:hAnsi="Times New Roman" w:eastAsia="宋体" w:cs="Times New Roman"/>
                      <w:b/>
                      <w:bCs w:val="0"/>
                      <w:color w:val="auto"/>
                      <w:spacing w:val="-2"/>
                      <w:kern w:val="0"/>
                      <w:sz w:val="21"/>
                      <w:szCs w:val="21"/>
                    </w:rPr>
                    <w:t>效果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生产车间、罐区均设火灾自动报警装置和气体检测报警仪等</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2</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预防火灾、爆炸事故的发生，防止有毒有害气体挥发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2</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厂区设置灭火系统，并设置足够的消防器材和消火栓，需要备好干粉、二氧化碳、干燥砂土等灭火剂</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2"/>
                      <w:kern w:val="0"/>
                      <w:sz w:val="21"/>
                      <w:szCs w:val="21"/>
                      <w:lang w:eastAsia="zh-CN"/>
                    </w:rPr>
                  </w:pPr>
                  <w:r>
                    <w:rPr>
                      <w:rFonts w:hint="eastAsia" w:cs="Times New Roman"/>
                      <w:color w:val="auto"/>
                      <w:spacing w:val="-2"/>
                      <w:kern w:val="0"/>
                      <w:sz w:val="21"/>
                      <w:szCs w:val="21"/>
                      <w:lang w:val="en-US" w:eastAsia="zh-CN"/>
                    </w:rPr>
                    <w:t>1</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满足车间、库房消防要求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3</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lang w:eastAsia="zh-CN"/>
                    </w:rPr>
                  </w:pPr>
                  <w:r>
                    <w:rPr>
                      <w:rFonts w:hint="default" w:ascii="Times New Roman" w:hAnsi="Times New Roman" w:eastAsia="宋体" w:cs="Times New Roman"/>
                      <w:color w:val="auto"/>
                      <w:spacing w:val="-2"/>
                      <w:kern w:val="0"/>
                      <w:sz w:val="21"/>
                      <w:szCs w:val="21"/>
                    </w:rPr>
                    <w:t>厂区设置</w:t>
                  </w:r>
                  <w:r>
                    <w:rPr>
                      <w:rFonts w:hint="default" w:ascii="Times New Roman" w:hAnsi="Times New Roman" w:eastAsia="宋体" w:cs="Times New Roman"/>
                      <w:color w:val="auto"/>
                      <w:spacing w:val="-2"/>
                      <w:kern w:val="0"/>
                      <w:sz w:val="21"/>
                      <w:szCs w:val="21"/>
                      <w:lang w:val="en-US" w:eastAsia="zh-CN"/>
                    </w:rPr>
                    <w:t>10</w:t>
                  </w:r>
                  <w:r>
                    <w:rPr>
                      <w:rFonts w:hint="default" w:ascii="Times New Roman" w:hAnsi="Times New Roman" w:eastAsia="宋体" w:cs="Times New Roman"/>
                      <w:color w:val="auto"/>
                      <w:spacing w:val="-2"/>
                      <w:kern w:val="0"/>
                      <w:sz w:val="21"/>
                      <w:szCs w:val="21"/>
                    </w:rPr>
                    <w:t>0m</w:t>
                  </w:r>
                  <w:r>
                    <w:rPr>
                      <w:rFonts w:hint="default" w:ascii="Times New Roman" w:hAnsi="Times New Roman" w:eastAsia="宋体" w:cs="Times New Roman"/>
                      <w:color w:val="auto"/>
                      <w:spacing w:val="-2"/>
                      <w:kern w:val="0"/>
                      <w:sz w:val="21"/>
                      <w:szCs w:val="21"/>
                      <w:vertAlign w:val="superscript"/>
                    </w:rPr>
                    <w:t>3</w:t>
                  </w:r>
                  <w:r>
                    <w:rPr>
                      <w:rFonts w:hint="default" w:ascii="Times New Roman" w:hAnsi="Times New Roman" w:eastAsia="宋体" w:cs="Times New Roman"/>
                      <w:color w:val="auto"/>
                      <w:spacing w:val="-2"/>
                      <w:kern w:val="0"/>
                      <w:sz w:val="21"/>
                      <w:szCs w:val="21"/>
                      <w:lang w:eastAsia="zh-CN"/>
                    </w:rPr>
                    <w:t>应急池</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2"/>
                      <w:kern w:val="0"/>
                      <w:sz w:val="21"/>
                      <w:szCs w:val="21"/>
                      <w:lang w:eastAsia="zh-CN"/>
                    </w:rPr>
                  </w:pPr>
                  <w:r>
                    <w:rPr>
                      <w:rFonts w:hint="eastAsia" w:cs="Times New Roman"/>
                      <w:color w:val="auto"/>
                      <w:spacing w:val="-2"/>
                      <w:kern w:val="0"/>
                      <w:sz w:val="21"/>
                      <w:szCs w:val="21"/>
                      <w:lang w:val="en-US" w:eastAsia="zh-CN"/>
                    </w:rPr>
                    <w:t>2</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消防、事故废水不直接外排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4</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2"/>
                      <w:kern w:val="0"/>
                      <w:sz w:val="21"/>
                      <w:szCs w:val="21"/>
                      <w:lang w:eastAsia="zh-CN"/>
                    </w:rPr>
                  </w:pPr>
                  <w:r>
                    <w:rPr>
                      <w:rFonts w:hint="default" w:ascii="Times New Roman" w:hAnsi="Times New Roman" w:eastAsia="宋体" w:cs="Times New Roman"/>
                      <w:color w:val="auto"/>
                      <w:spacing w:val="-2"/>
                      <w:kern w:val="0"/>
                      <w:sz w:val="21"/>
                      <w:szCs w:val="21"/>
                    </w:rPr>
                    <w:t>库房内不同原料间设隔墙，罐区围堰高度</w:t>
                  </w:r>
                  <w:r>
                    <w:rPr>
                      <w:rFonts w:hint="default" w:ascii="Times New Roman" w:hAnsi="Times New Roman" w:eastAsia="宋体" w:cs="Times New Roman"/>
                      <w:color w:val="auto"/>
                      <w:spacing w:val="-2"/>
                      <w:kern w:val="0"/>
                      <w:sz w:val="21"/>
                      <w:szCs w:val="21"/>
                      <w:lang w:eastAsia="zh-CN"/>
                    </w:rPr>
                    <w:t>不低于</w:t>
                  </w:r>
                  <w:r>
                    <w:rPr>
                      <w:rFonts w:hint="default" w:ascii="Times New Roman" w:hAnsi="Times New Roman" w:eastAsia="宋体" w:cs="Times New Roman"/>
                      <w:color w:val="auto"/>
                      <w:spacing w:val="-2"/>
                      <w:kern w:val="0"/>
                      <w:sz w:val="21"/>
                      <w:szCs w:val="21"/>
                      <w:lang w:val="en-US" w:eastAsia="zh-CN"/>
                    </w:rPr>
                    <w:t>0.5</w:t>
                  </w:r>
                  <w:r>
                    <w:rPr>
                      <w:rFonts w:hint="default" w:ascii="Times New Roman" w:hAnsi="Times New Roman" w:eastAsia="宋体" w:cs="Times New Roman"/>
                      <w:color w:val="auto"/>
                      <w:spacing w:val="-2"/>
                      <w:kern w:val="0"/>
                      <w:sz w:val="21"/>
                      <w:szCs w:val="21"/>
                    </w:rPr>
                    <w:t>m，库房内做好防渗</w:t>
                  </w:r>
                  <w:r>
                    <w:rPr>
                      <w:rFonts w:hint="eastAsia" w:ascii="Times New Roman" w:hAnsi="Times New Roman" w:eastAsia="宋体" w:cs="Times New Roman"/>
                      <w:color w:val="auto"/>
                      <w:spacing w:val="-2"/>
                      <w:kern w:val="0"/>
                      <w:sz w:val="21"/>
                      <w:szCs w:val="21"/>
                      <w:lang w:eastAsia="zh-CN"/>
                    </w:rPr>
                    <w:t>；危废暂存间</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2"/>
                      <w:kern w:val="0"/>
                      <w:sz w:val="21"/>
                      <w:szCs w:val="21"/>
                      <w:lang w:eastAsia="zh-CN"/>
                    </w:rPr>
                  </w:pPr>
                  <w:r>
                    <w:rPr>
                      <w:rFonts w:hint="eastAsia" w:cs="Times New Roman"/>
                      <w:color w:val="auto"/>
                      <w:spacing w:val="-2"/>
                      <w:kern w:val="0"/>
                      <w:sz w:val="21"/>
                      <w:szCs w:val="21"/>
                      <w:lang w:val="en-US" w:eastAsia="zh-CN"/>
                    </w:rPr>
                    <w:t>2</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控制泄漏物料扩散，收集泄漏物料和消防废水，减少挥发和渗漏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5</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生产车间、仓库设防雷接地</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预防雷击造成破坏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6</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在火灾爆炸危险性较大的场所设置安全标志及信号装置，对各类介质的管道涂刷相应的识别色</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便于识别风险，减少事故发生率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7</w:t>
                  </w: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制定环境事件应急预案</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Times New Roman" w:hAnsi="Times New Roman" w:eastAsia="宋体" w:cs="Times New Roman"/>
                      <w:color w:val="auto"/>
                      <w:spacing w:val="-2"/>
                      <w:kern w:val="0"/>
                      <w:sz w:val="21"/>
                      <w:szCs w:val="21"/>
                      <w:lang w:eastAsia="zh-CN"/>
                    </w:rPr>
                  </w:pPr>
                  <w:r>
                    <w:rPr>
                      <w:rFonts w:hint="eastAsia" w:ascii="Times New Roman" w:hAnsi="Times New Roman" w:eastAsia="宋体" w:cs="Times New Roman"/>
                      <w:color w:val="auto"/>
                      <w:spacing w:val="-2"/>
                      <w:kern w:val="0"/>
                      <w:sz w:val="21"/>
                      <w:szCs w:val="21"/>
                      <w:lang w:val="en-US" w:eastAsia="zh-CN"/>
                    </w:rPr>
                    <w:t>1</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制定事故情况下应急措施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p>
              </w:tc>
              <w:tc>
                <w:tcPr>
                  <w:tcW w:w="4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合计</w:t>
                  </w:r>
                </w:p>
              </w:tc>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10</w:t>
                  </w:r>
                </w:p>
              </w:tc>
              <w:tc>
                <w:tcPr>
                  <w:tcW w:w="22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pacing w:val="-2"/>
                      <w:kern w:val="0"/>
                      <w:sz w:val="21"/>
                      <w:szCs w:val="21"/>
                    </w:rPr>
                  </w:pPr>
                  <w:r>
                    <w:rPr>
                      <w:rFonts w:hint="default" w:ascii="Times New Roman" w:hAnsi="Times New Roman" w:eastAsia="宋体" w:cs="Times New Roman"/>
                      <w:color w:val="auto"/>
                      <w:spacing w:val="-2"/>
                      <w:kern w:val="0"/>
                      <w:sz w:val="21"/>
                      <w:szCs w:val="21"/>
                    </w:rPr>
                    <w:t>--</w:t>
                  </w:r>
                </w:p>
              </w:tc>
            </w:tr>
          </w:tbl>
          <w:p>
            <w:pPr>
              <w:adjustRightInd w:val="0"/>
              <w:snapToGrid w:val="0"/>
              <w:spacing w:line="360" w:lineRule="auto"/>
              <w:rPr>
                <w:rFonts w:hint="eastAsia" w:ascii="Times New Roman" w:hAnsi="Times New Roman" w:eastAsia="宋体" w:cs="Times New Roman"/>
                <w:bCs/>
                <w:color w:val="auto"/>
                <w:sz w:val="24"/>
                <w:lang w:eastAsia="zh-CN"/>
              </w:rPr>
            </w:pPr>
            <w:r>
              <w:rPr>
                <w:rFonts w:hint="eastAsia" w:cs="Times New Roman"/>
                <w:b/>
                <w:color w:val="auto"/>
                <w:sz w:val="24"/>
                <w:lang w:eastAsia="zh-CN"/>
              </w:rPr>
              <w:t>七</w:t>
            </w:r>
            <w:r>
              <w:rPr>
                <w:rFonts w:hint="default" w:ascii="Times New Roman" w:hAnsi="Times New Roman" w:cs="Times New Roman"/>
                <w:b/>
                <w:color w:val="auto"/>
                <w:sz w:val="24"/>
              </w:rPr>
              <w:t>、</w:t>
            </w:r>
            <w:r>
              <w:rPr>
                <w:rFonts w:hint="eastAsia" w:ascii="Times New Roman" w:hAnsi="Times New Roman" w:cs="Times New Roman"/>
                <w:b/>
                <w:bCs/>
                <w:color w:val="auto"/>
                <w:sz w:val="24"/>
                <w:lang w:eastAsia="zh-CN"/>
              </w:rPr>
              <w:t>三本账</w:t>
            </w:r>
          </w:p>
          <w:p>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color w:val="auto"/>
                <w:sz w:val="24"/>
                <w:szCs w:val="24"/>
              </w:rPr>
              <w:t>项目实施后，污染物排放量“三本账”见下表。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表4-1</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w:t>
            </w:r>
            <w:r>
              <w:rPr>
                <w:rFonts w:hint="eastAsia" w:ascii="Times New Roman" w:hAnsi="Times New Roman" w:cs="Times New Roman"/>
                <w:b/>
                <w:bCs/>
                <w:color w:val="auto"/>
                <w:szCs w:val="21"/>
                <w:lang w:eastAsia="zh-CN"/>
              </w:rPr>
              <w:t>项目三本账</w:t>
            </w:r>
            <w:r>
              <w:rPr>
                <w:rFonts w:hint="eastAsia" w:ascii="Times New Roman" w:hAnsi="Times New Roman" w:cs="Times New Roman"/>
                <w:b/>
                <w:bCs/>
                <w:color w:val="auto"/>
                <w:szCs w:val="21"/>
                <w:lang w:val="en-US" w:eastAsia="zh-CN"/>
              </w:rPr>
              <w:t xml:space="preserve">   单位：t/a</w:t>
            </w:r>
          </w:p>
          <w:tbl>
            <w:tblPr>
              <w:tblStyle w:val="39"/>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9"/>
              <w:gridCol w:w="1531"/>
              <w:gridCol w:w="1251"/>
              <w:gridCol w:w="1349"/>
              <w:gridCol w:w="1181"/>
              <w:gridCol w:w="1294"/>
              <w:gridCol w:w="1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88" w:hRule="atLeast"/>
                <w:jc w:val="center"/>
              </w:trPr>
              <w:tc>
                <w:tcPr>
                  <w:tcW w:w="619"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531"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现有项目排放量t/a</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本项目排放量t/a</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以新带老削减量t/a</w:t>
                  </w:r>
                </w:p>
              </w:tc>
              <w:tc>
                <w:tcPr>
                  <w:tcW w:w="1294"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改扩建后总排放量t/a</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增减量t/a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restar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废水</w:t>
                  </w:r>
                </w:p>
              </w:tc>
              <w:tc>
                <w:tcPr>
                  <w:tcW w:w="153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rPr>
                    <w:t>CODcr</w:t>
                  </w:r>
                </w:p>
              </w:tc>
              <w:tc>
                <w:tcPr>
                  <w:tcW w:w="12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kern w:val="2"/>
                      <w:sz w:val="21"/>
                      <w:szCs w:val="21"/>
                      <w:highlight w:val="none"/>
                      <w:vertAlign w:val="baseli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0.2382</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highlight w:val="none"/>
                      <w:lang w:val="en-US" w:eastAsia="zh-CN"/>
                    </w:rPr>
                    <w:t>0.127</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0.3652</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pacing w:val="0"/>
                      <w:highlight w:val="none"/>
                      <w:lang w:val="en-US" w:eastAsia="zh-CN"/>
                    </w:rPr>
                    <w:t>+0.127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12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kern w:val="2"/>
                      <w:sz w:val="21"/>
                      <w:szCs w:val="21"/>
                      <w:highlight w:val="none"/>
                      <w:vertAlign w:val="baseli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0.0386</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highlight w:val="none"/>
                      <w:lang w:val="en-US" w:eastAsia="zh-CN"/>
                    </w:rPr>
                    <w:t>0.0101</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0.0487</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pacing w:val="0"/>
                      <w:highlight w:val="none"/>
                      <w:lang w:val="en-US" w:eastAsia="zh-CN"/>
                    </w:rPr>
                    <w:t>+0.0101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rPr>
                    <w:t>TP</w:t>
                  </w:r>
                </w:p>
              </w:tc>
              <w:tc>
                <w:tcPr>
                  <w:tcW w:w="12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kern w:val="2"/>
                      <w:sz w:val="21"/>
                      <w:szCs w:val="21"/>
                      <w:highlight w:val="none"/>
                      <w:vertAlign w:val="baseline"/>
                      <w:lang w:val="en-US" w:eastAsia="zh-CN" w:bidi="ar-SA"/>
                    </w:rPr>
                  </w:pPr>
                  <w:r>
                    <w:rPr>
                      <w:rFonts w:hint="default" w:ascii="Times New Roman" w:hAnsi="Times New Roman" w:cs="Times New Roman"/>
                      <w:snapToGrid w:val="0"/>
                      <w:color w:val="auto"/>
                      <w:sz w:val="21"/>
                      <w:szCs w:val="21"/>
                      <w:highlight w:val="none"/>
                      <w:vertAlign w:val="baseline"/>
                      <w:lang w:val="en-US" w:eastAsia="zh-CN"/>
                    </w:rPr>
                    <w:t>0.0027</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highlight w:val="none"/>
                      <w:lang w:val="en-US" w:eastAsia="zh-CN"/>
                    </w:rPr>
                    <w:t>0.0012</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0.0039</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pacing w:val="0"/>
                      <w:highlight w:val="none"/>
                      <w:lang w:val="en-US" w:eastAsia="zh-CN"/>
                    </w:rPr>
                    <w:t>+0.0012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restar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w:t>
                  </w:r>
                </w:p>
              </w:tc>
              <w:tc>
                <w:tcPr>
                  <w:tcW w:w="1531" w:type="dxa"/>
                  <w:tcBorders>
                    <w:tl2br w:val="nil"/>
                    <w:tr2bl w:val="nil"/>
                  </w:tcBorders>
                  <w:noWrap w:val="0"/>
                  <w:vAlign w:val="center"/>
                </w:tcPr>
                <w:p>
                  <w:pPr>
                    <w:pStyle w:val="219"/>
                    <w:spacing w:line="240" w:lineRule="auto"/>
                    <w:rPr>
                      <w:rFonts w:hint="default" w:ascii="Times New Roman" w:hAnsi="Times New Roman" w:eastAsia="楷体_GB2312" w:cs="Times New Roman"/>
                      <w:color w:val="auto"/>
                      <w:sz w:val="21"/>
                      <w:szCs w:val="21"/>
                      <w:lang w:eastAsia="zh-CN"/>
                    </w:rPr>
                  </w:pPr>
                  <w:r>
                    <w:rPr>
                      <w:rFonts w:hint="default" w:ascii="Times New Roman" w:hAnsi="Times New Roman" w:eastAsia="宋体" w:cs="Times New Roman"/>
                      <w:b w:val="0"/>
                      <w:bCs/>
                      <w:color w:val="auto"/>
                      <w:sz w:val="21"/>
                      <w:szCs w:val="21"/>
                      <w:lang w:eastAsia="zh-CN"/>
                    </w:rPr>
                    <w:t>颗粒物</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7.009</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3.468</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10.477</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+3.468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氮氧化物</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14.973</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5.739</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20.712</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+5.739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二氧化硫</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1.3205</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0.5312</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1.8517</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+0.5312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甲醛</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0.702</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0.2726</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0.9746</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+0.2726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有机废气</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2.2366</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0.8465</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3.0831</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+0.8465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氨</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0.0473</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0.0473</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+0.0473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pStyle w:val="219"/>
                    <w:spacing w:line="240" w:lineRule="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color w:val="auto"/>
                      <w:sz w:val="21"/>
                      <w:szCs w:val="21"/>
                      <w:lang w:eastAsia="zh-CN"/>
                    </w:rPr>
                    <w:t>汞及其化合物</w:t>
                  </w:r>
                </w:p>
              </w:tc>
              <w:tc>
                <w:tcPr>
                  <w:tcW w:w="1251"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0.000022</w:t>
                  </w:r>
                </w:p>
              </w:tc>
              <w:tc>
                <w:tcPr>
                  <w:tcW w:w="1349"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highlight w:val="none"/>
                      <w:lang w:val="en-US" w:eastAsia="zh-CN"/>
                    </w:rPr>
                    <w:t>0.000008</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280"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highlight w:val="none"/>
                      <w:lang w:val="en-US" w:eastAsia="zh-CN"/>
                    </w:rPr>
                    <w:t>+0.000008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restart"/>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固废</w:t>
                  </w: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rPr>
                    <w:t>生活垃圾</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6.3</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highlight w:val="none"/>
                      <w:lang w:val="en-US" w:eastAsia="zh-CN"/>
                    </w:rPr>
                    <w:t>1.8</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eastAsia="zh-CN"/>
                    </w:rPr>
                    <w:t>收集的粉尘</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120.625</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val="en-US" w:eastAsia="zh-CN"/>
                    </w:rPr>
                    <w:t>68.456</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189.081</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+68.456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废边角料、不合格品</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310</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highlight w:val="none"/>
                      <w:lang w:val="en-US" w:eastAsia="zh-CN"/>
                    </w:rPr>
                    <w:t>110</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420</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highlight w:val="none"/>
                      <w:lang w:val="zh-CN" w:eastAsia="zh-CN"/>
                    </w:rPr>
                    <w:t>泥沙、石块、金属等杂质</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val="en-US" w:eastAsia="zh-CN"/>
                    </w:rPr>
                    <w:t>2.0</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04"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highlight w:val="none"/>
                      <w:lang w:val="zh-CN" w:eastAsia="zh-CN"/>
                    </w:rPr>
                    <w:t>水膜除尘循环水池中沉渣</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val="en-US" w:eastAsia="zh-CN"/>
                    </w:rPr>
                    <w:t>0.4</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highlight w:val="none"/>
                      <w:lang w:val="zh-CN" w:eastAsia="zh-CN"/>
                    </w:rPr>
                    <w:t>生物质燃料灰渣</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233.57</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val="en-US" w:eastAsia="zh-CN"/>
                    </w:rPr>
                    <w:t>87</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320.57</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highlight w:val="none"/>
                      <w:lang w:val="zh-CN" w:eastAsia="zh-CN"/>
                    </w:rPr>
                    <w:t>废包装材料</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val="en-US" w:eastAsia="zh-CN"/>
                    </w:rPr>
                    <w:t>0.5</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 w:val="21"/>
                      <w:szCs w:val="21"/>
                      <w:highlight w:val="none"/>
                      <w:lang w:val="zh-CN" w:eastAsia="zh-CN" w:bidi="ar-SA"/>
                    </w:rPr>
                  </w:pPr>
                  <w:r>
                    <w:rPr>
                      <w:rFonts w:hint="default" w:ascii="Times New Roman" w:hAnsi="Times New Roman" w:cs="Times New Roman"/>
                      <w:bCs/>
                      <w:color w:val="auto"/>
                      <w:kern w:val="0"/>
                      <w:highlight w:val="none"/>
                    </w:rPr>
                    <w:t>废机油、废机油桶、含油手套</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0.02</w:t>
                  </w:r>
                </w:p>
              </w:tc>
              <w:tc>
                <w:tcPr>
                  <w:tcW w:w="1349"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lang w:val="en-US" w:eastAsia="zh-CN"/>
                    </w:rPr>
                    <w:t>0.015</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0.035</w:t>
                  </w:r>
                </w:p>
              </w:tc>
              <w:tc>
                <w:tcPr>
                  <w:tcW w:w="1280"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kern w:val="0"/>
                      <w:highlight w:val="none"/>
                      <w:lang w:val="en-US" w:eastAsia="zh-CN"/>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highlight w:val="none"/>
                      <w:lang w:val="en-US" w:eastAsia="zh-CN"/>
                    </w:rPr>
                    <w:t>废导热油</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1349"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lang w:val="en-US" w:eastAsia="zh-CN"/>
                    </w:rPr>
                    <w:t>1.0</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80"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kern w:val="0"/>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 w:val="21"/>
                      <w:szCs w:val="21"/>
                      <w:highlight w:val="none"/>
                      <w:lang w:val="zh-CN" w:eastAsia="zh-CN" w:bidi="ar-SA"/>
                    </w:rPr>
                  </w:pPr>
                  <w:r>
                    <w:rPr>
                      <w:rFonts w:hint="default" w:ascii="Times New Roman" w:hAnsi="Times New Roman" w:cs="Times New Roman"/>
                      <w:bCs/>
                      <w:color w:val="auto"/>
                      <w:kern w:val="0"/>
                      <w:highlight w:val="none"/>
                      <w:lang w:val="en-US" w:eastAsia="zh-CN"/>
                    </w:rPr>
                    <w:t>废胶</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w:t>
                  </w:r>
                </w:p>
              </w:tc>
              <w:tc>
                <w:tcPr>
                  <w:tcW w:w="1349"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lang w:val="en-US" w:eastAsia="zh-CN"/>
                    </w:rPr>
                    <w:t>1.686</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2"/>
                      <w:sz w:val="21"/>
                      <w:szCs w:val="21"/>
                      <w:lang w:val="en-US" w:eastAsia="zh-CN" w:bidi="ar-SA"/>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1.886</w:t>
                  </w:r>
                </w:p>
              </w:tc>
              <w:tc>
                <w:tcPr>
                  <w:tcW w:w="1280"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kern w:val="0"/>
                      <w:highlight w:val="none"/>
                      <w:lang w:val="en-US" w:eastAsia="zh-CN"/>
                    </w:rPr>
                    <w:t>+1.686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9" w:type="dxa"/>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p>
              </w:tc>
              <w:tc>
                <w:tcPr>
                  <w:tcW w:w="1531"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bCs/>
                      <w:color w:val="auto"/>
                      <w:kern w:val="0"/>
                      <w:sz w:val="21"/>
                      <w:szCs w:val="21"/>
                      <w:highlight w:val="none"/>
                      <w:lang w:val="en-GB" w:eastAsia="zh-CN" w:bidi="ar-SA"/>
                    </w:rPr>
                  </w:pPr>
                  <w:r>
                    <w:rPr>
                      <w:rFonts w:hint="default" w:ascii="Times New Roman" w:hAnsi="Times New Roman" w:cs="Times New Roman"/>
                      <w:color w:val="auto"/>
                      <w:highlight w:val="none"/>
                    </w:rPr>
                    <w:t>废活性炭</w:t>
                  </w:r>
                </w:p>
              </w:tc>
              <w:tc>
                <w:tcPr>
                  <w:tcW w:w="125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1349"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highlight w:val="none"/>
                      <w:lang w:val="en-US" w:eastAsia="zh-CN"/>
                    </w:rPr>
                    <w:t>2</w:t>
                  </w:r>
                </w:p>
              </w:tc>
              <w:tc>
                <w:tcPr>
                  <w:tcW w:w="1181" w:type="dxa"/>
                  <w:tcBorders>
                    <w:tl2br w:val="nil"/>
                    <w:tr2bl w:val="nil"/>
                  </w:tcBorders>
                  <w:noWrap w:val="0"/>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12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80" w:type="dxa"/>
                  <w:tcBorders>
                    <w:tl2br w:val="nil"/>
                    <w:tr2bl w:val="nil"/>
                  </w:tcBorders>
                  <w:noWrap w:val="0"/>
                  <w:vAlign w:val="center"/>
                </w:tcPr>
                <w:p>
                  <w:pPr>
                    <w:keepNext w:val="0"/>
                    <w:keepLines w:val="0"/>
                    <w:pageBreakBefore w:val="0"/>
                    <w:widowControl w:val="0"/>
                    <w:tabs>
                      <w:tab w:val="left" w:pos="195"/>
                    </w:tabs>
                    <w:kinsoku/>
                    <w:wordWrap/>
                    <w:overflowPunct/>
                    <w:topLinePunct w:val="0"/>
                    <w:autoSpaceDE/>
                    <w:autoSpaceDN/>
                    <w:bidi w:val="0"/>
                    <w:adjustRightInd/>
                    <w:snapToGrid w:val="0"/>
                    <w:jc w:val="center"/>
                    <w:textAlignment w:val="auto"/>
                    <w:rPr>
                      <w:rFonts w:hint="default" w:ascii="Times New Roman" w:hAnsi="Times New Roman" w:cs="Times New Roman"/>
                      <w:color w:val="auto"/>
                    </w:rPr>
                  </w:pPr>
                  <w:r>
                    <w:rPr>
                      <w:rFonts w:hint="default" w:ascii="Times New Roman" w:hAnsi="Times New Roman" w:cs="Times New Roman"/>
                      <w:bCs/>
                      <w:color w:val="auto"/>
                      <w:kern w:val="0"/>
                      <w:highlight w:val="none"/>
                      <w:lang w:val="en-US" w:eastAsia="zh-CN"/>
                    </w:rPr>
                    <w:t>+2</w:t>
                  </w:r>
                </w:p>
              </w:tc>
            </w:tr>
          </w:tbl>
          <w:p>
            <w:pPr>
              <w:adjustRightInd w:val="0"/>
              <w:snapToGrid w:val="0"/>
              <w:spacing w:line="360" w:lineRule="auto"/>
              <w:rPr>
                <w:rFonts w:hint="default" w:ascii="Times New Roman" w:hAnsi="Times New Roman" w:cs="Times New Roman"/>
                <w:bCs/>
                <w:color w:val="auto"/>
                <w:sz w:val="24"/>
              </w:rPr>
            </w:pPr>
            <w:r>
              <w:rPr>
                <w:rFonts w:hint="eastAsia" w:cs="Times New Roman"/>
                <w:b/>
                <w:color w:val="auto"/>
                <w:sz w:val="24"/>
                <w:lang w:eastAsia="zh-CN"/>
              </w:rPr>
              <w:t>八</w:t>
            </w:r>
            <w:r>
              <w:rPr>
                <w:rFonts w:hint="default" w:ascii="Times New Roman" w:hAnsi="Times New Roman" w:cs="Times New Roman"/>
                <w:b/>
                <w:color w:val="auto"/>
                <w:sz w:val="24"/>
              </w:rPr>
              <w:t>、</w:t>
            </w:r>
            <w:r>
              <w:rPr>
                <w:rFonts w:hint="default" w:ascii="Times New Roman" w:hAnsi="Times New Roman" w:cs="Times New Roman"/>
                <w:b/>
                <w:bCs/>
                <w:color w:val="auto"/>
                <w:sz w:val="24"/>
              </w:rPr>
              <w:t>环保投资估算一览表</w:t>
            </w:r>
          </w:p>
          <w:p>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本项目</w:t>
            </w:r>
            <w:r>
              <w:rPr>
                <w:rFonts w:hint="default" w:ascii="Times New Roman" w:hAnsi="Times New Roman" w:cs="Times New Roman"/>
                <w:color w:val="auto"/>
                <w:kern w:val="2"/>
                <w:szCs w:val="24"/>
              </w:rPr>
              <w:t>总投资</w:t>
            </w:r>
            <w:r>
              <w:rPr>
                <w:rFonts w:hint="default" w:ascii="Times New Roman" w:hAnsi="Times New Roman" w:cs="Times New Roman"/>
                <w:color w:val="auto"/>
                <w:kern w:val="2"/>
                <w:szCs w:val="24"/>
                <w:lang w:val="en-US" w:eastAsia="zh-CN"/>
              </w:rPr>
              <w:t>3500</w:t>
            </w:r>
            <w:r>
              <w:rPr>
                <w:rFonts w:hint="default" w:ascii="Times New Roman" w:hAnsi="Times New Roman" w:cs="Times New Roman"/>
                <w:color w:val="auto"/>
                <w:kern w:val="2"/>
                <w:szCs w:val="24"/>
              </w:rPr>
              <w:t>万元，其中</w:t>
            </w:r>
            <w:r>
              <w:rPr>
                <w:rFonts w:hint="default" w:ascii="Times New Roman" w:hAnsi="Times New Roman" w:cs="Times New Roman"/>
                <w:color w:val="auto"/>
                <w:kern w:val="2"/>
                <w:szCs w:val="24"/>
                <w:highlight w:val="none"/>
              </w:rPr>
              <w:t>环保投资</w:t>
            </w:r>
            <w:r>
              <w:rPr>
                <w:rFonts w:hint="default" w:ascii="Times New Roman" w:hAnsi="Times New Roman" w:cs="Times New Roman"/>
                <w:color w:val="auto"/>
                <w:kern w:val="2"/>
                <w:szCs w:val="24"/>
                <w:highlight w:val="none"/>
                <w:lang w:val="en-US" w:eastAsia="zh-CN"/>
              </w:rPr>
              <w:t>74</w:t>
            </w:r>
            <w:r>
              <w:rPr>
                <w:rFonts w:hint="default" w:ascii="Times New Roman" w:hAnsi="Times New Roman" w:cs="Times New Roman"/>
                <w:color w:val="auto"/>
                <w:kern w:val="2"/>
                <w:szCs w:val="24"/>
                <w:highlight w:val="none"/>
              </w:rPr>
              <w:t>万元，环保投资占总投资比例</w:t>
            </w:r>
            <w:r>
              <w:rPr>
                <w:rFonts w:hint="default" w:ascii="Times New Roman" w:hAnsi="Times New Roman" w:cs="Times New Roman"/>
                <w:color w:val="auto"/>
                <w:kern w:val="2"/>
                <w:szCs w:val="24"/>
                <w:highlight w:val="none"/>
                <w:lang w:val="en-US" w:eastAsia="zh-CN"/>
              </w:rPr>
              <w:t>2.1</w:t>
            </w:r>
            <w:r>
              <w:rPr>
                <w:rFonts w:hint="default" w:ascii="Times New Roman" w:hAnsi="Times New Roman" w:cs="Times New Roman"/>
                <w:color w:val="auto"/>
                <w:kern w:val="2"/>
                <w:szCs w:val="24"/>
                <w:highlight w:val="none"/>
              </w:rPr>
              <w:t>%</w:t>
            </w:r>
            <w:r>
              <w:rPr>
                <w:rFonts w:hint="default" w:ascii="Times New Roman" w:hAnsi="Times New Roman" w:cs="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表4-1</w:t>
            </w:r>
            <w:r>
              <w:rPr>
                <w:rFonts w:hint="eastAsia" w:cs="Times New Roman"/>
                <w:b/>
                <w:bCs/>
                <w:color w:val="auto"/>
                <w:szCs w:val="21"/>
                <w:lang w:val="en-US" w:eastAsia="zh-CN"/>
              </w:rPr>
              <w:t>9</w:t>
            </w:r>
            <w:r>
              <w:rPr>
                <w:rFonts w:hint="default" w:ascii="Times New Roman" w:hAnsi="Times New Roman" w:cs="Times New Roman"/>
                <w:b/>
                <w:bCs/>
                <w:color w:val="auto"/>
                <w:szCs w:val="21"/>
              </w:rPr>
              <w:t xml:space="preserve">  环保设施（措施）及投资估算一览表  单位：万元</w:t>
            </w:r>
          </w:p>
          <w:tbl>
            <w:tblPr>
              <w:tblStyle w:val="39"/>
              <w:tblW w:w="8504"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43"/>
              <w:gridCol w:w="5859"/>
              <w:gridCol w:w="975"/>
              <w:gridCol w:w="82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585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投资</w:t>
                  </w:r>
                </w:p>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rPr>
                    <w:t>削片粉尘：进行湿式作业，并设喷雾装置处理</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粉碎粉尘：依托现有旋风除尘器+脉冲式布袋除尘器处理，由1根15m排气筒（2#）排放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风选粉尘：设置管道进行密闭负压抽风，通入旋风除尘器+脉冲布袋除尘器处理，经1根15m高排气筒（4#）排放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裁边砂光粉尘：设置集气罩收集，经过脉冲式布袋除尘器处理，由1根15m排气筒（5#）排放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拌胶热压废气、导热油炉废气：引入热能中心燃烧处理，经干燥后引入</w:t>
                  </w:r>
                  <w:r>
                    <w:rPr>
                      <w:rFonts w:hint="eastAsia" w:ascii="Times New Roman" w:hAnsi="Times New Roman" w:eastAsia="宋体" w:cs="Times New Roman"/>
                      <w:b w:val="0"/>
                      <w:bCs/>
                      <w:color w:val="auto"/>
                      <w:sz w:val="21"/>
                      <w:szCs w:val="21"/>
                      <w:lang w:val="en-US" w:eastAsia="zh-CN"/>
                    </w:rPr>
                    <w:t>现有</w:t>
                  </w:r>
                  <w:r>
                    <w:rPr>
                      <w:rFonts w:hint="default" w:ascii="Times New Roman" w:hAnsi="Times New Roman" w:eastAsia="宋体" w:cs="Times New Roman"/>
                      <w:b w:val="0"/>
                      <w:bCs/>
                      <w:color w:val="auto"/>
                      <w:sz w:val="21"/>
                      <w:szCs w:val="21"/>
                      <w:lang w:val="en-US" w:eastAsia="zh-CN"/>
                    </w:rPr>
                    <w:t>旋风除尘+水膜除尘处理，经1根25m高排气筒（1#）排放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甲醛储罐废气：引入一套活性炭吸附装置处理，经1根15m高排气筒（6#）排放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制胶废气、燃气锅炉废气：</w:t>
                  </w:r>
                  <w:r>
                    <w:rPr>
                      <w:rFonts w:hint="default" w:ascii="Times New Roman" w:hAnsi="Times New Roman" w:eastAsia="宋体" w:cs="Times New Roman"/>
                      <w:b w:val="0"/>
                      <w:bCs/>
                      <w:color w:val="auto"/>
                      <w:sz w:val="21"/>
                      <w:szCs w:val="21"/>
                      <w:highlight w:val="none"/>
                      <w:lang w:eastAsia="zh-CN"/>
                    </w:rPr>
                    <w:t>制胶反应釜设置密闭管道</w:t>
                  </w:r>
                  <w:r>
                    <w:rPr>
                      <w:rFonts w:hint="default" w:ascii="Times New Roman" w:hAnsi="Times New Roman" w:eastAsia="宋体" w:cs="Times New Roman"/>
                      <w:b w:val="0"/>
                      <w:bCs/>
                      <w:color w:val="auto"/>
                      <w:sz w:val="21"/>
                      <w:szCs w:val="21"/>
                      <w:highlight w:val="none"/>
                    </w:rPr>
                    <w:t>，将</w:t>
                  </w:r>
                  <w:r>
                    <w:rPr>
                      <w:rFonts w:hint="default" w:ascii="Times New Roman" w:hAnsi="Times New Roman" w:eastAsia="宋体" w:cs="Times New Roman"/>
                      <w:b w:val="0"/>
                      <w:bCs/>
                      <w:color w:val="auto"/>
                      <w:sz w:val="21"/>
                      <w:szCs w:val="21"/>
                      <w:highlight w:val="none"/>
                      <w:lang w:eastAsia="zh-CN"/>
                    </w:rPr>
                    <w:t>制胶</w:t>
                  </w:r>
                  <w:r>
                    <w:rPr>
                      <w:rFonts w:hint="default" w:ascii="Times New Roman" w:hAnsi="Times New Roman" w:eastAsia="宋体" w:cs="Times New Roman"/>
                      <w:b w:val="0"/>
                      <w:bCs/>
                      <w:color w:val="auto"/>
                      <w:sz w:val="21"/>
                      <w:szCs w:val="21"/>
                      <w:highlight w:val="none"/>
                    </w:rPr>
                    <w:t>废气引至天然气锅炉</w:t>
                  </w:r>
                  <w:r>
                    <w:rPr>
                      <w:rFonts w:hint="default" w:ascii="Times New Roman" w:hAnsi="Times New Roman" w:eastAsia="宋体" w:cs="Times New Roman"/>
                      <w:b w:val="0"/>
                      <w:bCs/>
                      <w:color w:val="auto"/>
                      <w:sz w:val="21"/>
                      <w:szCs w:val="21"/>
                      <w:highlight w:val="none"/>
                      <w:lang w:val="en-US" w:eastAsia="zh-CN"/>
                    </w:rPr>
                    <w:t>低氮燃烧装置，燃烧后经</w:t>
                  </w:r>
                  <w:r>
                    <w:rPr>
                      <w:rFonts w:hint="default" w:ascii="Times New Roman" w:hAnsi="Times New Roman" w:eastAsia="宋体" w:cs="Times New Roman"/>
                      <w:b w:val="0"/>
                      <w:bCs/>
                      <w:color w:val="auto"/>
                      <w:kern w:val="0"/>
                      <w:sz w:val="21"/>
                      <w:szCs w:val="21"/>
                    </w:rPr>
                    <w:t>1根15m排气筒（</w:t>
                  </w:r>
                  <w:r>
                    <w:rPr>
                      <w:rFonts w:hint="default" w:ascii="Times New Roman" w:hAnsi="Times New Roman" w:eastAsia="宋体" w:cs="Times New Roman"/>
                      <w:b w:val="0"/>
                      <w:bCs/>
                      <w:color w:val="auto"/>
                      <w:kern w:val="0"/>
                      <w:sz w:val="21"/>
                      <w:szCs w:val="21"/>
                      <w:lang w:val="en-US" w:eastAsia="zh-CN"/>
                    </w:rPr>
                    <w:t>7</w:t>
                  </w:r>
                  <w:r>
                    <w:rPr>
                      <w:rFonts w:hint="default" w:ascii="Times New Roman" w:hAnsi="Times New Roman" w:eastAsia="宋体"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rPr>
                    <w:t>）排放</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废水治理</w:t>
                  </w: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软水制备浓水、锅炉排水、生活污水经厂区已建预处理池处理后排入园区污水管网</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设置一座循环冷却水池</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噪声治理</w:t>
                  </w: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减震处理</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合理布局</w:t>
                  </w:r>
                  <w:r>
                    <w:rPr>
                      <w:rFonts w:hint="default" w:ascii="Times New Roman" w:hAnsi="Times New Roman" w:eastAsia="宋体" w:cs="Times New Roman"/>
                      <w:b w:val="0"/>
                      <w:bCs/>
                      <w:color w:val="auto"/>
                      <w:sz w:val="21"/>
                      <w:szCs w:val="21"/>
                    </w:rPr>
                    <w:t>及建筑隔声</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固废处理</w:t>
                  </w: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yellow"/>
                      <w:lang w:val="en-US" w:eastAsia="zh-CN"/>
                    </w:rPr>
                  </w:pPr>
                  <w:r>
                    <w:rPr>
                      <w:rFonts w:hint="default" w:ascii="Times New Roman" w:hAnsi="Times New Roman" w:eastAsia="宋体" w:cs="Times New Roman"/>
                      <w:b w:val="0"/>
                      <w:bCs/>
                      <w:color w:val="auto"/>
                      <w:sz w:val="21"/>
                      <w:szCs w:val="21"/>
                    </w:rPr>
                    <w:t>生活垃圾集中收集至垃圾桶中，由环卫部门定期清理</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收集的粉尘外售</w:t>
                  </w:r>
                  <w:r>
                    <w:rPr>
                      <w:rFonts w:hint="eastAsia" w:ascii="Times New Roman" w:eastAsia="宋体" w:cs="Times New Roman"/>
                      <w:b w:val="0"/>
                      <w:bCs/>
                      <w:color w:val="auto"/>
                      <w:sz w:val="21"/>
                      <w:szCs w:val="21"/>
                      <w:lang w:val="en-US" w:eastAsia="zh-CN"/>
                    </w:rPr>
                    <w:t>给</w:t>
                  </w:r>
                  <w:r>
                    <w:rPr>
                      <w:rFonts w:hint="default" w:ascii="Times New Roman" w:hAnsi="Times New Roman" w:eastAsia="宋体" w:cs="Times New Roman"/>
                      <w:b w:val="0"/>
                      <w:bCs/>
                      <w:color w:val="auto"/>
                      <w:sz w:val="21"/>
                      <w:szCs w:val="21"/>
                      <w:lang w:val="en-US" w:eastAsia="zh-CN"/>
                    </w:rPr>
                    <w:t>可回收利用的单位；废边角料、不合格品回用于生产；金属外售废品回收站，泥沙运至弃土堆场；沉渣、灰渣外售用作有机肥；5#</w:t>
                  </w:r>
                  <w:r>
                    <w:rPr>
                      <w:rFonts w:hint="default" w:ascii="Times New Roman" w:hAnsi="Times New Roman" w:eastAsia="宋体" w:cs="Times New Roman"/>
                      <w:b w:val="0"/>
                      <w:bCs/>
                      <w:color w:val="auto"/>
                      <w:sz w:val="21"/>
                      <w:szCs w:val="21"/>
                    </w:rPr>
                    <w:t>厂房设置危险废物暂存间约5m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，危废交有资质的单位处置</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风险防范</w:t>
                  </w:r>
                </w:p>
              </w:tc>
              <w:tc>
                <w:tcPr>
                  <w:tcW w:w="5859" w:type="dxa"/>
                  <w:tcBorders>
                    <w:tl2br w:val="nil"/>
                    <w:tr2bl w:val="nil"/>
                  </w:tcBorders>
                  <w:noWrap w:val="0"/>
                  <w:vAlign w:val="center"/>
                </w:tcPr>
                <w:p>
                  <w:pPr>
                    <w:pStyle w:val="16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装置应急池、按要求配置一定量的风险物资等</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地下水防渗</w:t>
                  </w:r>
                </w:p>
              </w:tc>
              <w:tc>
                <w:tcPr>
                  <w:tcW w:w="5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
                      <w:bCs/>
                      <w:color w:val="auto"/>
                      <w:kern w:val="0"/>
                      <w:sz w:val="21"/>
                      <w:szCs w:val="21"/>
                    </w:rPr>
                    <w:t>重点防渗区：</w:t>
                  </w:r>
                  <w:r>
                    <w:rPr>
                      <w:rFonts w:hint="default" w:ascii="Times New Roman" w:hAnsi="Times New Roman" w:cs="Times New Roman"/>
                      <w:b w:val="0"/>
                      <w:bCs w:val="0"/>
                      <w:color w:val="auto"/>
                      <w:kern w:val="0"/>
                      <w:sz w:val="21"/>
                      <w:szCs w:val="21"/>
                      <w:lang w:eastAsia="zh-CN"/>
                    </w:rPr>
                    <w:t>胶储存区、制胶车间、事故池采取防渗</w:t>
                  </w:r>
                  <w:r>
                    <w:rPr>
                      <w:rFonts w:hint="default" w:ascii="Times New Roman" w:hAnsi="Times New Roman" w:cs="Times New Roman"/>
                      <w:b w:val="0"/>
                      <w:bCs w:val="0"/>
                      <w:color w:val="auto"/>
                      <w:kern w:val="0"/>
                      <w:sz w:val="21"/>
                      <w:szCs w:val="21"/>
                    </w:rPr>
                    <w:t>混凝土</w:t>
                  </w:r>
                  <w:r>
                    <w:rPr>
                      <w:rFonts w:hint="default" w:ascii="Times New Roman" w:hAnsi="Times New Roman" w:cs="Times New Roman"/>
                      <w:b w:val="0"/>
                      <w:bCs w:val="0"/>
                      <w:color w:val="auto"/>
                      <w:kern w:val="0"/>
                      <w:sz w:val="21"/>
                      <w:szCs w:val="21"/>
                      <w:lang w:val="en-US" w:eastAsia="zh-CN"/>
                    </w:rPr>
                    <w:t>+</w:t>
                  </w:r>
                  <w:r>
                    <w:rPr>
                      <w:rFonts w:hint="default" w:ascii="Times New Roman" w:hAnsi="Times New Roman" w:cs="Times New Roman"/>
                      <w:b w:val="0"/>
                      <w:bCs w:val="0"/>
                      <w:color w:val="auto"/>
                      <w:kern w:val="0"/>
                      <w:sz w:val="21"/>
                      <w:szCs w:val="21"/>
                      <w:lang w:eastAsia="zh-CN"/>
                    </w:rPr>
                    <w:t>铺设改性沥青防渗卷材、环氧树脂防渗层，</w:t>
                  </w:r>
                  <w:r>
                    <w:rPr>
                      <w:rFonts w:hint="default" w:ascii="Times New Roman" w:hAnsi="Times New Roman" w:cs="Times New Roman"/>
                      <w:b w:val="0"/>
                      <w:bCs w:val="0"/>
                      <w:color w:val="auto"/>
                      <w:kern w:val="0"/>
                      <w:sz w:val="21"/>
                      <w:szCs w:val="21"/>
                    </w:rPr>
                    <w:t>达到等效粘土防渗层Mb≥6.0m，渗透系数为≤10</w:t>
                  </w:r>
                  <w:r>
                    <w:rPr>
                      <w:rFonts w:hint="default" w:ascii="Times New Roman" w:hAnsi="Times New Roman" w:cs="Times New Roman"/>
                      <w:b w:val="0"/>
                      <w:bCs w:val="0"/>
                      <w:color w:val="auto"/>
                      <w:kern w:val="0"/>
                      <w:sz w:val="21"/>
                      <w:szCs w:val="21"/>
                      <w:vertAlign w:val="superscript"/>
                    </w:rPr>
                    <w:t>-7</w:t>
                  </w:r>
                  <w:r>
                    <w:rPr>
                      <w:rFonts w:hint="default" w:ascii="Times New Roman" w:hAnsi="Times New Roman" w:cs="Times New Roman"/>
                      <w:b w:val="0"/>
                      <w:bCs w:val="0"/>
                      <w:color w:val="auto"/>
                      <w:kern w:val="0"/>
                      <w:sz w:val="21"/>
                      <w:szCs w:val="21"/>
                    </w:rPr>
                    <w:t>cm/s的效果；危废暂存间采取“</w:t>
                  </w:r>
                  <w:r>
                    <w:rPr>
                      <w:rFonts w:hint="default" w:ascii="Times New Roman" w:hAnsi="Times New Roman" w:cs="Times New Roman"/>
                      <w:b w:val="0"/>
                      <w:bCs w:val="0"/>
                      <w:color w:val="auto"/>
                      <w:kern w:val="0"/>
                      <w:sz w:val="21"/>
                      <w:szCs w:val="21"/>
                      <w:lang w:eastAsia="zh-CN"/>
                    </w:rPr>
                    <w:t>防渗</w:t>
                  </w:r>
                  <w:r>
                    <w:rPr>
                      <w:rFonts w:hint="default" w:ascii="Times New Roman" w:hAnsi="Times New Roman" w:cs="Times New Roman"/>
                      <w:b w:val="0"/>
                      <w:bCs w:val="0"/>
                      <w:color w:val="auto"/>
                      <w:kern w:val="0"/>
                      <w:sz w:val="21"/>
                      <w:szCs w:val="21"/>
                    </w:rPr>
                    <w:t>混凝土+2mm厚</w:t>
                  </w:r>
                  <w:r>
                    <w:rPr>
                      <w:rFonts w:hint="default" w:ascii="Times New Roman" w:hAnsi="Times New Roman" w:cs="Times New Roman"/>
                      <w:b w:val="0"/>
                      <w:bCs w:val="0"/>
                      <w:color w:val="auto"/>
                      <w:kern w:val="0"/>
                      <w:sz w:val="21"/>
                      <w:szCs w:val="21"/>
                      <w:lang w:val="en-US" w:eastAsia="zh-CN"/>
                    </w:rPr>
                    <w:t>HDPE膜</w:t>
                  </w:r>
                  <w:r>
                    <w:rPr>
                      <w:rFonts w:hint="default" w:ascii="Times New Roman" w:hAnsi="Times New Roman" w:cs="Times New Roman"/>
                      <w:b w:val="0"/>
                      <w:bCs w:val="0"/>
                      <w:color w:val="auto"/>
                      <w:kern w:val="0"/>
                      <w:sz w:val="21"/>
                      <w:szCs w:val="21"/>
                    </w:rPr>
                    <w:t>+防渗托盘”等防渗措施，等效粘土防渗层Mb≥6.0m，渗透系数为≤10</w:t>
                  </w:r>
                  <w:r>
                    <w:rPr>
                      <w:rFonts w:hint="default" w:ascii="Times New Roman" w:hAnsi="Times New Roman" w:cs="Times New Roman"/>
                      <w:b w:val="0"/>
                      <w:bCs w:val="0"/>
                      <w:color w:val="auto"/>
                      <w:kern w:val="0"/>
                      <w:sz w:val="21"/>
                      <w:szCs w:val="21"/>
                      <w:vertAlign w:val="superscript"/>
                    </w:rPr>
                    <w:t>-10</w:t>
                  </w:r>
                  <w:r>
                    <w:rPr>
                      <w:rFonts w:hint="default" w:ascii="Times New Roman" w:hAnsi="Times New Roman" w:cs="Times New Roman"/>
                      <w:b w:val="0"/>
                      <w:bCs w:val="0"/>
                      <w:color w:val="auto"/>
                      <w:kern w:val="0"/>
                      <w:sz w:val="21"/>
                      <w:szCs w:val="21"/>
                    </w:rPr>
                    <w:t>cm/s的效果</w:t>
                  </w:r>
                  <w:r>
                    <w:rPr>
                      <w:rFonts w:hint="default" w:ascii="Times New Roman" w:hAnsi="Times New Roman" w:cs="Times New Roman"/>
                      <w:b w:val="0"/>
                      <w:bCs w:val="0"/>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
                      <w:bCs/>
                      <w:color w:val="auto"/>
                      <w:sz w:val="21"/>
                      <w:szCs w:val="21"/>
                    </w:rPr>
                    <w:t>一般防渗区：</w:t>
                  </w:r>
                  <w:r>
                    <w:rPr>
                      <w:rFonts w:hint="default" w:ascii="Times New Roman" w:hAnsi="Times New Roman" w:cs="Times New Roman"/>
                      <w:b w:val="0"/>
                      <w:bCs w:val="0"/>
                      <w:color w:val="auto"/>
                      <w:sz w:val="21"/>
                      <w:szCs w:val="21"/>
                      <w:lang w:eastAsia="zh-CN"/>
                    </w:rPr>
                    <w:t>车间其余区域</w:t>
                  </w:r>
                  <w:r>
                    <w:rPr>
                      <w:rFonts w:hint="default" w:ascii="Times New Roman" w:hAnsi="Times New Roman" w:cs="Times New Roman"/>
                      <w:b w:val="0"/>
                      <w:bCs w:val="0"/>
                      <w:color w:val="auto"/>
                      <w:sz w:val="21"/>
                      <w:szCs w:val="21"/>
                    </w:rPr>
                    <w:t>等已采取防渗混凝土防渗，可以达到等效黏土防渗层Mb≥1.5m，K≤1×10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cm/s要求</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依托+新增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环境管理</w:t>
                  </w:r>
                </w:p>
              </w:tc>
              <w:tc>
                <w:tcPr>
                  <w:tcW w:w="585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项目环保措施“三同时”监理，运营期环境监测计划监测等</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670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合计</w:t>
                  </w:r>
                </w:p>
              </w:tc>
              <w:tc>
                <w:tcPr>
                  <w:tcW w:w="97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sz w:val="10"/>
                <w:szCs w:val="10"/>
                <w:lang w:eastAsia="zh-CN"/>
              </w:rPr>
            </w:pPr>
          </w:p>
        </w:tc>
      </w:tr>
    </w:tbl>
    <w:p>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12" w:name="_Hlk54167917"/>
      <w:r>
        <w:rPr>
          <w:rFonts w:hint="default" w:ascii="Times New Roman" w:hAnsi="Times New Roman" w:eastAsia="黑体" w:cs="Times New Roman"/>
          <w:snapToGrid w:val="0"/>
          <w:color w:val="auto"/>
          <w:sz w:val="30"/>
          <w:szCs w:val="30"/>
        </w:rPr>
        <w:t>环境保护措施监督检查清单</w:t>
      </w:r>
      <w:bookmarkEnd w:id="12"/>
    </w:p>
    <w:tbl>
      <w:tblPr>
        <w:tblStyle w:val="39"/>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163"/>
        <w:gridCol w:w="1716"/>
        <w:gridCol w:w="2182"/>
        <w:gridCol w:w="2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tcBorders>
              <w:tl2br w:val="single" w:color="auto" w:sz="4" w:space="0"/>
            </w:tcBorders>
            <w:noWrap w:val="0"/>
            <w:vAlign w:val="top"/>
          </w:tcPr>
          <w:p>
            <w:pPr>
              <w:adjustRightInd w:val="0"/>
              <w:snapToGrid w:val="0"/>
              <w:ind w:firstLine="240"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16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1716"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1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264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163"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1716"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pacing w:val="0"/>
                <w:sz w:val="24"/>
                <w:szCs w:val="24"/>
                <w:highlight w:val="none"/>
                <w:lang w:eastAsia="zh-CN"/>
              </w:rPr>
              <w:t>甲醛</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val="en-US" w:eastAsia="zh-CN"/>
              </w:rPr>
              <w:t>VOCs</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val="en-US" w:eastAsia="zh-CN"/>
              </w:rPr>
              <w:t>VOCs</w:t>
            </w:r>
            <w:r>
              <w:rPr>
                <w:rFonts w:hint="eastAsia" w:ascii="Times New Roman" w:hAnsi="Times New Roman" w:cs="Times New Roman"/>
                <w:color w:val="auto"/>
                <w:spacing w:val="0"/>
                <w:sz w:val="24"/>
                <w:szCs w:val="24"/>
                <w:highlight w:val="none"/>
                <w:lang w:val="en-US" w:eastAsia="zh-CN"/>
              </w:rPr>
              <w:t>、</w:t>
            </w:r>
            <w:r>
              <w:rPr>
                <w:rFonts w:hint="default" w:ascii="Times New Roman" w:hAnsi="Times New Roman" w:eastAsia="宋体" w:cs="Times New Roman"/>
                <w:snapToGrid/>
                <w:color w:val="auto"/>
                <w:spacing w:val="4"/>
                <w:kern w:val="0"/>
                <w:sz w:val="24"/>
                <w:szCs w:val="24"/>
                <w:highlight w:val="none"/>
                <w:lang w:val="en-US" w:eastAsia="zh-CN"/>
              </w:rPr>
              <w:t>颗粒物</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snapToGrid/>
                <w:color w:val="auto"/>
                <w:spacing w:val="4"/>
                <w:kern w:val="0"/>
                <w:sz w:val="24"/>
                <w:szCs w:val="24"/>
                <w:highlight w:val="none"/>
                <w:lang w:val="en-US" w:eastAsia="zh-CN"/>
              </w:rPr>
              <w:t>氮氧化物</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snapToGrid/>
                <w:color w:val="auto"/>
                <w:spacing w:val="4"/>
                <w:kern w:val="0"/>
                <w:sz w:val="24"/>
                <w:szCs w:val="24"/>
                <w:highlight w:val="none"/>
                <w:lang w:val="en-US" w:eastAsia="zh-CN"/>
              </w:rPr>
              <w:t>二氧化硫</w:t>
            </w:r>
            <w:r>
              <w:rPr>
                <w:rFonts w:hint="eastAsia" w:ascii="Times New Roman" w:hAnsi="Times New Roman" w:cs="Times New Roman"/>
                <w:snapToGrid/>
                <w:color w:val="auto"/>
                <w:spacing w:val="4"/>
                <w:kern w:val="0"/>
                <w:sz w:val="24"/>
                <w:szCs w:val="24"/>
                <w:highlight w:val="none"/>
                <w:lang w:val="en-US" w:eastAsia="zh-CN" w:bidi="ar-SA"/>
              </w:rPr>
              <w:t>、</w:t>
            </w:r>
            <w:r>
              <w:rPr>
                <w:rFonts w:hint="default" w:ascii="Times New Roman" w:hAnsi="Times New Roman" w:eastAsia="宋体" w:cs="Times New Roman"/>
                <w:snapToGrid/>
                <w:color w:val="auto"/>
                <w:spacing w:val="4"/>
                <w:kern w:val="0"/>
                <w:sz w:val="24"/>
                <w:szCs w:val="24"/>
                <w:highlight w:val="none"/>
                <w:lang w:val="en-US" w:eastAsia="zh-CN"/>
              </w:rPr>
              <w:t>汞及其化合物</w:t>
            </w:r>
          </w:p>
        </w:tc>
        <w:tc>
          <w:tcPr>
            <w:tcW w:w="2182"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pacing w:val="0"/>
                <w:sz w:val="24"/>
                <w:szCs w:val="24"/>
                <w:highlight w:val="none"/>
                <w:lang w:eastAsia="zh-CN"/>
              </w:rPr>
              <w:t>热压废气经集气罩收集引入</w:t>
            </w:r>
            <w:r>
              <w:rPr>
                <w:rFonts w:hint="default" w:ascii="Times New Roman" w:hAnsi="Times New Roman" w:eastAsia="宋体" w:cs="Times New Roman"/>
                <w:color w:val="auto"/>
                <w:spacing w:val="0"/>
                <w:sz w:val="24"/>
                <w:szCs w:val="24"/>
                <w:highlight w:val="none"/>
                <w:lang w:eastAsia="zh-CN"/>
              </w:rPr>
              <w:t>经</w:t>
            </w:r>
            <w:r>
              <w:rPr>
                <w:rFonts w:hint="default" w:ascii="Times New Roman" w:hAnsi="Times New Roman" w:eastAsia="宋体" w:cs="Times New Roman"/>
                <w:color w:val="auto"/>
                <w:spacing w:val="0"/>
                <w:sz w:val="24"/>
                <w:szCs w:val="24"/>
                <w:highlight w:val="none"/>
                <w:lang w:val="en-US" w:eastAsia="zh-CN"/>
              </w:rPr>
              <w:t>热能中心燃烧+SNCR+旋风除尘+水膜除尘处理后，由25m排气筒排放</w:t>
            </w:r>
          </w:p>
        </w:tc>
        <w:tc>
          <w:tcPr>
            <w:tcW w:w="2641" w:type="dxa"/>
            <w:noWrap w:val="0"/>
            <w:vAlign w:val="center"/>
          </w:tcPr>
          <w:p>
            <w:pPr>
              <w:adjustRightInd w:val="0"/>
              <w:snapToGrid w:val="0"/>
              <w:jc w:val="center"/>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rPr>
              <w:t>《大气污染物综合排放标准》（GB16297-1996）</w:t>
            </w:r>
            <w:r>
              <w:rPr>
                <w:rFonts w:hint="eastAsia" w:cs="Times New Roman"/>
                <w:bCs/>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zh-CN" w:eastAsia="zh-CN" w:bidi="ar-SA"/>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2#</w:t>
            </w:r>
          </w:p>
        </w:tc>
        <w:tc>
          <w:tcPr>
            <w:tcW w:w="1716"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pacing w:val="0"/>
                <w:sz w:val="24"/>
                <w:szCs w:val="24"/>
                <w:highlight w:val="none"/>
                <w:lang w:eastAsia="zh-CN"/>
              </w:rPr>
              <w:t>颗粒物</w:t>
            </w:r>
          </w:p>
        </w:tc>
        <w:tc>
          <w:tcPr>
            <w:tcW w:w="2182"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pacing w:val="0"/>
                <w:sz w:val="24"/>
                <w:szCs w:val="24"/>
                <w:highlight w:val="none"/>
                <w:lang w:eastAsia="zh-CN"/>
              </w:rPr>
              <w:t>粉碎机设置密闭管道</w:t>
            </w:r>
            <w:r>
              <w:rPr>
                <w:rFonts w:hint="default" w:ascii="Times New Roman" w:hAnsi="Times New Roman" w:cs="Times New Roman"/>
                <w:color w:val="auto"/>
                <w:spacing w:val="0"/>
                <w:sz w:val="24"/>
                <w:szCs w:val="24"/>
                <w:highlight w:val="none"/>
                <w:lang w:eastAsia="zh-CN"/>
              </w:rPr>
              <w:t>经</w:t>
            </w:r>
            <w:r>
              <w:rPr>
                <w:rFonts w:hint="default" w:ascii="Times New Roman" w:hAnsi="Times New Roman" w:cs="Times New Roman"/>
                <w:color w:val="auto"/>
                <w:sz w:val="24"/>
                <w:szCs w:val="24"/>
              </w:rPr>
              <w:t>旋风除尘器</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脉冲式布袋除尘器</w:t>
            </w:r>
            <w:r>
              <w:rPr>
                <w:rFonts w:hint="default" w:ascii="Times New Roman" w:hAnsi="Times New Roman" w:cs="Times New Roman"/>
                <w:color w:val="auto"/>
                <w:sz w:val="24"/>
                <w:szCs w:val="24"/>
                <w:lang w:eastAsia="zh-CN"/>
              </w:rPr>
              <w:t>处理，由</w:t>
            </w:r>
            <w:r>
              <w:rPr>
                <w:rFonts w:hint="default" w:ascii="Times New Roman" w:hAnsi="Times New Roman" w:cs="Times New Roman"/>
                <w:color w:val="auto"/>
                <w:sz w:val="24"/>
                <w:szCs w:val="24"/>
                <w:lang w:val="en-US" w:eastAsia="zh-CN"/>
              </w:rPr>
              <w:t>15m</w:t>
            </w:r>
            <w:r>
              <w:rPr>
                <w:rFonts w:hint="default" w:ascii="Times New Roman" w:hAnsi="Times New Roman" w:cs="Times New Roman"/>
                <w:color w:val="auto"/>
                <w:spacing w:val="0"/>
                <w:sz w:val="24"/>
                <w:szCs w:val="24"/>
                <w:highlight w:val="none"/>
                <w:lang w:val="en-US" w:eastAsia="zh-CN"/>
              </w:rPr>
              <w:t>排气筒排放</w:t>
            </w:r>
          </w:p>
        </w:tc>
        <w:tc>
          <w:tcPr>
            <w:tcW w:w="2641" w:type="dxa"/>
            <w:noWrap w:val="0"/>
            <w:vAlign w:val="center"/>
          </w:tcPr>
          <w:p>
            <w:pPr>
              <w:adjustRightInd w:val="0"/>
              <w:snapToGrid w:val="0"/>
              <w:jc w:val="center"/>
              <w:rPr>
                <w:rFonts w:hint="eastAsia"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color w:val="auto"/>
                <w:kern w:val="0"/>
                <w:sz w:val="24"/>
                <w:szCs w:val="24"/>
                <w:lang w:val="zh-CN" w:eastAsia="zh-CN" w:bidi="ar-SA"/>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4#</w:t>
            </w:r>
          </w:p>
        </w:tc>
        <w:tc>
          <w:tcPr>
            <w:tcW w:w="1716"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颗粒物</w:t>
            </w:r>
          </w:p>
        </w:tc>
        <w:tc>
          <w:tcPr>
            <w:tcW w:w="2182"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经</w:t>
            </w:r>
            <w:r>
              <w:rPr>
                <w:rFonts w:hint="default" w:ascii="Times New Roman" w:hAnsi="Times New Roman" w:cs="Times New Roman"/>
                <w:color w:val="auto"/>
                <w:sz w:val="24"/>
                <w:szCs w:val="24"/>
                <w:highlight w:val="none"/>
              </w:rPr>
              <w:t>旋风除尘器</w:t>
            </w:r>
            <w:r>
              <w:rPr>
                <w:rFonts w:hint="default" w:ascii="Times New Roman" w:hAnsi="Times New Roman" w:cs="Times New Roman"/>
                <w:color w:val="auto"/>
                <w:sz w:val="24"/>
                <w:szCs w:val="24"/>
                <w:highlight w:val="none"/>
                <w:lang w:val="en-US" w:eastAsia="zh-CN"/>
              </w:rPr>
              <w:t>+脉冲布袋除尘器处理，由</w:t>
            </w:r>
            <w:r>
              <w:rPr>
                <w:rFonts w:hint="default" w:ascii="Times New Roman" w:hAnsi="Times New Roman" w:cs="Times New Roman"/>
                <w:color w:val="auto"/>
                <w:spacing w:val="0"/>
                <w:sz w:val="24"/>
                <w:szCs w:val="24"/>
                <w:highlight w:val="none"/>
                <w:lang w:val="en-US" w:eastAsia="zh-CN"/>
              </w:rPr>
              <w:t>15m排气筒排放</w:t>
            </w:r>
          </w:p>
        </w:tc>
        <w:tc>
          <w:tcPr>
            <w:tcW w:w="2641" w:type="dxa"/>
            <w:noWrap w:val="0"/>
            <w:vAlign w:val="center"/>
          </w:tcPr>
          <w:p>
            <w:pPr>
              <w:adjustRightInd w:val="0"/>
              <w:snapToGrid w:val="0"/>
              <w:jc w:val="center"/>
              <w:rPr>
                <w:rFonts w:hint="default" w:ascii="Times New Roman" w:hAnsi="Times New Roman" w:cs="Times New Roman"/>
                <w:color w:val="auto"/>
                <w:kern w:val="0"/>
                <w:sz w:val="24"/>
                <w:szCs w:val="24"/>
                <w:highlight w:val="yellow"/>
              </w:rPr>
            </w:pPr>
            <w:r>
              <w:rPr>
                <w:rFonts w:hint="default" w:ascii="Times New Roman" w:hAnsi="Times New Roman" w:eastAsia="宋体" w:cs="Times New Roman"/>
                <w:color w:val="auto"/>
                <w:kern w:val="0"/>
                <w:sz w:val="24"/>
                <w:szCs w:val="24"/>
                <w:lang w:val="zh-CN" w:eastAsia="zh-CN" w:bidi="ar-SA"/>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5#</w:t>
            </w:r>
          </w:p>
        </w:tc>
        <w:tc>
          <w:tcPr>
            <w:tcW w:w="1716"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颗粒物</w:t>
            </w:r>
          </w:p>
        </w:tc>
        <w:tc>
          <w:tcPr>
            <w:tcW w:w="2182"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经</w:t>
            </w:r>
            <w:r>
              <w:rPr>
                <w:rFonts w:hint="default" w:ascii="Times New Roman" w:hAnsi="Times New Roman" w:cs="Times New Roman"/>
                <w:color w:val="auto"/>
                <w:sz w:val="24"/>
                <w:szCs w:val="24"/>
                <w:highlight w:val="none"/>
              </w:rPr>
              <w:t>脉冲式布袋除尘器</w:t>
            </w:r>
            <w:r>
              <w:rPr>
                <w:rFonts w:hint="default" w:ascii="Times New Roman" w:hAnsi="Times New Roman" w:cs="Times New Roman"/>
                <w:color w:val="auto"/>
                <w:sz w:val="24"/>
                <w:szCs w:val="24"/>
                <w:highlight w:val="none"/>
                <w:lang w:eastAsia="zh-CN"/>
              </w:rPr>
              <w:t>处理，由</w:t>
            </w:r>
            <w:r>
              <w:rPr>
                <w:rFonts w:hint="default" w:ascii="Times New Roman" w:hAnsi="Times New Roman" w:cs="Times New Roman"/>
                <w:color w:val="auto"/>
                <w:spacing w:val="0"/>
                <w:sz w:val="24"/>
                <w:szCs w:val="24"/>
                <w:highlight w:val="none"/>
                <w:lang w:val="en-US" w:eastAsia="zh-CN"/>
              </w:rPr>
              <w:t>15m排气筒排放</w:t>
            </w:r>
          </w:p>
        </w:tc>
        <w:tc>
          <w:tcPr>
            <w:tcW w:w="2641" w:type="dxa"/>
            <w:noWrap w:val="0"/>
            <w:vAlign w:val="center"/>
          </w:tcPr>
          <w:p>
            <w:pPr>
              <w:adjustRightInd w:val="0"/>
              <w:snapToGrid w:val="0"/>
              <w:jc w:val="center"/>
              <w:rPr>
                <w:rFonts w:hint="default" w:ascii="Times New Roman" w:hAnsi="Times New Roman" w:cs="Times New Roman"/>
                <w:color w:val="auto"/>
                <w:kern w:val="0"/>
                <w:sz w:val="24"/>
                <w:szCs w:val="24"/>
                <w:highlight w:val="yellow"/>
              </w:rPr>
            </w:pPr>
            <w:r>
              <w:rPr>
                <w:rFonts w:hint="default" w:ascii="Times New Roman" w:hAnsi="Times New Roman" w:eastAsia="宋体" w:cs="Times New Roman"/>
                <w:color w:val="auto"/>
                <w:kern w:val="0"/>
                <w:sz w:val="24"/>
                <w:szCs w:val="24"/>
                <w:lang w:val="zh-CN" w:eastAsia="zh-CN" w:bidi="ar-SA"/>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6#</w:t>
            </w:r>
          </w:p>
        </w:tc>
        <w:tc>
          <w:tcPr>
            <w:tcW w:w="1716"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val="en-US" w:eastAsia="zh-CN"/>
              </w:rPr>
            </w:pPr>
            <w:r>
              <w:rPr>
                <w:rFonts w:hint="eastAsia" w:cs="Times New Roman"/>
                <w:color w:val="auto"/>
                <w:spacing w:val="0"/>
                <w:sz w:val="24"/>
                <w:szCs w:val="24"/>
                <w:highlight w:val="none"/>
                <w:lang w:eastAsia="zh-CN"/>
              </w:rPr>
              <w:t>甲醛、</w:t>
            </w:r>
            <w:r>
              <w:rPr>
                <w:rFonts w:hint="eastAsia" w:cs="Times New Roman"/>
                <w:color w:val="auto"/>
                <w:spacing w:val="0"/>
                <w:sz w:val="24"/>
                <w:szCs w:val="24"/>
                <w:highlight w:val="none"/>
                <w:lang w:val="en-US" w:eastAsia="zh-CN"/>
              </w:rPr>
              <w:t>VOC</w:t>
            </w:r>
            <w:r>
              <w:rPr>
                <w:rFonts w:hint="eastAsia" w:cs="Times New Roman"/>
                <w:color w:val="auto"/>
                <w:spacing w:val="0"/>
                <w:sz w:val="24"/>
                <w:szCs w:val="24"/>
                <w:highlight w:val="none"/>
                <w:vertAlign w:val="subscript"/>
                <w:lang w:val="en-US" w:eastAsia="zh-CN"/>
              </w:rPr>
              <w:t>S</w:t>
            </w:r>
          </w:p>
        </w:tc>
        <w:tc>
          <w:tcPr>
            <w:tcW w:w="2182"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eastAsia" w:cs="Times New Roman"/>
                <w:color w:val="auto"/>
                <w:spacing w:val="0"/>
                <w:sz w:val="24"/>
                <w:szCs w:val="24"/>
                <w:highlight w:val="none"/>
                <w:lang w:eastAsia="zh-CN"/>
              </w:rPr>
              <w:t>甲醛储罐设置管道</w:t>
            </w:r>
            <w:r>
              <w:rPr>
                <w:rFonts w:hint="default" w:ascii="Times New Roman" w:hAnsi="Times New Roman" w:cs="Times New Roman"/>
                <w:color w:val="auto"/>
                <w:spacing w:val="0"/>
                <w:sz w:val="24"/>
                <w:szCs w:val="24"/>
                <w:highlight w:val="none"/>
                <w:lang w:eastAsia="zh-CN"/>
              </w:rPr>
              <w:t>经</w:t>
            </w:r>
            <w:r>
              <w:rPr>
                <w:rFonts w:hint="default" w:ascii="Times New Roman" w:hAnsi="Times New Roman" w:eastAsia="宋体" w:cs="Times New Roman"/>
                <w:b w:val="0"/>
                <w:bCs w:val="0"/>
                <w:color w:val="auto"/>
                <w:kern w:val="21"/>
                <w:sz w:val="24"/>
                <w:szCs w:val="24"/>
                <w:lang w:val="en-US" w:eastAsia="zh-CN"/>
              </w:rPr>
              <w:t>二级活性炭处理，由</w:t>
            </w:r>
            <w:r>
              <w:rPr>
                <w:rFonts w:hint="default" w:ascii="Times New Roman" w:hAnsi="Times New Roman" w:cs="Times New Roman"/>
                <w:color w:val="auto"/>
                <w:spacing w:val="0"/>
                <w:sz w:val="24"/>
                <w:szCs w:val="24"/>
                <w:highlight w:val="none"/>
                <w:lang w:val="en-US" w:eastAsia="zh-CN"/>
              </w:rPr>
              <w:t>15m排气筒排放</w:t>
            </w:r>
          </w:p>
        </w:tc>
        <w:tc>
          <w:tcPr>
            <w:tcW w:w="2641" w:type="dxa"/>
            <w:noWrap w:val="0"/>
            <w:vAlign w:val="center"/>
          </w:tcPr>
          <w:p>
            <w:pPr>
              <w:adjustRightInd w:val="0"/>
              <w:snapToGrid w:val="0"/>
              <w:jc w:val="center"/>
              <w:rPr>
                <w:rFonts w:hint="default" w:ascii="Times New Roman" w:hAnsi="Times New Roman" w:cs="Times New Roman"/>
                <w:color w:val="auto"/>
                <w:kern w:val="0"/>
                <w:sz w:val="24"/>
                <w:szCs w:val="24"/>
                <w:highlight w:val="yellow"/>
              </w:rPr>
            </w:pPr>
            <w:r>
              <w:rPr>
                <w:rFonts w:hint="default" w:ascii="Times New Roman" w:hAnsi="Times New Roman" w:eastAsia="宋体" w:cs="Times New Roman"/>
                <w:color w:val="auto"/>
                <w:kern w:val="0"/>
                <w:sz w:val="24"/>
                <w:szCs w:val="24"/>
                <w:lang w:val="zh-CN" w:eastAsia="zh-CN" w:bidi="ar-SA"/>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cs="Times New Roman"/>
                <w:color w:val="auto"/>
                <w:sz w:val="24"/>
                <w:szCs w:val="24"/>
                <w:lang w:val="en-US" w:eastAsia="zh-CN"/>
              </w:rPr>
            </w:pPr>
            <w:r>
              <w:rPr>
                <w:rFonts w:hint="eastAsia" w:cs="Times New Roman"/>
                <w:color w:val="auto"/>
                <w:sz w:val="24"/>
                <w:szCs w:val="24"/>
                <w:lang w:val="en-US" w:eastAsia="zh-CN"/>
              </w:rPr>
              <w:t>7#</w:t>
            </w:r>
          </w:p>
        </w:tc>
        <w:tc>
          <w:tcPr>
            <w:tcW w:w="1716"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default" w:ascii="Times New Roman" w:hAnsi="Times New Roman" w:cs="Times New Roman"/>
                <w:color w:val="auto"/>
                <w:spacing w:val="0"/>
                <w:sz w:val="24"/>
                <w:szCs w:val="24"/>
                <w:highlight w:val="none"/>
                <w:lang w:eastAsia="zh-CN"/>
              </w:rPr>
              <w:t>甲醛、</w:t>
            </w:r>
            <w:r>
              <w:rPr>
                <w:rFonts w:hint="default" w:ascii="Times New Roman" w:hAnsi="Times New Roman" w:cs="Times New Roman"/>
                <w:color w:val="auto"/>
                <w:spacing w:val="0"/>
                <w:sz w:val="24"/>
                <w:szCs w:val="24"/>
                <w:highlight w:val="none"/>
                <w:lang w:val="en-US" w:eastAsia="zh-CN"/>
              </w:rPr>
              <w:t>VOCs</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eastAsia="zh-CN"/>
              </w:rPr>
              <w:t>氨</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snapToGrid/>
                <w:color w:val="auto"/>
                <w:spacing w:val="4"/>
                <w:kern w:val="0"/>
                <w:sz w:val="24"/>
                <w:szCs w:val="24"/>
                <w:highlight w:val="none"/>
                <w:lang w:val="en-US" w:eastAsia="zh-CN"/>
              </w:rPr>
              <w:t>颗粒物</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snapToGrid/>
                <w:color w:val="auto"/>
                <w:spacing w:val="4"/>
                <w:kern w:val="0"/>
                <w:sz w:val="24"/>
                <w:szCs w:val="24"/>
                <w:highlight w:val="none"/>
                <w:lang w:val="en-US" w:eastAsia="zh-CN"/>
              </w:rPr>
              <w:t>氮氧化物</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snapToGrid/>
                <w:color w:val="auto"/>
                <w:spacing w:val="4"/>
                <w:kern w:val="0"/>
                <w:sz w:val="24"/>
                <w:szCs w:val="24"/>
                <w:highlight w:val="none"/>
                <w:lang w:val="en-US" w:eastAsia="zh-CN"/>
              </w:rPr>
              <w:t>二氧化硫</w:t>
            </w:r>
          </w:p>
        </w:tc>
        <w:tc>
          <w:tcPr>
            <w:tcW w:w="2182" w:type="dxa"/>
            <w:noWrap w:val="0"/>
            <w:vAlign w:val="center"/>
          </w:tcPr>
          <w:p>
            <w:pPr>
              <w:adjustRightInd w:val="0"/>
              <w:snapToGrid w:val="0"/>
              <w:jc w:val="center"/>
              <w:rPr>
                <w:rFonts w:hint="default" w:ascii="Times New Roman" w:hAnsi="Times New Roman" w:cs="Times New Roman"/>
                <w:color w:val="auto"/>
                <w:spacing w:val="0"/>
                <w:sz w:val="24"/>
                <w:szCs w:val="24"/>
                <w:highlight w:val="none"/>
                <w:lang w:eastAsia="zh-CN"/>
              </w:rPr>
            </w:pPr>
            <w:r>
              <w:rPr>
                <w:rFonts w:hint="eastAsia" w:cs="Times New Roman"/>
                <w:color w:val="auto"/>
                <w:spacing w:val="0"/>
                <w:sz w:val="24"/>
                <w:szCs w:val="24"/>
                <w:highlight w:val="none"/>
                <w:lang w:eastAsia="zh-CN"/>
              </w:rPr>
              <w:t>反应釜设置密闭管道引至锅炉</w:t>
            </w:r>
            <w:r>
              <w:rPr>
                <w:rFonts w:hint="default" w:ascii="Times New Roman" w:hAnsi="Times New Roman" w:eastAsia="宋体" w:cs="Times New Roman"/>
                <w:color w:val="auto"/>
                <w:spacing w:val="0"/>
                <w:sz w:val="24"/>
                <w:szCs w:val="24"/>
                <w:highlight w:val="none"/>
                <w:lang w:eastAsia="zh-CN"/>
              </w:rPr>
              <w:t>经低氮燃烧装置燃烧后，由</w:t>
            </w:r>
            <w:r>
              <w:rPr>
                <w:rFonts w:hint="default" w:ascii="Times New Roman" w:hAnsi="Times New Roman" w:eastAsia="宋体" w:cs="Times New Roman"/>
                <w:color w:val="auto"/>
                <w:spacing w:val="0"/>
                <w:sz w:val="24"/>
                <w:szCs w:val="24"/>
                <w:highlight w:val="none"/>
                <w:lang w:val="en-US" w:eastAsia="zh-CN"/>
              </w:rPr>
              <w:t>15m排气筒排放</w:t>
            </w:r>
          </w:p>
        </w:tc>
        <w:tc>
          <w:tcPr>
            <w:tcW w:w="2641" w:type="dxa"/>
            <w:noWrap w:val="0"/>
            <w:vAlign w:val="center"/>
          </w:tcPr>
          <w:p>
            <w:pPr>
              <w:adjustRightInd w:val="0"/>
              <w:snapToGrid w:val="0"/>
              <w:jc w:val="center"/>
              <w:rPr>
                <w:rFonts w:hint="default" w:ascii="Times New Roman" w:hAnsi="Times New Roman" w:cs="Times New Roman"/>
                <w:color w:val="auto"/>
                <w:kern w:val="0"/>
                <w:sz w:val="24"/>
                <w:szCs w:val="24"/>
                <w:highlight w:val="yellow"/>
              </w:rPr>
            </w:pPr>
            <w:r>
              <w:rPr>
                <w:rFonts w:hint="default" w:ascii="Times New Roman" w:hAnsi="Times New Roman" w:eastAsia="宋体" w:cs="Times New Roman"/>
                <w:color w:val="auto"/>
                <w:kern w:val="0"/>
                <w:sz w:val="24"/>
                <w:szCs w:val="24"/>
                <w:lang w:val="zh-CN" w:eastAsia="zh-CN" w:bidi="ar-SA"/>
              </w:rPr>
              <w:t>四川省固定污染源大气挥发性有机物排放标准（DB51/2377-2017）</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锅炉大气污染物排放标准（GB 13271-2014）</w:t>
            </w:r>
            <w:r>
              <w:rPr>
                <w:rFonts w:hint="eastAsia" w:cs="Times New Roman"/>
                <w:color w:val="auto"/>
                <w:kern w:val="0"/>
                <w:sz w:val="24"/>
                <w:szCs w:val="24"/>
                <w:lang w:val="zh-CN" w:eastAsia="zh-CN" w:bidi="ar-SA"/>
              </w:rPr>
              <w:t>、</w:t>
            </w:r>
            <w:r>
              <w:rPr>
                <w:rFonts w:hint="default" w:ascii="Times New Roman" w:hAnsi="Times New Roman" w:eastAsia="宋体" w:cs="Times New Roman"/>
                <w:color w:val="auto"/>
                <w:kern w:val="0"/>
                <w:sz w:val="24"/>
                <w:szCs w:val="24"/>
                <w:lang w:val="zh-CN" w:eastAsia="zh-CN" w:bidi="ar-SA"/>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16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无组织废气</w:t>
            </w:r>
          </w:p>
        </w:tc>
        <w:tc>
          <w:tcPr>
            <w:tcW w:w="1716" w:type="dxa"/>
            <w:noWrap w:val="0"/>
            <w:vAlign w:val="center"/>
          </w:tcPr>
          <w:p>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rPr>
              <w:t>、</w:t>
            </w:r>
            <w:r>
              <w:rPr>
                <w:rFonts w:hint="default" w:ascii="Times New Roman" w:hAnsi="Times New Roman" w:cs="Times New Roman"/>
                <w:color w:val="auto"/>
                <w:spacing w:val="0"/>
                <w:sz w:val="24"/>
                <w:szCs w:val="24"/>
                <w:highlight w:val="none"/>
                <w:lang w:val="en-US" w:eastAsia="zh-CN"/>
              </w:rPr>
              <w:t>VOCs</w:t>
            </w:r>
            <w:r>
              <w:rPr>
                <w:rFonts w:hint="eastAsia" w:cs="Times New Roman"/>
                <w:color w:val="auto"/>
                <w:sz w:val="24"/>
                <w:szCs w:val="24"/>
                <w:lang w:eastAsia="zh-CN"/>
              </w:rPr>
              <w:t>、甲醛</w:t>
            </w:r>
          </w:p>
        </w:tc>
        <w:tc>
          <w:tcPr>
            <w:tcW w:w="2182"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加强车间废气收集，车间设置喷雾装置</w:t>
            </w:r>
          </w:p>
        </w:tc>
        <w:tc>
          <w:tcPr>
            <w:tcW w:w="2641"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《四川省固定污染源大气挥发性有机物排放标准》（DB51/2377-2017）、</w:t>
            </w:r>
            <w:r>
              <w:rPr>
                <w:rFonts w:hint="default" w:ascii="Times New Roman" w:hAnsi="Times New Roman" w:cs="Times New Roman"/>
                <w:bCs/>
                <w:color w:val="auto"/>
                <w:sz w:val="24"/>
                <w:szCs w:val="24"/>
                <w:highlight w:val="none"/>
              </w:rPr>
              <w:t>《大气污染物综合排放标准》（GB16297-1996）</w:t>
            </w:r>
            <w:r>
              <w:rPr>
                <w:rFonts w:hint="eastAsia"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163"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生活污水</w:t>
            </w:r>
            <w:r>
              <w:rPr>
                <w:rFonts w:hint="eastAsia" w:cs="Times New Roman"/>
                <w:color w:val="auto"/>
                <w:sz w:val="24"/>
                <w:szCs w:val="24"/>
                <w:lang w:eastAsia="zh-CN"/>
              </w:rPr>
              <w:t>、锅炉排水、软水制备浓水</w:t>
            </w:r>
          </w:p>
        </w:tc>
        <w:tc>
          <w:tcPr>
            <w:tcW w:w="1716"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pH值、化学需氧量、悬浮物、五日生化需氧量、</w:t>
            </w:r>
            <w:r>
              <w:rPr>
                <w:rFonts w:hint="default" w:ascii="Times New Roman" w:hAnsi="Times New Roman" w:cs="Times New Roman"/>
                <w:color w:val="auto"/>
                <w:sz w:val="24"/>
                <w:szCs w:val="24"/>
                <w:lang w:eastAsia="zh-CN"/>
              </w:rPr>
              <w:t>氨氮、总磷、石油类</w:t>
            </w:r>
          </w:p>
        </w:tc>
        <w:tc>
          <w:tcPr>
            <w:tcW w:w="21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预处理池</w:t>
            </w:r>
          </w:p>
        </w:tc>
        <w:tc>
          <w:tcPr>
            <w:tcW w:w="264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16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设备运行噪声</w:t>
            </w:r>
          </w:p>
        </w:tc>
        <w:tc>
          <w:tcPr>
            <w:tcW w:w="1716"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噪声</w:t>
            </w:r>
          </w:p>
        </w:tc>
        <w:tc>
          <w:tcPr>
            <w:tcW w:w="21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选用低噪声设备，设备设减震垫等</w:t>
            </w:r>
          </w:p>
        </w:tc>
        <w:tc>
          <w:tcPr>
            <w:tcW w:w="264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16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716"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1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64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49" w:hRule="atLeast"/>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702" w:type="dxa"/>
            <w:gridSpan w:val="4"/>
            <w:noWrap w:val="0"/>
            <w:vAlign w:val="center"/>
          </w:tcPr>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生活垃圾集中收集至垃圾桶中，由环卫部门定期清理；收集的粉尘外售</w:t>
            </w:r>
            <w:r>
              <w:rPr>
                <w:rFonts w:hint="eastAsia" w:cs="Times New Roman"/>
                <w:color w:val="auto"/>
                <w:sz w:val="24"/>
                <w:szCs w:val="24"/>
                <w:lang w:val="en-US" w:eastAsia="zh-CN"/>
              </w:rPr>
              <w:t>给</w:t>
            </w:r>
            <w:r>
              <w:rPr>
                <w:rFonts w:hint="default" w:ascii="Times New Roman" w:hAnsi="Times New Roman" w:eastAsia="宋体" w:cs="Times New Roman"/>
                <w:color w:val="auto"/>
                <w:sz w:val="24"/>
                <w:szCs w:val="24"/>
              </w:rPr>
              <w:t>可回收利用的单位；废边角料、不合格品回用于生产；金属外售废品回收站，泥沙运至弃土堆场；沉渣、灰渣外售用作有机肥</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废活性炭、废</w:t>
            </w:r>
            <w:r>
              <w:rPr>
                <w:rFonts w:hint="eastAsia" w:cs="Times New Roman"/>
                <w:color w:val="auto"/>
                <w:sz w:val="24"/>
                <w:szCs w:val="24"/>
                <w:lang w:eastAsia="zh-CN"/>
              </w:rPr>
              <w:t>胶、废导热油、</w:t>
            </w:r>
            <w:r>
              <w:rPr>
                <w:rFonts w:hint="default" w:ascii="Times New Roman" w:hAnsi="Times New Roman" w:eastAsia="宋体" w:cs="Times New Roman"/>
                <w:color w:val="auto"/>
                <w:sz w:val="24"/>
                <w:szCs w:val="24"/>
                <w:lang w:eastAsia="zh-CN"/>
              </w:rPr>
              <w:t>废机油、</w:t>
            </w:r>
            <w:r>
              <w:rPr>
                <w:rFonts w:hint="eastAsia" w:cs="Times New Roman"/>
                <w:color w:val="auto"/>
                <w:sz w:val="24"/>
                <w:szCs w:val="24"/>
                <w:lang w:eastAsia="zh-CN"/>
              </w:rPr>
              <w:t>废包装桶、</w:t>
            </w: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eastAsia="zh-CN"/>
              </w:rPr>
              <w:t>含油</w:t>
            </w:r>
            <w:r>
              <w:rPr>
                <w:rFonts w:hint="default" w:ascii="Times New Roman" w:hAnsi="Times New Roman" w:eastAsia="宋体" w:cs="Times New Roman"/>
                <w:color w:val="auto"/>
                <w:sz w:val="24"/>
                <w:szCs w:val="24"/>
                <w:lang w:eastAsia="zh-CN"/>
              </w:rPr>
              <w:t>手套分类收集暂存危废暂存间内，</w:t>
            </w:r>
            <w:r>
              <w:rPr>
                <w:rFonts w:hint="default" w:ascii="Times New Roman" w:hAnsi="Times New Roman" w:eastAsia="宋体" w:cs="Times New Roman"/>
                <w:color w:val="auto"/>
                <w:sz w:val="24"/>
                <w:szCs w:val="24"/>
              </w:rPr>
              <w:t>定期交由有资质的单位进行处理。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702" w:type="dxa"/>
            <w:gridSpan w:val="4"/>
            <w:noWrap w:val="0"/>
            <w:vAlign w:val="center"/>
          </w:tcPr>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①源头控制措施实施清洁生产，实现废物资源化利用，减少污染物的排放。</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②分区防渗：危废暂存间</w:t>
            </w:r>
            <w:r>
              <w:rPr>
                <w:rFonts w:hint="default" w:ascii="Times New Roman" w:hAnsi="Times New Roman" w:eastAsia="宋体" w:cs="Times New Roman"/>
                <w:color w:val="auto"/>
                <w:sz w:val="24"/>
                <w:szCs w:val="24"/>
                <w:lang w:eastAsia="zh-CN"/>
              </w:rPr>
              <w:t>、胶储存区、制胶车间、事故池</w:t>
            </w:r>
            <w:r>
              <w:rPr>
                <w:rFonts w:hint="default" w:ascii="Times New Roman" w:hAnsi="Times New Roman" w:eastAsia="宋体" w:cs="Times New Roman"/>
                <w:color w:val="auto"/>
                <w:sz w:val="24"/>
                <w:szCs w:val="24"/>
              </w:rPr>
              <w:t>重点防渗；</w:t>
            </w:r>
            <w:r>
              <w:rPr>
                <w:rFonts w:hint="default" w:ascii="Times New Roman" w:hAnsi="Times New Roman" w:eastAsia="宋体" w:cs="Times New Roman"/>
                <w:color w:val="auto"/>
                <w:sz w:val="24"/>
                <w:szCs w:val="24"/>
                <w:lang w:eastAsia="zh-CN"/>
              </w:rPr>
              <w:t>生产车间其余区域</w:t>
            </w:r>
            <w:r>
              <w:rPr>
                <w:rFonts w:hint="default" w:ascii="Times New Roman" w:hAnsi="Times New Roman" w:eastAsia="宋体" w:cs="Times New Roman"/>
                <w:color w:val="auto"/>
                <w:sz w:val="24"/>
                <w:szCs w:val="24"/>
              </w:rPr>
              <w:t>一般防渗</w:t>
            </w:r>
            <w:r>
              <w:rPr>
                <w:rFonts w:hint="default" w:ascii="Times New Roman" w:hAnsi="Times New Roman" w:eastAsia="宋体" w:cs="Times New Roman"/>
                <w:color w:val="auto"/>
                <w:sz w:val="24"/>
                <w:szCs w:val="24"/>
                <w:lang w:eastAsia="zh-CN"/>
              </w:rPr>
              <w:t>；办公区简单防渗</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10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702"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098"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环境风险防范措施</w:t>
            </w:r>
          </w:p>
        </w:tc>
        <w:tc>
          <w:tcPr>
            <w:tcW w:w="7702" w:type="dxa"/>
            <w:gridSpan w:val="4"/>
            <w:noWrap w:val="0"/>
            <w:vAlign w:val="center"/>
          </w:tcPr>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厂区车间内</w:t>
            </w:r>
            <w:r>
              <w:rPr>
                <w:rFonts w:hint="default" w:ascii="Times New Roman" w:hAnsi="Times New Roman" w:cs="Times New Roman"/>
                <w:color w:val="auto"/>
                <w:sz w:val="24"/>
                <w:szCs w:val="24"/>
              </w:rPr>
              <w:t>严禁烟火；定期排查检修</w:t>
            </w:r>
            <w:r>
              <w:rPr>
                <w:rFonts w:hint="default" w:ascii="Times New Roman" w:hAnsi="Times New Roman" w:cs="Times New Roman"/>
                <w:color w:val="auto"/>
                <w:sz w:val="24"/>
                <w:szCs w:val="24"/>
                <w:lang w:eastAsia="zh-CN"/>
              </w:rPr>
              <w:t>生产</w:t>
            </w:r>
            <w:r>
              <w:rPr>
                <w:rFonts w:hint="default" w:ascii="Times New Roman" w:hAnsi="Times New Roman" w:cs="Times New Roman"/>
                <w:color w:val="auto"/>
                <w:sz w:val="24"/>
                <w:szCs w:val="24"/>
              </w:rPr>
              <w:t>设备及污染治理设施；严格执行《建筑设计防火规范》（GB50016-2014）等相关要求建设等火灾风险防范措；严格执行防渗防漏措施，防止危险化学品发生泄漏污染地下水、土壤；同时完善应急响应体系和制定突发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8"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其他环境管理要求</w:t>
            </w:r>
          </w:p>
        </w:tc>
        <w:tc>
          <w:tcPr>
            <w:tcW w:w="7702" w:type="dxa"/>
            <w:gridSpan w:val="4"/>
            <w:noWrap w:val="0"/>
            <w:vAlign w:val="center"/>
          </w:tcPr>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（1）结合工程工艺状况，制定并贯彻落实符合拟建项目特点的环保方针。遵守国家地方的有关法律、法规以及其它的有关规定。</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（2）根据制定的环保方针，确定本项目的环保工程目标和可量化的环保指标，使全体员工都参与到环保工作中。</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（3）宣传、贯彻国家及地方的环境保护方针、法规、政策，不断提高全体员工的环保意识和遵守环保法规的自觉性。</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（4）组织实施环境保护工作计划、年度污染治理计划、环境监测计划和环保工作计划。</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（5）环保设施的运行管理，保证其正常运行；掌握运行过程中存在的问题，及时提出解决办法和改进措施，监督检查环保设施的日常维护工作。</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（6）建立健全污染源档案工作、环保统计工作，建立本项目环保设施运行情况、污染物排放情况的逐月记录工作。</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（7）按照公司环保管理监测计划，配合环境监测</w:t>
            </w:r>
            <w:r>
              <w:rPr>
                <w:rFonts w:hint="eastAsia" w:cs="Times New Roman"/>
                <w:color w:val="auto"/>
                <w:sz w:val="24"/>
                <w:szCs w:val="24"/>
                <w:lang w:eastAsia="zh-CN"/>
              </w:rPr>
              <w:t>单位</w:t>
            </w:r>
            <w:r>
              <w:rPr>
                <w:rFonts w:hint="default" w:ascii="Times New Roman" w:hAnsi="Times New Roman" w:cs="Times New Roman"/>
                <w:color w:val="auto"/>
                <w:sz w:val="24"/>
                <w:szCs w:val="24"/>
              </w:rPr>
              <w:t>完成对本项目“三废”污染源监测或环境监测。</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（8）准备和接受环保部门对本项目的排污监理、环保监察、执法检查等工作，并协调处理工作中出现的问题。</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（9）开展环保管理评审工作，总结环保工作中的成绩和存在的问题，提出改进措施。</w:t>
            </w:r>
          </w:p>
          <w:p>
            <w:pPr>
              <w:adjustRightInd w:val="0"/>
              <w:snapToGrid w:val="0"/>
              <w:rPr>
                <w:rFonts w:hint="default" w:ascii="Times New Roman" w:hAnsi="Times New Roman" w:cs="Times New Roman"/>
                <w:color w:val="auto"/>
                <w:sz w:val="24"/>
                <w:szCs w:val="24"/>
              </w:rPr>
            </w:pPr>
          </w:p>
          <w:p>
            <w:pPr>
              <w:adjustRightInd w:val="0"/>
              <w:snapToGrid w:val="0"/>
              <w:rPr>
                <w:rFonts w:hint="default" w:ascii="Times New Roman" w:hAnsi="Times New Roman" w:cs="Times New Roman"/>
                <w:color w:val="auto"/>
                <w:sz w:val="24"/>
                <w:szCs w:val="24"/>
              </w:rPr>
            </w:pPr>
          </w:p>
          <w:p>
            <w:pPr>
              <w:adjustRightInd w:val="0"/>
              <w:snapToGrid w:val="0"/>
              <w:rPr>
                <w:rFonts w:hint="default" w:ascii="Times New Roman" w:hAnsi="Times New Roman" w:cs="Times New Roman"/>
                <w:color w:val="auto"/>
                <w:sz w:val="24"/>
                <w:szCs w:val="24"/>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cs="Times New Roman"/>
                <w:color w:val="auto"/>
                <w:sz w:val="24"/>
                <w:szCs w:val="24"/>
                <w:lang w:eastAsia="zh-CN"/>
              </w:rPr>
            </w:pPr>
          </w:p>
          <w:p>
            <w:pPr>
              <w:adjustRightInd w:val="0"/>
              <w:snapToGrid w:val="0"/>
              <w:rPr>
                <w:rFonts w:hint="eastAsia" w:ascii="Times New Roman" w:hAnsi="Times New Roman" w:eastAsia="宋体" w:cs="Times New Roman"/>
                <w:color w:val="auto"/>
                <w:sz w:val="24"/>
                <w:szCs w:val="24"/>
                <w:lang w:eastAsia="zh-CN"/>
              </w:rPr>
            </w:pPr>
          </w:p>
        </w:tc>
      </w:tr>
    </w:tbl>
    <w:p>
      <w:pPr>
        <w:pStyle w:val="3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39"/>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符合国家现行产业政策，选址符合当地规划要求，通过采取的废气、污水、噪声、固废、地下水等污染防治措施技术，加强管理等措施，能降低项目运行对环境的影响。只要认真落实本报告表中提出的各项污染防治对策措施，严格执行“三同时”制度，保证环境保护措施的有效运行，确保污染物稳定达标排放，并严格按照环评要求进行环境风险防范，从环保角度而言，本项目的建设是可行的。</w:t>
            </w:r>
          </w:p>
          <w:p>
            <w:pPr>
              <w:spacing w:line="360" w:lineRule="auto"/>
              <w:rPr>
                <w:rFonts w:hint="default" w:ascii="Times New Roman" w:hAnsi="Times New Roman" w:cs="Times New Roman"/>
                <w:color w:val="auto"/>
                <w:sz w:val="24"/>
              </w:rPr>
            </w:pP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4"/>
        <w:keepNext w:val="0"/>
        <w:keepLines w:val="0"/>
        <w:pageBreakBefore w:val="0"/>
        <w:widowControl/>
        <w:kinsoku/>
        <w:wordWrap/>
        <w:overflowPunct/>
        <w:topLinePunct w:val="0"/>
        <w:autoSpaceDE/>
        <w:autoSpaceDN/>
        <w:bidi w:val="0"/>
        <w:adjustRightInd w:val="0"/>
        <w:snapToGrid w:val="0"/>
        <w:spacing w:before="0" w:beforeAutospacing="0" w:after="0" w:afterAutospacing="0" w:line="528" w:lineRule="auto"/>
        <w:jc w:val="both"/>
        <w:textAlignment w:val="auto"/>
        <w:outlineLvl w:val="0"/>
        <w:rPr>
          <w:rFonts w:hint="default" w:ascii="Times New Roman" w:hAnsi="Times New Roman" w:eastAsia="方正小标宋_GBK" w:cs="Times New Roman"/>
          <w:snapToGrid w:val="0"/>
          <w:color w:val="auto"/>
          <w:sz w:val="28"/>
          <w:szCs w:val="28"/>
        </w:rPr>
      </w:pPr>
      <w:r>
        <w:rPr>
          <w:rFonts w:hint="default" w:ascii="Times New Roman" w:hAnsi="Times New Roman" w:eastAsia="方正小标宋_GBK" w:cs="Times New Roman"/>
          <w:snapToGrid w:val="0"/>
          <w:color w:val="auto"/>
          <w:sz w:val="28"/>
          <w:szCs w:val="28"/>
        </w:rPr>
        <w:t>附表</w:t>
      </w:r>
    </w:p>
    <w:p>
      <w:pPr>
        <w:pStyle w:val="34"/>
        <w:keepNext w:val="0"/>
        <w:keepLines w:val="0"/>
        <w:pageBreakBefore w:val="0"/>
        <w:widowControl/>
        <w:kinsoku/>
        <w:wordWrap/>
        <w:overflowPunct/>
        <w:topLinePunct w:val="0"/>
        <w:autoSpaceDE/>
        <w:autoSpaceDN/>
        <w:bidi w:val="0"/>
        <w:adjustRightInd w:val="0"/>
        <w:snapToGrid w:val="0"/>
        <w:spacing w:before="0" w:beforeAutospacing="0" w:after="0" w:afterAutospacing="0" w:line="528" w:lineRule="auto"/>
        <w:jc w:val="center"/>
        <w:textAlignment w:val="auto"/>
        <w:outlineLvl w:val="0"/>
        <w:rPr>
          <w:rFonts w:hint="default" w:ascii="Times New Roman" w:hAnsi="Times New Roman" w:eastAsia="宋体" w:cs="Times New Roman"/>
          <w:b/>
          <w:bCs/>
          <w:snapToGrid w:val="0"/>
          <w:color w:val="auto"/>
          <w:sz w:val="38"/>
          <w:szCs w:val="38"/>
          <w:highlight w:val="none"/>
        </w:rPr>
      </w:pPr>
      <w:r>
        <w:rPr>
          <w:rFonts w:hint="default" w:ascii="Times New Roman" w:hAnsi="Times New Roman" w:eastAsia="宋体" w:cs="Times New Roman"/>
          <w:b/>
          <w:bCs/>
          <w:snapToGrid w:val="0"/>
          <w:color w:val="auto"/>
          <w:sz w:val="38"/>
          <w:szCs w:val="38"/>
          <w:highlight w:val="none"/>
        </w:rPr>
        <w:t>建设项目污染物排放量汇总表</w:t>
      </w:r>
    </w:p>
    <w:tbl>
      <w:tblPr>
        <w:tblStyle w:val="39"/>
        <w:tblW w:w="144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975"/>
        <w:gridCol w:w="1554"/>
        <w:gridCol w:w="1276"/>
        <w:gridCol w:w="1701"/>
        <w:gridCol w:w="1559"/>
        <w:gridCol w:w="1761"/>
        <w:gridCol w:w="1750"/>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7" w:type="dxa"/>
            <w:tcBorders>
              <w:tl2br w:val="single" w:color="auto" w:sz="4" w:space="0"/>
            </w:tcBorders>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right"/>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项目</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left"/>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分类</w:t>
            </w:r>
          </w:p>
        </w:tc>
        <w:tc>
          <w:tcPr>
            <w:tcW w:w="1975"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污染物名称</w:t>
            </w:r>
          </w:p>
        </w:tc>
        <w:tc>
          <w:tcPr>
            <w:tcW w:w="1554"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1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①</w:t>
            </w:r>
            <w:r>
              <w:rPr>
                <w:rFonts w:hint="default" w:ascii="Times New Roman" w:hAnsi="Times New Roman" w:eastAsia="宋体" w:cs="Times New Roman"/>
                <w:b/>
                <w:bCs/>
                <w:snapToGrid w:val="0"/>
                <w:color w:val="auto"/>
                <w:spacing w:val="-6"/>
                <w:kern w:val="21"/>
                <w:sz w:val="24"/>
                <w:szCs w:val="24"/>
              </w:rPr>
              <w:fldChar w:fldCharType="end"/>
            </w:r>
          </w:p>
        </w:tc>
        <w:tc>
          <w:tcPr>
            <w:tcW w:w="1276"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许可排放量</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2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snapToGrid w:val="0"/>
                <w:color w:val="auto"/>
                <w:spacing w:val="-6"/>
                <w:kern w:val="21"/>
                <w:sz w:val="24"/>
                <w:szCs w:val="24"/>
              </w:rPr>
              <w:t>②</w:t>
            </w:r>
            <w:r>
              <w:rPr>
                <w:rFonts w:hint="default" w:ascii="Times New Roman" w:hAnsi="Times New Roman" w:eastAsia="宋体" w:cs="Times New Roman"/>
                <w:b/>
                <w:bCs/>
                <w:snapToGrid w:val="0"/>
                <w:color w:val="auto"/>
                <w:spacing w:val="-6"/>
                <w:kern w:val="21"/>
                <w:sz w:val="24"/>
                <w:szCs w:val="24"/>
              </w:rPr>
              <w:fldChar w:fldCharType="end"/>
            </w:r>
          </w:p>
        </w:tc>
        <w:tc>
          <w:tcPr>
            <w:tcW w:w="1701"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在建工程</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3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③</w:t>
            </w:r>
            <w:r>
              <w:rPr>
                <w:rFonts w:hint="default" w:ascii="Times New Roman" w:hAnsi="Times New Roman" w:eastAsia="宋体" w:cs="Times New Roman"/>
                <w:b/>
                <w:bCs/>
                <w:snapToGrid w:val="0"/>
                <w:color w:val="auto"/>
                <w:spacing w:val="-6"/>
                <w:kern w:val="21"/>
                <w:sz w:val="24"/>
                <w:szCs w:val="24"/>
              </w:rPr>
              <w:fldChar w:fldCharType="end"/>
            </w:r>
          </w:p>
        </w:tc>
        <w:tc>
          <w:tcPr>
            <w:tcW w:w="1559"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本项目</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4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④</w:t>
            </w:r>
            <w:r>
              <w:rPr>
                <w:rFonts w:hint="default" w:ascii="Times New Roman" w:hAnsi="Times New Roman" w:eastAsia="宋体" w:cs="Times New Roman"/>
                <w:b/>
                <w:bCs/>
                <w:snapToGrid w:val="0"/>
                <w:color w:val="auto"/>
                <w:spacing w:val="-6"/>
                <w:kern w:val="21"/>
                <w:sz w:val="24"/>
                <w:szCs w:val="24"/>
              </w:rPr>
              <w:fldChar w:fldCharType="end"/>
            </w:r>
          </w:p>
        </w:tc>
        <w:tc>
          <w:tcPr>
            <w:tcW w:w="1761"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以新带老削减量</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（新建项目不填）</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5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kern w:val="2"/>
                <w:sz w:val="24"/>
                <w:szCs w:val="24"/>
              </w:rPr>
              <w:t>⑤</w:t>
            </w:r>
            <w:r>
              <w:rPr>
                <w:rFonts w:hint="default" w:ascii="Times New Roman" w:hAnsi="Times New Roman" w:eastAsia="宋体" w:cs="Times New Roman"/>
                <w:b/>
                <w:bCs/>
                <w:snapToGrid w:val="0"/>
                <w:color w:val="auto"/>
                <w:spacing w:val="-16"/>
                <w:kern w:val="21"/>
                <w:sz w:val="24"/>
                <w:szCs w:val="24"/>
              </w:rPr>
              <w:fldChar w:fldCharType="end"/>
            </w:r>
          </w:p>
        </w:tc>
        <w:tc>
          <w:tcPr>
            <w:tcW w:w="1750"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本项目建成后</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全厂排放量（固体废物产生量）</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6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kern w:val="2"/>
                <w:sz w:val="24"/>
                <w:szCs w:val="24"/>
              </w:rPr>
              <w:t>⑥</w:t>
            </w:r>
            <w:r>
              <w:rPr>
                <w:rFonts w:hint="default" w:ascii="Times New Roman" w:hAnsi="Times New Roman" w:eastAsia="宋体" w:cs="Times New Roman"/>
                <w:b/>
                <w:bCs/>
                <w:snapToGrid w:val="0"/>
                <w:color w:val="auto"/>
                <w:spacing w:val="-16"/>
                <w:kern w:val="21"/>
                <w:sz w:val="24"/>
                <w:szCs w:val="24"/>
              </w:rPr>
              <w:fldChar w:fldCharType="end"/>
            </w:r>
          </w:p>
        </w:tc>
        <w:tc>
          <w:tcPr>
            <w:tcW w:w="1671" w:type="dxa"/>
            <w:noWrap w:val="0"/>
            <w:tcMar>
              <w:left w:w="28" w:type="dxa"/>
              <w:right w:w="28" w:type="dxa"/>
            </w:tcMar>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变化量</w:t>
            </w:r>
          </w:p>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7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⑦</w:t>
            </w:r>
            <w:r>
              <w:rPr>
                <w:rFonts w:hint="default" w:ascii="Times New Roman" w:hAnsi="Times New Roman" w:eastAsia="宋体" w:cs="Times New Roman"/>
                <w:b/>
                <w:bCs/>
                <w:snapToGrid w:val="0"/>
                <w:color w:val="auto"/>
                <w:spacing w:val="-6"/>
                <w:kern w:val="21"/>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restart"/>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颗粒物</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7.009t/a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3.468t/a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10.477t/a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+3.468t/a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氮氧化物</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14.973t/a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29.952t/a</w:t>
            </w:r>
          </w:p>
        </w:tc>
        <w:tc>
          <w:tcPr>
            <w:tcW w:w="170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5.739t/a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20.712t/a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+5.739t/a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二氧化硫</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1.3205t/a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9.5184t/a</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0.5312t/a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1.8517t/a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+0.5312t/a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甲醛</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0.702t/a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0.2726t/a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0.9746t/a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+0.2726t/a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有机废气</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2.2366t/a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2.223t/a</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0.8465t/a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3.0831t/a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+0.8465t/a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氨</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0.0473t/a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0.0473t/a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+0.0473t/a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汞及其化合物</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0.000022t/a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0.000008t/a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0.00003t/a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restart"/>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1975"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COD</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0.2382t/a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1.673t/a</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0.127t/a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0.3652t/a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+0.127t/a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氨氮</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0.0386t/a</w:t>
            </w:r>
          </w:p>
        </w:tc>
        <w:tc>
          <w:tcPr>
            <w:tcW w:w="1276"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0.151t/a</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0.0101t/a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0.0487t/a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+0.0101t/a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总磷</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0.0027t/a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0.027t/a</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0.0012t/a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0.0039t/a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+0.0012t/a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restart"/>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一般工业固体废物</w:t>
            </w: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生活垃圾</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6.3t/a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1.8t/a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8.1t/a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收集的粉尘</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120.625t/a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68.456t/a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189.081t/a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+68.456t/a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eastAsia="zh-CN"/>
              </w:rPr>
              <w:t>废边角料、不合格品</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310t/a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110t/a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420t/a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zh-CN" w:eastAsia="zh-CN"/>
              </w:rPr>
              <w:t>泥沙、石块、金属等杂质</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2.5t/a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2.0t/a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4.5t/a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zh-CN" w:eastAsia="zh-CN"/>
              </w:rPr>
              <w:t>水膜除尘循环水池中沉渣</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1.0t/a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0.4t/a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1.4t/a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zh-CN" w:eastAsia="zh-CN"/>
              </w:rPr>
              <w:t>生物质燃料灰渣</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233.57t/a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eastAsia"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87t/a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leftChars="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320.57t/a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+87t/a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zh-CN" w:eastAsia="zh-CN"/>
              </w:rPr>
              <w:t>废包装材料</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restart"/>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废机油、废机油桶、含油手套</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0.02t/a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0.015t/a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0.035t/a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+0.015t/a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废导热油</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1.0t/a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1.0t/a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废胶</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0.2t/a</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1.686t/a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1.886t/a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+1.686t/a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7" w:type="dxa"/>
            <w:vMerge w:val="continue"/>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rPr>
            </w:pPr>
          </w:p>
        </w:tc>
        <w:tc>
          <w:tcPr>
            <w:tcW w:w="1975"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废活性炭</w:t>
            </w:r>
          </w:p>
        </w:tc>
        <w:tc>
          <w:tcPr>
            <w:tcW w:w="1554"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701" w:type="dxa"/>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w:t>
            </w:r>
          </w:p>
        </w:tc>
        <w:tc>
          <w:tcPr>
            <w:tcW w:w="1559"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2t/a</w:t>
            </w:r>
          </w:p>
        </w:tc>
        <w:tc>
          <w:tcPr>
            <w:tcW w:w="176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50"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2t/a</w:t>
            </w:r>
          </w:p>
        </w:tc>
        <w:tc>
          <w:tcPr>
            <w:tcW w:w="1671" w:type="dxa"/>
            <w:shd w:val="clear" w:color="auto" w:fill="auto"/>
            <w:noWrap w:val="0"/>
            <w:vAlign w:val="center"/>
          </w:tcPr>
          <w:p>
            <w:pPr>
              <w:pStyle w:val="98"/>
              <w:keepNext w:val="0"/>
              <w:keepLines w:val="0"/>
              <w:pageBreakBefore w:val="0"/>
              <w:kinsoku/>
              <w:wordWrap/>
              <w:overflowPunct/>
              <w:topLinePunct w:val="0"/>
              <w:autoSpaceDE/>
              <w:autoSpaceDN/>
              <w:bidi w:val="0"/>
              <w:spacing w:beforeLines="0" w:after="0" w:afterLines="0" w:line="240" w:lineRule="auto"/>
              <w:ind w:left="0"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+2t/a</w:t>
            </w:r>
          </w:p>
        </w:tc>
      </w:tr>
    </w:tbl>
    <w:p>
      <w:pPr>
        <w:pStyle w:val="98"/>
        <w:spacing w:before="192" w:beforeLines="80" w:after="24"/>
        <w:ind w:left="420" w:hanging="420"/>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color w:val="auto"/>
        </w:rPr>
        <w:tab/>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TimesNewRomanPS-BoldMT">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Romantic">
    <w:altName w:val="Segoe Print"/>
    <w:panose1 w:val="00000400000000000000"/>
    <w:charset w:val="02"/>
    <w:family w:val="auto"/>
    <w:pitch w:val="default"/>
    <w:sig w:usb0="00000000" w:usb1="00000000" w:usb2="00000000" w:usb3="00000000" w:csb0="00000000" w:csb1="00000000"/>
  </w:font>
  <w:font w:name="MS Mincho">
    <w:altName w:val="Yu Gothic UI"/>
    <w:panose1 w:val="02020609040205080304"/>
    <w:charset w:val="80"/>
    <w:family w:val="roman"/>
    <w:pitch w:val="default"/>
    <w:sig w:usb0="00000000" w:usb1="00000000" w:usb2="00000012" w:usb3="00000000" w:csb0="4002009F" w:csb1="DFD7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TimesNewRomanPS-ItalicMT">
    <w:altName w:val="微软雅黑"/>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ArialMT">
    <w:altName w:val="等线"/>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3"/>
      </w:rPr>
    </w:pPr>
    <w:r>
      <w:fldChar w:fldCharType="begin"/>
    </w:r>
    <w:r>
      <w:rPr>
        <w:rStyle w:val="43"/>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2</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IvjqHxgEAAHQDAAAOAAAAAAAAAAEAIAAAAB4BAABkcnMvZTJvRG9jLnht&#10;bFBLBQYAAAAABgAGAFkBAABWBQAAAAA=&#10;">
              <v:fill on="f" focussize="0,0"/>
              <v:stroke on="f"/>
              <v:imagedata o:title=""/>
              <o:lock v:ext="edit" aspectratio="f"/>
              <v:textbox inset="0mm,0mm,0mm,0mm" style="mso-fit-shape-to-text:t;">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2</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20</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o3qpGxgEAAHQDAAAOAAAAAAAAAAEAIAAAAB4BAABkcnMvZTJvRG9jLnht&#10;bFBLBQYAAAAABgAGAFkBAABWBQAAAAA=&#10;">
              <v:fill on="f" focussize="0,0"/>
              <v:stroke on="f"/>
              <v:imagedata o:title=""/>
              <o:lock v:ext="edit" aspectratio="f"/>
              <v:textbox inset="0mm,0mm,0mm,0mm" style="mso-fit-shape-to-text:t;">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20</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80</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eD6Y2xgEAAHQDAAAOAAAAAAAAAAEAIAAAAB4BAABkcnMvZTJvRG9jLnht&#10;bFBLBQYAAAAABgAGAFkBAABWBQAAAAA=&#10;">
              <v:fill on="f" focussize="0,0"/>
              <v:stroke on="f"/>
              <v:imagedata o:title=""/>
              <o:lock v:ext="edit" aspectratio="f"/>
              <v:textbox inset="0mm,0mm,0mm,0mm" style="mso-fit-shape-to-text:t;">
                <w:txbxContent>
                  <w:p>
                    <w:pPr>
                      <w:pStyle w:val="23"/>
                      <w:rPr>
                        <w:rStyle w:val="43"/>
                        <w:rFonts w:ascii="宋体" w:hAnsi="宋体"/>
                        <w:sz w:val="28"/>
                        <w:szCs w:val="28"/>
                      </w:rPr>
                    </w:pPr>
                    <w:r>
                      <w:rPr>
                        <w:rStyle w:val="43"/>
                        <w:rFonts w:hint="eastAsia" w:ascii="宋体" w:hAnsi="宋体"/>
                        <w:sz w:val="28"/>
                        <w:szCs w:val="28"/>
                      </w:rPr>
                      <w:t>—</w:t>
                    </w:r>
                    <w:r>
                      <w:rPr>
                        <w:rStyle w:val="43"/>
                        <w:rFonts w:hint="eastAsia" w:ascii="宋体" w:hAnsi="宋体"/>
                        <w:sz w:val="20"/>
                      </w:rPr>
                      <w:t xml:space="preserve">  </w:t>
                    </w:r>
                    <w:r>
                      <w:rPr>
                        <w:rFonts w:ascii="宋体" w:hAnsi="宋体"/>
                        <w:sz w:val="26"/>
                        <w:szCs w:val="26"/>
                      </w:rPr>
                      <w:fldChar w:fldCharType="begin"/>
                    </w:r>
                    <w:r>
                      <w:rPr>
                        <w:rStyle w:val="43"/>
                        <w:rFonts w:ascii="宋体" w:hAnsi="宋体"/>
                        <w:sz w:val="26"/>
                        <w:szCs w:val="26"/>
                      </w:rPr>
                      <w:instrText xml:space="preserve">PAGE  </w:instrText>
                    </w:r>
                    <w:r>
                      <w:rPr>
                        <w:rFonts w:ascii="宋体" w:hAnsi="宋体"/>
                        <w:sz w:val="26"/>
                        <w:szCs w:val="26"/>
                      </w:rPr>
                      <w:fldChar w:fldCharType="separate"/>
                    </w:r>
                    <w:r>
                      <w:rPr>
                        <w:rStyle w:val="43"/>
                        <w:rFonts w:ascii="宋体" w:hAnsi="宋体"/>
                        <w:sz w:val="26"/>
                        <w:szCs w:val="26"/>
                      </w:rPr>
                      <w:t>80</w:t>
                    </w:r>
                    <w:r>
                      <w:rPr>
                        <w:rFonts w:ascii="宋体" w:hAnsi="宋体"/>
                        <w:sz w:val="26"/>
                        <w:szCs w:val="26"/>
                      </w:rPr>
                      <w:fldChar w:fldCharType="end"/>
                    </w:r>
                    <w:r>
                      <w:rPr>
                        <w:rStyle w:val="43"/>
                        <w:rFonts w:hint="eastAsia" w:ascii="宋体" w:hAnsi="宋体"/>
                        <w:sz w:val="20"/>
                      </w:rPr>
                      <w:t xml:space="preserve">  </w:t>
                    </w:r>
                    <w:r>
                      <w:rPr>
                        <w:rStyle w:val="43"/>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F573A"/>
    <w:multiLevelType w:val="singleLevel"/>
    <w:tmpl w:val="816F573A"/>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937A6721"/>
    <w:multiLevelType w:val="singleLevel"/>
    <w:tmpl w:val="937A6721"/>
    <w:lvl w:ilvl="0" w:tentative="0">
      <w:start w:val="1"/>
      <w:numFmt w:val="chineseCounting"/>
      <w:suff w:val="nothing"/>
      <w:lvlText w:val="%1、"/>
      <w:lvlJc w:val="left"/>
      <w:rPr>
        <w:rFonts w:hint="eastAsia"/>
      </w:rPr>
    </w:lvl>
  </w:abstractNum>
  <w:abstractNum w:abstractNumId="2">
    <w:nsid w:val="F2EEC5DE"/>
    <w:multiLevelType w:val="singleLevel"/>
    <w:tmpl w:val="F2EEC5DE"/>
    <w:lvl w:ilvl="0" w:tentative="0">
      <w:start w:val="3"/>
      <w:numFmt w:val="decimal"/>
      <w:suff w:val="nothing"/>
      <w:lvlText w:val="（%1）"/>
      <w:lvlJc w:val="left"/>
    </w:lvl>
  </w:abstractNum>
  <w:abstractNum w:abstractNumId="3">
    <w:nsid w:val="03CF53E1"/>
    <w:multiLevelType w:val="multilevel"/>
    <w:tmpl w:val="03CF53E1"/>
    <w:lvl w:ilvl="0" w:tentative="0">
      <w:start w:val="1"/>
      <w:numFmt w:val="decimal"/>
      <w:pStyle w:val="166"/>
      <w:lvlText w:val="表1-%1"/>
      <w:lvlJc w:val="left"/>
      <w:pPr>
        <w:tabs>
          <w:tab w:val="left" w:pos="851"/>
        </w:tabs>
        <w:ind w:left="0" w:firstLine="0"/>
      </w:pPr>
      <w:rPr>
        <w:rFonts w:hint="eastAsia"/>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F059571"/>
    <w:multiLevelType w:val="singleLevel"/>
    <w:tmpl w:val="2F059571"/>
    <w:lvl w:ilvl="0" w:tentative="0">
      <w:start w:val="2"/>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yZjFhYjRjMDYzMGUwZGNhODY4ZWFmNjhiMDJiNTQifQ=="/>
  </w:docVars>
  <w:rsids>
    <w:rsidRoot w:val="00172A27"/>
    <w:rsid w:val="000004E1"/>
    <w:rsid w:val="000060B3"/>
    <w:rsid w:val="000126F1"/>
    <w:rsid w:val="00024E83"/>
    <w:rsid w:val="0004364B"/>
    <w:rsid w:val="0004573D"/>
    <w:rsid w:val="00061992"/>
    <w:rsid w:val="00061B1F"/>
    <w:rsid w:val="00067C8C"/>
    <w:rsid w:val="000733C4"/>
    <w:rsid w:val="00074783"/>
    <w:rsid w:val="0008070B"/>
    <w:rsid w:val="000810AC"/>
    <w:rsid w:val="0008192C"/>
    <w:rsid w:val="00081A02"/>
    <w:rsid w:val="00082231"/>
    <w:rsid w:val="00082C31"/>
    <w:rsid w:val="000848F1"/>
    <w:rsid w:val="00092D38"/>
    <w:rsid w:val="0009377B"/>
    <w:rsid w:val="000A20C9"/>
    <w:rsid w:val="000A3F5B"/>
    <w:rsid w:val="000B058F"/>
    <w:rsid w:val="000B3ECF"/>
    <w:rsid w:val="000B4467"/>
    <w:rsid w:val="000B4DB9"/>
    <w:rsid w:val="000C09AC"/>
    <w:rsid w:val="000C0C1A"/>
    <w:rsid w:val="000C767F"/>
    <w:rsid w:val="000D5A44"/>
    <w:rsid w:val="000E3ED2"/>
    <w:rsid w:val="000E42AB"/>
    <w:rsid w:val="00103F43"/>
    <w:rsid w:val="001068A3"/>
    <w:rsid w:val="00107A47"/>
    <w:rsid w:val="0011191E"/>
    <w:rsid w:val="001207FA"/>
    <w:rsid w:val="00123DC7"/>
    <w:rsid w:val="001318EA"/>
    <w:rsid w:val="00131F42"/>
    <w:rsid w:val="001357F1"/>
    <w:rsid w:val="00140FA8"/>
    <w:rsid w:val="00142427"/>
    <w:rsid w:val="00142FEB"/>
    <w:rsid w:val="00143A2D"/>
    <w:rsid w:val="001458D2"/>
    <w:rsid w:val="00145A41"/>
    <w:rsid w:val="00151675"/>
    <w:rsid w:val="00151A25"/>
    <w:rsid w:val="00155D81"/>
    <w:rsid w:val="00157435"/>
    <w:rsid w:val="00157509"/>
    <w:rsid w:val="001736C5"/>
    <w:rsid w:val="0017504D"/>
    <w:rsid w:val="0017671A"/>
    <w:rsid w:val="00177422"/>
    <w:rsid w:val="00184590"/>
    <w:rsid w:val="00186BF0"/>
    <w:rsid w:val="001870D1"/>
    <w:rsid w:val="0018781E"/>
    <w:rsid w:val="00192001"/>
    <w:rsid w:val="0019262D"/>
    <w:rsid w:val="001A179C"/>
    <w:rsid w:val="001A1B35"/>
    <w:rsid w:val="001A48A2"/>
    <w:rsid w:val="001A6F61"/>
    <w:rsid w:val="001A78CF"/>
    <w:rsid w:val="001B72B8"/>
    <w:rsid w:val="001C07B6"/>
    <w:rsid w:val="001C1F9E"/>
    <w:rsid w:val="001C69B3"/>
    <w:rsid w:val="001D5595"/>
    <w:rsid w:val="001D7874"/>
    <w:rsid w:val="001D7F22"/>
    <w:rsid w:val="001E733A"/>
    <w:rsid w:val="001E78C1"/>
    <w:rsid w:val="001F07CA"/>
    <w:rsid w:val="001F0F17"/>
    <w:rsid w:val="001F3347"/>
    <w:rsid w:val="001F69E4"/>
    <w:rsid w:val="002125B4"/>
    <w:rsid w:val="002155B8"/>
    <w:rsid w:val="002225F9"/>
    <w:rsid w:val="002235CA"/>
    <w:rsid w:val="00223CC8"/>
    <w:rsid w:val="00224153"/>
    <w:rsid w:val="00224839"/>
    <w:rsid w:val="002249B2"/>
    <w:rsid w:val="00226574"/>
    <w:rsid w:val="002278EC"/>
    <w:rsid w:val="0023280E"/>
    <w:rsid w:val="002377D1"/>
    <w:rsid w:val="00237BDF"/>
    <w:rsid w:val="002435FA"/>
    <w:rsid w:val="002506BC"/>
    <w:rsid w:val="00254345"/>
    <w:rsid w:val="00256EF3"/>
    <w:rsid w:val="00264557"/>
    <w:rsid w:val="002650A6"/>
    <w:rsid w:val="0027107D"/>
    <w:rsid w:val="002805AB"/>
    <w:rsid w:val="00284204"/>
    <w:rsid w:val="00291773"/>
    <w:rsid w:val="00291C4A"/>
    <w:rsid w:val="00295EAC"/>
    <w:rsid w:val="002A168C"/>
    <w:rsid w:val="002A3DC7"/>
    <w:rsid w:val="002B1A70"/>
    <w:rsid w:val="002B3C00"/>
    <w:rsid w:val="002B49E2"/>
    <w:rsid w:val="002B7B00"/>
    <w:rsid w:val="002B7C44"/>
    <w:rsid w:val="002C2B17"/>
    <w:rsid w:val="002D3DD0"/>
    <w:rsid w:val="002D5A9A"/>
    <w:rsid w:val="002D7DE7"/>
    <w:rsid w:val="002E1F3A"/>
    <w:rsid w:val="002E298A"/>
    <w:rsid w:val="00301978"/>
    <w:rsid w:val="0030332C"/>
    <w:rsid w:val="003051C2"/>
    <w:rsid w:val="00312296"/>
    <w:rsid w:val="0031279A"/>
    <w:rsid w:val="00314F0E"/>
    <w:rsid w:val="00321D8E"/>
    <w:rsid w:val="00325928"/>
    <w:rsid w:val="00332863"/>
    <w:rsid w:val="0033684D"/>
    <w:rsid w:val="00337B42"/>
    <w:rsid w:val="00341498"/>
    <w:rsid w:val="00341B42"/>
    <w:rsid w:val="0034348F"/>
    <w:rsid w:val="00346632"/>
    <w:rsid w:val="003532FE"/>
    <w:rsid w:val="0035359F"/>
    <w:rsid w:val="00356653"/>
    <w:rsid w:val="0035743F"/>
    <w:rsid w:val="00357BE2"/>
    <w:rsid w:val="0036170C"/>
    <w:rsid w:val="00364C49"/>
    <w:rsid w:val="00366E0F"/>
    <w:rsid w:val="003763FE"/>
    <w:rsid w:val="00381A72"/>
    <w:rsid w:val="00384676"/>
    <w:rsid w:val="00387889"/>
    <w:rsid w:val="0039061A"/>
    <w:rsid w:val="00390857"/>
    <w:rsid w:val="003955C1"/>
    <w:rsid w:val="003975F1"/>
    <w:rsid w:val="003A4BF3"/>
    <w:rsid w:val="003A4DAC"/>
    <w:rsid w:val="003A5AC2"/>
    <w:rsid w:val="003B0BB4"/>
    <w:rsid w:val="003B420D"/>
    <w:rsid w:val="003C6C16"/>
    <w:rsid w:val="003D268C"/>
    <w:rsid w:val="003D2CC2"/>
    <w:rsid w:val="003D65D5"/>
    <w:rsid w:val="003D662B"/>
    <w:rsid w:val="003D794D"/>
    <w:rsid w:val="003D79DD"/>
    <w:rsid w:val="003E3058"/>
    <w:rsid w:val="003E76A9"/>
    <w:rsid w:val="003F0809"/>
    <w:rsid w:val="003F6A8C"/>
    <w:rsid w:val="003F755C"/>
    <w:rsid w:val="00406F01"/>
    <w:rsid w:val="004100A9"/>
    <w:rsid w:val="00412CA8"/>
    <w:rsid w:val="00412E44"/>
    <w:rsid w:val="004130AA"/>
    <w:rsid w:val="004135AA"/>
    <w:rsid w:val="004137F9"/>
    <w:rsid w:val="00416D50"/>
    <w:rsid w:val="00416FD5"/>
    <w:rsid w:val="00417772"/>
    <w:rsid w:val="00420675"/>
    <w:rsid w:val="00420E6A"/>
    <w:rsid w:val="00425A9E"/>
    <w:rsid w:val="00426D6B"/>
    <w:rsid w:val="00431E6C"/>
    <w:rsid w:val="00433CE7"/>
    <w:rsid w:val="00443BE3"/>
    <w:rsid w:val="00444AC1"/>
    <w:rsid w:val="00451864"/>
    <w:rsid w:val="00452738"/>
    <w:rsid w:val="00456091"/>
    <w:rsid w:val="00456E1C"/>
    <w:rsid w:val="004621F8"/>
    <w:rsid w:val="00462E36"/>
    <w:rsid w:val="00466321"/>
    <w:rsid w:val="004829BF"/>
    <w:rsid w:val="0048443F"/>
    <w:rsid w:val="00484B9B"/>
    <w:rsid w:val="004855F6"/>
    <w:rsid w:val="0048661E"/>
    <w:rsid w:val="00494670"/>
    <w:rsid w:val="004A3823"/>
    <w:rsid w:val="004A3ACC"/>
    <w:rsid w:val="004A4869"/>
    <w:rsid w:val="004A7A3A"/>
    <w:rsid w:val="004B1197"/>
    <w:rsid w:val="004B2409"/>
    <w:rsid w:val="004D7F6A"/>
    <w:rsid w:val="004E04B7"/>
    <w:rsid w:val="004E12C6"/>
    <w:rsid w:val="004E6946"/>
    <w:rsid w:val="004E7F5C"/>
    <w:rsid w:val="004F1AD8"/>
    <w:rsid w:val="005019E2"/>
    <w:rsid w:val="005039CB"/>
    <w:rsid w:val="0050558F"/>
    <w:rsid w:val="00505BF0"/>
    <w:rsid w:val="00506286"/>
    <w:rsid w:val="00510813"/>
    <w:rsid w:val="00511990"/>
    <w:rsid w:val="00511DE0"/>
    <w:rsid w:val="00513F84"/>
    <w:rsid w:val="00514870"/>
    <w:rsid w:val="00514B47"/>
    <w:rsid w:val="00514B9B"/>
    <w:rsid w:val="00517F02"/>
    <w:rsid w:val="00524303"/>
    <w:rsid w:val="005243BF"/>
    <w:rsid w:val="005258A2"/>
    <w:rsid w:val="005349E0"/>
    <w:rsid w:val="005401AE"/>
    <w:rsid w:val="00542E07"/>
    <w:rsid w:val="00545424"/>
    <w:rsid w:val="00554A7B"/>
    <w:rsid w:val="00554A90"/>
    <w:rsid w:val="0055572C"/>
    <w:rsid w:val="00557531"/>
    <w:rsid w:val="0056106A"/>
    <w:rsid w:val="005720AE"/>
    <w:rsid w:val="005736B2"/>
    <w:rsid w:val="00580A1B"/>
    <w:rsid w:val="00594D77"/>
    <w:rsid w:val="005969E4"/>
    <w:rsid w:val="00596F6B"/>
    <w:rsid w:val="005A06B7"/>
    <w:rsid w:val="005A1759"/>
    <w:rsid w:val="005A68A7"/>
    <w:rsid w:val="005B462B"/>
    <w:rsid w:val="005B4A7C"/>
    <w:rsid w:val="005D36AB"/>
    <w:rsid w:val="005E24A9"/>
    <w:rsid w:val="005F461F"/>
    <w:rsid w:val="005F4A40"/>
    <w:rsid w:val="005F5EF7"/>
    <w:rsid w:val="006007FF"/>
    <w:rsid w:val="00603522"/>
    <w:rsid w:val="00617CC3"/>
    <w:rsid w:val="0062664E"/>
    <w:rsid w:val="00633556"/>
    <w:rsid w:val="006360BD"/>
    <w:rsid w:val="006377A6"/>
    <w:rsid w:val="00637A3D"/>
    <w:rsid w:val="006411EF"/>
    <w:rsid w:val="00651D0F"/>
    <w:rsid w:val="00665FD9"/>
    <w:rsid w:val="00671925"/>
    <w:rsid w:val="006748B8"/>
    <w:rsid w:val="006775C3"/>
    <w:rsid w:val="0069290A"/>
    <w:rsid w:val="00694AB3"/>
    <w:rsid w:val="0069775A"/>
    <w:rsid w:val="00697813"/>
    <w:rsid w:val="006A0D18"/>
    <w:rsid w:val="006A26CC"/>
    <w:rsid w:val="006A3EE8"/>
    <w:rsid w:val="006A72BF"/>
    <w:rsid w:val="006B03F2"/>
    <w:rsid w:val="006B37DC"/>
    <w:rsid w:val="006B4F68"/>
    <w:rsid w:val="006B4FD5"/>
    <w:rsid w:val="006C0333"/>
    <w:rsid w:val="006C0592"/>
    <w:rsid w:val="006C272E"/>
    <w:rsid w:val="006C5479"/>
    <w:rsid w:val="006C54B7"/>
    <w:rsid w:val="006D13B5"/>
    <w:rsid w:val="006D5898"/>
    <w:rsid w:val="006E12FF"/>
    <w:rsid w:val="006E607E"/>
    <w:rsid w:val="006F5E14"/>
    <w:rsid w:val="00706C5D"/>
    <w:rsid w:val="00712DE4"/>
    <w:rsid w:val="00714C84"/>
    <w:rsid w:val="007238AB"/>
    <w:rsid w:val="007317E1"/>
    <w:rsid w:val="00732922"/>
    <w:rsid w:val="00735B9A"/>
    <w:rsid w:val="00747827"/>
    <w:rsid w:val="00750DA3"/>
    <w:rsid w:val="0075162E"/>
    <w:rsid w:val="00752D8C"/>
    <w:rsid w:val="00754034"/>
    <w:rsid w:val="00754D81"/>
    <w:rsid w:val="00756556"/>
    <w:rsid w:val="007618C4"/>
    <w:rsid w:val="00763E46"/>
    <w:rsid w:val="00764245"/>
    <w:rsid w:val="00767980"/>
    <w:rsid w:val="00770B19"/>
    <w:rsid w:val="00773C7E"/>
    <w:rsid w:val="0077463F"/>
    <w:rsid w:val="007836EA"/>
    <w:rsid w:val="00784CDA"/>
    <w:rsid w:val="00785701"/>
    <w:rsid w:val="007906C4"/>
    <w:rsid w:val="00790F80"/>
    <w:rsid w:val="00793D51"/>
    <w:rsid w:val="007940EA"/>
    <w:rsid w:val="007967E8"/>
    <w:rsid w:val="007A2170"/>
    <w:rsid w:val="007A22BF"/>
    <w:rsid w:val="007A2EBD"/>
    <w:rsid w:val="007A3323"/>
    <w:rsid w:val="007A6576"/>
    <w:rsid w:val="007B6258"/>
    <w:rsid w:val="007B72B8"/>
    <w:rsid w:val="007B7A58"/>
    <w:rsid w:val="007C21B5"/>
    <w:rsid w:val="007C337D"/>
    <w:rsid w:val="007E4BD2"/>
    <w:rsid w:val="00801393"/>
    <w:rsid w:val="00802F88"/>
    <w:rsid w:val="00805906"/>
    <w:rsid w:val="00806EEF"/>
    <w:rsid w:val="00810DB4"/>
    <w:rsid w:val="0081293E"/>
    <w:rsid w:val="008134B5"/>
    <w:rsid w:val="00815465"/>
    <w:rsid w:val="008155BF"/>
    <w:rsid w:val="00817E9A"/>
    <w:rsid w:val="00825C16"/>
    <w:rsid w:val="00826156"/>
    <w:rsid w:val="008306BD"/>
    <w:rsid w:val="00831A80"/>
    <w:rsid w:val="00833743"/>
    <w:rsid w:val="008340A4"/>
    <w:rsid w:val="00860247"/>
    <w:rsid w:val="00860BA2"/>
    <w:rsid w:val="00864F74"/>
    <w:rsid w:val="0087135F"/>
    <w:rsid w:val="00872D94"/>
    <w:rsid w:val="00880364"/>
    <w:rsid w:val="00891592"/>
    <w:rsid w:val="00891E9E"/>
    <w:rsid w:val="0089784F"/>
    <w:rsid w:val="008A2F68"/>
    <w:rsid w:val="008A3C40"/>
    <w:rsid w:val="008B4FA6"/>
    <w:rsid w:val="008B5282"/>
    <w:rsid w:val="008B7C17"/>
    <w:rsid w:val="008C2D01"/>
    <w:rsid w:val="008C2D69"/>
    <w:rsid w:val="008C40E6"/>
    <w:rsid w:val="008C47BA"/>
    <w:rsid w:val="008D0F7A"/>
    <w:rsid w:val="008D68E4"/>
    <w:rsid w:val="008E0506"/>
    <w:rsid w:val="008E0CFF"/>
    <w:rsid w:val="008E5D6B"/>
    <w:rsid w:val="008E76F0"/>
    <w:rsid w:val="008F15FE"/>
    <w:rsid w:val="008F2D29"/>
    <w:rsid w:val="008F3A1B"/>
    <w:rsid w:val="008F5187"/>
    <w:rsid w:val="008F60D8"/>
    <w:rsid w:val="008F7CE9"/>
    <w:rsid w:val="00902727"/>
    <w:rsid w:val="0090312B"/>
    <w:rsid w:val="0090602C"/>
    <w:rsid w:val="00914A52"/>
    <w:rsid w:val="00914B87"/>
    <w:rsid w:val="0091736D"/>
    <w:rsid w:val="00925569"/>
    <w:rsid w:val="0093037A"/>
    <w:rsid w:val="00932F3C"/>
    <w:rsid w:val="0094154D"/>
    <w:rsid w:val="00941FA0"/>
    <w:rsid w:val="0095155F"/>
    <w:rsid w:val="00954429"/>
    <w:rsid w:val="009563CE"/>
    <w:rsid w:val="0095644D"/>
    <w:rsid w:val="00964851"/>
    <w:rsid w:val="009717CA"/>
    <w:rsid w:val="00971D4C"/>
    <w:rsid w:val="00976328"/>
    <w:rsid w:val="0097680D"/>
    <w:rsid w:val="009777FB"/>
    <w:rsid w:val="00982438"/>
    <w:rsid w:val="0098404C"/>
    <w:rsid w:val="00985283"/>
    <w:rsid w:val="00995992"/>
    <w:rsid w:val="009A03E5"/>
    <w:rsid w:val="009A0F3B"/>
    <w:rsid w:val="009A1349"/>
    <w:rsid w:val="009A1BB4"/>
    <w:rsid w:val="009A2628"/>
    <w:rsid w:val="009A3200"/>
    <w:rsid w:val="009B0897"/>
    <w:rsid w:val="009B58F3"/>
    <w:rsid w:val="009B5F0B"/>
    <w:rsid w:val="009B7BD9"/>
    <w:rsid w:val="009C7DD5"/>
    <w:rsid w:val="009D4236"/>
    <w:rsid w:val="009D4400"/>
    <w:rsid w:val="009E227D"/>
    <w:rsid w:val="009E5019"/>
    <w:rsid w:val="009E7E37"/>
    <w:rsid w:val="00A04F1B"/>
    <w:rsid w:val="00A0501B"/>
    <w:rsid w:val="00A14947"/>
    <w:rsid w:val="00A23064"/>
    <w:rsid w:val="00A25C79"/>
    <w:rsid w:val="00A32A83"/>
    <w:rsid w:val="00A368DB"/>
    <w:rsid w:val="00A4201C"/>
    <w:rsid w:val="00A423AA"/>
    <w:rsid w:val="00A42F2E"/>
    <w:rsid w:val="00A5152C"/>
    <w:rsid w:val="00A53177"/>
    <w:rsid w:val="00A53B03"/>
    <w:rsid w:val="00A53EC6"/>
    <w:rsid w:val="00A55C0F"/>
    <w:rsid w:val="00A64048"/>
    <w:rsid w:val="00A76B80"/>
    <w:rsid w:val="00A80923"/>
    <w:rsid w:val="00A84508"/>
    <w:rsid w:val="00A8713F"/>
    <w:rsid w:val="00A90BA1"/>
    <w:rsid w:val="00A91789"/>
    <w:rsid w:val="00A97A9A"/>
    <w:rsid w:val="00AA0671"/>
    <w:rsid w:val="00AA157B"/>
    <w:rsid w:val="00AA2531"/>
    <w:rsid w:val="00AA354A"/>
    <w:rsid w:val="00AA5447"/>
    <w:rsid w:val="00AB1E09"/>
    <w:rsid w:val="00AB5330"/>
    <w:rsid w:val="00AB7747"/>
    <w:rsid w:val="00AC14CE"/>
    <w:rsid w:val="00AC2A56"/>
    <w:rsid w:val="00AC4244"/>
    <w:rsid w:val="00AC4305"/>
    <w:rsid w:val="00AD0366"/>
    <w:rsid w:val="00AD055E"/>
    <w:rsid w:val="00AD1A36"/>
    <w:rsid w:val="00AD1FE0"/>
    <w:rsid w:val="00AD47A7"/>
    <w:rsid w:val="00AD4D0E"/>
    <w:rsid w:val="00AD684F"/>
    <w:rsid w:val="00AF0CBF"/>
    <w:rsid w:val="00AF257F"/>
    <w:rsid w:val="00AF33CF"/>
    <w:rsid w:val="00AF4D50"/>
    <w:rsid w:val="00AF6179"/>
    <w:rsid w:val="00B12935"/>
    <w:rsid w:val="00B1295A"/>
    <w:rsid w:val="00B20A45"/>
    <w:rsid w:val="00B22C5C"/>
    <w:rsid w:val="00B24F30"/>
    <w:rsid w:val="00B31ABF"/>
    <w:rsid w:val="00B31B97"/>
    <w:rsid w:val="00B33BE3"/>
    <w:rsid w:val="00B4668F"/>
    <w:rsid w:val="00B53B5D"/>
    <w:rsid w:val="00B55640"/>
    <w:rsid w:val="00B56621"/>
    <w:rsid w:val="00B6055E"/>
    <w:rsid w:val="00B6317D"/>
    <w:rsid w:val="00B64692"/>
    <w:rsid w:val="00B66150"/>
    <w:rsid w:val="00B71048"/>
    <w:rsid w:val="00B7723F"/>
    <w:rsid w:val="00B80534"/>
    <w:rsid w:val="00B812FA"/>
    <w:rsid w:val="00B8288B"/>
    <w:rsid w:val="00B836C3"/>
    <w:rsid w:val="00B83FD2"/>
    <w:rsid w:val="00B8433C"/>
    <w:rsid w:val="00B84D8A"/>
    <w:rsid w:val="00B87491"/>
    <w:rsid w:val="00BA29E9"/>
    <w:rsid w:val="00BA7142"/>
    <w:rsid w:val="00BB237C"/>
    <w:rsid w:val="00BB41A3"/>
    <w:rsid w:val="00BB4FDD"/>
    <w:rsid w:val="00BB7271"/>
    <w:rsid w:val="00BC32DC"/>
    <w:rsid w:val="00BC35B6"/>
    <w:rsid w:val="00BC4C9E"/>
    <w:rsid w:val="00BD1B51"/>
    <w:rsid w:val="00BD4596"/>
    <w:rsid w:val="00BE1405"/>
    <w:rsid w:val="00BE312D"/>
    <w:rsid w:val="00BF1C20"/>
    <w:rsid w:val="00C01D07"/>
    <w:rsid w:val="00C02857"/>
    <w:rsid w:val="00C0687E"/>
    <w:rsid w:val="00C10578"/>
    <w:rsid w:val="00C10CB0"/>
    <w:rsid w:val="00C11E90"/>
    <w:rsid w:val="00C12DE3"/>
    <w:rsid w:val="00C135BC"/>
    <w:rsid w:val="00C15C95"/>
    <w:rsid w:val="00C2596A"/>
    <w:rsid w:val="00C27537"/>
    <w:rsid w:val="00C31483"/>
    <w:rsid w:val="00C328FE"/>
    <w:rsid w:val="00C33507"/>
    <w:rsid w:val="00C371EB"/>
    <w:rsid w:val="00C4409D"/>
    <w:rsid w:val="00C44E72"/>
    <w:rsid w:val="00C45A06"/>
    <w:rsid w:val="00C479EA"/>
    <w:rsid w:val="00C47E5B"/>
    <w:rsid w:val="00C61E4B"/>
    <w:rsid w:val="00C63F42"/>
    <w:rsid w:val="00C64BFF"/>
    <w:rsid w:val="00C67F64"/>
    <w:rsid w:val="00C704E9"/>
    <w:rsid w:val="00C763C9"/>
    <w:rsid w:val="00C80057"/>
    <w:rsid w:val="00C82232"/>
    <w:rsid w:val="00C82913"/>
    <w:rsid w:val="00C9251F"/>
    <w:rsid w:val="00C972B1"/>
    <w:rsid w:val="00CA2CCE"/>
    <w:rsid w:val="00CA43FD"/>
    <w:rsid w:val="00CA7EF8"/>
    <w:rsid w:val="00CC489B"/>
    <w:rsid w:val="00CD2BCD"/>
    <w:rsid w:val="00CD3A4C"/>
    <w:rsid w:val="00CE10E9"/>
    <w:rsid w:val="00CE2910"/>
    <w:rsid w:val="00CE4AE6"/>
    <w:rsid w:val="00CE5393"/>
    <w:rsid w:val="00CF36BE"/>
    <w:rsid w:val="00CF4A51"/>
    <w:rsid w:val="00CF541E"/>
    <w:rsid w:val="00CF6000"/>
    <w:rsid w:val="00D003F3"/>
    <w:rsid w:val="00D00E31"/>
    <w:rsid w:val="00D0364F"/>
    <w:rsid w:val="00D060C0"/>
    <w:rsid w:val="00D06834"/>
    <w:rsid w:val="00D164AB"/>
    <w:rsid w:val="00D27CB6"/>
    <w:rsid w:val="00D306C3"/>
    <w:rsid w:val="00D308ED"/>
    <w:rsid w:val="00D356C5"/>
    <w:rsid w:val="00D36D86"/>
    <w:rsid w:val="00D40F09"/>
    <w:rsid w:val="00D428AA"/>
    <w:rsid w:val="00D50A34"/>
    <w:rsid w:val="00D5157C"/>
    <w:rsid w:val="00D53EFA"/>
    <w:rsid w:val="00D558F2"/>
    <w:rsid w:val="00D6150B"/>
    <w:rsid w:val="00D70CEC"/>
    <w:rsid w:val="00D735BA"/>
    <w:rsid w:val="00D76613"/>
    <w:rsid w:val="00D80F41"/>
    <w:rsid w:val="00D82D2A"/>
    <w:rsid w:val="00D94A7C"/>
    <w:rsid w:val="00D95896"/>
    <w:rsid w:val="00D97D71"/>
    <w:rsid w:val="00DB0B0B"/>
    <w:rsid w:val="00DB0E78"/>
    <w:rsid w:val="00DB1166"/>
    <w:rsid w:val="00DB2983"/>
    <w:rsid w:val="00DB5F0F"/>
    <w:rsid w:val="00DB7918"/>
    <w:rsid w:val="00DB7A40"/>
    <w:rsid w:val="00DC0D47"/>
    <w:rsid w:val="00DC1257"/>
    <w:rsid w:val="00DC3DC0"/>
    <w:rsid w:val="00DC5B2B"/>
    <w:rsid w:val="00DC6A4F"/>
    <w:rsid w:val="00DD318D"/>
    <w:rsid w:val="00DE4D23"/>
    <w:rsid w:val="00DF2E12"/>
    <w:rsid w:val="00DF514A"/>
    <w:rsid w:val="00DF6111"/>
    <w:rsid w:val="00DF6690"/>
    <w:rsid w:val="00DF6804"/>
    <w:rsid w:val="00DF6B64"/>
    <w:rsid w:val="00E0358D"/>
    <w:rsid w:val="00E04323"/>
    <w:rsid w:val="00E070A2"/>
    <w:rsid w:val="00E2656A"/>
    <w:rsid w:val="00E3187D"/>
    <w:rsid w:val="00E4097E"/>
    <w:rsid w:val="00E412D0"/>
    <w:rsid w:val="00E42859"/>
    <w:rsid w:val="00E46AD2"/>
    <w:rsid w:val="00E5298C"/>
    <w:rsid w:val="00E56322"/>
    <w:rsid w:val="00E60982"/>
    <w:rsid w:val="00E62C62"/>
    <w:rsid w:val="00E654C1"/>
    <w:rsid w:val="00E659FC"/>
    <w:rsid w:val="00E65D97"/>
    <w:rsid w:val="00E72A5A"/>
    <w:rsid w:val="00E73354"/>
    <w:rsid w:val="00E749EF"/>
    <w:rsid w:val="00E837AF"/>
    <w:rsid w:val="00E838F6"/>
    <w:rsid w:val="00E905CA"/>
    <w:rsid w:val="00E90896"/>
    <w:rsid w:val="00E9242D"/>
    <w:rsid w:val="00E95B65"/>
    <w:rsid w:val="00EA0BF7"/>
    <w:rsid w:val="00EA6051"/>
    <w:rsid w:val="00EA62E3"/>
    <w:rsid w:val="00EB5255"/>
    <w:rsid w:val="00EB5C47"/>
    <w:rsid w:val="00ED0639"/>
    <w:rsid w:val="00ED0C43"/>
    <w:rsid w:val="00EE6423"/>
    <w:rsid w:val="00EF4755"/>
    <w:rsid w:val="00EF5A9E"/>
    <w:rsid w:val="00EF7135"/>
    <w:rsid w:val="00F027DB"/>
    <w:rsid w:val="00F06147"/>
    <w:rsid w:val="00F07E7E"/>
    <w:rsid w:val="00F10135"/>
    <w:rsid w:val="00F14A7A"/>
    <w:rsid w:val="00F22985"/>
    <w:rsid w:val="00F22A7A"/>
    <w:rsid w:val="00F3383E"/>
    <w:rsid w:val="00F356E1"/>
    <w:rsid w:val="00F465A7"/>
    <w:rsid w:val="00F50B7C"/>
    <w:rsid w:val="00F5128C"/>
    <w:rsid w:val="00F550E6"/>
    <w:rsid w:val="00F6765F"/>
    <w:rsid w:val="00F723FC"/>
    <w:rsid w:val="00F74345"/>
    <w:rsid w:val="00F80A0A"/>
    <w:rsid w:val="00F82B19"/>
    <w:rsid w:val="00F83287"/>
    <w:rsid w:val="00F9212D"/>
    <w:rsid w:val="00F965DA"/>
    <w:rsid w:val="00FA31E2"/>
    <w:rsid w:val="00FA406A"/>
    <w:rsid w:val="00FB503A"/>
    <w:rsid w:val="00FB516C"/>
    <w:rsid w:val="00FB5615"/>
    <w:rsid w:val="00FC0811"/>
    <w:rsid w:val="00FD0236"/>
    <w:rsid w:val="00FD0A9E"/>
    <w:rsid w:val="00FD18F4"/>
    <w:rsid w:val="00FD54DB"/>
    <w:rsid w:val="00FD619F"/>
    <w:rsid w:val="00FE7B94"/>
    <w:rsid w:val="010B22B0"/>
    <w:rsid w:val="01290F7E"/>
    <w:rsid w:val="01407D52"/>
    <w:rsid w:val="014154C2"/>
    <w:rsid w:val="01445550"/>
    <w:rsid w:val="01457570"/>
    <w:rsid w:val="015D1E09"/>
    <w:rsid w:val="016000ED"/>
    <w:rsid w:val="016574E3"/>
    <w:rsid w:val="016707ED"/>
    <w:rsid w:val="01767419"/>
    <w:rsid w:val="01877B89"/>
    <w:rsid w:val="018C519F"/>
    <w:rsid w:val="019C53F0"/>
    <w:rsid w:val="01D60788"/>
    <w:rsid w:val="01DC49BF"/>
    <w:rsid w:val="01FA65AD"/>
    <w:rsid w:val="01FE2FD8"/>
    <w:rsid w:val="020F2F82"/>
    <w:rsid w:val="021164F2"/>
    <w:rsid w:val="021D673F"/>
    <w:rsid w:val="022D5F47"/>
    <w:rsid w:val="02442F21"/>
    <w:rsid w:val="0244681F"/>
    <w:rsid w:val="0256755B"/>
    <w:rsid w:val="02697903"/>
    <w:rsid w:val="02754813"/>
    <w:rsid w:val="027A1446"/>
    <w:rsid w:val="027F6AB2"/>
    <w:rsid w:val="02915E4F"/>
    <w:rsid w:val="029513FF"/>
    <w:rsid w:val="02AE55E9"/>
    <w:rsid w:val="02D3227B"/>
    <w:rsid w:val="02D54924"/>
    <w:rsid w:val="02DE04AC"/>
    <w:rsid w:val="02F96569"/>
    <w:rsid w:val="0302550C"/>
    <w:rsid w:val="032D4760"/>
    <w:rsid w:val="03515EE2"/>
    <w:rsid w:val="035418DD"/>
    <w:rsid w:val="035A159A"/>
    <w:rsid w:val="037B768C"/>
    <w:rsid w:val="03812C0A"/>
    <w:rsid w:val="039974D7"/>
    <w:rsid w:val="03A53375"/>
    <w:rsid w:val="03B90198"/>
    <w:rsid w:val="03BA4CFA"/>
    <w:rsid w:val="03EA7B21"/>
    <w:rsid w:val="03FE2BED"/>
    <w:rsid w:val="04073119"/>
    <w:rsid w:val="040E4592"/>
    <w:rsid w:val="04262DB0"/>
    <w:rsid w:val="043B4C5B"/>
    <w:rsid w:val="04425FE9"/>
    <w:rsid w:val="04785EAF"/>
    <w:rsid w:val="047918CE"/>
    <w:rsid w:val="04926F71"/>
    <w:rsid w:val="049E1CC4"/>
    <w:rsid w:val="04A42800"/>
    <w:rsid w:val="04AA4F3D"/>
    <w:rsid w:val="04BC223F"/>
    <w:rsid w:val="04BF5456"/>
    <w:rsid w:val="04CD61FB"/>
    <w:rsid w:val="04D01847"/>
    <w:rsid w:val="04DD3747"/>
    <w:rsid w:val="04F73278"/>
    <w:rsid w:val="04FE08FF"/>
    <w:rsid w:val="04FF68D0"/>
    <w:rsid w:val="05085130"/>
    <w:rsid w:val="050B713D"/>
    <w:rsid w:val="052426C9"/>
    <w:rsid w:val="052851DF"/>
    <w:rsid w:val="055720A4"/>
    <w:rsid w:val="05667C22"/>
    <w:rsid w:val="056D52E8"/>
    <w:rsid w:val="0578413D"/>
    <w:rsid w:val="0579367C"/>
    <w:rsid w:val="05896562"/>
    <w:rsid w:val="05AC186A"/>
    <w:rsid w:val="05B909E1"/>
    <w:rsid w:val="05BB3EAA"/>
    <w:rsid w:val="05D94F86"/>
    <w:rsid w:val="05DB4947"/>
    <w:rsid w:val="05ED3608"/>
    <w:rsid w:val="05F83EAE"/>
    <w:rsid w:val="06255BC2"/>
    <w:rsid w:val="063E7D85"/>
    <w:rsid w:val="06420522"/>
    <w:rsid w:val="06533293"/>
    <w:rsid w:val="068971B2"/>
    <w:rsid w:val="068A5F83"/>
    <w:rsid w:val="068D21C0"/>
    <w:rsid w:val="06946D30"/>
    <w:rsid w:val="069D7E4F"/>
    <w:rsid w:val="069F7723"/>
    <w:rsid w:val="06B44084"/>
    <w:rsid w:val="06B55198"/>
    <w:rsid w:val="06C278B5"/>
    <w:rsid w:val="06CE0F77"/>
    <w:rsid w:val="06D51397"/>
    <w:rsid w:val="06D61804"/>
    <w:rsid w:val="070869E5"/>
    <w:rsid w:val="07146D98"/>
    <w:rsid w:val="07293586"/>
    <w:rsid w:val="07295285"/>
    <w:rsid w:val="07307BA0"/>
    <w:rsid w:val="07365D9A"/>
    <w:rsid w:val="0749633F"/>
    <w:rsid w:val="074A067E"/>
    <w:rsid w:val="07561681"/>
    <w:rsid w:val="07636392"/>
    <w:rsid w:val="076444C8"/>
    <w:rsid w:val="07770C56"/>
    <w:rsid w:val="07871060"/>
    <w:rsid w:val="079E79DA"/>
    <w:rsid w:val="07B13BB2"/>
    <w:rsid w:val="07C37441"/>
    <w:rsid w:val="07C5140B"/>
    <w:rsid w:val="07D17D2A"/>
    <w:rsid w:val="07FD34D8"/>
    <w:rsid w:val="08151A99"/>
    <w:rsid w:val="0818775B"/>
    <w:rsid w:val="08205068"/>
    <w:rsid w:val="082A6E89"/>
    <w:rsid w:val="083420ED"/>
    <w:rsid w:val="08381BDD"/>
    <w:rsid w:val="08474E50"/>
    <w:rsid w:val="08513C48"/>
    <w:rsid w:val="0856376C"/>
    <w:rsid w:val="085C7DDD"/>
    <w:rsid w:val="086470FA"/>
    <w:rsid w:val="086700D5"/>
    <w:rsid w:val="08842F53"/>
    <w:rsid w:val="089963F4"/>
    <w:rsid w:val="089C21C1"/>
    <w:rsid w:val="089D34F4"/>
    <w:rsid w:val="08A7795E"/>
    <w:rsid w:val="08B1198F"/>
    <w:rsid w:val="08D138DF"/>
    <w:rsid w:val="08DD2784"/>
    <w:rsid w:val="08F23F99"/>
    <w:rsid w:val="08F7777C"/>
    <w:rsid w:val="08F96447"/>
    <w:rsid w:val="09001DD2"/>
    <w:rsid w:val="091C5A32"/>
    <w:rsid w:val="091F18FE"/>
    <w:rsid w:val="092217DD"/>
    <w:rsid w:val="09265ED9"/>
    <w:rsid w:val="093A7294"/>
    <w:rsid w:val="093F410C"/>
    <w:rsid w:val="09936363"/>
    <w:rsid w:val="09A827D6"/>
    <w:rsid w:val="09BA273F"/>
    <w:rsid w:val="09E2139F"/>
    <w:rsid w:val="09E83CEB"/>
    <w:rsid w:val="09EA1735"/>
    <w:rsid w:val="0A040264"/>
    <w:rsid w:val="0A263993"/>
    <w:rsid w:val="0A2D3AC2"/>
    <w:rsid w:val="0A2F1870"/>
    <w:rsid w:val="0A4725AB"/>
    <w:rsid w:val="0A487D60"/>
    <w:rsid w:val="0A4A5C81"/>
    <w:rsid w:val="0A5B1BB3"/>
    <w:rsid w:val="0A6016C9"/>
    <w:rsid w:val="0A6A44EC"/>
    <w:rsid w:val="0A6F565E"/>
    <w:rsid w:val="0A8770E6"/>
    <w:rsid w:val="0A8855FB"/>
    <w:rsid w:val="0A916E79"/>
    <w:rsid w:val="0AA755DF"/>
    <w:rsid w:val="0AA871B4"/>
    <w:rsid w:val="0AB35D19"/>
    <w:rsid w:val="0AC0235E"/>
    <w:rsid w:val="0AD95947"/>
    <w:rsid w:val="0ADF0A36"/>
    <w:rsid w:val="0AE222D4"/>
    <w:rsid w:val="0AE43C81"/>
    <w:rsid w:val="0AF66FA3"/>
    <w:rsid w:val="0AFF62B4"/>
    <w:rsid w:val="0B0F299D"/>
    <w:rsid w:val="0B117253"/>
    <w:rsid w:val="0B120D44"/>
    <w:rsid w:val="0B177CB0"/>
    <w:rsid w:val="0B3B5DB5"/>
    <w:rsid w:val="0B4908BF"/>
    <w:rsid w:val="0B4C6424"/>
    <w:rsid w:val="0B5F3278"/>
    <w:rsid w:val="0B605E79"/>
    <w:rsid w:val="0B662F05"/>
    <w:rsid w:val="0B691300"/>
    <w:rsid w:val="0B98589B"/>
    <w:rsid w:val="0B9A4A65"/>
    <w:rsid w:val="0BB04180"/>
    <w:rsid w:val="0BB93035"/>
    <w:rsid w:val="0BC1638D"/>
    <w:rsid w:val="0BC47863"/>
    <w:rsid w:val="0BCA1420"/>
    <w:rsid w:val="0BD171ED"/>
    <w:rsid w:val="0BD27BF6"/>
    <w:rsid w:val="0BD7170D"/>
    <w:rsid w:val="0C032BAC"/>
    <w:rsid w:val="0C120997"/>
    <w:rsid w:val="0C134EF5"/>
    <w:rsid w:val="0C156278"/>
    <w:rsid w:val="0C166CB9"/>
    <w:rsid w:val="0C235CD0"/>
    <w:rsid w:val="0C3B3C7D"/>
    <w:rsid w:val="0C4866D5"/>
    <w:rsid w:val="0C5561BF"/>
    <w:rsid w:val="0C556DBB"/>
    <w:rsid w:val="0C587BB6"/>
    <w:rsid w:val="0C816190"/>
    <w:rsid w:val="0C851169"/>
    <w:rsid w:val="0C904223"/>
    <w:rsid w:val="0C925371"/>
    <w:rsid w:val="0CA75583"/>
    <w:rsid w:val="0CAB2EAE"/>
    <w:rsid w:val="0CBE6927"/>
    <w:rsid w:val="0CBF279E"/>
    <w:rsid w:val="0CC36247"/>
    <w:rsid w:val="0CD10062"/>
    <w:rsid w:val="0CE14FC9"/>
    <w:rsid w:val="0CED555D"/>
    <w:rsid w:val="0D1E3C19"/>
    <w:rsid w:val="0D362422"/>
    <w:rsid w:val="0D3D1A44"/>
    <w:rsid w:val="0D3E3C8A"/>
    <w:rsid w:val="0D5C3C5A"/>
    <w:rsid w:val="0D5E2F3A"/>
    <w:rsid w:val="0D621C7D"/>
    <w:rsid w:val="0D6C7B11"/>
    <w:rsid w:val="0D792FBE"/>
    <w:rsid w:val="0D982D60"/>
    <w:rsid w:val="0DA8136D"/>
    <w:rsid w:val="0DBF06AB"/>
    <w:rsid w:val="0DC65EDD"/>
    <w:rsid w:val="0DCA61AC"/>
    <w:rsid w:val="0DD028B8"/>
    <w:rsid w:val="0DDA5F5F"/>
    <w:rsid w:val="0DDF3594"/>
    <w:rsid w:val="0DE93979"/>
    <w:rsid w:val="0DF46F5C"/>
    <w:rsid w:val="0E0C560C"/>
    <w:rsid w:val="0E124C7E"/>
    <w:rsid w:val="0E4E4392"/>
    <w:rsid w:val="0E541975"/>
    <w:rsid w:val="0E73034D"/>
    <w:rsid w:val="0E7A01D5"/>
    <w:rsid w:val="0E7E44E0"/>
    <w:rsid w:val="0E8D2557"/>
    <w:rsid w:val="0E9E6834"/>
    <w:rsid w:val="0EAF0ECB"/>
    <w:rsid w:val="0EC20930"/>
    <w:rsid w:val="0EC52930"/>
    <w:rsid w:val="0ECE5049"/>
    <w:rsid w:val="0EE648B4"/>
    <w:rsid w:val="0F13775A"/>
    <w:rsid w:val="0F2049D9"/>
    <w:rsid w:val="0F2A3660"/>
    <w:rsid w:val="0F4B48EC"/>
    <w:rsid w:val="0F5B0BE2"/>
    <w:rsid w:val="0F5F45FE"/>
    <w:rsid w:val="0F666304"/>
    <w:rsid w:val="0F6E4136"/>
    <w:rsid w:val="0F8C02E3"/>
    <w:rsid w:val="0F9A112B"/>
    <w:rsid w:val="0FA07BF0"/>
    <w:rsid w:val="0FAB0EE6"/>
    <w:rsid w:val="0FB63BC3"/>
    <w:rsid w:val="0FE8213B"/>
    <w:rsid w:val="0FE9432C"/>
    <w:rsid w:val="0FFC7994"/>
    <w:rsid w:val="10017C4B"/>
    <w:rsid w:val="101B2269"/>
    <w:rsid w:val="102F7D69"/>
    <w:rsid w:val="10352EA6"/>
    <w:rsid w:val="103709CC"/>
    <w:rsid w:val="104D59EA"/>
    <w:rsid w:val="1056636D"/>
    <w:rsid w:val="10596488"/>
    <w:rsid w:val="10693B9C"/>
    <w:rsid w:val="106D2F64"/>
    <w:rsid w:val="107A7C82"/>
    <w:rsid w:val="109216BF"/>
    <w:rsid w:val="1093356F"/>
    <w:rsid w:val="10AF220D"/>
    <w:rsid w:val="10B63710"/>
    <w:rsid w:val="10C20BDE"/>
    <w:rsid w:val="10CD2076"/>
    <w:rsid w:val="10DB53CF"/>
    <w:rsid w:val="10EF574B"/>
    <w:rsid w:val="10F10820"/>
    <w:rsid w:val="10F667AD"/>
    <w:rsid w:val="110411F6"/>
    <w:rsid w:val="111C2F7A"/>
    <w:rsid w:val="11205904"/>
    <w:rsid w:val="11486E5A"/>
    <w:rsid w:val="114C66F9"/>
    <w:rsid w:val="11513D10"/>
    <w:rsid w:val="11665CA1"/>
    <w:rsid w:val="11686525"/>
    <w:rsid w:val="116A29F2"/>
    <w:rsid w:val="116C6D9B"/>
    <w:rsid w:val="116D7784"/>
    <w:rsid w:val="11763776"/>
    <w:rsid w:val="118A2CC6"/>
    <w:rsid w:val="118B2B02"/>
    <w:rsid w:val="11A83915"/>
    <w:rsid w:val="11B51B0E"/>
    <w:rsid w:val="11C15DE8"/>
    <w:rsid w:val="11C34AED"/>
    <w:rsid w:val="11D0732A"/>
    <w:rsid w:val="11D2554F"/>
    <w:rsid w:val="11E51281"/>
    <w:rsid w:val="11F052D6"/>
    <w:rsid w:val="12066ABB"/>
    <w:rsid w:val="12245DF9"/>
    <w:rsid w:val="123A7436"/>
    <w:rsid w:val="123C49C0"/>
    <w:rsid w:val="12605321"/>
    <w:rsid w:val="127B4131"/>
    <w:rsid w:val="12903E7E"/>
    <w:rsid w:val="12913E94"/>
    <w:rsid w:val="1294736E"/>
    <w:rsid w:val="12990A14"/>
    <w:rsid w:val="12BC1D4E"/>
    <w:rsid w:val="12CF6FAC"/>
    <w:rsid w:val="12D6271E"/>
    <w:rsid w:val="12DE7E83"/>
    <w:rsid w:val="12DF7DFC"/>
    <w:rsid w:val="12E267A6"/>
    <w:rsid w:val="12E87ABB"/>
    <w:rsid w:val="12FB4D65"/>
    <w:rsid w:val="13477E3C"/>
    <w:rsid w:val="13505550"/>
    <w:rsid w:val="137334A0"/>
    <w:rsid w:val="13824654"/>
    <w:rsid w:val="13951726"/>
    <w:rsid w:val="13996B76"/>
    <w:rsid w:val="139D3C94"/>
    <w:rsid w:val="13AF2953"/>
    <w:rsid w:val="13B30CB1"/>
    <w:rsid w:val="13BF31B2"/>
    <w:rsid w:val="13D44784"/>
    <w:rsid w:val="13DA7FEC"/>
    <w:rsid w:val="13E73571"/>
    <w:rsid w:val="13F708D1"/>
    <w:rsid w:val="14005579"/>
    <w:rsid w:val="1405081D"/>
    <w:rsid w:val="14060DE1"/>
    <w:rsid w:val="14151A81"/>
    <w:rsid w:val="14172C71"/>
    <w:rsid w:val="142B0848"/>
    <w:rsid w:val="142D025E"/>
    <w:rsid w:val="14396509"/>
    <w:rsid w:val="144C07BE"/>
    <w:rsid w:val="14504752"/>
    <w:rsid w:val="14552AF5"/>
    <w:rsid w:val="145C2256"/>
    <w:rsid w:val="145C628C"/>
    <w:rsid w:val="146642C3"/>
    <w:rsid w:val="14785B88"/>
    <w:rsid w:val="149665AA"/>
    <w:rsid w:val="14BA2D8A"/>
    <w:rsid w:val="14BC35CC"/>
    <w:rsid w:val="14C222D7"/>
    <w:rsid w:val="14C8078D"/>
    <w:rsid w:val="14D219D7"/>
    <w:rsid w:val="14D75E5F"/>
    <w:rsid w:val="14D7645B"/>
    <w:rsid w:val="14DD2C3C"/>
    <w:rsid w:val="14E8498B"/>
    <w:rsid w:val="14F450DE"/>
    <w:rsid w:val="14F7697C"/>
    <w:rsid w:val="15015A4D"/>
    <w:rsid w:val="150A039F"/>
    <w:rsid w:val="15266A19"/>
    <w:rsid w:val="155913E5"/>
    <w:rsid w:val="15655FDB"/>
    <w:rsid w:val="156F29B6"/>
    <w:rsid w:val="15836462"/>
    <w:rsid w:val="158E29B3"/>
    <w:rsid w:val="15AE34DE"/>
    <w:rsid w:val="15B30AF5"/>
    <w:rsid w:val="15C84139"/>
    <w:rsid w:val="15DB57B5"/>
    <w:rsid w:val="15E50ECA"/>
    <w:rsid w:val="15EA14BF"/>
    <w:rsid w:val="15EA64E1"/>
    <w:rsid w:val="16087E1D"/>
    <w:rsid w:val="16194573"/>
    <w:rsid w:val="167B3C79"/>
    <w:rsid w:val="168B5AEC"/>
    <w:rsid w:val="16AF161A"/>
    <w:rsid w:val="16BC7435"/>
    <w:rsid w:val="170E37EB"/>
    <w:rsid w:val="171E164A"/>
    <w:rsid w:val="1723063A"/>
    <w:rsid w:val="17387A8D"/>
    <w:rsid w:val="173B6FF4"/>
    <w:rsid w:val="174560C4"/>
    <w:rsid w:val="174E7461"/>
    <w:rsid w:val="174F2A9F"/>
    <w:rsid w:val="17546308"/>
    <w:rsid w:val="17701D14"/>
    <w:rsid w:val="17735226"/>
    <w:rsid w:val="1776627E"/>
    <w:rsid w:val="17826821"/>
    <w:rsid w:val="17833E21"/>
    <w:rsid w:val="17867CA9"/>
    <w:rsid w:val="178B753D"/>
    <w:rsid w:val="178F3086"/>
    <w:rsid w:val="178F3C45"/>
    <w:rsid w:val="17982698"/>
    <w:rsid w:val="17A87752"/>
    <w:rsid w:val="17AE4F8E"/>
    <w:rsid w:val="17AF3633"/>
    <w:rsid w:val="17B64925"/>
    <w:rsid w:val="17D3547E"/>
    <w:rsid w:val="17F256C4"/>
    <w:rsid w:val="182E3AF4"/>
    <w:rsid w:val="185172D4"/>
    <w:rsid w:val="18550C8D"/>
    <w:rsid w:val="185E59CD"/>
    <w:rsid w:val="18814FDB"/>
    <w:rsid w:val="18902D58"/>
    <w:rsid w:val="189D5A14"/>
    <w:rsid w:val="189F624C"/>
    <w:rsid w:val="18A571A8"/>
    <w:rsid w:val="18AD2411"/>
    <w:rsid w:val="18BA4667"/>
    <w:rsid w:val="18C96255"/>
    <w:rsid w:val="18C96881"/>
    <w:rsid w:val="18D07C10"/>
    <w:rsid w:val="18DC4807"/>
    <w:rsid w:val="18DD746E"/>
    <w:rsid w:val="18E42963"/>
    <w:rsid w:val="18E87E50"/>
    <w:rsid w:val="18EB2C9C"/>
    <w:rsid w:val="18FB2914"/>
    <w:rsid w:val="19033876"/>
    <w:rsid w:val="190A568D"/>
    <w:rsid w:val="190E0700"/>
    <w:rsid w:val="191F5BC5"/>
    <w:rsid w:val="1930189E"/>
    <w:rsid w:val="193C2958"/>
    <w:rsid w:val="1945713F"/>
    <w:rsid w:val="19497E74"/>
    <w:rsid w:val="195E40E0"/>
    <w:rsid w:val="195F6D32"/>
    <w:rsid w:val="1964356A"/>
    <w:rsid w:val="19725EA8"/>
    <w:rsid w:val="19AA29FE"/>
    <w:rsid w:val="19AF7825"/>
    <w:rsid w:val="19B12778"/>
    <w:rsid w:val="19B17A41"/>
    <w:rsid w:val="19B25567"/>
    <w:rsid w:val="19B41D1C"/>
    <w:rsid w:val="19C57C6F"/>
    <w:rsid w:val="19CD6E8A"/>
    <w:rsid w:val="19D13C3F"/>
    <w:rsid w:val="19E4358C"/>
    <w:rsid w:val="19F90C1E"/>
    <w:rsid w:val="19FC4503"/>
    <w:rsid w:val="1A0F6C49"/>
    <w:rsid w:val="1A1C66C0"/>
    <w:rsid w:val="1A42393B"/>
    <w:rsid w:val="1A455583"/>
    <w:rsid w:val="1A671619"/>
    <w:rsid w:val="1A7F5AEF"/>
    <w:rsid w:val="1A9728FA"/>
    <w:rsid w:val="1A974FF1"/>
    <w:rsid w:val="1A9F789A"/>
    <w:rsid w:val="1AAD45DE"/>
    <w:rsid w:val="1ADA2FC8"/>
    <w:rsid w:val="1AE14356"/>
    <w:rsid w:val="1AF33728"/>
    <w:rsid w:val="1AF47F5D"/>
    <w:rsid w:val="1AFC2F3E"/>
    <w:rsid w:val="1B046F80"/>
    <w:rsid w:val="1B152507"/>
    <w:rsid w:val="1B1B2E34"/>
    <w:rsid w:val="1B2A1FB6"/>
    <w:rsid w:val="1B2D1349"/>
    <w:rsid w:val="1B3267B5"/>
    <w:rsid w:val="1B34092A"/>
    <w:rsid w:val="1B40161D"/>
    <w:rsid w:val="1B441859"/>
    <w:rsid w:val="1B50367D"/>
    <w:rsid w:val="1B5F527B"/>
    <w:rsid w:val="1B6606B1"/>
    <w:rsid w:val="1B6C44D5"/>
    <w:rsid w:val="1B7B2995"/>
    <w:rsid w:val="1B804E4D"/>
    <w:rsid w:val="1B806BDE"/>
    <w:rsid w:val="1B8746F1"/>
    <w:rsid w:val="1B966EEF"/>
    <w:rsid w:val="1B9E612A"/>
    <w:rsid w:val="1BA83005"/>
    <w:rsid w:val="1BB9498B"/>
    <w:rsid w:val="1BCD15B3"/>
    <w:rsid w:val="1BD57D57"/>
    <w:rsid w:val="1BD96DDB"/>
    <w:rsid w:val="1C077DEC"/>
    <w:rsid w:val="1C5D3606"/>
    <w:rsid w:val="1C5E7925"/>
    <w:rsid w:val="1C625B6E"/>
    <w:rsid w:val="1C6A4D97"/>
    <w:rsid w:val="1C76287C"/>
    <w:rsid w:val="1CB87339"/>
    <w:rsid w:val="1CC26141"/>
    <w:rsid w:val="1CCA57BD"/>
    <w:rsid w:val="1CE15FF2"/>
    <w:rsid w:val="1CF245F9"/>
    <w:rsid w:val="1CFD070F"/>
    <w:rsid w:val="1D1C1676"/>
    <w:rsid w:val="1D333A49"/>
    <w:rsid w:val="1D4806BC"/>
    <w:rsid w:val="1D4E2E02"/>
    <w:rsid w:val="1D4F1A4B"/>
    <w:rsid w:val="1D554B87"/>
    <w:rsid w:val="1D5F6196"/>
    <w:rsid w:val="1D6132A5"/>
    <w:rsid w:val="1D6F32A0"/>
    <w:rsid w:val="1D8075EC"/>
    <w:rsid w:val="1D8E56D5"/>
    <w:rsid w:val="1D93512E"/>
    <w:rsid w:val="1D9768E1"/>
    <w:rsid w:val="1D9F4E11"/>
    <w:rsid w:val="1DDD0492"/>
    <w:rsid w:val="1E0A5972"/>
    <w:rsid w:val="1E206C48"/>
    <w:rsid w:val="1E312EFF"/>
    <w:rsid w:val="1E391DB3"/>
    <w:rsid w:val="1E4B4E24"/>
    <w:rsid w:val="1E5668FC"/>
    <w:rsid w:val="1E7A43DA"/>
    <w:rsid w:val="1E817B01"/>
    <w:rsid w:val="1E8C31CB"/>
    <w:rsid w:val="1EB83620"/>
    <w:rsid w:val="1EBD4A5B"/>
    <w:rsid w:val="1ECF2480"/>
    <w:rsid w:val="1EF5780F"/>
    <w:rsid w:val="1EFA5CFD"/>
    <w:rsid w:val="1F0E4FEE"/>
    <w:rsid w:val="1F162696"/>
    <w:rsid w:val="1F253C6E"/>
    <w:rsid w:val="1F316F2E"/>
    <w:rsid w:val="1F4629DA"/>
    <w:rsid w:val="1F52137F"/>
    <w:rsid w:val="1F766CD2"/>
    <w:rsid w:val="1F8B2757"/>
    <w:rsid w:val="1F903C55"/>
    <w:rsid w:val="1FA807DA"/>
    <w:rsid w:val="1FB20F1D"/>
    <w:rsid w:val="1FD85E66"/>
    <w:rsid w:val="1FE5524E"/>
    <w:rsid w:val="1FE7539E"/>
    <w:rsid w:val="1FE8712A"/>
    <w:rsid w:val="1FEB65F6"/>
    <w:rsid w:val="20014B53"/>
    <w:rsid w:val="200B02DA"/>
    <w:rsid w:val="201E3AE5"/>
    <w:rsid w:val="20245E32"/>
    <w:rsid w:val="20252A87"/>
    <w:rsid w:val="20260055"/>
    <w:rsid w:val="20286583"/>
    <w:rsid w:val="2031368A"/>
    <w:rsid w:val="20345DAC"/>
    <w:rsid w:val="203E3B7E"/>
    <w:rsid w:val="20671BE0"/>
    <w:rsid w:val="20686BAE"/>
    <w:rsid w:val="207B38B7"/>
    <w:rsid w:val="20963CB8"/>
    <w:rsid w:val="209A4709"/>
    <w:rsid w:val="20A81A1B"/>
    <w:rsid w:val="20B07FB6"/>
    <w:rsid w:val="20B147CB"/>
    <w:rsid w:val="20B646FB"/>
    <w:rsid w:val="20C44D94"/>
    <w:rsid w:val="20CB7D8B"/>
    <w:rsid w:val="20DE76DD"/>
    <w:rsid w:val="20E83906"/>
    <w:rsid w:val="20F22C6A"/>
    <w:rsid w:val="20F621DE"/>
    <w:rsid w:val="21160797"/>
    <w:rsid w:val="21294361"/>
    <w:rsid w:val="21300948"/>
    <w:rsid w:val="213845A4"/>
    <w:rsid w:val="213B74B1"/>
    <w:rsid w:val="21416940"/>
    <w:rsid w:val="2143516D"/>
    <w:rsid w:val="215A2310"/>
    <w:rsid w:val="21630D81"/>
    <w:rsid w:val="2164183D"/>
    <w:rsid w:val="217A7681"/>
    <w:rsid w:val="21A812C1"/>
    <w:rsid w:val="21BE38AC"/>
    <w:rsid w:val="21C85928"/>
    <w:rsid w:val="21D01D6B"/>
    <w:rsid w:val="21D047C9"/>
    <w:rsid w:val="21D067EB"/>
    <w:rsid w:val="21DA565B"/>
    <w:rsid w:val="21DE318A"/>
    <w:rsid w:val="21E75A2F"/>
    <w:rsid w:val="21ED12E7"/>
    <w:rsid w:val="21EF5B80"/>
    <w:rsid w:val="21F30763"/>
    <w:rsid w:val="221F1718"/>
    <w:rsid w:val="222B25A8"/>
    <w:rsid w:val="222E3E55"/>
    <w:rsid w:val="223863D9"/>
    <w:rsid w:val="223D760F"/>
    <w:rsid w:val="225302B3"/>
    <w:rsid w:val="22576990"/>
    <w:rsid w:val="225E44DE"/>
    <w:rsid w:val="2283283B"/>
    <w:rsid w:val="228D4B91"/>
    <w:rsid w:val="22AD386A"/>
    <w:rsid w:val="22B9476D"/>
    <w:rsid w:val="22CF412C"/>
    <w:rsid w:val="22DB66BE"/>
    <w:rsid w:val="22F47480"/>
    <w:rsid w:val="22FF1D46"/>
    <w:rsid w:val="23011FB5"/>
    <w:rsid w:val="23130E25"/>
    <w:rsid w:val="23194355"/>
    <w:rsid w:val="232E2D69"/>
    <w:rsid w:val="233F1C1A"/>
    <w:rsid w:val="236B4E32"/>
    <w:rsid w:val="237D4DDF"/>
    <w:rsid w:val="23A203FB"/>
    <w:rsid w:val="23BE3486"/>
    <w:rsid w:val="23C81F3E"/>
    <w:rsid w:val="23CF0963"/>
    <w:rsid w:val="23D06D16"/>
    <w:rsid w:val="23DE1C48"/>
    <w:rsid w:val="23DF3FFA"/>
    <w:rsid w:val="23E5744B"/>
    <w:rsid w:val="23E57CE2"/>
    <w:rsid w:val="240210CD"/>
    <w:rsid w:val="240F6FE6"/>
    <w:rsid w:val="241A42A7"/>
    <w:rsid w:val="24253731"/>
    <w:rsid w:val="24294678"/>
    <w:rsid w:val="243518B2"/>
    <w:rsid w:val="243F0B22"/>
    <w:rsid w:val="2446347C"/>
    <w:rsid w:val="245F009A"/>
    <w:rsid w:val="248F69DC"/>
    <w:rsid w:val="249F14F2"/>
    <w:rsid w:val="24AC0CDF"/>
    <w:rsid w:val="24BC4CE4"/>
    <w:rsid w:val="24BE74B6"/>
    <w:rsid w:val="24BF09F7"/>
    <w:rsid w:val="24C500EC"/>
    <w:rsid w:val="24C80350"/>
    <w:rsid w:val="24CC1BD3"/>
    <w:rsid w:val="24D6698E"/>
    <w:rsid w:val="24E530B5"/>
    <w:rsid w:val="24F37160"/>
    <w:rsid w:val="24F37C52"/>
    <w:rsid w:val="24F41334"/>
    <w:rsid w:val="24F65625"/>
    <w:rsid w:val="250D4DF4"/>
    <w:rsid w:val="25182FFB"/>
    <w:rsid w:val="251852DB"/>
    <w:rsid w:val="252D53FE"/>
    <w:rsid w:val="253A0D43"/>
    <w:rsid w:val="253D2E45"/>
    <w:rsid w:val="25573545"/>
    <w:rsid w:val="256242E5"/>
    <w:rsid w:val="257309E9"/>
    <w:rsid w:val="258573FE"/>
    <w:rsid w:val="25864E21"/>
    <w:rsid w:val="25897036"/>
    <w:rsid w:val="25906540"/>
    <w:rsid w:val="25B25EE0"/>
    <w:rsid w:val="25B26910"/>
    <w:rsid w:val="25BC7C63"/>
    <w:rsid w:val="25C92E20"/>
    <w:rsid w:val="25D43194"/>
    <w:rsid w:val="25E65DAC"/>
    <w:rsid w:val="25EC2D81"/>
    <w:rsid w:val="25F018F1"/>
    <w:rsid w:val="25FA62CC"/>
    <w:rsid w:val="260A2681"/>
    <w:rsid w:val="260D6AA9"/>
    <w:rsid w:val="26123414"/>
    <w:rsid w:val="261A696E"/>
    <w:rsid w:val="262E16F2"/>
    <w:rsid w:val="26303455"/>
    <w:rsid w:val="26317792"/>
    <w:rsid w:val="26563DFF"/>
    <w:rsid w:val="266B4CDD"/>
    <w:rsid w:val="267E514F"/>
    <w:rsid w:val="26847A22"/>
    <w:rsid w:val="268A3E98"/>
    <w:rsid w:val="268F4C66"/>
    <w:rsid w:val="26B96665"/>
    <w:rsid w:val="26D84E8E"/>
    <w:rsid w:val="26DE174A"/>
    <w:rsid w:val="26E24E9E"/>
    <w:rsid w:val="26E52AD8"/>
    <w:rsid w:val="26E76E1D"/>
    <w:rsid w:val="26EE4083"/>
    <w:rsid w:val="27170C28"/>
    <w:rsid w:val="27260373"/>
    <w:rsid w:val="27275756"/>
    <w:rsid w:val="272C673F"/>
    <w:rsid w:val="27340F25"/>
    <w:rsid w:val="274B7E40"/>
    <w:rsid w:val="275027EC"/>
    <w:rsid w:val="275A34C6"/>
    <w:rsid w:val="277057A2"/>
    <w:rsid w:val="278F691F"/>
    <w:rsid w:val="27930786"/>
    <w:rsid w:val="27A97FAA"/>
    <w:rsid w:val="27AA376D"/>
    <w:rsid w:val="27AE0A6F"/>
    <w:rsid w:val="27B23302"/>
    <w:rsid w:val="27BF4A37"/>
    <w:rsid w:val="27C46B92"/>
    <w:rsid w:val="27C748D4"/>
    <w:rsid w:val="27CF123F"/>
    <w:rsid w:val="27CF507C"/>
    <w:rsid w:val="27E014F2"/>
    <w:rsid w:val="27FD24D7"/>
    <w:rsid w:val="280E5753"/>
    <w:rsid w:val="282F284B"/>
    <w:rsid w:val="283B2678"/>
    <w:rsid w:val="283E5E6E"/>
    <w:rsid w:val="283F41A4"/>
    <w:rsid w:val="285C761A"/>
    <w:rsid w:val="285F4B0C"/>
    <w:rsid w:val="28862099"/>
    <w:rsid w:val="289447B6"/>
    <w:rsid w:val="289C366A"/>
    <w:rsid w:val="28A122E1"/>
    <w:rsid w:val="28A719D6"/>
    <w:rsid w:val="28C270EB"/>
    <w:rsid w:val="28DC7F0B"/>
    <w:rsid w:val="28EF3200"/>
    <w:rsid w:val="28FE436F"/>
    <w:rsid w:val="28FF0F51"/>
    <w:rsid w:val="29085B9C"/>
    <w:rsid w:val="29117515"/>
    <w:rsid w:val="29206EB8"/>
    <w:rsid w:val="292B509C"/>
    <w:rsid w:val="294A65E6"/>
    <w:rsid w:val="294B473C"/>
    <w:rsid w:val="29595666"/>
    <w:rsid w:val="29643FF2"/>
    <w:rsid w:val="297325A7"/>
    <w:rsid w:val="29874881"/>
    <w:rsid w:val="29BA46F0"/>
    <w:rsid w:val="29BB6EF8"/>
    <w:rsid w:val="29D40312"/>
    <w:rsid w:val="29E325E0"/>
    <w:rsid w:val="29E80266"/>
    <w:rsid w:val="29F70220"/>
    <w:rsid w:val="2A124932"/>
    <w:rsid w:val="2A3415C5"/>
    <w:rsid w:val="2A355B25"/>
    <w:rsid w:val="2A361246"/>
    <w:rsid w:val="2A383867"/>
    <w:rsid w:val="2A3C5105"/>
    <w:rsid w:val="2A452503"/>
    <w:rsid w:val="2A574935"/>
    <w:rsid w:val="2A5E143E"/>
    <w:rsid w:val="2A622507"/>
    <w:rsid w:val="2A6E1376"/>
    <w:rsid w:val="2A742C59"/>
    <w:rsid w:val="2A906605"/>
    <w:rsid w:val="2AA54BF9"/>
    <w:rsid w:val="2ACB59FC"/>
    <w:rsid w:val="2ADA23FF"/>
    <w:rsid w:val="2AF43CA1"/>
    <w:rsid w:val="2B1962AB"/>
    <w:rsid w:val="2B232D8E"/>
    <w:rsid w:val="2B271179"/>
    <w:rsid w:val="2B326508"/>
    <w:rsid w:val="2B4572D6"/>
    <w:rsid w:val="2B515A3C"/>
    <w:rsid w:val="2B591CE7"/>
    <w:rsid w:val="2B6A7583"/>
    <w:rsid w:val="2BA936A8"/>
    <w:rsid w:val="2BB34105"/>
    <w:rsid w:val="2BB42A44"/>
    <w:rsid w:val="2BBF0937"/>
    <w:rsid w:val="2BC5452F"/>
    <w:rsid w:val="2BD0164F"/>
    <w:rsid w:val="2BE315B0"/>
    <w:rsid w:val="2BEF26FE"/>
    <w:rsid w:val="2BFC430B"/>
    <w:rsid w:val="2C223B5C"/>
    <w:rsid w:val="2C25635E"/>
    <w:rsid w:val="2C2565E5"/>
    <w:rsid w:val="2C2959EE"/>
    <w:rsid w:val="2C2B5449"/>
    <w:rsid w:val="2C315A5A"/>
    <w:rsid w:val="2C332538"/>
    <w:rsid w:val="2C4B1C25"/>
    <w:rsid w:val="2C526755"/>
    <w:rsid w:val="2C5B55CA"/>
    <w:rsid w:val="2C600EB1"/>
    <w:rsid w:val="2C603B1B"/>
    <w:rsid w:val="2C736DD8"/>
    <w:rsid w:val="2C8572ED"/>
    <w:rsid w:val="2CA44263"/>
    <w:rsid w:val="2CB96525"/>
    <w:rsid w:val="2CC633AC"/>
    <w:rsid w:val="2CCA2E9C"/>
    <w:rsid w:val="2CE20B9E"/>
    <w:rsid w:val="2CEB1EBF"/>
    <w:rsid w:val="2CF0667B"/>
    <w:rsid w:val="2D03111D"/>
    <w:rsid w:val="2D071AC6"/>
    <w:rsid w:val="2D145015"/>
    <w:rsid w:val="2D5B3E4C"/>
    <w:rsid w:val="2D6C0EDA"/>
    <w:rsid w:val="2D742E08"/>
    <w:rsid w:val="2D9E56F5"/>
    <w:rsid w:val="2DB304D7"/>
    <w:rsid w:val="2DB94CBF"/>
    <w:rsid w:val="2DC30964"/>
    <w:rsid w:val="2DC669A6"/>
    <w:rsid w:val="2DFF7F0D"/>
    <w:rsid w:val="2E044394"/>
    <w:rsid w:val="2E0979F4"/>
    <w:rsid w:val="2E0E7366"/>
    <w:rsid w:val="2E1743F0"/>
    <w:rsid w:val="2E33377B"/>
    <w:rsid w:val="2E334A71"/>
    <w:rsid w:val="2E3C7284"/>
    <w:rsid w:val="2E3D144C"/>
    <w:rsid w:val="2E563661"/>
    <w:rsid w:val="2E667F96"/>
    <w:rsid w:val="2E6C11D9"/>
    <w:rsid w:val="2E6D3CBB"/>
    <w:rsid w:val="2E8226AB"/>
    <w:rsid w:val="2E861045"/>
    <w:rsid w:val="2E8B21B7"/>
    <w:rsid w:val="2E9A28EC"/>
    <w:rsid w:val="2E9D0203"/>
    <w:rsid w:val="2EA93DFB"/>
    <w:rsid w:val="2EAC037F"/>
    <w:rsid w:val="2EC94CC7"/>
    <w:rsid w:val="2ECB4CA9"/>
    <w:rsid w:val="2ECB6544"/>
    <w:rsid w:val="2EF07D93"/>
    <w:rsid w:val="2EF37D5C"/>
    <w:rsid w:val="2EF5529C"/>
    <w:rsid w:val="2F0A773F"/>
    <w:rsid w:val="2F2801C6"/>
    <w:rsid w:val="2F2B399A"/>
    <w:rsid w:val="2F3650DA"/>
    <w:rsid w:val="2F4D00E2"/>
    <w:rsid w:val="2F6C7965"/>
    <w:rsid w:val="2F7075FF"/>
    <w:rsid w:val="2F7534D6"/>
    <w:rsid w:val="2F78614D"/>
    <w:rsid w:val="2F835584"/>
    <w:rsid w:val="2F89667B"/>
    <w:rsid w:val="2FC25677"/>
    <w:rsid w:val="2FD065E6"/>
    <w:rsid w:val="2FD1133A"/>
    <w:rsid w:val="2FD96870"/>
    <w:rsid w:val="2FE31C96"/>
    <w:rsid w:val="2FF8154F"/>
    <w:rsid w:val="3004593D"/>
    <w:rsid w:val="301461DC"/>
    <w:rsid w:val="30171AF5"/>
    <w:rsid w:val="30330D58"/>
    <w:rsid w:val="30337623"/>
    <w:rsid w:val="304F6FFA"/>
    <w:rsid w:val="30580BC9"/>
    <w:rsid w:val="306A214B"/>
    <w:rsid w:val="30A47560"/>
    <w:rsid w:val="30B04157"/>
    <w:rsid w:val="30B636DD"/>
    <w:rsid w:val="30BD0622"/>
    <w:rsid w:val="30CC0408"/>
    <w:rsid w:val="30E26E89"/>
    <w:rsid w:val="30EC0F07"/>
    <w:rsid w:val="30EE73DE"/>
    <w:rsid w:val="30FA004D"/>
    <w:rsid w:val="311E2ED7"/>
    <w:rsid w:val="31230DCD"/>
    <w:rsid w:val="31390B2D"/>
    <w:rsid w:val="313C1E8F"/>
    <w:rsid w:val="3148438F"/>
    <w:rsid w:val="31494F12"/>
    <w:rsid w:val="315619EE"/>
    <w:rsid w:val="315C449C"/>
    <w:rsid w:val="31713534"/>
    <w:rsid w:val="31796C3F"/>
    <w:rsid w:val="317A6785"/>
    <w:rsid w:val="31837ABD"/>
    <w:rsid w:val="31874445"/>
    <w:rsid w:val="318B0720"/>
    <w:rsid w:val="318D3B5F"/>
    <w:rsid w:val="31913A7B"/>
    <w:rsid w:val="31A87E2F"/>
    <w:rsid w:val="31B71515"/>
    <w:rsid w:val="31B82709"/>
    <w:rsid w:val="31D05482"/>
    <w:rsid w:val="31D225DC"/>
    <w:rsid w:val="31DF63D8"/>
    <w:rsid w:val="31E0455D"/>
    <w:rsid w:val="31EF5153"/>
    <w:rsid w:val="31F83FA8"/>
    <w:rsid w:val="32045D81"/>
    <w:rsid w:val="320F41CB"/>
    <w:rsid w:val="321400BB"/>
    <w:rsid w:val="321C279A"/>
    <w:rsid w:val="322128E7"/>
    <w:rsid w:val="32400B34"/>
    <w:rsid w:val="326542F0"/>
    <w:rsid w:val="32894C60"/>
    <w:rsid w:val="32913B87"/>
    <w:rsid w:val="32944D0D"/>
    <w:rsid w:val="329D695D"/>
    <w:rsid w:val="329E6876"/>
    <w:rsid w:val="32A816B0"/>
    <w:rsid w:val="32BB5035"/>
    <w:rsid w:val="32BF68D3"/>
    <w:rsid w:val="32C44F2E"/>
    <w:rsid w:val="32D103B5"/>
    <w:rsid w:val="32FF49F9"/>
    <w:rsid w:val="330B6B86"/>
    <w:rsid w:val="33152AFE"/>
    <w:rsid w:val="332448BD"/>
    <w:rsid w:val="332901F1"/>
    <w:rsid w:val="333015F2"/>
    <w:rsid w:val="333630EB"/>
    <w:rsid w:val="33391892"/>
    <w:rsid w:val="334B6320"/>
    <w:rsid w:val="33502DA5"/>
    <w:rsid w:val="33727C94"/>
    <w:rsid w:val="33765CA3"/>
    <w:rsid w:val="33916B27"/>
    <w:rsid w:val="339810FB"/>
    <w:rsid w:val="33A1378E"/>
    <w:rsid w:val="33B64797"/>
    <w:rsid w:val="33CF0D98"/>
    <w:rsid w:val="33D934D4"/>
    <w:rsid w:val="33EF14B3"/>
    <w:rsid w:val="33FE2F6A"/>
    <w:rsid w:val="340160C2"/>
    <w:rsid w:val="340E07E5"/>
    <w:rsid w:val="341D5D75"/>
    <w:rsid w:val="34235BF7"/>
    <w:rsid w:val="34242DD3"/>
    <w:rsid w:val="347111A5"/>
    <w:rsid w:val="34A05EBB"/>
    <w:rsid w:val="34BF74CC"/>
    <w:rsid w:val="34C226AB"/>
    <w:rsid w:val="34C44675"/>
    <w:rsid w:val="34DF54C3"/>
    <w:rsid w:val="34F64DDC"/>
    <w:rsid w:val="34F775B7"/>
    <w:rsid w:val="35170C48"/>
    <w:rsid w:val="351B7CE5"/>
    <w:rsid w:val="351D01F9"/>
    <w:rsid w:val="355E531B"/>
    <w:rsid w:val="356440C9"/>
    <w:rsid w:val="3569521C"/>
    <w:rsid w:val="356A78E9"/>
    <w:rsid w:val="356D4F9D"/>
    <w:rsid w:val="357524B1"/>
    <w:rsid w:val="357A2DF7"/>
    <w:rsid w:val="357E51C0"/>
    <w:rsid w:val="358C5FA8"/>
    <w:rsid w:val="358C6D1F"/>
    <w:rsid w:val="3599165E"/>
    <w:rsid w:val="35A15975"/>
    <w:rsid w:val="35B4699A"/>
    <w:rsid w:val="35C15DF1"/>
    <w:rsid w:val="35C366DA"/>
    <w:rsid w:val="35D567C3"/>
    <w:rsid w:val="35E526BB"/>
    <w:rsid w:val="36074A7F"/>
    <w:rsid w:val="36093656"/>
    <w:rsid w:val="361E6007"/>
    <w:rsid w:val="362C39CF"/>
    <w:rsid w:val="36370E76"/>
    <w:rsid w:val="363B6B98"/>
    <w:rsid w:val="363F64CA"/>
    <w:rsid w:val="3647547E"/>
    <w:rsid w:val="36593510"/>
    <w:rsid w:val="366649EE"/>
    <w:rsid w:val="36752830"/>
    <w:rsid w:val="36764AB2"/>
    <w:rsid w:val="367C63BA"/>
    <w:rsid w:val="367F579D"/>
    <w:rsid w:val="36923549"/>
    <w:rsid w:val="36A07AC5"/>
    <w:rsid w:val="36AD685C"/>
    <w:rsid w:val="36B3436F"/>
    <w:rsid w:val="36B35487"/>
    <w:rsid w:val="36B75FBF"/>
    <w:rsid w:val="36BB5604"/>
    <w:rsid w:val="36BD0C45"/>
    <w:rsid w:val="36CB27AA"/>
    <w:rsid w:val="36E47C4D"/>
    <w:rsid w:val="36E60140"/>
    <w:rsid w:val="370F6B21"/>
    <w:rsid w:val="371D62BE"/>
    <w:rsid w:val="371F3DE4"/>
    <w:rsid w:val="371F5B92"/>
    <w:rsid w:val="37287D9F"/>
    <w:rsid w:val="372A3A59"/>
    <w:rsid w:val="3734019A"/>
    <w:rsid w:val="37500442"/>
    <w:rsid w:val="375515B4"/>
    <w:rsid w:val="375A4E1C"/>
    <w:rsid w:val="376052E8"/>
    <w:rsid w:val="3778333A"/>
    <w:rsid w:val="37845B42"/>
    <w:rsid w:val="379C1C9B"/>
    <w:rsid w:val="37A846E6"/>
    <w:rsid w:val="37BA2F08"/>
    <w:rsid w:val="37CF1DD8"/>
    <w:rsid w:val="37E00298"/>
    <w:rsid w:val="37F4701F"/>
    <w:rsid w:val="380F3E59"/>
    <w:rsid w:val="38104B91"/>
    <w:rsid w:val="38212EEA"/>
    <w:rsid w:val="382F0057"/>
    <w:rsid w:val="38342E86"/>
    <w:rsid w:val="38417D8A"/>
    <w:rsid w:val="384833C1"/>
    <w:rsid w:val="38494CA3"/>
    <w:rsid w:val="386E1A4B"/>
    <w:rsid w:val="38703D32"/>
    <w:rsid w:val="387B504A"/>
    <w:rsid w:val="38995742"/>
    <w:rsid w:val="38A21E07"/>
    <w:rsid w:val="38B302F9"/>
    <w:rsid w:val="38BD143D"/>
    <w:rsid w:val="38CF5396"/>
    <w:rsid w:val="38D377E8"/>
    <w:rsid w:val="38D90099"/>
    <w:rsid w:val="38EB4752"/>
    <w:rsid w:val="38F12CD3"/>
    <w:rsid w:val="38F94775"/>
    <w:rsid w:val="39157493"/>
    <w:rsid w:val="39175EE9"/>
    <w:rsid w:val="392971ED"/>
    <w:rsid w:val="39325651"/>
    <w:rsid w:val="3936366D"/>
    <w:rsid w:val="394750CB"/>
    <w:rsid w:val="3952377C"/>
    <w:rsid w:val="39774A7C"/>
    <w:rsid w:val="398919E9"/>
    <w:rsid w:val="399C171C"/>
    <w:rsid w:val="39A42FEC"/>
    <w:rsid w:val="39B60304"/>
    <w:rsid w:val="39CD5D7A"/>
    <w:rsid w:val="39D2513E"/>
    <w:rsid w:val="39D30432"/>
    <w:rsid w:val="39DF5AAD"/>
    <w:rsid w:val="39E84176"/>
    <w:rsid w:val="39F01A68"/>
    <w:rsid w:val="39FB1B0E"/>
    <w:rsid w:val="3A001DED"/>
    <w:rsid w:val="3A1A4D37"/>
    <w:rsid w:val="3A253E74"/>
    <w:rsid w:val="3A3940FE"/>
    <w:rsid w:val="3A503481"/>
    <w:rsid w:val="3A812B0C"/>
    <w:rsid w:val="3A872856"/>
    <w:rsid w:val="3A8914D4"/>
    <w:rsid w:val="3A8B12F4"/>
    <w:rsid w:val="3A916DA7"/>
    <w:rsid w:val="3A9E3272"/>
    <w:rsid w:val="3AA33CBD"/>
    <w:rsid w:val="3AC01D1A"/>
    <w:rsid w:val="3AF075C5"/>
    <w:rsid w:val="3B117306"/>
    <w:rsid w:val="3B135A0E"/>
    <w:rsid w:val="3B140CCD"/>
    <w:rsid w:val="3B2F65C0"/>
    <w:rsid w:val="3B3763D1"/>
    <w:rsid w:val="3B3E11AE"/>
    <w:rsid w:val="3B470424"/>
    <w:rsid w:val="3B664B73"/>
    <w:rsid w:val="3B8750BB"/>
    <w:rsid w:val="3B8E3B5F"/>
    <w:rsid w:val="3B974891"/>
    <w:rsid w:val="3BAD0B9C"/>
    <w:rsid w:val="3BBF5B96"/>
    <w:rsid w:val="3BC6271B"/>
    <w:rsid w:val="3BCC4BEE"/>
    <w:rsid w:val="3BD21A31"/>
    <w:rsid w:val="3BDD1730"/>
    <w:rsid w:val="3BF62898"/>
    <w:rsid w:val="3C2F6E1E"/>
    <w:rsid w:val="3C4005E8"/>
    <w:rsid w:val="3C413BCD"/>
    <w:rsid w:val="3C4F64BA"/>
    <w:rsid w:val="3C7F4135"/>
    <w:rsid w:val="3C9F32D2"/>
    <w:rsid w:val="3CA2709E"/>
    <w:rsid w:val="3CB51407"/>
    <w:rsid w:val="3CB7746B"/>
    <w:rsid w:val="3CC21995"/>
    <w:rsid w:val="3CD22CC8"/>
    <w:rsid w:val="3CDA245A"/>
    <w:rsid w:val="3CE162ED"/>
    <w:rsid w:val="3CE7169C"/>
    <w:rsid w:val="3CF11D7F"/>
    <w:rsid w:val="3D175A9D"/>
    <w:rsid w:val="3D1E06B7"/>
    <w:rsid w:val="3D2A4E27"/>
    <w:rsid w:val="3D2E3E42"/>
    <w:rsid w:val="3D422F62"/>
    <w:rsid w:val="3D4C3459"/>
    <w:rsid w:val="3D507226"/>
    <w:rsid w:val="3D54489D"/>
    <w:rsid w:val="3D5F222C"/>
    <w:rsid w:val="3D667A0D"/>
    <w:rsid w:val="3D6E1622"/>
    <w:rsid w:val="3D6E5B7D"/>
    <w:rsid w:val="3D820C2A"/>
    <w:rsid w:val="3D84267B"/>
    <w:rsid w:val="3D8C3E06"/>
    <w:rsid w:val="3D9077EA"/>
    <w:rsid w:val="3DAB63D2"/>
    <w:rsid w:val="3DB50FFF"/>
    <w:rsid w:val="3DBA03C3"/>
    <w:rsid w:val="3DD377E1"/>
    <w:rsid w:val="3DFD0A26"/>
    <w:rsid w:val="3E0E39E9"/>
    <w:rsid w:val="3E153E77"/>
    <w:rsid w:val="3E170983"/>
    <w:rsid w:val="3E691F29"/>
    <w:rsid w:val="3E895FE7"/>
    <w:rsid w:val="3E8B6203"/>
    <w:rsid w:val="3E8C3372"/>
    <w:rsid w:val="3E907C2F"/>
    <w:rsid w:val="3E947038"/>
    <w:rsid w:val="3EA51FDD"/>
    <w:rsid w:val="3EAD3EDC"/>
    <w:rsid w:val="3EB07A18"/>
    <w:rsid w:val="3EB5404E"/>
    <w:rsid w:val="3EBC62AF"/>
    <w:rsid w:val="3ED14A87"/>
    <w:rsid w:val="3EDA0523"/>
    <w:rsid w:val="3EDF746D"/>
    <w:rsid w:val="3EE66EDB"/>
    <w:rsid w:val="3EF07B60"/>
    <w:rsid w:val="3EFB3B21"/>
    <w:rsid w:val="3F0925F4"/>
    <w:rsid w:val="3F1D7C59"/>
    <w:rsid w:val="3F203316"/>
    <w:rsid w:val="3F2179FE"/>
    <w:rsid w:val="3F3B19D7"/>
    <w:rsid w:val="3F3E206B"/>
    <w:rsid w:val="3F3F1B5E"/>
    <w:rsid w:val="3F4C14EF"/>
    <w:rsid w:val="3F4E27ED"/>
    <w:rsid w:val="3F5D3E74"/>
    <w:rsid w:val="3F892335"/>
    <w:rsid w:val="3F8B0803"/>
    <w:rsid w:val="3F915F1C"/>
    <w:rsid w:val="3F9310C8"/>
    <w:rsid w:val="3FA008F5"/>
    <w:rsid w:val="3FB90C51"/>
    <w:rsid w:val="3FC5007E"/>
    <w:rsid w:val="3FD124CF"/>
    <w:rsid w:val="3FDC2ECE"/>
    <w:rsid w:val="3FE86650"/>
    <w:rsid w:val="3FF134E9"/>
    <w:rsid w:val="3FFD062E"/>
    <w:rsid w:val="400E6A08"/>
    <w:rsid w:val="40131277"/>
    <w:rsid w:val="402263FD"/>
    <w:rsid w:val="402C77C3"/>
    <w:rsid w:val="40394CC6"/>
    <w:rsid w:val="4045485F"/>
    <w:rsid w:val="40570AAC"/>
    <w:rsid w:val="4057639D"/>
    <w:rsid w:val="406D5BC1"/>
    <w:rsid w:val="406D699D"/>
    <w:rsid w:val="40736AE9"/>
    <w:rsid w:val="407A6407"/>
    <w:rsid w:val="40804C79"/>
    <w:rsid w:val="408E3D89"/>
    <w:rsid w:val="409F5F96"/>
    <w:rsid w:val="40BC779C"/>
    <w:rsid w:val="40CD1989"/>
    <w:rsid w:val="40D6438B"/>
    <w:rsid w:val="414F3518"/>
    <w:rsid w:val="416F7305"/>
    <w:rsid w:val="4187784F"/>
    <w:rsid w:val="41897840"/>
    <w:rsid w:val="418B34D3"/>
    <w:rsid w:val="41994C31"/>
    <w:rsid w:val="41A002BD"/>
    <w:rsid w:val="41AB7297"/>
    <w:rsid w:val="41E53E7C"/>
    <w:rsid w:val="41E6111C"/>
    <w:rsid w:val="41F4623D"/>
    <w:rsid w:val="41F74F49"/>
    <w:rsid w:val="4200449D"/>
    <w:rsid w:val="42063C1D"/>
    <w:rsid w:val="421A3D1C"/>
    <w:rsid w:val="422F6A5C"/>
    <w:rsid w:val="42335B57"/>
    <w:rsid w:val="423A3BCC"/>
    <w:rsid w:val="423F0539"/>
    <w:rsid w:val="424E57D2"/>
    <w:rsid w:val="42842107"/>
    <w:rsid w:val="42B26C49"/>
    <w:rsid w:val="42B6054D"/>
    <w:rsid w:val="42B876E2"/>
    <w:rsid w:val="42B95527"/>
    <w:rsid w:val="42D9753D"/>
    <w:rsid w:val="42FE4F4C"/>
    <w:rsid w:val="43016A94"/>
    <w:rsid w:val="430976F7"/>
    <w:rsid w:val="430C497F"/>
    <w:rsid w:val="43397FDC"/>
    <w:rsid w:val="433A6FE6"/>
    <w:rsid w:val="43480868"/>
    <w:rsid w:val="4350713C"/>
    <w:rsid w:val="435A2798"/>
    <w:rsid w:val="436653E0"/>
    <w:rsid w:val="436A63E7"/>
    <w:rsid w:val="436C081F"/>
    <w:rsid w:val="43811C6D"/>
    <w:rsid w:val="438743BD"/>
    <w:rsid w:val="43963680"/>
    <w:rsid w:val="43967712"/>
    <w:rsid w:val="43AD04A2"/>
    <w:rsid w:val="43B13A9C"/>
    <w:rsid w:val="43C4431A"/>
    <w:rsid w:val="43C95804"/>
    <w:rsid w:val="43E20674"/>
    <w:rsid w:val="43F018E0"/>
    <w:rsid w:val="43F42A8A"/>
    <w:rsid w:val="44010309"/>
    <w:rsid w:val="442204A2"/>
    <w:rsid w:val="443F0D4E"/>
    <w:rsid w:val="44481D54"/>
    <w:rsid w:val="444C3D3F"/>
    <w:rsid w:val="446B01D5"/>
    <w:rsid w:val="447B63D2"/>
    <w:rsid w:val="4497145E"/>
    <w:rsid w:val="44B951CC"/>
    <w:rsid w:val="44BF2397"/>
    <w:rsid w:val="44C87778"/>
    <w:rsid w:val="44CD14E0"/>
    <w:rsid w:val="44CE43EB"/>
    <w:rsid w:val="44D02976"/>
    <w:rsid w:val="44D3620E"/>
    <w:rsid w:val="44DC1567"/>
    <w:rsid w:val="44E16B7D"/>
    <w:rsid w:val="44E8496D"/>
    <w:rsid w:val="44F20B0B"/>
    <w:rsid w:val="45034D45"/>
    <w:rsid w:val="450377E9"/>
    <w:rsid w:val="451558AC"/>
    <w:rsid w:val="45260A34"/>
    <w:rsid w:val="452C3DD7"/>
    <w:rsid w:val="452E5F4C"/>
    <w:rsid w:val="454B049A"/>
    <w:rsid w:val="455B0D72"/>
    <w:rsid w:val="45612018"/>
    <w:rsid w:val="45641D01"/>
    <w:rsid w:val="457E5BD3"/>
    <w:rsid w:val="458126C7"/>
    <w:rsid w:val="45815C6A"/>
    <w:rsid w:val="458946E9"/>
    <w:rsid w:val="458B6AE9"/>
    <w:rsid w:val="45997AD5"/>
    <w:rsid w:val="45A47C0E"/>
    <w:rsid w:val="45C100D3"/>
    <w:rsid w:val="45CD7101"/>
    <w:rsid w:val="45D777CC"/>
    <w:rsid w:val="45DD0AAC"/>
    <w:rsid w:val="45F841C2"/>
    <w:rsid w:val="4605063F"/>
    <w:rsid w:val="46134885"/>
    <w:rsid w:val="4613535C"/>
    <w:rsid w:val="463427AD"/>
    <w:rsid w:val="46386C71"/>
    <w:rsid w:val="465126D5"/>
    <w:rsid w:val="46577FD6"/>
    <w:rsid w:val="46731A57"/>
    <w:rsid w:val="467B6E05"/>
    <w:rsid w:val="4692038E"/>
    <w:rsid w:val="4695531D"/>
    <w:rsid w:val="46A57C93"/>
    <w:rsid w:val="46AB10FA"/>
    <w:rsid w:val="46D955A7"/>
    <w:rsid w:val="47133957"/>
    <w:rsid w:val="47264D6A"/>
    <w:rsid w:val="47347A68"/>
    <w:rsid w:val="473B2B4D"/>
    <w:rsid w:val="473C6CCB"/>
    <w:rsid w:val="473F708B"/>
    <w:rsid w:val="47471C81"/>
    <w:rsid w:val="474955B1"/>
    <w:rsid w:val="474B6530"/>
    <w:rsid w:val="47554F74"/>
    <w:rsid w:val="47580D77"/>
    <w:rsid w:val="475C24EB"/>
    <w:rsid w:val="475D4132"/>
    <w:rsid w:val="476314BE"/>
    <w:rsid w:val="478D1F7E"/>
    <w:rsid w:val="47A07E0C"/>
    <w:rsid w:val="47A85730"/>
    <w:rsid w:val="47BC742D"/>
    <w:rsid w:val="47DF0C96"/>
    <w:rsid w:val="47E81FD1"/>
    <w:rsid w:val="47F210A1"/>
    <w:rsid w:val="480C5CBF"/>
    <w:rsid w:val="480E5EDB"/>
    <w:rsid w:val="482C010F"/>
    <w:rsid w:val="4838131C"/>
    <w:rsid w:val="484F02A2"/>
    <w:rsid w:val="48535E41"/>
    <w:rsid w:val="485F2253"/>
    <w:rsid w:val="4870272E"/>
    <w:rsid w:val="48741AB6"/>
    <w:rsid w:val="48766FC9"/>
    <w:rsid w:val="487B3AE2"/>
    <w:rsid w:val="488264DA"/>
    <w:rsid w:val="489D725F"/>
    <w:rsid w:val="48B867E7"/>
    <w:rsid w:val="48C00011"/>
    <w:rsid w:val="48C72E15"/>
    <w:rsid w:val="491309BE"/>
    <w:rsid w:val="491C75D1"/>
    <w:rsid w:val="491E28D2"/>
    <w:rsid w:val="49267254"/>
    <w:rsid w:val="492B6E2F"/>
    <w:rsid w:val="49470F79"/>
    <w:rsid w:val="49491E39"/>
    <w:rsid w:val="495D761D"/>
    <w:rsid w:val="49635DB3"/>
    <w:rsid w:val="496B6A41"/>
    <w:rsid w:val="496D328D"/>
    <w:rsid w:val="499646B3"/>
    <w:rsid w:val="49A63EF1"/>
    <w:rsid w:val="49DC7715"/>
    <w:rsid w:val="49E70E46"/>
    <w:rsid w:val="49E7287B"/>
    <w:rsid w:val="49EA1994"/>
    <w:rsid w:val="4A023139"/>
    <w:rsid w:val="4A1277D9"/>
    <w:rsid w:val="4A1946C3"/>
    <w:rsid w:val="4A326562"/>
    <w:rsid w:val="4A3E05CE"/>
    <w:rsid w:val="4A4C0F40"/>
    <w:rsid w:val="4A5005F7"/>
    <w:rsid w:val="4A5530A0"/>
    <w:rsid w:val="4A745B92"/>
    <w:rsid w:val="4A7B576F"/>
    <w:rsid w:val="4A7D2EA4"/>
    <w:rsid w:val="4A9A28A0"/>
    <w:rsid w:val="4AA00D37"/>
    <w:rsid w:val="4AA743C5"/>
    <w:rsid w:val="4AAC4850"/>
    <w:rsid w:val="4AC01EEB"/>
    <w:rsid w:val="4AC64218"/>
    <w:rsid w:val="4AC7411F"/>
    <w:rsid w:val="4AD715D5"/>
    <w:rsid w:val="4AD827D0"/>
    <w:rsid w:val="4ADB7BCB"/>
    <w:rsid w:val="4AE15710"/>
    <w:rsid w:val="4AF561A9"/>
    <w:rsid w:val="4B072A64"/>
    <w:rsid w:val="4B08477A"/>
    <w:rsid w:val="4B120FE4"/>
    <w:rsid w:val="4B1B2CD0"/>
    <w:rsid w:val="4B2D150E"/>
    <w:rsid w:val="4B594E8B"/>
    <w:rsid w:val="4B5D2E14"/>
    <w:rsid w:val="4B706968"/>
    <w:rsid w:val="4B797204"/>
    <w:rsid w:val="4B9B62F7"/>
    <w:rsid w:val="4B9E4C47"/>
    <w:rsid w:val="4BA65215"/>
    <w:rsid w:val="4BC128B7"/>
    <w:rsid w:val="4BC85C1B"/>
    <w:rsid w:val="4BC972D6"/>
    <w:rsid w:val="4BD06FAF"/>
    <w:rsid w:val="4BF24783"/>
    <w:rsid w:val="4BF46BAE"/>
    <w:rsid w:val="4C39729F"/>
    <w:rsid w:val="4C3E5B06"/>
    <w:rsid w:val="4C43011D"/>
    <w:rsid w:val="4C433636"/>
    <w:rsid w:val="4C4A0649"/>
    <w:rsid w:val="4C4A6345"/>
    <w:rsid w:val="4C4D68A6"/>
    <w:rsid w:val="4C5658BA"/>
    <w:rsid w:val="4C580835"/>
    <w:rsid w:val="4C667968"/>
    <w:rsid w:val="4C6A56AA"/>
    <w:rsid w:val="4C7B338D"/>
    <w:rsid w:val="4C7E5ECA"/>
    <w:rsid w:val="4C7F1733"/>
    <w:rsid w:val="4C876AA5"/>
    <w:rsid w:val="4C885B30"/>
    <w:rsid w:val="4C983FC5"/>
    <w:rsid w:val="4CA80FE3"/>
    <w:rsid w:val="4CD077DD"/>
    <w:rsid w:val="4CEA2450"/>
    <w:rsid w:val="4CEF795D"/>
    <w:rsid w:val="4CF22C33"/>
    <w:rsid w:val="4CFE5DF2"/>
    <w:rsid w:val="4D045012"/>
    <w:rsid w:val="4D050630"/>
    <w:rsid w:val="4D0C050F"/>
    <w:rsid w:val="4D0E00FB"/>
    <w:rsid w:val="4D102DD0"/>
    <w:rsid w:val="4D1457DC"/>
    <w:rsid w:val="4D176606"/>
    <w:rsid w:val="4D275349"/>
    <w:rsid w:val="4D3440BA"/>
    <w:rsid w:val="4D467EC5"/>
    <w:rsid w:val="4D580CA7"/>
    <w:rsid w:val="4D5C1497"/>
    <w:rsid w:val="4D5C312E"/>
    <w:rsid w:val="4D600D5A"/>
    <w:rsid w:val="4D860727"/>
    <w:rsid w:val="4D8712BE"/>
    <w:rsid w:val="4D9329DF"/>
    <w:rsid w:val="4D9E1AAF"/>
    <w:rsid w:val="4DBA61BD"/>
    <w:rsid w:val="4DC97C02"/>
    <w:rsid w:val="4DCD1AB1"/>
    <w:rsid w:val="4DE35714"/>
    <w:rsid w:val="4DE44FF2"/>
    <w:rsid w:val="4DEC4FB0"/>
    <w:rsid w:val="4DF6540B"/>
    <w:rsid w:val="4E075D8A"/>
    <w:rsid w:val="4E1B59C1"/>
    <w:rsid w:val="4E1E04FA"/>
    <w:rsid w:val="4E3C2E48"/>
    <w:rsid w:val="4E3F53D1"/>
    <w:rsid w:val="4E434405"/>
    <w:rsid w:val="4E49769E"/>
    <w:rsid w:val="4E6C5709"/>
    <w:rsid w:val="4E704ACE"/>
    <w:rsid w:val="4E711FF6"/>
    <w:rsid w:val="4E8862BB"/>
    <w:rsid w:val="4E922C96"/>
    <w:rsid w:val="4EC00FAD"/>
    <w:rsid w:val="4EC867A7"/>
    <w:rsid w:val="4ED678C0"/>
    <w:rsid w:val="4F02426C"/>
    <w:rsid w:val="4F457D08"/>
    <w:rsid w:val="4F572B56"/>
    <w:rsid w:val="4F711AB3"/>
    <w:rsid w:val="4F8046CE"/>
    <w:rsid w:val="4F8534CA"/>
    <w:rsid w:val="4F886619"/>
    <w:rsid w:val="4F9843DC"/>
    <w:rsid w:val="4FA16D3F"/>
    <w:rsid w:val="4FA8238E"/>
    <w:rsid w:val="4FBC4820"/>
    <w:rsid w:val="4FC62A8C"/>
    <w:rsid w:val="4FDA42BD"/>
    <w:rsid w:val="4FE04491"/>
    <w:rsid w:val="4FE20F0D"/>
    <w:rsid w:val="4FE51552"/>
    <w:rsid w:val="4FE90FDC"/>
    <w:rsid w:val="4FEB08B0"/>
    <w:rsid w:val="4FFF435B"/>
    <w:rsid w:val="4FFF6109"/>
    <w:rsid w:val="5015592D"/>
    <w:rsid w:val="503655E6"/>
    <w:rsid w:val="503B1B02"/>
    <w:rsid w:val="50504C4B"/>
    <w:rsid w:val="505E4FCB"/>
    <w:rsid w:val="5060304C"/>
    <w:rsid w:val="50757D9F"/>
    <w:rsid w:val="508466F0"/>
    <w:rsid w:val="50974CBF"/>
    <w:rsid w:val="509C0CF8"/>
    <w:rsid w:val="509C6E7C"/>
    <w:rsid w:val="50AD0E89"/>
    <w:rsid w:val="50C730CB"/>
    <w:rsid w:val="50D13F4A"/>
    <w:rsid w:val="50D816D4"/>
    <w:rsid w:val="50E55EEB"/>
    <w:rsid w:val="50F93A30"/>
    <w:rsid w:val="50FB4FA0"/>
    <w:rsid w:val="51053E43"/>
    <w:rsid w:val="510A745C"/>
    <w:rsid w:val="510D47A5"/>
    <w:rsid w:val="51332FFF"/>
    <w:rsid w:val="513C37FC"/>
    <w:rsid w:val="514A3D99"/>
    <w:rsid w:val="514D47AF"/>
    <w:rsid w:val="514E7348"/>
    <w:rsid w:val="51511D78"/>
    <w:rsid w:val="515767D5"/>
    <w:rsid w:val="5162104E"/>
    <w:rsid w:val="51857B9B"/>
    <w:rsid w:val="519B3C88"/>
    <w:rsid w:val="51A52CE0"/>
    <w:rsid w:val="51A74CAA"/>
    <w:rsid w:val="51C4585C"/>
    <w:rsid w:val="51C664D7"/>
    <w:rsid w:val="51DA5336"/>
    <w:rsid w:val="51F7178E"/>
    <w:rsid w:val="521265C8"/>
    <w:rsid w:val="52181704"/>
    <w:rsid w:val="524A31D8"/>
    <w:rsid w:val="52503F4E"/>
    <w:rsid w:val="52A920AE"/>
    <w:rsid w:val="52B92EE7"/>
    <w:rsid w:val="52BE6D6C"/>
    <w:rsid w:val="52C7407A"/>
    <w:rsid w:val="52CD4517"/>
    <w:rsid w:val="52E37F64"/>
    <w:rsid w:val="531E05AD"/>
    <w:rsid w:val="532A08EF"/>
    <w:rsid w:val="533F11E1"/>
    <w:rsid w:val="53425C14"/>
    <w:rsid w:val="534E72AA"/>
    <w:rsid w:val="53566988"/>
    <w:rsid w:val="535A750F"/>
    <w:rsid w:val="53705015"/>
    <w:rsid w:val="539F3E8B"/>
    <w:rsid w:val="53A039CC"/>
    <w:rsid w:val="53A1505A"/>
    <w:rsid w:val="53A56FC8"/>
    <w:rsid w:val="53AA1759"/>
    <w:rsid w:val="53D1600F"/>
    <w:rsid w:val="53D31D87"/>
    <w:rsid w:val="53E47AF0"/>
    <w:rsid w:val="53EC164E"/>
    <w:rsid w:val="53F178D9"/>
    <w:rsid w:val="53F8656D"/>
    <w:rsid w:val="54063E08"/>
    <w:rsid w:val="543074A1"/>
    <w:rsid w:val="543437E8"/>
    <w:rsid w:val="545A0D66"/>
    <w:rsid w:val="547A09D9"/>
    <w:rsid w:val="548337AD"/>
    <w:rsid w:val="54907B84"/>
    <w:rsid w:val="54B071D7"/>
    <w:rsid w:val="54C020D0"/>
    <w:rsid w:val="54CB7220"/>
    <w:rsid w:val="54D00537"/>
    <w:rsid w:val="54D10B9E"/>
    <w:rsid w:val="54DA7145"/>
    <w:rsid w:val="54DA7C55"/>
    <w:rsid w:val="54DB0D8D"/>
    <w:rsid w:val="54F37D3B"/>
    <w:rsid w:val="54F73313"/>
    <w:rsid w:val="54F80955"/>
    <w:rsid w:val="55006BAB"/>
    <w:rsid w:val="55066A31"/>
    <w:rsid w:val="55111ED8"/>
    <w:rsid w:val="5516256D"/>
    <w:rsid w:val="5522237F"/>
    <w:rsid w:val="552705DC"/>
    <w:rsid w:val="552B0545"/>
    <w:rsid w:val="552C4101"/>
    <w:rsid w:val="553A1050"/>
    <w:rsid w:val="5545138E"/>
    <w:rsid w:val="555170A7"/>
    <w:rsid w:val="5569103F"/>
    <w:rsid w:val="556B0FFF"/>
    <w:rsid w:val="556F1F83"/>
    <w:rsid w:val="557F1C8B"/>
    <w:rsid w:val="558075ED"/>
    <w:rsid w:val="5587536D"/>
    <w:rsid w:val="55875ACC"/>
    <w:rsid w:val="559B174B"/>
    <w:rsid w:val="55A41C2D"/>
    <w:rsid w:val="55CE0CF4"/>
    <w:rsid w:val="55D1679A"/>
    <w:rsid w:val="55EF052C"/>
    <w:rsid w:val="5624337B"/>
    <w:rsid w:val="563C00B7"/>
    <w:rsid w:val="564B654C"/>
    <w:rsid w:val="56521720"/>
    <w:rsid w:val="566118CC"/>
    <w:rsid w:val="566843E5"/>
    <w:rsid w:val="567D77DA"/>
    <w:rsid w:val="5687628A"/>
    <w:rsid w:val="56B22A9C"/>
    <w:rsid w:val="56CE4A87"/>
    <w:rsid w:val="56D26326"/>
    <w:rsid w:val="56D95C6A"/>
    <w:rsid w:val="56EA01F5"/>
    <w:rsid w:val="570245BD"/>
    <w:rsid w:val="570538B0"/>
    <w:rsid w:val="57161F81"/>
    <w:rsid w:val="571C16E6"/>
    <w:rsid w:val="57415C82"/>
    <w:rsid w:val="57554542"/>
    <w:rsid w:val="5769257E"/>
    <w:rsid w:val="577A0A3B"/>
    <w:rsid w:val="579161E1"/>
    <w:rsid w:val="57945DFD"/>
    <w:rsid w:val="579D2DD8"/>
    <w:rsid w:val="57A83380"/>
    <w:rsid w:val="57B72A76"/>
    <w:rsid w:val="57C3426C"/>
    <w:rsid w:val="57C401AE"/>
    <w:rsid w:val="57CE1F93"/>
    <w:rsid w:val="57FB18AC"/>
    <w:rsid w:val="5827470B"/>
    <w:rsid w:val="582B4A8D"/>
    <w:rsid w:val="582E7425"/>
    <w:rsid w:val="584449DA"/>
    <w:rsid w:val="584F1A9A"/>
    <w:rsid w:val="586435F7"/>
    <w:rsid w:val="587A4EC7"/>
    <w:rsid w:val="58817556"/>
    <w:rsid w:val="588743D1"/>
    <w:rsid w:val="5887701A"/>
    <w:rsid w:val="58907818"/>
    <w:rsid w:val="58963051"/>
    <w:rsid w:val="58AE4B70"/>
    <w:rsid w:val="58B74397"/>
    <w:rsid w:val="58CF5213"/>
    <w:rsid w:val="58E944D5"/>
    <w:rsid w:val="590316FF"/>
    <w:rsid w:val="59196760"/>
    <w:rsid w:val="59253DDE"/>
    <w:rsid w:val="5929343F"/>
    <w:rsid w:val="59350C74"/>
    <w:rsid w:val="59492A40"/>
    <w:rsid w:val="59506980"/>
    <w:rsid w:val="595079D6"/>
    <w:rsid w:val="595754EA"/>
    <w:rsid w:val="59760959"/>
    <w:rsid w:val="59902761"/>
    <w:rsid w:val="59A8127C"/>
    <w:rsid w:val="59B80C1E"/>
    <w:rsid w:val="59C0439F"/>
    <w:rsid w:val="59C8612E"/>
    <w:rsid w:val="59D34887"/>
    <w:rsid w:val="59D81EA5"/>
    <w:rsid w:val="59DC5169"/>
    <w:rsid w:val="59DE1485"/>
    <w:rsid w:val="59F842F5"/>
    <w:rsid w:val="5A136463"/>
    <w:rsid w:val="5A137381"/>
    <w:rsid w:val="5A204258"/>
    <w:rsid w:val="5A387B5A"/>
    <w:rsid w:val="5A593BF2"/>
    <w:rsid w:val="5A5C1279"/>
    <w:rsid w:val="5A7C38E2"/>
    <w:rsid w:val="5A876CE0"/>
    <w:rsid w:val="5A920930"/>
    <w:rsid w:val="5A9B1124"/>
    <w:rsid w:val="5AA26667"/>
    <w:rsid w:val="5AB3646E"/>
    <w:rsid w:val="5ABE2233"/>
    <w:rsid w:val="5AC90DA7"/>
    <w:rsid w:val="5AD03573"/>
    <w:rsid w:val="5AD07020"/>
    <w:rsid w:val="5AF412DA"/>
    <w:rsid w:val="5B213403"/>
    <w:rsid w:val="5B3B03E2"/>
    <w:rsid w:val="5B48305A"/>
    <w:rsid w:val="5B4D68C3"/>
    <w:rsid w:val="5B50604C"/>
    <w:rsid w:val="5B553DA6"/>
    <w:rsid w:val="5B6854AA"/>
    <w:rsid w:val="5B6B76B9"/>
    <w:rsid w:val="5B740976"/>
    <w:rsid w:val="5B776912"/>
    <w:rsid w:val="5B8607DB"/>
    <w:rsid w:val="5BA22810"/>
    <w:rsid w:val="5BDB09B2"/>
    <w:rsid w:val="5BDF5D95"/>
    <w:rsid w:val="5BF84F55"/>
    <w:rsid w:val="5BFE7528"/>
    <w:rsid w:val="5C0276AD"/>
    <w:rsid w:val="5C0376D2"/>
    <w:rsid w:val="5C076A71"/>
    <w:rsid w:val="5C223CEC"/>
    <w:rsid w:val="5C291AE7"/>
    <w:rsid w:val="5C447CC6"/>
    <w:rsid w:val="5C4E0A47"/>
    <w:rsid w:val="5C5B0C58"/>
    <w:rsid w:val="5C611E2E"/>
    <w:rsid w:val="5C66016A"/>
    <w:rsid w:val="5C6A2D77"/>
    <w:rsid w:val="5C951D6C"/>
    <w:rsid w:val="5C9E3955"/>
    <w:rsid w:val="5CA32EAD"/>
    <w:rsid w:val="5CA40B43"/>
    <w:rsid w:val="5CAE513F"/>
    <w:rsid w:val="5CB0309E"/>
    <w:rsid w:val="5CB22727"/>
    <w:rsid w:val="5CC20BEA"/>
    <w:rsid w:val="5CDA4186"/>
    <w:rsid w:val="5CE24DE9"/>
    <w:rsid w:val="5CF241B7"/>
    <w:rsid w:val="5D2F3C01"/>
    <w:rsid w:val="5D323506"/>
    <w:rsid w:val="5D490A85"/>
    <w:rsid w:val="5D6E166B"/>
    <w:rsid w:val="5D7C523D"/>
    <w:rsid w:val="5D7D7A37"/>
    <w:rsid w:val="5D911366"/>
    <w:rsid w:val="5D95488E"/>
    <w:rsid w:val="5D995DEF"/>
    <w:rsid w:val="5DA54794"/>
    <w:rsid w:val="5DAB78D0"/>
    <w:rsid w:val="5DB04EE7"/>
    <w:rsid w:val="5DB75835"/>
    <w:rsid w:val="5DBD2A8A"/>
    <w:rsid w:val="5DC72098"/>
    <w:rsid w:val="5DD43912"/>
    <w:rsid w:val="5DE17BB5"/>
    <w:rsid w:val="5DFE5C52"/>
    <w:rsid w:val="5E082AC2"/>
    <w:rsid w:val="5E0A598D"/>
    <w:rsid w:val="5E135BA1"/>
    <w:rsid w:val="5E2467F1"/>
    <w:rsid w:val="5E317DD6"/>
    <w:rsid w:val="5E4D0988"/>
    <w:rsid w:val="5E521F28"/>
    <w:rsid w:val="5E5314AB"/>
    <w:rsid w:val="5E6301AB"/>
    <w:rsid w:val="5E6A5D46"/>
    <w:rsid w:val="5EAE38A7"/>
    <w:rsid w:val="5EBF747C"/>
    <w:rsid w:val="5EC96260"/>
    <w:rsid w:val="5EFC1232"/>
    <w:rsid w:val="5F1A2B43"/>
    <w:rsid w:val="5F347CF2"/>
    <w:rsid w:val="5F3C71E9"/>
    <w:rsid w:val="5F7206A6"/>
    <w:rsid w:val="5F764111"/>
    <w:rsid w:val="5F7C32D2"/>
    <w:rsid w:val="5F8108E9"/>
    <w:rsid w:val="5FB71334"/>
    <w:rsid w:val="5FB837BB"/>
    <w:rsid w:val="5FCC1DD7"/>
    <w:rsid w:val="5FD15BC7"/>
    <w:rsid w:val="5FEE336F"/>
    <w:rsid w:val="5FF53BDB"/>
    <w:rsid w:val="5FF65A05"/>
    <w:rsid w:val="6003562D"/>
    <w:rsid w:val="600D721E"/>
    <w:rsid w:val="603313BB"/>
    <w:rsid w:val="60362BD8"/>
    <w:rsid w:val="604E1113"/>
    <w:rsid w:val="605B55DE"/>
    <w:rsid w:val="605C5376"/>
    <w:rsid w:val="6060187A"/>
    <w:rsid w:val="606C7B8D"/>
    <w:rsid w:val="606E04BD"/>
    <w:rsid w:val="60763F7C"/>
    <w:rsid w:val="60842877"/>
    <w:rsid w:val="60B35821"/>
    <w:rsid w:val="60CC405A"/>
    <w:rsid w:val="60D158A0"/>
    <w:rsid w:val="60EF54A6"/>
    <w:rsid w:val="61023B99"/>
    <w:rsid w:val="610C4B2A"/>
    <w:rsid w:val="61247556"/>
    <w:rsid w:val="612E44C2"/>
    <w:rsid w:val="613100ED"/>
    <w:rsid w:val="61412A26"/>
    <w:rsid w:val="614727A3"/>
    <w:rsid w:val="61551038"/>
    <w:rsid w:val="616F6722"/>
    <w:rsid w:val="618441EC"/>
    <w:rsid w:val="61AA44FA"/>
    <w:rsid w:val="61B01959"/>
    <w:rsid w:val="61E215D8"/>
    <w:rsid w:val="62053A53"/>
    <w:rsid w:val="620A72BB"/>
    <w:rsid w:val="621B3775"/>
    <w:rsid w:val="6226453C"/>
    <w:rsid w:val="62264F53"/>
    <w:rsid w:val="62360C8A"/>
    <w:rsid w:val="62364782"/>
    <w:rsid w:val="6238026A"/>
    <w:rsid w:val="62430B4F"/>
    <w:rsid w:val="6244386E"/>
    <w:rsid w:val="626544F2"/>
    <w:rsid w:val="627961EF"/>
    <w:rsid w:val="629152E7"/>
    <w:rsid w:val="62922E0D"/>
    <w:rsid w:val="62AB1906"/>
    <w:rsid w:val="62BE3C02"/>
    <w:rsid w:val="62C13D22"/>
    <w:rsid w:val="62C531E2"/>
    <w:rsid w:val="62CF5E0F"/>
    <w:rsid w:val="62D17677"/>
    <w:rsid w:val="62DB47B4"/>
    <w:rsid w:val="62EF42F2"/>
    <w:rsid w:val="62F754AB"/>
    <w:rsid w:val="62F838FB"/>
    <w:rsid w:val="63084C23"/>
    <w:rsid w:val="630B15B1"/>
    <w:rsid w:val="630C78B5"/>
    <w:rsid w:val="63243861"/>
    <w:rsid w:val="63283F73"/>
    <w:rsid w:val="63383343"/>
    <w:rsid w:val="63433F66"/>
    <w:rsid w:val="634B220C"/>
    <w:rsid w:val="635A392B"/>
    <w:rsid w:val="6383121C"/>
    <w:rsid w:val="63861EB6"/>
    <w:rsid w:val="6388787D"/>
    <w:rsid w:val="63892BC7"/>
    <w:rsid w:val="639332E1"/>
    <w:rsid w:val="6394356A"/>
    <w:rsid w:val="6397432D"/>
    <w:rsid w:val="639D33F8"/>
    <w:rsid w:val="63AA3A2D"/>
    <w:rsid w:val="63B16ED0"/>
    <w:rsid w:val="63B82D47"/>
    <w:rsid w:val="63C15849"/>
    <w:rsid w:val="63C61B2C"/>
    <w:rsid w:val="63D40BE9"/>
    <w:rsid w:val="63EB0A27"/>
    <w:rsid w:val="63F65C60"/>
    <w:rsid w:val="63FE4BFE"/>
    <w:rsid w:val="64062C16"/>
    <w:rsid w:val="64076F95"/>
    <w:rsid w:val="64102431"/>
    <w:rsid w:val="641D3428"/>
    <w:rsid w:val="641E1C66"/>
    <w:rsid w:val="643B5307"/>
    <w:rsid w:val="644017A3"/>
    <w:rsid w:val="645760BC"/>
    <w:rsid w:val="64A5243A"/>
    <w:rsid w:val="64D5652D"/>
    <w:rsid w:val="64DB15ED"/>
    <w:rsid w:val="64DF79CD"/>
    <w:rsid w:val="64EA69FC"/>
    <w:rsid w:val="64F531DE"/>
    <w:rsid w:val="64F73AF0"/>
    <w:rsid w:val="65046244"/>
    <w:rsid w:val="650F5402"/>
    <w:rsid w:val="651A176F"/>
    <w:rsid w:val="651B59B9"/>
    <w:rsid w:val="652A1A23"/>
    <w:rsid w:val="652D21C6"/>
    <w:rsid w:val="652E1561"/>
    <w:rsid w:val="65373578"/>
    <w:rsid w:val="6542033B"/>
    <w:rsid w:val="654900FB"/>
    <w:rsid w:val="654F4D73"/>
    <w:rsid w:val="656D75E4"/>
    <w:rsid w:val="656E5DB3"/>
    <w:rsid w:val="657B0E37"/>
    <w:rsid w:val="657E4EFC"/>
    <w:rsid w:val="658953BA"/>
    <w:rsid w:val="658B0713"/>
    <w:rsid w:val="6591137D"/>
    <w:rsid w:val="65A62A35"/>
    <w:rsid w:val="65B61386"/>
    <w:rsid w:val="65BA5E11"/>
    <w:rsid w:val="65DE4CE7"/>
    <w:rsid w:val="65E25E59"/>
    <w:rsid w:val="65F00B4B"/>
    <w:rsid w:val="65F63B19"/>
    <w:rsid w:val="660E3E54"/>
    <w:rsid w:val="66142434"/>
    <w:rsid w:val="66154481"/>
    <w:rsid w:val="661A55F3"/>
    <w:rsid w:val="66264691"/>
    <w:rsid w:val="662D17CA"/>
    <w:rsid w:val="66377F53"/>
    <w:rsid w:val="66636F9A"/>
    <w:rsid w:val="66983060"/>
    <w:rsid w:val="669A53C5"/>
    <w:rsid w:val="669E210A"/>
    <w:rsid w:val="66AE50EE"/>
    <w:rsid w:val="66B4090F"/>
    <w:rsid w:val="66B86059"/>
    <w:rsid w:val="66DD2BCC"/>
    <w:rsid w:val="66E53499"/>
    <w:rsid w:val="670A5668"/>
    <w:rsid w:val="67105685"/>
    <w:rsid w:val="671F124A"/>
    <w:rsid w:val="673677D9"/>
    <w:rsid w:val="676A6D87"/>
    <w:rsid w:val="67734A11"/>
    <w:rsid w:val="677A33C6"/>
    <w:rsid w:val="678F4FCA"/>
    <w:rsid w:val="67947651"/>
    <w:rsid w:val="67A2504C"/>
    <w:rsid w:val="67AC2D98"/>
    <w:rsid w:val="67D53EC8"/>
    <w:rsid w:val="67EC1211"/>
    <w:rsid w:val="680353A1"/>
    <w:rsid w:val="680469E6"/>
    <w:rsid w:val="68097099"/>
    <w:rsid w:val="681F6961"/>
    <w:rsid w:val="68282249"/>
    <w:rsid w:val="68352665"/>
    <w:rsid w:val="6837248C"/>
    <w:rsid w:val="683E5AE7"/>
    <w:rsid w:val="68420BF8"/>
    <w:rsid w:val="6850108B"/>
    <w:rsid w:val="68610A2F"/>
    <w:rsid w:val="686D088C"/>
    <w:rsid w:val="687C34E9"/>
    <w:rsid w:val="68805514"/>
    <w:rsid w:val="689A0C6D"/>
    <w:rsid w:val="68A37FCF"/>
    <w:rsid w:val="68F424EA"/>
    <w:rsid w:val="68FF23F7"/>
    <w:rsid w:val="69316E2F"/>
    <w:rsid w:val="69461416"/>
    <w:rsid w:val="694E2071"/>
    <w:rsid w:val="695A5F7D"/>
    <w:rsid w:val="69673352"/>
    <w:rsid w:val="69766163"/>
    <w:rsid w:val="697A3B33"/>
    <w:rsid w:val="699839AA"/>
    <w:rsid w:val="69993393"/>
    <w:rsid w:val="69A41DA4"/>
    <w:rsid w:val="69AE49D0"/>
    <w:rsid w:val="69CA7330"/>
    <w:rsid w:val="69CE6E20"/>
    <w:rsid w:val="69D2297E"/>
    <w:rsid w:val="69D44760"/>
    <w:rsid w:val="69E023BE"/>
    <w:rsid w:val="6A0B4BDE"/>
    <w:rsid w:val="6A1F58CE"/>
    <w:rsid w:val="6A201819"/>
    <w:rsid w:val="6A2A7006"/>
    <w:rsid w:val="6A303EE9"/>
    <w:rsid w:val="6A4964A7"/>
    <w:rsid w:val="6A520EC7"/>
    <w:rsid w:val="6A5C61DA"/>
    <w:rsid w:val="6A6D03E7"/>
    <w:rsid w:val="6A6D3809"/>
    <w:rsid w:val="6A6E40AE"/>
    <w:rsid w:val="6A7825A4"/>
    <w:rsid w:val="6A7C4ACE"/>
    <w:rsid w:val="6A8F6CF3"/>
    <w:rsid w:val="6A9F29F4"/>
    <w:rsid w:val="6AA01D3A"/>
    <w:rsid w:val="6AA52DF1"/>
    <w:rsid w:val="6AAB2416"/>
    <w:rsid w:val="6AAE652A"/>
    <w:rsid w:val="6AAF4128"/>
    <w:rsid w:val="6AB23B7A"/>
    <w:rsid w:val="6ACC0F9E"/>
    <w:rsid w:val="6AF87E20"/>
    <w:rsid w:val="6B0B6AB2"/>
    <w:rsid w:val="6B2017E9"/>
    <w:rsid w:val="6B30112B"/>
    <w:rsid w:val="6B322639"/>
    <w:rsid w:val="6B3B04E6"/>
    <w:rsid w:val="6B4948E0"/>
    <w:rsid w:val="6B4F5569"/>
    <w:rsid w:val="6B6D77C8"/>
    <w:rsid w:val="6B780F23"/>
    <w:rsid w:val="6B7853B4"/>
    <w:rsid w:val="6B887866"/>
    <w:rsid w:val="6B8B2C17"/>
    <w:rsid w:val="6BAF67DE"/>
    <w:rsid w:val="6BB5247C"/>
    <w:rsid w:val="6BCB3F4E"/>
    <w:rsid w:val="6BD051F2"/>
    <w:rsid w:val="6BEB26CE"/>
    <w:rsid w:val="6C026E25"/>
    <w:rsid w:val="6C1D6797"/>
    <w:rsid w:val="6C213022"/>
    <w:rsid w:val="6C311E7F"/>
    <w:rsid w:val="6C403997"/>
    <w:rsid w:val="6C415DD0"/>
    <w:rsid w:val="6C4C7429"/>
    <w:rsid w:val="6C5F0204"/>
    <w:rsid w:val="6C636C38"/>
    <w:rsid w:val="6C884B18"/>
    <w:rsid w:val="6C8A12ED"/>
    <w:rsid w:val="6C8E79FD"/>
    <w:rsid w:val="6C937EAD"/>
    <w:rsid w:val="6CBD4F2A"/>
    <w:rsid w:val="6CBE13CE"/>
    <w:rsid w:val="6CC62031"/>
    <w:rsid w:val="6CD81D64"/>
    <w:rsid w:val="6CF14017"/>
    <w:rsid w:val="6CF40AE9"/>
    <w:rsid w:val="6D0A63C2"/>
    <w:rsid w:val="6D0B24C8"/>
    <w:rsid w:val="6D0E241F"/>
    <w:rsid w:val="6D24321A"/>
    <w:rsid w:val="6D6E0D4D"/>
    <w:rsid w:val="6DAA70C5"/>
    <w:rsid w:val="6DB16CA3"/>
    <w:rsid w:val="6DB34098"/>
    <w:rsid w:val="6DB545B6"/>
    <w:rsid w:val="6DB56CBE"/>
    <w:rsid w:val="6DB8406F"/>
    <w:rsid w:val="6DBB02BA"/>
    <w:rsid w:val="6DBB7E2A"/>
    <w:rsid w:val="6DC41B07"/>
    <w:rsid w:val="6DD83E67"/>
    <w:rsid w:val="6DE02FB4"/>
    <w:rsid w:val="6DF17581"/>
    <w:rsid w:val="6E027EB1"/>
    <w:rsid w:val="6E0F3FCC"/>
    <w:rsid w:val="6E2371FE"/>
    <w:rsid w:val="6E336B40"/>
    <w:rsid w:val="6E4B45FB"/>
    <w:rsid w:val="6E514CED"/>
    <w:rsid w:val="6E6E74DD"/>
    <w:rsid w:val="6E82642B"/>
    <w:rsid w:val="6EB4012D"/>
    <w:rsid w:val="6EB5334A"/>
    <w:rsid w:val="6EB563D5"/>
    <w:rsid w:val="6ED92677"/>
    <w:rsid w:val="6EDD7B33"/>
    <w:rsid w:val="6EEF7B44"/>
    <w:rsid w:val="6EF81BF3"/>
    <w:rsid w:val="6F005707"/>
    <w:rsid w:val="6F162D10"/>
    <w:rsid w:val="6F225983"/>
    <w:rsid w:val="6F237019"/>
    <w:rsid w:val="6F382A23"/>
    <w:rsid w:val="6F481786"/>
    <w:rsid w:val="6F4B4A6F"/>
    <w:rsid w:val="6F9B1553"/>
    <w:rsid w:val="6FA50623"/>
    <w:rsid w:val="6FB17E90"/>
    <w:rsid w:val="6FEB4920"/>
    <w:rsid w:val="6FFB6495"/>
    <w:rsid w:val="6FFC5590"/>
    <w:rsid w:val="6FFE5F86"/>
    <w:rsid w:val="700B399F"/>
    <w:rsid w:val="70117A67"/>
    <w:rsid w:val="701D51D9"/>
    <w:rsid w:val="70562FDC"/>
    <w:rsid w:val="705B3702"/>
    <w:rsid w:val="705F07D2"/>
    <w:rsid w:val="706A1742"/>
    <w:rsid w:val="706D1DD0"/>
    <w:rsid w:val="70825B20"/>
    <w:rsid w:val="70856B87"/>
    <w:rsid w:val="7095243C"/>
    <w:rsid w:val="70954142"/>
    <w:rsid w:val="709F68D7"/>
    <w:rsid w:val="70A0071F"/>
    <w:rsid w:val="70B86252"/>
    <w:rsid w:val="70D527EE"/>
    <w:rsid w:val="70E94540"/>
    <w:rsid w:val="70ED4623"/>
    <w:rsid w:val="70FD084D"/>
    <w:rsid w:val="7100580D"/>
    <w:rsid w:val="7113780F"/>
    <w:rsid w:val="71327C95"/>
    <w:rsid w:val="713E0CA4"/>
    <w:rsid w:val="715B5300"/>
    <w:rsid w:val="71712A8F"/>
    <w:rsid w:val="718C67DA"/>
    <w:rsid w:val="719B3E10"/>
    <w:rsid w:val="71A74D85"/>
    <w:rsid w:val="71B82B43"/>
    <w:rsid w:val="71D27F8A"/>
    <w:rsid w:val="71EA5A91"/>
    <w:rsid w:val="720E1F6E"/>
    <w:rsid w:val="721C45D7"/>
    <w:rsid w:val="722872EA"/>
    <w:rsid w:val="72553024"/>
    <w:rsid w:val="725C5C51"/>
    <w:rsid w:val="725E0F7F"/>
    <w:rsid w:val="726A23E1"/>
    <w:rsid w:val="726F4CE2"/>
    <w:rsid w:val="727A26FB"/>
    <w:rsid w:val="728D23E3"/>
    <w:rsid w:val="72A526E9"/>
    <w:rsid w:val="72A80FF8"/>
    <w:rsid w:val="72C57C63"/>
    <w:rsid w:val="72D0593C"/>
    <w:rsid w:val="72D42A0E"/>
    <w:rsid w:val="73043062"/>
    <w:rsid w:val="73122968"/>
    <w:rsid w:val="731F5D5E"/>
    <w:rsid w:val="73223D39"/>
    <w:rsid w:val="732421BA"/>
    <w:rsid w:val="73257D5E"/>
    <w:rsid w:val="73291578"/>
    <w:rsid w:val="732E26DE"/>
    <w:rsid w:val="73303A8A"/>
    <w:rsid w:val="7338421E"/>
    <w:rsid w:val="735040A0"/>
    <w:rsid w:val="73505624"/>
    <w:rsid w:val="736856FA"/>
    <w:rsid w:val="736A0201"/>
    <w:rsid w:val="73871CF7"/>
    <w:rsid w:val="73A37E68"/>
    <w:rsid w:val="73B52533"/>
    <w:rsid w:val="73B95146"/>
    <w:rsid w:val="73BF3D9C"/>
    <w:rsid w:val="73C33A1D"/>
    <w:rsid w:val="73C51AD5"/>
    <w:rsid w:val="73D81A1C"/>
    <w:rsid w:val="73DC71C0"/>
    <w:rsid w:val="73E31DBC"/>
    <w:rsid w:val="73E57241"/>
    <w:rsid w:val="73F34071"/>
    <w:rsid w:val="7414289F"/>
    <w:rsid w:val="74147B26"/>
    <w:rsid w:val="741E793C"/>
    <w:rsid w:val="7432013C"/>
    <w:rsid w:val="743B6911"/>
    <w:rsid w:val="74520036"/>
    <w:rsid w:val="74551295"/>
    <w:rsid w:val="745E3944"/>
    <w:rsid w:val="74654825"/>
    <w:rsid w:val="749635CD"/>
    <w:rsid w:val="74A07232"/>
    <w:rsid w:val="74AC7D31"/>
    <w:rsid w:val="74B14E72"/>
    <w:rsid w:val="74BB2697"/>
    <w:rsid w:val="74BE7B14"/>
    <w:rsid w:val="74CC21AE"/>
    <w:rsid w:val="74D15FD7"/>
    <w:rsid w:val="74F05B1C"/>
    <w:rsid w:val="7522718B"/>
    <w:rsid w:val="7544268D"/>
    <w:rsid w:val="754B3A1B"/>
    <w:rsid w:val="756B50C4"/>
    <w:rsid w:val="757440C0"/>
    <w:rsid w:val="75775307"/>
    <w:rsid w:val="757C1E26"/>
    <w:rsid w:val="75A82C1C"/>
    <w:rsid w:val="75AB44BA"/>
    <w:rsid w:val="75B31DA8"/>
    <w:rsid w:val="75D2563B"/>
    <w:rsid w:val="75D7291E"/>
    <w:rsid w:val="760836BA"/>
    <w:rsid w:val="76085468"/>
    <w:rsid w:val="760A0220"/>
    <w:rsid w:val="760A5EDA"/>
    <w:rsid w:val="76194DD0"/>
    <w:rsid w:val="761F5057"/>
    <w:rsid w:val="76341D28"/>
    <w:rsid w:val="7635099D"/>
    <w:rsid w:val="76852F5D"/>
    <w:rsid w:val="76876CD5"/>
    <w:rsid w:val="76986F5D"/>
    <w:rsid w:val="76A038F3"/>
    <w:rsid w:val="76B178AE"/>
    <w:rsid w:val="76B455F0"/>
    <w:rsid w:val="76E322BD"/>
    <w:rsid w:val="76E647A6"/>
    <w:rsid w:val="77550B81"/>
    <w:rsid w:val="777616D4"/>
    <w:rsid w:val="77762421"/>
    <w:rsid w:val="779427CE"/>
    <w:rsid w:val="779C71D0"/>
    <w:rsid w:val="77A707F8"/>
    <w:rsid w:val="77B56B1F"/>
    <w:rsid w:val="77C27899"/>
    <w:rsid w:val="77C3296D"/>
    <w:rsid w:val="77C61F48"/>
    <w:rsid w:val="77CB4ADD"/>
    <w:rsid w:val="77DE6E62"/>
    <w:rsid w:val="77E81F36"/>
    <w:rsid w:val="78063C29"/>
    <w:rsid w:val="780F09F4"/>
    <w:rsid w:val="78280D9B"/>
    <w:rsid w:val="783768A5"/>
    <w:rsid w:val="783E407E"/>
    <w:rsid w:val="78482494"/>
    <w:rsid w:val="78672FE7"/>
    <w:rsid w:val="787657BA"/>
    <w:rsid w:val="787813BE"/>
    <w:rsid w:val="78940F88"/>
    <w:rsid w:val="789F3A95"/>
    <w:rsid w:val="78A90480"/>
    <w:rsid w:val="78B332CB"/>
    <w:rsid w:val="78BF3552"/>
    <w:rsid w:val="78EA2BC0"/>
    <w:rsid w:val="78F737F9"/>
    <w:rsid w:val="790762D7"/>
    <w:rsid w:val="790A6052"/>
    <w:rsid w:val="79106E1D"/>
    <w:rsid w:val="792516EE"/>
    <w:rsid w:val="79251EF9"/>
    <w:rsid w:val="792757DB"/>
    <w:rsid w:val="79375B18"/>
    <w:rsid w:val="795C2FA8"/>
    <w:rsid w:val="79650A09"/>
    <w:rsid w:val="796B01E8"/>
    <w:rsid w:val="799B277B"/>
    <w:rsid w:val="79B17BC5"/>
    <w:rsid w:val="79BF2676"/>
    <w:rsid w:val="79C31852"/>
    <w:rsid w:val="79C3399F"/>
    <w:rsid w:val="79D202CA"/>
    <w:rsid w:val="79DF0BD6"/>
    <w:rsid w:val="79E166FC"/>
    <w:rsid w:val="79FB1CD8"/>
    <w:rsid w:val="7A0F2CE0"/>
    <w:rsid w:val="7A13046E"/>
    <w:rsid w:val="7A15284A"/>
    <w:rsid w:val="7A2465E9"/>
    <w:rsid w:val="7A364017"/>
    <w:rsid w:val="7A4325AC"/>
    <w:rsid w:val="7A456C8B"/>
    <w:rsid w:val="7A590C90"/>
    <w:rsid w:val="7A5A7FEE"/>
    <w:rsid w:val="7A5B7758"/>
    <w:rsid w:val="7A6D61E2"/>
    <w:rsid w:val="7A7D464E"/>
    <w:rsid w:val="7A7E38AB"/>
    <w:rsid w:val="7A8265E1"/>
    <w:rsid w:val="7A996FD7"/>
    <w:rsid w:val="7ACD16AF"/>
    <w:rsid w:val="7AE364A4"/>
    <w:rsid w:val="7AF63020"/>
    <w:rsid w:val="7B0459B3"/>
    <w:rsid w:val="7B0C59FB"/>
    <w:rsid w:val="7B100CCA"/>
    <w:rsid w:val="7B4D510C"/>
    <w:rsid w:val="7B4D7AC5"/>
    <w:rsid w:val="7B5360C7"/>
    <w:rsid w:val="7B6475E5"/>
    <w:rsid w:val="7B666E99"/>
    <w:rsid w:val="7B686D42"/>
    <w:rsid w:val="7B6969A9"/>
    <w:rsid w:val="7B803CF3"/>
    <w:rsid w:val="7B80673B"/>
    <w:rsid w:val="7B82677F"/>
    <w:rsid w:val="7B841746"/>
    <w:rsid w:val="7B8C53FB"/>
    <w:rsid w:val="7B9C1B1E"/>
    <w:rsid w:val="7BA83B0E"/>
    <w:rsid w:val="7BA8432F"/>
    <w:rsid w:val="7BAA541B"/>
    <w:rsid w:val="7BBB4D2B"/>
    <w:rsid w:val="7BC21A69"/>
    <w:rsid w:val="7BE40725"/>
    <w:rsid w:val="7BF95BF8"/>
    <w:rsid w:val="7BFD27E5"/>
    <w:rsid w:val="7C1B6B83"/>
    <w:rsid w:val="7C1D0C27"/>
    <w:rsid w:val="7C324FED"/>
    <w:rsid w:val="7C520521"/>
    <w:rsid w:val="7C54645D"/>
    <w:rsid w:val="7C581DCE"/>
    <w:rsid w:val="7C5F2DE0"/>
    <w:rsid w:val="7C6C5AC7"/>
    <w:rsid w:val="7C7B2E2C"/>
    <w:rsid w:val="7C9A7858"/>
    <w:rsid w:val="7CA35089"/>
    <w:rsid w:val="7CB81A45"/>
    <w:rsid w:val="7CBA4FE2"/>
    <w:rsid w:val="7CC6544B"/>
    <w:rsid w:val="7CDC41C9"/>
    <w:rsid w:val="7CF07311"/>
    <w:rsid w:val="7D0239FF"/>
    <w:rsid w:val="7D0D560D"/>
    <w:rsid w:val="7D141C57"/>
    <w:rsid w:val="7D2525DD"/>
    <w:rsid w:val="7D315628"/>
    <w:rsid w:val="7D5E40CD"/>
    <w:rsid w:val="7D695E71"/>
    <w:rsid w:val="7D774FB5"/>
    <w:rsid w:val="7DCD56F2"/>
    <w:rsid w:val="7DCE2C25"/>
    <w:rsid w:val="7DCE6497"/>
    <w:rsid w:val="7DD07331"/>
    <w:rsid w:val="7DFD06C7"/>
    <w:rsid w:val="7E01736D"/>
    <w:rsid w:val="7E3037AE"/>
    <w:rsid w:val="7E623805"/>
    <w:rsid w:val="7E84741F"/>
    <w:rsid w:val="7E90249F"/>
    <w:rsid w:val="7EA146AC"/>
    <w:rsid w:val="7EB27336"/>
    <w:rsid w:val="7EDB02B2"/>
    <w:rsid w:val="7EDD0B30"/>
    <w:rsid w:val="7EE12401"/>
    <w:rsid w:val="7EE55D0E"/>
    <w:rsid w:val="7EE70DCB"/>
    <w:rsid w:val="7EFD3C44"/>
    <w:rsid w:val="7F001CE7"/>
    <w:rsid w:val="7F0664BE"/>
    <w:rsid w:val="7F091E4C"/>
    <w:rsid w:val="7F17671C"/>
    <w:rsid w:val="7F1F1200"/>
    <w:rsid w:val="7F3E2F43"/>
    <w:rsid w:val="7F453289"/>
    <w:rsid w:val="7F482D79"/>
    <w:rsid w:val="7F567244"/>
    <w:rsid w:val="7F8D2B5B"/>
    <w:rsid w:val="7F991773"/>
    <w:rsid w:val="7F995383"/>
    <w:rsid w:val="7F9B6E85"/>
    <w:rsid w:val="7F9F508F"/>
    <w:rsid w:val="7FA16186"/>
    <w:rsid w:val="7FAD3314"/>
    <w:rsid w:val="7FB77513"/>
    <w:rsid w:val="7FC40652"/>
    <w:rsid w:val="7FE47E50"/>
    <w:rsid w:val="7FE655ED"/>
    <w:rsid w:val="7FF622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qFormat="1" w:uiPriority="99"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99"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7"/>
    <w:qFormat/>
    <w:locked/>
    <w:uiPriority w:val="0"/>
    <w:pPr>
      <w:keepNext/>
      <w:keepLines/>
      <w:spacing w:beforeLines="50" w:line="360" w:lineRule="auto"/>
      <w:outlineLvl w:val="1"/>
    </w:pPr>
    <w:rPr>
      <w:rFonts w:eastAsia="黑体"/>
      <w:b/>
      <w:sz w:val="28"/>
      <w:szCs w:val="20"/>
    </w:rPr>
  </w:style>
  <w:style w:type="paragraph" w:styleId="4">
    <w:name w:val="heading 3"/>
    <w:basedOn w:val="1"/>
    <w:next w:val="1"/>
    <w:link w:val="58"/>
    <w:qFormat/>
    <w:locked/>
    <w:uiPriority w:val="0"/>
    <w:pPr>
      <w:keepNext/>
      <w:keepLines/>
      <w:autoSpaceDE w:val="0"/>
      <w:autoSpaceDN w:val="0"/>
      <w:adjustRightInd w:val="0"/>
      <w:spacing w:before="20" w:after="20" w:line="540" w:lineRule="exact"/>
      <w:textAlignment w:val="baseline"/>
      <w:outlineLvl w:val="2"/>
    </w:pPr>
    <w:rPr>
      <w:rFonts w:eastAsia="黑体"/>
      <w:kern w:val="0"/>
      <w:sz w:val="28"/>
      <w:szCs w:val="20"/>
    </w:rPr>
  </w:style>
  <w:style w:type="paragraph" w:styleId="5">
    <w:name w:val="heading 4"/>
    <w:basedOn w:val="1"/>
    <w:next w:val="1"/>
    <w:qFormat/>
    <w:locked/>
    <w:uiPriority w:val="9"/>
    <w:pPr>
      <w:widowControl/>
      <w:spacing w:line="360" w:lineRule="auto"/>
      <w:ind w:firstLine="482" w:firstLineChars="200"/>
      <w:jc w:val="left"/>
      <w:outlineLvl w:val="3"/>
    </w:pPr>
    <w:rPr>
      <w:rFonts w:ascii="宋体" w:hAnsi="宋体" w:cs="宋体"/>
      <w:b/>
      <w:bCs/>
      <w:kern w:val="0"/>
      <w:sz w:val="24"/>
    </w:rPr>
  </w:style>
  <w:style w:type="character" w:default="1" w:styleId="41">
    <w:name w:val="Default Paragraph Font"/>
    <w:semiHidden/>
    <w:qFormat/>
    <w:uiPriority w:val="0"/>
  </w:style>
  <w:style w:type="table" w:default="1" w:styleId="39">
    <w:name w:val="Normal Table"/>
    <w:semiHidden/>
    <w:qFormat/>
    <w:uiPriority w:val="0"/>
    <w:tblPr>
      <w:tblLayout w:type="fixed"/>
      <w:tblCellMar>
        <w:top w:w="0" w:type="dxa"/>
        <w:left w:w="108" w:type="dxa"/>
        <w:bottom w:w="0" w:type="dxa"/>
        <w:right w:w="108" w:type="dxa"/>
      </w:tblCellMar>
    </w:tblPr>
  </w:style>
  <w:style w:type="paragraph" w:styleId="6">
    <w:name w:val="Normal Indent"/>
    <w:basedOn w:val="1"/>
    <w:next w:val="7"/>
    <w:link w:val="59"/>
    <w:qFormat/>
    <w:locked/>
    <w:uiPriority w:val="0"/>
    <w:pPr>
      <w:ind w:firstLine="420"/>
    </w:pPr>
    <w:rPr>
      <w:szCs w:val="20"/>
    </w:rPr>
  </w:style>
  <w:style w:type="paragraph" w:customStyle="1" w:styleId="7">
    <w:name w:val="Body Text 22"/>
    <w:basedOn w:val="1"/>
    <w:qFormat/>
    <w:uiPriority w:val="0"/>
    <w:pPr>
      <w:widowControl/>
      <w:adjustRightInd w:val="0"/>
      <w:spacing w:line="440" w:lineRule="atLeast"/>
      <w:ind w:firstLine="480"/>
      <w:jc w:val="left"/>
      <w:textAlignment w:val="baseline"/>
    </w:pPr>
    <w:rPr>
      <w:rFonts w:ascii="仿宋_GB2312" w:hAnsi="仿宋_GB2312" w:eastAsia="ˎ̥" w:cs="仿宋_GB2312"/>
      <w:sz w:val="24"/>
      <w:szCs w:val="20"/>
    </w:rPr>
  </w:style>
  <w:style w:type="paragraph" w:styleId="8">
    <w:name w:val="caption"/>
    <w:basedOn w:val="1"/>
    <w:next w:val="1"/>
    <w:qFormat/>
    <w:locked/>
    <w:uiPriority w:val="0"/>
    <w:pPr>
      <w:widowControl/>
      <w:autoSpaceDE w:val="0"/>
      <w:autoSpaceDN w:val="0"/>
      <w:jc w:val="center"/>
    </w:pPr>
    <w:rPr>
      <w:b/>
      <w:bCs/>
      <w:szCs w:val="20"/>
    </w:rPr>
  </w:style>
  <w:style w:type="paragraph" w:styleId="9">
    <w:name w:val="Document Map"/>
    <w:basedOn w:val="1"/>
    <w:link w:val="60"/>
    <w:qFormat/>
    <w:locked/>
    <w:uiPriority w:val="0"/>
    <w:pPr>
      <w:shd w:val="clear" w:color="auto" w:fill="000080"/>
    </w:pPr>
    <w:rPr>
      <w:szCs w:val="20"/>
    </w:rPr>
  </w:style>
  <w:style w:type="paragraph" w:styleId="10">
    <w:name w:val="toa heading"/>
    <w:basedOn w:val="1"/>
    <w:next w:val="1"/>
    <w:unhideWhenUsed/>
    <w:qFormat/>
    <w:locked/>
    <w:uiPriority w:val="99"/>
    <w:pPr>
      <w:spacing w:before="120" w:line="360" w:lineRule="auto"/>
    </w:pPr>
    <w:rPr>
      <w:rFonts w:ascii="Arial" w:hAnsi="Arial" w:cs="Arial"/>
      <w:kern w:val="0"/>
      <w:sz w:val="24"/>
      <w:szCs w:val="20"/>
    </w:rPr>
  </w:style>
  <w:style w:type="paragraph" w:styleId="11">
    <w:name w:val="annotation text"/>
    <w:basedOn w:val="1"/>
    <w:link w:val="61"/>
    <w:qFormat/>
    <w:uiPriority w:val="0"/>
    <w:pPr>
      <w:jc w:val="left"/>
    </w:pPr>
    <w:rPr>
      <w:kern w:val="0"/>
      <w:sz w:val="24"/>
      <w:szCs w:val="20"/>
    </w:rPr>
  </w:style>
  <w:style w:type="paragraph" w:styleId="12">
    <w:name w:val="Body Text 3"/>
    <w:basedOn w:val="1"/>
    <w:link w:val="62"/>
    <w:qFormat/>
    <w:locked/>
    <w:uiPriority w:val="0"/>
    <w:pPr>
      <w:spacing w:after="120"/>
    </w:pPr>
    <w:rPr>
      <w:sz w:val="16"/>
      <w:szCs w:val="16"/>
    </w:rPr>
  </w:style>
  <w:style w:type="paragraph" w:styleId="13">
    <w:name w:val="Body Text"/>
    <w:basedOn w:val="1"/>
    <w:link w:val="63"/>
    <w:qFormat/>
    <w:uiPriority w:val="0"/>
    <w:pPr>
      <w:widowControl/>
      <w:snapToGrid w:val="0"/>
      <w:spacing w:before="60" w:after="160" w:line="259" w:lineRule="auto"/>
      <w:ind w:right="113"/>
    </w:pPr>
    <w:rPr>
      <w:kern w:val="0"/>
      <w:sz w:val="18"/>
      <w:szCs w:val="20"/>
    </w:rPr>
  </w:style>
  <w:style w:type="paragraph" w:styleId="14">
    <w:name w:val="Body Text Indent"/>
    <w:basedOn w:val="1"/>
    <w:link w:val="64"/>
    <w:qFormat/>
    <w:uiPriority w:val="0"/>
    <w:pPr>
      <w:spacing w:after="120"/>
      <w:ind w:left="420" w:leftChars="200"/>
    </w:pPr>
    <w:rPr>
      <w:kern w:val="0"/>
      <w:sz w:val="24"/>
      <w:szCs w:val="20"/>
    </w:rPr>
  </w:style>
  <w:style w:type="paragraph" w:styleId="15">
    <w:name w:val="Block Text"/>
    <w:basedOn w:val="1"/>
    <w:qFormat/>
    <w:locked/>
    <w:uiPriority w:val="0"/>
    <w:pPr>
      <w:adjustRightInd w:val="0"/>
      <w:snapToGrid w:val="0"/>
      <w:spacing w:line="440" w:lineRule="exact"/>
      <w:ind w:left="140" w:right="118" w:firstLine="560"/>
    </w:pPr>
    <w:rPr>
      <w:rFonts w:ascii="宋体"/>
      <w:color w:val="0000FF"/>
      <w:sz w:val="27"/>
      <w:szCs w:val="27"/>
    </w:rPr>
  </w:style>
  <w:style w:type="paragraph" w:styleId="16">
    <w:name w:val="HTML Address"/>
    <w:basedOn w:val="1"/>
    <w:link w:val="66"/>
    <w:qFormat/>
    <w:locked/>
    <w:uiPriority w:val="0"/>
    <w:rPr>
      <w:i/>
      <w:szCs w:val="20"/>
    </w:rPr>
  </w:style>
  <w:style w:type="paragraph" w:styleId="17">
    <w:name w:val="toc 3"/>
    <w:basedOn w:val="1"/>
    <w:next w:val="1"/>
    <w:qFormat/>
    <w:locked/>
    <w:uiPriority w:val="0"/>
    <w:pPr>
      <w:spacing w:line="360" w:lineRule="auto"/>
    </w:pPr>
    <w:rPr>
      <w:b/>
      <w:kern w:val="0"/>
      <w:sz w:val="24"/>
      <w:szCs w:val="20"/>
    </w:rPr>
  </w:style>
  <w:style w:type="paragraph" w:styleId="18">
    <w:name w:val="Plain Text"/>
    <w:basedOn w:val="1"/>
    <w:link w:val="67"/>
    <w:qFormat/>
    <w:locked/>
    <w:uiPriority w:val="0"/>
    <w:rPr>
      <w:rFonts w:ascii="宋体" w:hAnsi="Courier New"/>
      <w:sz w:val="28"/>
      <w:szCs w:val="21"/>
    </w:rPr>
  </w:style>
  <w:style w:type="paragraph" w:styleId="19">
    <w:name w:val="List Bullet 5"/>
    <w:basedOn w:val="1"/>
    <w:qFormat/>
    <w:locked/>
    <w:uiPriority w:val="0"/>
    <w:pPr>
      <w:numPr>
        <w:ilvl w:val="0"/>
        <w:numId w:val="1"/>
      </w:numPr>
    </w:pPr>
  </w:style>
  <w:style w:type="paragraph" w:styleId="20">
    <w:name w:val="Date"/>
    <w:basedOn w:val="1"/>
    <w:next w:val="1"/>
    <w:link w:val="68"/>
    <w:qFormat/>
    <w:uiPriority w:val="0"/>
    <w:pPr>
      <w:ind w:left="100" w:leftChars="2500"/>
    </w:pPr>
    <w:rPr>
      <w:kern w:val="0"/>
      <w:sz w:val="24"/>
      <w:szCs w:val="20"/>
    </w:rPr>
  </w:style>
  <w:style w:type="paragraph" w:styleId="21">
    <w:name w:val="Body Text Indent 2"/>
    <w:basedOn w:val="1"/>
    <w:link w:val="56"/>
    <w:qFormat/>
    <w:locked/>
    <w:uiPriority w:val="0"/>
    <w:pPr>
      <w:tabs>
        <w:tab w:val="left" w:pos="3300"/>
      </w:tabs>
      <w:spacing w:line="360" w:lineRule="auto"/>
      <w:ind w:firstLine="480" w:firstLineChars="200"/>
    </w:pPr>
    <w:rPr>
      <w:rFonts w:ascii="宋体" w:hAnsi="宋体"/>
      <w:sz w:val="24"/>
    </w:rPr>
  </w:style>
  <w:style w:type="paragraph" w:styleId="22">
    <w:name w:val="Balloon Text"/>
    <w:basedOn w:val="1"/>
    <w:link w:val="69"/>
    <w:qFormat/>
    <w:uiPriority w:val="0"/>
    <w:rPr>
      <w:kern w:val="0"/>
      <w:sz w:val="18"/>
      <w:szCs w:val="20"/>
    </w:rPr>
  </w:style>
  <w:style w:type="paragraph" w:styleId="23">
    <w:name w:val="footer"/>
    <w:basedOn w:val="1"/>
    <w:link w:val="70"/>
    <w:qFormat/>
    <w:uiPriority w:val="99"/>
    <w:pPr>
      <w:tabs>
        <w:tab w:val="center" w:pos="4153"/>
        <w:tab w:val="right" w:pos="8306"/>
      </w:tabs>
      <w:snapToGrid w:val="0"/>
      <w:jc w:val="left"/>
    </w:pPr>
    <w:rPr>
      <w:kern w:val="0"/>
      <w:sz w:val="18"/>
      <w:szCs w:val="20"/>
    </w:rPr>
  </w:style>
  <w:style w:type="paragraph" w:styleId="24">
    <w:name w:val="header"/>
    <w:basedOn w:val="1"/>
    <w:next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qFormat/>
    <w:locked/>
    <w:uiPriority w:val="0"/>
    <w:rPr>
      <w:szCs w:val="20"/>
    </w:rPr>
  </w:style>
  <w:style w:type="paragraph" w:styleId="26">
    <w:name w:val="index heading"/>
    <w:basedOn w:val="1"/>
    <w:next w:val="27"/>
    <w:unhideWhenUsed/>
    <w:qFormat/>
    <w:locked/>
    <w:uiPriority w:val="99"/>
    <w:rPr>
      <w:rFonts w:ascii="Arial" w:hAnsi="Arial" w:cs="Arial"/>
      <w:b/>
      <w:bCs/>
    </w:rPr>
  </w:style>
  <w:style w:type="paragraph" w:styleId="27">
    <w:name w:val="index 1"/>
    <w:basedOn w:val="1"/>
    <w:next w:val="1"/>
    <w:unhideWhenUsed/>
    <w:qFormat/>
    <w:locked/>
    <w:uiPriority w:val="99"/>
    <w:pPr>
      <w:tabs>
        <w:tab w:val="left" w:pos="5580"/>
      </w:tabs>
      <w:spacing w:line="280" w:lineRule="exact"/>
    </w:pPr>
    <w:rPr>
      <w:rFonts w:ascii="宋体" w:hAnsi="宋体"/>
      <w:spacing w:val="10"/>
    </w:rPr>
  </w:style>
  <w:style w:type="paragraph" w:styleId="28">
    <w:name w:val="Subtitle"/>
    <w:basedOn w:val="1"/>
    <w:next w:val="1"/>
    <w:link w:val="71"/>
    <w:qFormat/>
    <w:locked/>
    <w:uiPriority w:val="99"/>
    <w:pPr>
      <w:spacing w:after="1000"/>
    </w:pPr>
    <w:rPr>
      <w:caps/>
      <w:color w:val="595959"/>
      <w:spacing w:val="10"/>
      <w:sz w:val="24"/>
    </w:rPr>
  </w:style>
  <w:style w:type="paragraph" w:styleId="29">
    <w:name w:val="List"/>
    <w:basedOn w:val="1"/>
    <w:link w:val="72"/>
    <w:qFormat/>
    <w:locked/>
    <w:uiPriority w:val="0"/>
    <w:pPr>
      <w:ind w:left="200" w:hanging="200" w:hangingChars="200"/>
    </w:pPr>
    <w:rPr>
      <w:szCs w:val="20"/>
    </w:rPr>
  </w:style>
  <w:style w:type="paragraph" w:styleId="30">
    <w:name w:val="Body Text Indent 3"/>
    <w:basedOn w:val="1"/>
    <w:link w:val="73"/>
    <w:qFormat/>
    <w:locked/>
    <w:uiPriority w:val="0"/>
    <w:pPr>
      <w:spacing w:after="120"/>
      <w:ind w:left="420" w:leftChars="200"/>
    </w:pPr>
    <w:rPr>
      <w:sz w:val="16"/>
      <w:szCs w:val="16"/>
    </w:rPr>
  </w:style>
  <w:style w:type="paragraph" w:styleId="31">
    <w:name w:val="toc 2"/>
    <w:basedOn w:val="1"/>
    <w:next w:val="1"/>
    <w:semiHidden/>
    <w:qFormat/>
    <w:locked/>
    <w:uiPriority w:val="0"/>
    <w:pPr>
      <w:ind w:left="420" w:leftChars="200"/>
    </w:pPr>
  </w:style>
  <w:style w:type="paragraph" w:styleId="32">
    <w:name w:val="List 4"/>
    <w:basedOn w:val="1"/>
    <w:unhideWhenUsed/>
    <w:qFormat/>
    <w:locked/>
    <w:uiPriority w:val="99"/>
    <w:pPr>
      <w:ind w:left="100" w:leftChars="600" w:hanging="200" w:hangingChars="200"/>
      <w:contextualSpacing/>
    </w:pPr>
    <w:rPr>
      <w:szCs w:val="20"/>
    </w:rPr>
  </w:style>
  <w:style w:type="paragraph" w:styleId="33">
    <w:name w:val="HTML Preformatted"/>
    <w:basedOn w:val="1"/>
    <w:link w:val="74"/>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link w:val="75"/>
    <w:qFormat/>
    <w:uiPriority w:val="0"/>
    <w:pPr>
      <w:widowControl/>
      <w:spacing w:before="100" w:beforeAutospacing="1" w:after="100" w:afterAutospacing="1"/>
      <w:jc w:val="left"/>
    </w:pPr>
    <w:rPr>
      <w:rFonts w:ascii="宋体" w:hAnsi="宋体"/>
      <w:kern w:val="0"/>
      <w:sz w:val="24"/>
      <w:szCs w:val="20"/>
    </w:rPr>
  </w:style>
  <w:style w:type="paragraph" w:styleId="35">
    <w:name w:val="Title"/>
    <w:basedOn w:val="1"/>
    <w:next w:val="1"/>
    <w:link w:val="76"/>
    <w:qFormat/>
    <w:locked/>
    <w:uiPriority w:val="0"/>
    <w:pPr>
      <w:spacing w:before="240" w:after="60"/>
      <w:jc w:val="center"/>
      <w:outlineLvl w:val="0"/>
    </w:pPr>
    <w:rPr>
      <w:rFonts w:ascii="Cambria" w:hAnsi="Cambria"/>
      <w:b/>
      <w:bCs/>
      <w:sz w:val="32"/>
      <w:szCs w:val="32"/>
    </w:rPr>
  </w:style>
  <w:style w:type="paragraph" w:styleId="36">
    <w:name w:val="annotation subject"/>
    <w:basedOn w:val="11"/>
    <w:next w:val="11"/>
    <w:link w:val="77"/>
    <w:qFormat/>
    <w:uiPriority w:val="0"/>
    <w:rPr>
      <w:b/>
      <w:kern w:val="2"/>
    </w:rPr>
  </w:style>
  <w:style w:type="paragraph" w:styleId="37">
    <w:name w:val="Body Text First Indent"/>
    <w:basedOn w:val="13"/>
    <w:link w:val="78"/>
    <w:qFormat/>
    <w:locked/>
    <w:uiPriority w:val="0"/>
    <w:pPr>
      <w:widowControl w:val="0"/>
      <w:snapToGrid/>
      <w:spacing w:before="0" w:after="120" w:line="240" w:lineRule="auto"/>
      <w:ind w:right="0" w:firstLine="420" w:firstLineChars="100"/>
    </w:pPr>
    <w:rPr>
      <w:kern w:val="2"/>
      <w:sz w:val="21"/>
    </w:rPr>
  </w:style>
  <w:style w:type="paragraph" w:styleId="38">
    <w:name w:val="Body Text First Indent 2"/>
    <w:basedOn w:val="14"/>
    <w:link w:val="79"/>
    <w:qFormat/>
    <w:locked/>
    <w:uiPriority w:val="0"/>
    <w:pPr>
      <w:ind w:firstLine="420" w:firstLineChars="200"/>
    </w:pPr>
    <w:rPr>
      <w:szCs w:val="24"/>
    </w:rPr>
  </w:style>
  <w:style w:type="table" w:styleId="40">
    <w:name w:val="Table Grid"/>
    <w:basedOn w:val="39"/>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2">
    <w:name w:val="Strong"/>
    <w:qFormat/>
    <w:locked/>
    <w:uiPriority w:val="0"/>
    <w:rPr>
      <w:b/>
      <w:bCs/>
    </w:rPr>
  </w:style>
  <w:style w:type="character" w:styleId="43">
    <w:name w:val="page number"/>
    <w:qFormat/>
    <w:locked/>
    <w:uiPriority w:val="0"/>
  </w:style>
  <w:style w:type="character" w:styleId="44">
    <w:name w:val="FollowedHyperlink"/>
    <w:qFormat/>
    <w:locked/>
    <w:uiPriority w:val="0"/>
    <w:rPr>
      <w:color w:val="5E636C"/>
      <w:u w:val="none"/>
    </w:rPr>
  </w:style>
  <w:style w:type="character" w:styleId="45">
    <w:name w:val="Emphasis"/>
    <w:qFormat/>
    <w:locked/>
    <w:uiPriority w:val="0"/>
  </w:style>
  <w:style w:type="character" w:styleId="46">
    <w:name w:val="HTML Definition"/>
    <w:basedOn w:val="41"/>
    <w:qFormat/>
    <w:locked/>
    <w:uiPriority w:val="0"/>
  </w:style>
  <w:style w:type="character" w:styleId="47">
    <w:name w:val="HTML Variable"/>
    <w:basedOn w:val="41"/>
    <w:qFormat/>
    <w:locked/>
    <w:uiPriority w:val="0"/>
  </w:style>
  <w:style w:type="character" w:styleId="48">
    <w:name w:val="Hyperlink"/>
    <w:qFormat/>
    <w:locked/>
    <w:uiPriority w:val="0"/>
    <w:rPr>
      <w:color w:val="5E636C"/>
      <w:u w:val="none"/>
    </w:rPr>
  </w:style>
  <w:style w:type="character" w:styleId="49">
    <w:name w:val="HTML Code"/>
    <w:basedOn w:val="41"/>
    <w:qFormat/>
    <w:locked/>
    <w:uiPriority w:val="0"/>
    <w:rPr>
      <w:rFonts w:ascii="Courier New" w:hAnsi="Courier New"/>
      <w:sz w:val="20"/>
    </w:rPr>
  </w:style>
  <w:style w:type="character" w:styleId="50">
    <w:name w:val="annotation reference"/>
    <w:basedOn w:val="41"/>
    <w:qFormat/>
    <w:uiPriority w:val="0"/>
    <w:rPr>
      <w:sz w:val="21"/>
    </w:rPr>
  </w:style>
  <w:style w:type="character" w:styleId="51">
    <w:name w:val="HTML Cite"/>
    <w:basedOn w:val="41"/>
    <w:qFormat/>
    <w:locked/>
    <w:uiPriority w:val="0"/>
  </w:style>
  <w:style w:type="paragraph" w:customStyle="1" w:styleId="52">
    <w:name w:val="彩色网格1"/>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53">
    <w:name w:val="样式5"/>
    <w:basedOn w:val="54"/>
    <w:qFormat/>
    <w:uiPriority w:val="0"/>
    <w:pPr>
      <w:tabs>
        <w:tab w:val="left" w:pos="360"/>
        <w:tab w:val="left" w:pos="851"/>
        <w:tab w:val="left" w:pos="1080"/>
        <w:tab w:val="left" w:pos="1222"/>
      </w:tabs>
      <w:spacing w:line="360" w:lineRule="auto"/>
      <w:ind w:firstLine="0" w:firstLineChars="0"/>
    </w:pPr>
    <w:rPr>
      <w:rFonts w:ascii="楷体_GB2312" w:hAnsi="楷体" w:eastAsia="黑体"/>
      <w:color w:val="auto"/>
      <w:kern w:val="2"/>
      <w:sz w:val="28"/>
      <w:szCs w:val="28"/>
    </w:rPr>
  </w:style>
  <w:style w:type="paragraph" w:customStyle="1" w:styleId="54">
    <w:name w:val="样式3"/>
    <w:basedOn w:val="55"/>
    <w:qFormat/>
    <w:uiPriority w:val="0"/>
    <w:pPr>
      <w:spacing w:line="240" w:lineRule="exact"/>
      <w:ind w:right="248" w:rightChars="118"/>
      <w:jc w:val="left"/>
    </w:pPr>
    <w:rPr>
      <w:rFonts w:ascii="宋体" w:hAnsi="宋体" w:eastAsia="宋体" w:cs="宋体"/>
      <w:bCs/>
      <w:color w:val="000000"/>
      <w:szCs w:val="18"/>
    </w:rPr>
  </w:style>
  <w:style w:type="paragraph" w:customStyle="1" w:styleId="55">
    <w:name w:val="正文缩进1"/>
    <w:basedOn w:val="1"/>
    <w:qFormat/>
    <w:uiPriority w:val="0"/>
    <w:pPr>
      <w:ind w:firstLine="420" w:firstLineChars="200"/>
    </w:pPr>
    <w:rPr>
      <w:szCs w:val="24"/>
    </w:rPr>
  </w:style>
  <w:style w:type="character" w:customStyle="1" w:styleId="56">
    <w:name w:val="正文文本缩进 2 Char"/>
    <w:link w:val="21"/>
    <w:qFormat/>
    <w:uiPriority w:val="0"/>
    <w:rPr>
      <w:rFonts w:ascii="宋体" w:hAnsi="宋体"/>
      <w:kern w:val="2"/>
      <w:sz w:val="24"/>
      <w:szCs w:val="24"/>
    </w:rPr>
  </w:style>
  <w:style w:type="character" w:customStyle="1" w:styleId="57">
    <w:name w:val="标题 2 Char"/>
    <w:link w:val="3"/>
    <w:qFormat/>
    <w:uiPriority w:val="0"/>
    <w:rPr>
      <w:rFonts w:eastAsia="黑体"/>
      <w:b/>
      <w:kern w:val="2"/>
      <w:sz w:val="28"/>
    </w:rPr>
  </w:style>
  <w:style w:type="character" w:customStyle="1" w:styleId="58">
    <w:name w:val="标题 3 Char"/>
    <w:link w:val="4"/>
    <w:qFormat/>
    <w:uiPriority w:val="0"/>
    <w:rPr>
      <w:rFonts w:eastAsia="黑体"/>
      <w:sz w:val="28"/>
    </w:rPr>
  </w:style>
  <w:style w:type="character" w:customStyle="1" w:styleId="59">
    <w:name w:val="正文缩进 Char"/>
    <w:link w:val="6"/>
    <w:qFormat/>
    <w:uiPriority w:val="0"/>
    <w:rPr>
      <w:kern w:val="2"/>
      <w:sz w:val="21"/>
    </w:rPr>
  </w:style>
  <w:style w:type="character" w:customStyle="1" w:styleId="60">
    <w:name w:val="文档结构图 Char"/>
    <w:link w:val="9"/>
    <w:qFormat/>
    <w:uiPriority w:val="0"/>
    <w:rPr>
      <w:kern w:val="2"/>
      <w:sz w:val="21"/>
      <w:shd w:val="clear" w:color="auto" w:fill="000080"/>
    </w:rPr>
  </w:style>
  <w:style w:type="character" w:customStyle="1" w:styleId="61">
    <w:name w:val="批注文字 Char"/>
    <w:link w:val="11"/>
    <w:qFormat/>
    <w:locked/>
    <w:uiPriority w:val="0"/>
    <w:rPr>
      <w:rFonts w:ascii="Times New Roman" w:hAnsi="Times New Roman" w:eastAsia="宋体"/>
      <w:sz w:val="24"/>
    </w:rPr>
  </w:style>
  <w:style w:type="character" w:customStyle="1" w:styleId="62">
    <w:name w:val="正文文本 3 Char"/>
    <w:link w:val="12"/>
    <w:qFormat/>
    <w:uiPriority w:val="0"/>
    <w:rPr>
      <w:kern w:val="2"/>
      <w:sz w:val="16"/>
      <w:szCs w:val="16"/>
    </w:rPr>
  </w:style>
  <w:style w:type="character" w:customStyle="1" w:styleId="63">
    <w:name w:val="正文文本 Char"/>
    <w:link w:val="13"/>
    <w:qFormat/>
    <w:locked/>
    <w:uiPriority w:val="0"/>
    <w:rPr>
      <w:sz w:val="18"/>
    </w:rPr>
  </w:style>
  <w:style w:type="character" w:customStyle="1" w:styleId="64">
    <w:name w:val="正文文本缩进 Char"/>
    <w:link w:val="14"/>
    <w:qFormat/>
    <w:locked/>
    <w:uiPriority w:val="0"/>
    <w:rPr>
      <w:rFonts w:ascii="Times New Roman" w:hAnsi="Times New Roman" w:eastAsia="宋体"/>
      <w:sz w:val="24"/>
    </w:rPr>
  </w:style>
  <w:style w:type="character" w:customStyle="1" w:styleId="65">
    <w:name w:val="页眉 Char"/>
    <w:link w:val="24"/>
    <w:qFormat/>
    <w:locked/>
    <w:uiPriority w:val="0"/>
    <w:rPr>
      <w:sz w:val="18"/>
    </w:rPr>
  </w:style>
  <w:style w:type="character" w:customStyle="1" w:styleId="66">
    <w:name w:val="HTML 地址 Char"/>
    <w:link w:val="16"/>
    <w:qFormat/>
    <w:uiPriority w:val="0"/>
    <w:rPr>
      <w:i/>
      <w:kern w:val="2"/>
      <w:sz w:val="21"/>
    </w:rPr>
  </w:style>
  <w:style w:type="character" w:customStyle="1" w:styleId="67">
    <w:name w:val="纯文本 Char1"/>
    <w:link w:val="18"/>
    <w:qFormat/>
    <w:uiPriority w:val="0"/>
    <w:rPr>
      <w:rFonts w:ascii="宋体" w:hAnsi="Courier New" w:cs="Courier New"/>
      <w:kern w:val="2"/>
      <w:sz w:val="28"/>
      <w:szCs w:val="21"/>
    </w:rPr>
  </w:style>
  <w:style w:type="character" w:customStyle="1" w:styleId="68">
    <w:name w:val="日期 Char"/>
    <w:link w:val="20"/>
    <w:qFormat/>
    <w:locked/>
    <w:uiPriority w:val="0"/>
    <w:rPr>
      <w:rFonts w:ascii="Times New Roman" w:hAnsi="Times New Roman" w:eastAsia="宋体"/>
      <w:sz w:val="24"/>
    </w:rPr>
  </w:style>
  <w:style w:type="character" w:customStyle="1" w:styleId="69">
    <w:name w:val="批注框文本 Char"/>
    <w:link w:val="22"/>
    <w:semiHidden/>
    <w:qFormat/>
    <w:locked/>
    <w:uiPriority w:val="0"/>
    <w:rPr>
      <w:rFonts w:ascii="Times New Roman" w:hAnsi="Times New Roman" w:eastAsia="宋体"/>
      <w:sz w:val="18"/>
    </w:rPr>
  </w:style>
  <w:style w:type="character" w:customStyle="1" w:styleId="70">
    <w:name w:val="页脚 Char"/>
    <w:link w:val="23"/>
    <w:qFormat/>
    <w:locked/>
    <w:uiPriority w:val="99"/>
    <w:rPr>
      <w:sz w:val="18"/>
    </w:rPr>
  </w:style>
  <w:style w:type="character" w:customStyle="1" w:styleId="71">
    <w:name w:val="副标题 Char"/>
    <w:link w:val="28"/>
    <w:qFormat/>
    <w:uiPriority w:val="99"/>
    <w:rPr>
      <w:caps/>
      <w:color w:val="595959"/>
      <w:spacing w:val="10"/>
      <w:kern w:val="2"/>
      <w:sz w:val="24"/>
      <w:szCs w:val="24"/>
    </w:rPr>
  </w:style>
  <w:style w:type="character" w:customStyle="1" w:styleId="72">
    <w:name w:val="列表 Char"/>
    <w:link w:val="29"/>
    <w:qFormat/>
    <w:uiPriority w:val="0"/>
    <w:rPr>
      <w:kern w:val="2"/>
      <w:sz w:val="21"/>
    </w:rPr>
  </w:style>
  <w:style w:type="character" w:customStyle="1" w:styleId="73">
    <w:name w:val="正文文本缩进 3 Char"/>
    <w:link w:val="30"/>
    <w:qFormat/>
    <w:uiPriority w:val="0"/>
    <w:rPr>
      <w:kern w:val="2"/>
      <w:sz w:val="16"/>
      <w:szCs w:val="16"/>
    </w:rPr>
  </w:style>
  <w:style w:type="character" w:customStyle="1" w:styleId="74">
    <w:name w:val="HTML 预设格式 Char"/>
    <w:link w:val="33"/>
    <w:qFormat/>
    <w:uiPriority w:val="0"/>
    <w:rPr>
      <w:rFonts w:ascii="宋体" w:hAnsi="宋体"/>
      <w:sz w:val="24"/>
      <w:szCs w:val="24"/>
    </w:rPr>
  </w:style>
  <w:style w:type="character" w:customStyle="1" w:styleId="75">
    <w:name w:val="普通(网站) Char"/>
    <w:link w:val="34"/>
    <w:qFormat/>
    <w:locked/>
    <w:uiPriority w:val="0"/>
    <w:rPr>
      <w:rFonts w:ascii="宋体" w:hAnsi="宋体" w:eastAsia="宋体"/>
      <w:sz w:val="24"/>
    </w:rPr>
  </w:style>
  <w:style w:type="character" w:customStyle="1" w:styleId="76">
    <w:name w:val="标题 Char"/>
    <w:link w:val="35"/>
    <w:qFormat/>
    <w:uiPriority w:val="0"/>
    <w:rPr>
      <w:rFonts w:ascii="Cambria" w:hAnsi="Cambria"/>
      <w:b/>
      <w:bCs/>
      <w:kern w:val="2"/>
      <w:sz w:val="32"/>
      <w:szCs w:val="32"/>
    </w:rPr>
  </w:style>
  <w:style w:type="character" w:customStyle="1" w:styleId="77">
    <w:name w:val="批注主题 Char"/>
    <w:link w:val="36"/>
    <w:qFormat/>
    <w:locked/>
    <w:uiPriority w:val="0"/>
    <w:rPr>
      <w:rFonts w:ascii="Times New Roman" w:hAnsi="Times New Roman" w:eastAsia="宋体"/>
      <w:b/>
      <w:kern w:val="2"/>
      <w:sz w:val="24"/>
    </w:rPr>
  </w:style>
  <w:style w:type="character" w:customStyle="1" w:styleId="78">
    <w:name w:val="正文首行缩进 Char"/>
    <w:link w:val="37"/>
    <w:qFormat/>
    <w:uiPriority w:val="0"/>
    <w:rPr>
      <w:kern w:val="2"/>
      <w:sz w:val="21"/>
    </w:rPr>
  </w:style>
  <w:style w:type="character" w:customStyle="1" w:styleId="79">
    <w:name w:val="正文首行缩进 2 Char"/>
    <w:link w:val="38"/>
    <w:qFormat/>
    <w:uiPriority w:val="0"/>
    <w:rPr>
      <w:rFonts w:ascii="Times New Roman" w:hAnsi="Times New Roman" w:eastAsia="宋体"/>
      <w:sz w:val="24"/>
      <w:szCs w:val="24"/>
    </w:rPr>
  </w:style>
  <w:style w:type="character" w:customStyle="1" w:styleId="80">
    <w:name w:val="fontstyle21"/>
    <w:basedOn w:val="41"/>
    <w:qFormat/>
    <w:uiPriority w:val="0"/>
    <w:rPr>
      <w:rFonts w:hint="default" w:ascii="Times New Roman" w:hAnsi="Times New Roman" w:cs="Times New Roman"/>
      <w:color w:val="000000"/>
      <w:sz w:val="24"/>
      <w:szCs w:val="24"/>
    </w:rPr>
  </w:style>
  <w:style w:type="character" w:customStyle="1" w:styleId="81">
    <w:name w:val="+正文 Char Char"/>
    <w:link w:val="82"/>
    <w:qFormat/>
    <w:locked/>
    <w:uiPriority w:val="0"/>
    <w:rPr>
      <w:kern w:val="2"/>
      <w:sz w:val="28"/>
    </w:rPr>
  </w:style>
  <w:style w:type="paragraph" w:customStyle="1" w:styleId="82">
    <w:name w:val="+正文"/>
    <w:basedOn w:val="1"/>
    <w:link w:val="81"/>
    <w:qFormat/>
    <w:uiPriority w:val="0"/>
    <w:pPr>
      <w:spacing w:line="360" w:lineRule="auto"/>
      <w:ind w:firstLine="200" w:firstLineChars="200"/>
    </w:pPr>
    <w:rPr>
      <w:sz w:val="28"/>
      <w:szCs w:val="20"/>
    </w:rPr>
  </w:style>
  <w:style w:type="character" w:customStyle="1" w:styleId="83">
    <w:name w:val="font91"/>
    <w:qFormat/>
    <w:uiPriority w:val="0"/>
    <w:rPr>
      <w:rFonts w:hint="default" w:ascii="Times New Roman" w:hAnsi="Times New Roman" w:cs="Times New Roman"/>
      <w:b/>
      <w:color w:val="000000"/>
      <w:sz w:val="21"/>
      <w:szCs w:val="21"/>
      <w:u w:val="none"/>
      <w:vertAlign w:val="superscript"/>
    </w:rPr>
  </w:style>
  <w:style w:type="character" w:customStyle="1" w:styleId="84">
    <w:name w:val="znspantitle"/>
    <w:qFormat/>
    <w:uiPriority w:val="0"/>
    <w:rPr>
      <w:b/>
      <w:bCs/>
      <w:color w:val="333333"/>
    </w:rPr>
  </w:style>
  <w:style w:type="character" w:customStyle="1" w:styleId="85">
    <w:name w:val="纯文本 Char"/>
    <w:qFormat/>
    <w:uiPriority w:val="0"/>
    <w:rPr>
      <w:rFonts w:ascii="宋体" w:hAnsi="Courier New" w:eastAsia="宋体"/>
      <w:kern w:val="2"/>
      <w:sz w:val="21"/>
      <w:lang w:val="en-US" w:eastAsia="zh-CN" w:bidi="ar-SA"/>
    </w:rPr>
  </w:style>
  <w:style w:type="character" w:customStyle="1" w:styleId="86">
    <w:name w:val="日期 字符"/>
    <w:semiHidden/>
    <w:qFormat/>
    <w:uiPriority w:val="0"/>
    <w:rPr>
      <w:rFonts w:ascii="Times New Roman" w:hAnsi="Times New Roman" w:eastAsia="宋体"/>
      <w:sz w:val="24"/>
    </w:rPr>
  </w:style>
  <w:style w:type="character" w:customStyle="1" w:styleId="87">
    <w:name w:val="font1"/>
    <w:basedOn w:val="41"/>
    <w:qFormat/>
    <w:uiPriority w:val="0"/>
  </w:style>
  <w:style w:type="character" w:customStyle="1" w:styleId="88">
    <w:name w:val="正文 Char"/>
    <w:link w:val="89"/>
    <w:qFormat/>
    <w:uiPriority w:val="0"/>
    <w:rPr>
      <w:kern w:val="2"/>
      <w:sz w:val="21"/>
      <w:szCs w:val="24"/>
    </w:rPr>
  </w:style>
  <w:style w:type="paragraph" w:customStyle="1" w:styleId="89">
    <w:name w:val="正文1"/>
    <w:basedOn w:val="1"/>
    <w:link w:val="88"/>
    <w:qFormat/>
    <w:uiPriority w:val="0"/>
  </w:style>
  <w:style w:type="character" w:customStyle="1" w:styleId="90">
    <w:name w:val="font71"/>
    <w:qFormat/>
    <w:uiPriority w:val="0"/>
    <w:rPr>
      <w:rFonts w:hint="default" w:ascii="Times New Roman" w:hAnsi="Times New Roman" w:cs="Times New Roman"/>
      <w:b/>
      <w:color w:val="000000"/>
      <w:sz w:val="21"/>
      <w:szCs w:val="21"/>
      <w:u w:val="none"/>
    </w:rPr>
  </w:style>
  <w:style w:type="character" w:customStyle="1" w:styleId="91">
    <w:name w:val="place"/>
    <w:basedOn w:val="41"/>
    <w:qFormat/>
    <w:uiPriority w:val="0"/>
  </w:style>
  <w:style w:type="character" w:customStyle="1" w:styleId="92">
    <w:name w:val="radio-btn1"/>
    <w:qFormat/>
    <w:uiPriority w:val="0"/>
    <w:rPr>
      <w:sz w:val="24"/>
      <w:szCs w:val="24"/>
    </w:rPr>
  </w:style>
  <w:style w:type="character" w:customStyle="1" w:styleId="93">
    <w:name w:val="font11"/>
    <w:qFormat/>
    <w:uiPriority w:val="0"/>
    <w:rPr>
      <w:rFonts w:hint="default" w:ascii="Times New Roman" w:hAnsi="Times New Roman" w:cs="Times New Roman"/>
      <w:color w:val="000000"/>
      <w:sz w:val="22"/>
      <w:szCs w:val="22"/>
      <w:u w:val="none"/>
      <w:vertAlign w:val="subscript"/>
    </w:rPr>
  </w:style>
  <w:style w:type="character" w:customStyle="1" w:styleId="94">
    <w:name w:val="font61"/>
    <w:qFormat/>
    <w:uiPriority w:val="0"/>
    <w:rPr>
      <w:rFonts w:hint="default" w:ascii="Times New Roman" w:hAnsi="Times New Roman" w:cs="Times New Roman"/>
      <w:b/>
      <w:color w:val="000000"/>
      <w:sz w:val="21"/>
      <w:szCs w:val="21"/>
      <w:u w:val="none"/>
      <w:vertAlign w:val="superscript"/>
    </w:rPr>
  </w:style>
  <w:style w:type="character" w:customStyle="1" w:styleId="95">
    <w:name w:val="font51"/>
    <w:basedOn w:val="41"/>
    <w:qFormat/>
    <w:uiPriority w:val="0"/>
    <w:rPr>
      <w:rFonts w:hint="default" w:ascii="Times New Roman" w:hAnsi="Times New Roman" w:cs="Times New Roman"/>
      <w:color w:val="000000"/>
      <w:sz w:val="21"/>
      <w:szCs w:val="21"/>
      <w:u w:val="none"/>
    </w:rPr>
  </w:style>
  <w:style w:type="character" w:customStyle="1" w:styleId="96">
    <w:name w:val="纯文本 字符1"/>
    <w:qFormat/>
    <w:uiPriority w:val="0"/>
    <w:rPr>
      <w:rFonts w:ascii="宋体" w:hAnsi="Courier New" w:cs="Courier New"/>
      <w:kern w:val="2"/>
      <w:sz w:val="21"/>
      <w:szCs w:val="21"/>
    </w:rPr>
  </w:style>
  <w:style w:type="character" w:customStyle="1" w:styleId="97">
    <w:name w:val="表格 Char"/>
    <w:link w:val="98"/>
    <w:qFormat/>
    <w:locked/>
    <w:uiPriority w:val="0"/>
    <w:rPr>
      <w:rFonts w:ascii="宋体"/>
      <w:sz w:val="21"/>
    </w:rPr>
  </w:style>
  <w:style w:type="paragraph" w:customStyle="1" w:styleId="98">
    <w:name w:val="表格"/>
    <w:basedOn w:val="29"/>
    <w:link w:val="97"/>
    <w:qFormat/>
    <w:uiPriority w:val="0"/>
    <w:pPr>
      <w:adjustRightInd w:val="0"/>
      <w:snapToGrid w:val="0"/>
      <w:spacing w:beforeLines="10" w:afterLines="10" w:line="259" w:lineRule="auto"/>
      <w:jc w:val="center"/>
    </w:pPr>
    <w:rPr>
      <w:rFonts w:ascii="宋体"/>
      <w:kern w:val="0"/>
    </w:rPr>
  </w:style>
  <w:style w:type="paragraph" w:customStyle="1" w:styleId="99">
    <w:name w:val="列表1"/>
    <w:basedOn w:val="1"/>
    <w:qFormat/>
    <w:uiPriority w:val="0"/>
    <w:pPr>
      <w:widowControl w:val="0"/>
      <w:spacing w:after="0" w:line="360" w:lineRule="auto"/>
      <w:ind w:left="200" w:hanging="200" w:hangingChars="200"/>
    </w:pPr>
    <w:rPr>
      <w:rFonts w:ascii="Times New Roman" w:hAnsi="Times New Roman" w:eastAsia="宋体" w:cs="宋体"/>
      <w:kern w:val="2"/>
      <w:sz w:val="24"/>
      <w:szCs w:val="24"/>
    </w:rPr>
  </w:style>
  <w:style w:type="character" w:customStyle="1" w:styleId="100">
    <w:name w:val="headline_name"/>
    <w:qFormat/>
    <w:uiPriority w:val="0"/>
    <w:rPr>
      <w:b/>
      <w:sz w:val="19"/>
      <w:szCs w:val="19"/>
    </w:rPr>
  </w:style>
  <w:style w:type="character" w:customStyle="1" w:styleId="101">
    <w:name w:val="font"/>
    <w:basedOn w:val="41"/>
    <w:qFormat/>
    <w:uiPriority w:val="0"/>
  </w:style>
  <w:style w:type="character" w:customStyle="1" w:styleId="102">
    <w:name w:val="font81"/>
    <w:qFormat/>
    <w:uiPriority w:val="0"/>
    <w:rPr>
      <w:rFonts w:ascii="华文宋体" w:hAnsi="华文宋体" w:eastAsia="华文宋体" w:cs="华文宋体"/>
      <w:color w:val="000000"/>
      <w:sz w:val="12"/>
      <w:szCs w:val="12"/>
      <w:u w:val="none"/>
    </w:rPr>
  </w:style>
  <w:style w:type="character" w:customStyle="1" w:styleId="103">
    <w:name w:val="普通文字 Char Char Char Char Char"/>
    <w:qFormat/>
    <w:uiPriority w:val="0"/>
    <w:rPr>
      <w:rFonts w:ascii="宋体" w:hAnsi="Courier New" w:eastAsia="宋体"/>
      <w:kern w:val="2"/>
      <w:sz w:val="21"/>
      <w:lang w:val="en-US" w:eastAsia="zh-CN" w:bidi="ar-SA"/>
    </w:rPr>
  </w:style>
  <w:style w:type="character" w:customStyle="1" w:styleId="104">
    <w:name w:val="cur1"/>
    <w:qFormat/>
    <w:uiPriority w:val="0"/>
    <w:rPr>
      <w:color w:val="FFFFFF"/>
      <w:shd w:val="clear" w:color="auto" w:fill="2F6B98"/>
    </w:rPr>
  </w:style>
  <w:style w:type="character" w:customStyle="1" w:styleId="105">
    <w:name w:val="font31"/>
    <w:basedOn w:val="41"/>
    <w:qFormat/>
    <w:uiPriority w:val="0"/>
    <w:rPr>
      <w:rFonts w:ascii="Wingdings 2" w:hAnsi="Wingdings 2" w:eastAsia="Wingdings 2" w:cs="Wingdings 2"/>
      <w:color w:val="000000"/>
      <w:sz w:val="24"/>
      <w:szCs w:val="24"/>
      <w:u w:val="none"/>
    </w:rPr>
  </w:style>
  <w:style w:type="character" w:customStyle="1" w:styleId="106">
    <w:name w:val="hover"/>
    <w:basedOn w:val="41"/>
    <w:qFormat/>
    <w:uiPriority w:val="0"/>
    <w:rPr>
      <w:color w:val="015293"/>
    </w:rPr>
  </w:style>
  <w:style w:type="character" w:customStyle="1" w:styleId="107">
    <w:name w:val="gwds_nopic"/>
    <w:basedOn w:val="41"/>
    <w:qFormat/>
    <w:uiPriority w:val="0"/>
  </w:style>
  <w:style w:type="character" w:customStyle="1" w:styleId="108">
    <w:name w:val="fontstyle11"/>
    <w:qFormat/>
    <w:uiPriority w:val="0"/>
    <w:rPr>
      <w:rFonts w:hint="default" w:ascii="TimesNewRomanPS-BoldMT" w:hAnsi="TimesNewRomanPS-BoldMT"/>
      <w:b/>
      <w:bCs/>
      <w:color w:val="000000"/>
      <w:sz w:val="24"/>
      <w:szCs w:val="24"/>
    </w:rPr>
  </w:style>
  <w:style w:type="character" w:customStyle="1" w:styleId="109">
    <w:name w:val="radio-btn"/>
    <w:qFormat/>
    <w:uiPriority w:val="0"/>
    <w:rPr>
      <w:sz w:val="21"/>
      <w:szCs w:val="21"/>
    </w:rPr>
  </w:style>
  <w:style w:type="character" w:customStyle="1" w:styleId="110">
    <w:name w:val="place2"/>
    <w:basedOn w:val="41"/>
    <w:qFormat/>
    <w:uiPriority w:val="0"/>
  </w:style>
  <w:style w:type="character" w:customStyle="1" w:styleId="111">
    <w:name w:val="gwds_nopic1"/>
    <w:basedOn w:val="41"/>
    <w:qFormat/>
    <w:uiPriority w:val="0"/>
  </w:style>
  <w:style w:type="character" w:customStyle="1" w:styleId="112">
    <w:name w:val="lishishuju"/>
    <w:qFormat/>
    <w:uiPriority w:val="0"/>
    <w:rPr>
      <w:b/>
      <w:bCs/>
      <w:color w:val="000052"/>
      <w:sz w:val="24"/>
      <w:szCs w:val="24"/>
      <w:bdr w:val="single" w:color="E3E3E3" w:sz="6" w:space="0"/>
    </w:rPr>
  </w:style>
  <w:style w:type="character" w:customStyle="1" w:styleId="113">
    <w:name w:val="hover1"/>
    <w:basedOn w:val="41"/>
    <w:qFormat/>
    <w:uiPriority w:val="0"/>
    <w:rPr>
      <w:color w:val="025291"/>
    </w:rPr>
  </w:style>
  <w:style w:type="character" w:customStyle="1" w:styleId="114">
    <w:name w:val="批注文字 字符1"/>
    <w:semiHidden/>
    <w:qFormat/>
    <w:uiPriority w:val="0"/>
    <w:rPr>
      <w:rFonts w:ascii="Times New Roman" w:hAnsi="Times New Roman" w:eastAsia="宋体"/>
      <w:sz w:val="24"/>
    </w:rPr>
  </w:style>
  <w:style w:type="character" w:customStyle="1" w:styleId="115">
    <w:name w:val="普通文字 Char2"/>
    <w:qFormat/>
    <w:uiPriority w:val="0"/>
    <w:rPr>
      <w:rFonts w:ascii="宋体" w:hAnsi="Courier New" w:eastAsia="宋体" w:cs="Courier New"/>
      <w:kern w:val="2"/>
      <w:sz w:val="28"/>
      <w:szCs w:val="21"/>
      <w:lang w:val="en-US" w:eastAsia="zh-CN" w:bidi="ar-SA"/>
    </w:rPr>
  </w:style>
  <w:style w:type="character" w:customStyle="1" w:styleId="116">
    <w:name w:val="正文文本 字符1"/>
    <w:semiHidden/>
    <w:qFormat/>
    <w:uiPriority w:val="0"/>
    <w:rPr>
      <w:rFonts w:ascii="Times New Roman" w:hAnsi="Times New Roman" w:eastAsia="宋体"/>
      <w:sz w:val="24"/>
    </w:rPr>
  </w:style>
  <w:style w:type="character" w:customStyle="1" w:styleId="117">
    <w:name w:val="place1"/>
    <w:basedOn w:val="41"/>
    <w:qFormat/>
    <w:uiPriority w:val="0"/>
    <w:rPr>
      <w:rFonts w:ascii="微软雅黑" w:hAnsi="微软雅黑" w:eastAsia="微软雅黑" w:cs="微软雅黑"/>
      <w:color w:val="888888"/>
      <w:sz w:val="25"/>
      <w:szCs w:val="25"/>
    </w:rPr>
  </w:style>
  <w:style w:type="character" w:customStyle="1" w:styleId="118">
    <w:name w:val="place3"/>
    <w:basedOn w:val="41"/>
    <w:qFormat/>
    <w:uiPriority w:val="0"/>
  </w:style>
  <w:style w:type="character" w:customStyle="1" w:styleId="119">
    <w:name w:val="lable"/>
    <w:qFormat/>
    <w:uiPriority w:val="0"/>
    <w:rPr>
      <w:sz w:val="24"/>
      <w:szCs w:val="24"/>
    </w:rPr>
  </w:style>
  <w:style w:type="character" w:customStyle="1" w:styleId="120">
    <w:name w:val="noline"/>
    <w:basedOn w:val="41"/>
    <w:qFormat/>
    <w:uiPriority w:val="0"/>
  </w:style>
  <w:style w:type="character" w:customStyle="1" w:styleId="121">
    <w:name w:val="fontstyle01"/>
    <w:basedOn w:val="41"/>
    <w:qFormat/>
    <w:uiPriority w:val="0"/>
    <w:rPr>
      <w:rFonts w:hint="eastAsia" w:ascii="宋体" w:hAnsi="宋体" w:eastAsia="宋体"/>
      <w:color w:val="000000"/>
      <w:sz w:val="24"/>
      <w:szCs w:val="24"/>
    </w:rPr>
  </w:style>
  <w:style w:type="character" w:customStyle="1" w:styleId="122">
    <w:name w:val="radio-btn2"/>
    <w:qFormat/>
    <w:uiPriority w:val="0"/>
    <w:rPr>
      <w:sz w:val="24"/>
      <w:szCs w:val="24"/>
    </w:rPr>
  </w:style>
  <w:style w:type="character" w:customStyle="1" w:styleId="123">
    <w:name w:val="页脚 字符"/>
    <w:qFormat/>
    <w:uiPriority w:val="99"/>
  </w:style>
  <w:style w:type="character" w:customStyle="1" w:styleId="124">
    <w:name w:val="gwds_nopic2"/>
    <w:basedOn w:val="41"/>
    <w:qFormat/>
    <w:uiPriority w:val="0"/>
  </w:style>
  <w:style w:type="character" w:customStyle="1" w:styleId="125">
    <w:name w:val="font41"/>
    <w:qFormat/>
    <w:uiPriority w:val="0"/>
    <w:rPr>
      <w:rFonts w:hint="default" w:ascii="Times New Roman" w:hAnsi="Times New Roman" w:cs="Times New Roman"/>
      <w:color w:val="000000"/>
      <w:sz w:val="22"/>
      <w:szCs w:val="22"/>
      <w:u w:val="none"/>
    </w:rPr>
  </w:style>
  <w:style w:type="character" w:customStyle="1" w:styleId="126">
    <w:name w:val="font01"/>
    <w:basedOn w:val="41"/>
    <w:qFormat/>
    <w:uiPriority w:val="0"/>
    <w:rPr>
      <w:rFonts w:hint="eastAsia" w:ascii="宋体" w:hAnsi="宋体" w:eastAsia="宋体" w:cs="宋体"/>
      <w:color w:val="000000"/>
      <w:sz w:val="22"/>
      <w:szCs w:val="22"/>
      <w:u w:val="none"/>
      <w:vertAlign w:val="subscript"/>
    </w:rPr>
  </w:style>
  <w:style w:type="character" w:customStyle="1" w:styleId="127">
    <w:name w:val="font21"/>
    <w:basedOn w:val="41"/>
    <w:qFormat/>
    <w:uiPriority w:val="0"/>
    <w:rPr>
      <w:rFonts w:hint="eastAsia" w:ascii="宋体" w:hAnsi="宋体" w:eastAsia="宋体" w:cs="宋体"/>
      <w:color w:val="000000"/>
      <w:sz w:val="22"/>
      <w:szCs w:val="22"/>
      <w:u w:val="none"/>
    </w:rPr>
  </w:style>
  <w:style w:type="paragraph" w:customStyle="1" w:styleId="128">
    <w:name w:val="1表格"/>
    <w:basedOn w:val="1"/>
    <w:next w:val="13"/>
    <w:qFormat/>
    <w:uiPriority w:val="0"/>
    <w:pPr>
      <w:snapToGrid w:val="0"/>
      <w:spacing w:line="160" w:lineRule="atLeast"/>
      <w:jc w:val="center"/>
    </w:pPr>
    <w:rPr>
      <w:rFonts w:eastAsia="仿宋_GB2312"/>
      <w:sz w:val="21"/>
      <w:szCs w:val="20"/>
    </w:rPr>
  </w:style>
  <w:style w:type="paragraph" w:customStyle="1" w:styleId="129">
    <w:name w:val="样式2"/>
    <w:basedOn w:val="1"/>
    <w:qFormat/>
    <w:uiPriority w:val="0"/>
    <w:pPr>
      <w:adjustRightInd w:val="0"/>
      <w:snapToGrid w:val="0"/>
      <w:spacing w:line="0" w:lineRule="atLeast"/>
      <w:jc w:val="center"/>
    </w:pPr>
    <w:rPr>
      <w:rFonts w:eastAsia="黑体"/>
      <w:snapToGrid w:val="0"/>
      <w:kern w:val="0"/>
      <w:sz w:val="18"/>
    </w:rPr>
  </w:style>
  <w:style w:type="paragraph" w:customStyle="1" w:styleId="130">
    <w:name w:val="【正文】"/>
    <w:basedOn w:val="1"/>
    <w:qFormat/>
    <w:uiPriority w:val="0"/>
    <w:pPr>
      <w:spacing w:line="440" w:lineRule="exact"/>
      <w:ind w:firstLine="544" w:firstLineChars="200"/>
    </w:pPr>
    <w:rPr>
      <w:sz w:val="24"/>
      <w:szCs w:val="20"/>
    </w:rPr>
  </w:style>
  <w:style w:type="paragraph" w:customStyle="1" w:styleId="131">
    <w:name w:val="报告"/>
    <w:basedOn w:val="1"/>
    <w:next w:val="1"/>
    <w:qFormat/>
    <w:uiPriority w:val="0"/>
    <w:pPr>
      <w:adjustRightInd w:val="0"/>
      <w:spacing w:line="360" w:lineRule="auto"/>
      <w:ind w:firstLine="505"/>
      <w:jc w:val="left"/>
      <w:textAlignment w:val="baseline"/>
    </w:pPr>
  </w:style>
  <w:style w:type="paragraph" w:customStyle="1" w:styleId="132">
    <w:name w:val="样式1"/>
    <w:basedOn w:val="26"/>
    <w:next w:val="15"/>
    <w:qFormat/>
    <w:uiPriority w:val="0"/>
    <w:pPr>
      <w:adjustRightInd w:val="0"/>
      <w:spacing w:line="480" w:lineRule="atLeast"/>
      <w:ind w:firstLine="539"/>
    </w:pPr>
    <w:rPr>
      <w:rFonts w:eastAsia="仿宋_GB2312"/>
      <w:kern w:val="0"/>
      <w:sz w:val="28"/>
      <w:szCs w:val="20"/>
    </w:rPr>
  </w:style>
  <w:style w:type="paragraph" w:customStyle="1" w:styleId="133">
    <w:name w:val="表标题"/>
    <w:basedOn w:val="1"/>
    <w:semiHidden/>
    <w:qFormat/>
    <w:uiPriority w:val="0"/>
    <w:pPr>
      <w:jc w:val="center"/>
    </w:pPr>
    <w:rPr>
      <w:bCs/>
      <w:color w:val="000000"/>
      <w:szCs w:val="21"/>
    </w:rPr>
  </w:style>
  <w:style w:type="paragraph" w:customStyle="1" w:styleId="134">
    <w:name w:val="正文00"/>
    <w:qFormat/>
    <w:uiPriority w:val="0"/>
    <w:pPr>
      <w:overflowPunct w:val="0"/>
      <w:topLinePunct/>
      <w:adjustRightInd w:val="0"/>
      <w:snapToGri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135">
    <w:name w:val="空行"/>
    <w:basedOn w:val="1"/>
    <w:next w:val="37"/>
    <w:qFormat/>
    <w:uiPriority w:val="0"/>
    <w:pPr>
      <w:topLinePunct/>
      <w:adjustRightInd w:val="0"/>
      <w:snapToGrid w:val="0"/>
      <w:jc w:val="center"/>
    </w:pPr>
    <w:rPr>
      <w:kern w:val="0"/>
      <w:sz w:val="28"/>
      <w:szCs w:val="20"/>
    </w:rPr>
  </w:style>
  <w:style w:type="paragraph" w:customStyle="1" w:styleId="136">
    <w:name w:val="环评表头"/>
    <w:basedOn w:val="130"/>
    <w:next w:val="130"/>
    <w:qFormat/>
    <w:uiPriority w:val="0"/>
    <w:rPr>
      <w:rFonts w:hAnsi="黑体"/>
      <w:b/>
      <w:kern w:val="0"/>
      <w:sz w:val="24"/>
      <w:szCs w:val="20"/>
    </w:rPr>
  </w:style>
  <w:style w:type="paragraph" w:customStyle="1" w:styleId="137">
    <w:name w:val="8"/>
    <w:basedOn w:val="1"/>
    <w:qFormat/>
    <w:uiPriority w:val="0"/>
    <w:pPr>
      <w:spacing w:line="360" w:lineRule="auto"/>
      <w:ind w:firstLine="480" w:firstLineChars="200"/>
    </w:pPr>
    <w:rPr>
      <w:kern w:val="10"/>
      <w:sz w:val="24"/>
    </w:rPr>
  </w:style>
  <w:style w:type="paragraph" w:customStyle="1" w:styleId="138">
    <w:name w:val="正文内容"/>
    <w:basedOn w:val="1"/>
    <w:qFormat/>
    <w:uiPriority w:val="0"/>
    <w:pPr>
      <w:spacing w:line="360" w:lineRule="auto"/>
      <w:ind w:firstLine="200" w:firstLineChars="200"/>
    </w:pPr>
    <w:rPr>
      <w:kern w:val="0"/>
      <w:sz w:val="24"/>
      <w:szCs w:val="21"/>
    </w:rPr>
  </w:style>
  <w:style w:type="paragraph" w:customStyle="1" w:styleId="139">
    <w:name w:val="0正文"/>
    <w:basedOn w:val="1"/>
    <w:link w:val="218"/>
    <w:qFormat/>
    <w:uiPriority w:val="0"/>
    <w:pPr>
      <w:spacing w:line="360" w:lineRule="auto"/>
      <w:ind w:firstLine="480"/>
    </w:pPr>
    <w:rPr>
      <w:kern w:val="0"/>
      <w:szCs w:val="21"/>
    </w:rPr>
  </w:style>
  <w:style w:type="paragraph" w:customStyle="1" w:styleId="140">
    <w:name w:val="正文标题康成"/>
    <w:basedOn w:val="1"/>
    <w:qFormat/>
    <w:uiPriority w:val="0"/>
    <w:pPr>
      <w:jc w:val="left"/>
    </w:pPr>
    <w:rPr>
      <w:rFonts w:eastAsia="Romantic"/>
      <w:b/>
      <w:szCs w:val="21"/>
    </w:rPr>
  </w:style>
  <w:style w:type="paragraph" w:customStyle="1" w:styleId="141">
    <w:name w:val="文本"/>
    <w:basedOn w:val="1"/>
    <w:next w:val="21"/>
    <w:qFormat/>
    <w:uiPriority w:val="0"/>
    <w:pPr>
      <w:spacing w:line="360" w:lineRule="auto"/>
      <w:ind w:firstLine="495"/>
    </w:pPr>
    <w:rPr>
      <w:rFonts w:ascii="Calibri" w:hAnsi="Calibri"/>
      <w:kern w:val="0"/>
      <w:sz w:val="24"/>
      <w:szCs w:val="20"/>
    </w:rPr>
  </w:style>
  <w:style w:type="paragraph" w:customStyle="1" w:styleId="142">
    <w:name w:val="正文(首行缩进)"/>
    <w:basedOn w:val="1"/>
    <w:qFormat/>
    <w:uiPriority w:val="0"/>
    <w:pPr>
      <w:spacing w:line="360" w:lineRule="auto"/>
      <w:ind w:firstLine="540" w:firstLineChars="225"/>
    </w:pPr>
    <w:rPr>
      <w:color w:val="000000"/>
      <w:kern w:val="0"/>
      <w:sz w:val="24"/>
    </w:rPr>
  </w:style>
  <w:style w:type="paragraph" w:customStyle="1" w:styleId="1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44">
    <w:name w:val="正文01"/>
    <w:basedOn w:val="1"/>
    <w:qFormat/>
    <w:uiPriority w:val="0"/>
    <w:pPr>
      <w:spacing w:before="60" w:line="460" w:lineRule="exact"/>
      <w:ind w:firstLine="200" w:firstLineChars="200"/>
    </w:pPr>
    <w:rPr>
      <w:snapToGrid w:val="0"/>
      <w:kern w:val="0"/>
      <w:sz w:val="24"/>
      <w:szCs w:val="24"/>
    </w:rPr>
  </w:style>
  <w:style w:type="paragraph" w:customStyle="1" w:styleId="145">
    <w:name w:val="纯文本1"/>
    <w:basedOn w:val="1"/>
    <w:next w:val="18"/>
    <w:qFormat/>
    <w:uiPriority w:val="0"/>
    <w:pPr>
      <w:adjustRightInd w:val="0"/>
      <w:jc w:val="center"/>
      <w:textAlignment w:val="baseline"/>
    </w:pPr>
    <w:rPr>
      <w:rFonts w:ascii="宋体" w:hAnsi="Courier New"/>
      <w:snapToGrid w:val="0"/>
      <w:kern w:val="0"/>
      <w:sz w:val="24"/>
    </w:rPr>
  </w:style>
  <w:style w:type="paragraph" w:customStyle="1" w:styleId="146">
    <w:name w:val="无间隔1"/>
    <w:qFormat/>
    <w:uiPriority w:val="0"/>
    <w:pPr>
      <w:widowControl w:val="0"/>
      <w:contextualSpacing/>
      <w:jc w:val="center"/>
    </w:pPr>
    <w:rPr>
      <w:rFonts w:ascii="Times New Roman" w:hAnsi="Times New Roman" w:eastAsia="仿宋_GB2312" w:cs="Times New Roman"/>
      <w:szCs w:val="21"/>
      <w:lang w:val="en-US" w:eastAsia="zh-CN" w:bidi="ar-SA"/>
    </w:rPr>
  </w:style>
  <w:style w:type="paragraph" w:customStyle="1" w:styleId="147">
    <w:name w:val="+++ 表头"/>
    <w:basedOn w:val="1"/>
    <w:qFormat/>
    <w:uiPriority w:val="0"/>
    <w:pPr>
      <w:spacing w:line="360" w:lineRule="auto"/>
      <w:jc w:val="center"/>
    </w:pPr>
    <w:rPr>
      <w:rFonts w:cs="宋体"/>
      <w:b/>
      <w:bCs/>
      <w:color w:val="99CC00"/>
      <w:sz w:val="24"/>
    </w:rPr>
  </w:style>
  <w:style w:type="paragraph" w:customStyle="1" w:styleId="148">
    <w:name w:val="列出段落11"/>
    <w:basedOn w:val="1"/>
    <w:qFormat/>
    <w:uiPriority w:val="34"/>
    <w:pPr>
      <w:ind w:firstLine="420" w:firstLineChars="200"/>
    </w:pPr>
    <w:rPr>
      <w:szCs w:val="20"/>
    </w:rPr>
  </w:style>
  <w:style w:type="paragraph" w:customStyle="1" w:styleId="149">
    <w:name w:val="样式26"/>
    <w:basedOn w:val="150"/>
    <w:qFormat/>
    <w:uiPriority w:val="0"/>
    <w:pPr>
      <w:tabs>
        <w:tab w:val="left" w:pos="0"/>
        <w:tab w:val="left" w:pos="360"/>
        <w:tab w:val="left" w:pos="480"/>
        <w:tab w:val="left" w:pos="540"/>
        <w:tab w:val="left" w:pos="567"/>
        <w:tab w:val="left" w:pos="720"/>
        <w:tab w:val="left" w:pos="851"/>
        <w:tab w:val="left" w:pos="1008"/>
        <w:tab w:val="left" w:pos="1080"/>
        <w:tab w:val="left" w:pos="1222"/>
      </w:tabs>
    </w:pPr>
  </w:style>
  <w:style w:type="paragraph" w:customStyle="1" w:styleId="150">
    <w:name w:val="样式21"/>
    <w:basedOn w:val="53"/>
    <w:qFormat/>
    <w:uiPriority w:val="0"/>
    <w:pPr>
      <w:tabs>
        <w:tab w:val="left" w:pos="480"/>
        <w:tab w:val="left" w:pos="540"/>
        <w:tab w:val="left" w:pos="720"/>
        <w:tab w:val="left" w:pos="1008"/>
      </w:tabs>
      <w:spacing w:beforeLines="50" w:afterLines="50"/>
      <w:ind w:left="720" w:hanging="720"/>
      <w:outlineLvl w:val="2"/>
    </w:pPr>
    <w:rPr>
      <w:rFonts w:eastAsia="MS Mincho"/>
      <w:kern w:val="0"/>
      <w:sz w:val="24"/>
      <w:szCs w:val="32"/>
    </w:rPr>
  </w:style>
  <w:style w:type="paragraph" w:customStyle="1" w:styleId="151">
    <w:name w:val="一一一"/>
    <w:basedOn w:val="1"/>
    <w:qFormat/>
    <w:uiPriority w:val="0"/>
    <w:pPr>
      <w:adjustRightInd w:val="0"/>
      <w:spacing w:line="360" w:lineRule="auto"/>
      <w:ind w:firstLine="420" w:firstLineChars="200"/>
      <w:jc w:val="left"/>
      <w:textAlignment w:val="baseline"/>
    </w:pPr>
    <w:rPr>
      <w:b/>
      <w:kern w:val="0"/>
      <w:sz w:val="24"/>
      <w:szCs w:val="24"/>
    </w:rPr>
  </w:style>
  <w:style w:type="paragraph" w:customStyle="1" w:styleId="152">
    <w:name w:val="自定义缩进"/>
    <w:basedOn w:val="1"/>
    <w:qFormat/>
    <w:uiPriority w:val="0"/>
    <w:pPr>
      <w:keepNext/>
      <w:spacing w:line="336" w:lineRule="auto"/>
      <w:ind w:firstLine="480" w:firstLineChars="200"/>
    </w:pPr>
    <w:rPr>
      <w:rFonts w:ascii="宋体" w:hAnsi="宋体"/>
      <w:color w:val="000000"/>
      <w:sz w:val="24"/>
    </w:rPr>
  </w:style>
  <w:style w:type="paragraph" w:customStyle="1" w:styleId="153">
    <w:name w:val="正文001"/>
    <w:basedOn w:val="1"/>
    <w:qFormat/>
    <w:uiPriority w:val="0"/>
    <w:pPr>
      <w:spacing w:before="60" w:line="420" w:lineRule="atLeast"/>
      <w:ind w:firstLine="482"/>
    </w:pPr>
    <w:rPr>
      <w:sz w:val="24"/>
    </w:rPr>
  </w:style>
  <w:style w:type="paragraph" w:customStyle="1" w:styleId="154">
    <w:name w:val="无间隔3"/>
    <w:qFormat/>
    <w:uiPriority w:val="1"/>
    <w:pPr>
      <w:adjustRightInd w:val="0"/>
      <w:snapToGrid w:val="0"/>
      <w:jc w:val="center"/>
    </w:pPr>
    <w:rPr>
      <w:rFonts w:ascii="Times New Roman" w:hAnsi="Times New Roman" w:eastAsia="宋体" w:cs="Times New Roman"/>
      <w:sz w:val="21"/>
      <w:szCs w:val="22"/>
      <w:lang w:val="en-US" w:eastAsia="zh-CN" w:bidi="ar-SA"/>
    </w:rPr>
  </w:style>
  <w:style w:type="paragraph" w:customStyle="1" w:styleId="155">
    <w:name w:val="康成表头"/>
    <w:basedOn w:val="1"/>
    <w:next w:val="1"/>
    <w:qFormat/>
    <w:uiPriority w:val="0"/>
    <w:pPr>
      <w:spacing w:after="30" w:afterLines="30"/>
      <w:jc w:val="center"/>
    </w:pPr>
    <w:rPr>
      <w:b/>
      <w:szCs w:val="18"/>
    </w:rPr>
  </w:style>
  <w:style w:type="paragraph" w:customStyle="1" w:styleId="156">
    <w:name w:val="表"/>
    <w:basedOn w:val="157"/>
    <w:qFormat/>
    <w:uiPriority w:val="0"/>
    <w:pPr>
      <w:spacing w:line="240" w:lineRule="exact"/>
    </w:pPr>
    <w:rPr>
      <w:rFonts w:ascii="仿宋_GB2312" w:hAnsi="宋体" w:eastAsia="仿宋_GB2312"/>
      <w:sz w:val="18"/>
      <w:szCs w:val="18"/>
    </w:rPr>
  </w:style>
  <w:style w:type="paragraph" w:customStyle="1" w:styleId="157">
    <w:name w:val="表头"/>
    <w:basedOn w:val="89"/>
    <w:qFormat/>
    <w:uiPriority w:val="0"/>
    <w:pPr>
      <w:spacing w:line="288" w:lineRule="auto"/>
      <w:jc w:val="center"/>
      <w:outlineLvl w:val="2"/>
    </w:pPr>
    <w:rPr>
      <w:rFonts w:eastAsia="仿宋_GB2312"/>
      <w:sz w:val="24"/>
    </w:rPr>
  </w:style>
  <w:style w:type="paragraph" w:customStyle="1" w:styleId="15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59">
    <w:name w:val="表格内正文"/>
    <w:basedOn w:val="1"/>
    <w:qFormat/>
    <w:uiPriority w:val="0"/>
    <w:pPr>
      <w:jc w:val="center"/>
    </w:pPr>
    <w:rPr>
      <w:spacing w:val="4"/>
      <w:kern w:val="18"/>
      <w:szCs w:val="21"/>
    </w:rPr>
  </w:style>
  <w:style w:type="paragraph" w:customStyle="1" w:styleId="160">
    <w:name w:val="1   正文   2字符  首行缩进"/>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2"/>
      <w:lang w:val="en-US" w:eastAsia="zh-CN" w:bidi="ar"/>
    </w:rPr>
  </w:style>
  <w:style w:type="paragraph" w:customStyle="1" w:styleId="161">
    <w:name w:val="康成表内字"/>
    <w:basedOn w:val="1"/>
    <w:qFormat/>
    <w:uiPriority w:val="0"/>
    <w:pPr>
      <w:jc w:val="center"/>
    </w:pPr>
    <w:rPr>
      <w:rFonts w:eastAsia="Romantic"/>
      <w:szCs w:val="18"/>
    </w:rPr>
  </w:style>
  <w:style w:type="paragraph" w:customStyle="1" w:styleId="162">
    <w:name w:val="11表名"/>
    <w:basedOn w:val="32"/>
    <w:qFormat/>
    <w:uiPriority w:val="0"/>
    <w:pPr>
      <w:adjustRightInd w:val="0"/>
      <w:ind w:left="0" w:leftChars="0" w:firstLine="0" w:firstLineChars="0"/>
      <w:jc w:val="center"/>
      <w:textAlignment w:val="baseline"/>
    </w:pPr>
    <w:rPr>
      <w:b/>
      <w:kern w:val="0"/>
      <w:szCs w:val="24"/>
    </w:rPr>
  </w:style>
  <w:style w:type="paragraph" w:customStyle="1" w:styleId="163">
    <w:name w:val="标题新"/>
    <w:basedOn w:val="1"/>
    <w:qFormat/>
    <w:uiPriority w:val="0"/>
    <w:pPr>
      <w:adjustRightInd w:val="0"/>
      <w:snapToGrid w:val="0"/>
      <w:spacing w:line="420" w:lineRule="exact"/>
      <w:jc w:val="center"/>
    </w:pPr>
    <w:rPr>
      <w:rFonts w:eastAsia="黑体"/>
      <w:szCs w:val="21"/>
    </w:rPr>
  </w:style>
  <w:style w:type="paragraph" w:customStyle="1" w:styleId="164">
    <w:name w:val="Default"/>
    <w:basedOn w:val="165"/>
    <w:next w:val="1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65">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6">
    <w:name w:val="表格标题-1"/>
    <w:basedOn w:val="1"/>
    <w:next w:val="1"/>
    <w:qFormat/>
    <w:uiPriority w:val="0"/>
    <w:pPr>
      <w:numPr>
        <w:ilvl w:val="0"/>
        <w:numId w:val="2"/>
      </w:numPr>
      <w:adjustRightInd w:val="0"/>
      <w:snapToGrid w:val="0"/>
      <w:jc w:val="center"/>
    </w:pPr>
    <w:rPr>
      <w:rFonts w:eastAsia="黑体"/>
    </w:rPr>
  </w:style>
  <w:style w:type="paragraph" w:customStyle="1" w:styleId="167">
    <w:name w:val="List Paragraph1"/>
    <w:basedOn w:val="1"/>
    <w:qFormat/>
    <w:uiPriority w:val="34"/>
    <w:pPr>
      <w:ind w:firstLine="420" w:firstLineChars="200"/>
    </w:pPr>
    <w:rPr>
      <w:rFonts w:ascii="Calibri" w:hAnsi="Calibri"/>
      <w:szCs w:val="22"/>
    </w:rPr>
  </w:style>
  <w:style w:type="paragraph" w:customStyle="1" w:styleId="168">
    <w:name w:val="真·表头"/>
    <w:basedOn w:val="1"/>
    <w:qFormat/>
    <w:uiPriority w:val="0"/>
    <w:pPr>
      <w:adjustRightInd w:val="0"/>
      <w:snapToGrid w:val="0"/>
      <w:spacing w:beforeLines="50" w:line="360" w:lineRule="auto"/>
      <w:jc w:val="center"/>
    </w:pPr>
    <w:rPr>
      <w:rFonts w:ascii="Times New Roman" w:hAnsi="Times New Roman" w:eastAsia="黑体"/>
      <w:sz w:val="24"/>
      <w:szCs w:val="30"/>
    </w:rPr>
  </w:style>
  <w:style w:type="paragraph" w:customStyle="1" w:styleId="169">
    <w:name w:val="真·标题"/>
    <w:qFormat/>
    <w:uiPriority w:val="0"/>
    <w:pPr>
      <w:adjustRightInd w:val="0"/>
      <w:snapToGrid w:val="0"/>
      <w:spacing w:line="360" w:lineRule="auto"/>
      <w:ind w:firstLine="200" w:firstLineChars="200"/>
      <w:jc w:val="both"/>
    </w:pPr>
    <w:rPr>
      <w:rFonts w:ascii="Calibri" w:hAnsi="Calibri" w:eastAsia="黑体" w:cs="Calibri"/>
      <w:kern w:val="2"/>
      <w:sz w:val="24"/>
      <w:lang w:val="en-US" w:eastAsia="zh-CN" w:bidi="ar-SA"/>
    </w:rPr>
  </w:style>
  <w:style w:type="paragraph" w:customStyle="1" w:styleId="170">
    <w:name w:val="1、表名"/>
    <w:basedOn w:val="1"/>
    <w:qFormat/>
    <w:uiPriority w:val="0"/>
    <w:pPr>
      <w:autoSpaceDE w:val="0"/>
      <w:autoSpaceDN w:val="0"/>
      <w:adjustRightInd w:val="0"/>
      <w:spacing w:before="50" w:beforeLines="50"/>
      <w:jc w:val="center"/>
      <w:textAlignment w:val="baseline"/>
    </w:pPr>
    <w:rPr>
      <w:b/>
      <w:szCs w:val="21"/>
    </w:rPr>
  </w:style>
  <w:style w:type="paragraph" w:customStyle="1" w:styleId="171">
    <w:name w:val="彩色列表 - 强调文字颜色 11"/>
    <w:basedOn w:val="1"/>
    <w:qFormat/>
    <w:uiPriority w:val="72"/>
    <w:pPr>
      <w:ind w:firstLine="420"/>
    </w:pPr>
    <w:rPr>
      <w:szCs w:val="20"/>
    </w:rPr>
  </w:style>
  <w:style w:type="paragraph" w:customStyle="1" w:styleId="172">
    <w:name w:val="标题1"/>
    <w:basedOn w:val="151"/>
    <w:qFormat/>
    <w:uiPriority w:val="0"/>
  </w:style>
  <w:style w:type="paragraph" w:customStyle="1" w:styleId="173">
    <w:name w:val="真·小标题"/>
    <w:basedOn w:val="1"/>
    <w:next w:val="1"/>
    <w:qFormat/>
    <w:uiPriority w:val="0"/>
    <w:pPr>
      <w:adjustRightInd w:val="0"/>
      <w:snapToGrid w:val="0"/>
      <w:spacing w:line="360" w:lineRule="auto"/>
      <w:ind w:firstLine="200" w:firstLineChars="200"/>
      <w:jc w:val="left"/>
    </w:pPr>
    <w:rPr>
      <w:rFonts w:eastAsia="黑体"/>
      <w:kern w:val="0"/>
      <w:sz w:val="24"/>
    </w:rPr>
  </w:style>
  <w:style w:type="paragraph" w:customStyle="1" w:styleId="174">
    <w:name w:val="表格标题"/>
    <w:basedOn w:val="8"/>
    <w:next w:val="1"/>
    <w:qFormat/>
    <w:uiPriority w:val="0"/>
    <w:pPr>
      <w:adjustRightInd w:val="0"/>
      <w:jc w:val="center"/>
      <w:textAlignment w:val="baseline"/>
    </w:pPr>
    <w:rPr>
      <w:szCs w:val="21"/>
    </w:rPr>
  </w:style>
  <w:style w:type="paragraph" w:customStyle="1" w:styleId="175">
    <w:name w:val="p0"/>
    <w:basedOn w:val="1"/>
    <w:qFormat/>
    <w:uiPriority w:val="0"/>
    <w:rPr>
      <w:szCs w:val="21"/>
    </w:rPr>
  </w:style>
  <w:style w:type="paragraph" w:customStyle="1" w:styleId="176">
    <w:name w:val="正文样式"/>
    <w:basedOn w:val="1"/>
    <w:qFormat/>
    <w:uiPriority w:val="99"/>
    <w:pPr>
      <w:tabs>
        <w:tab w:val="left" w:pos="1440"/>
        <w:tab w:val="left" w:pos="4368"/>
      </w:tabs>
      <w:spacing w:line="360" w:lineRule="auto"/>
      <w:ind w:firstLine="493"/>
    </w:pPr>
    <w:rPr>
      <w:color w:val="FF0000"/>
    </w:rPr>
  </w:style>
  <w:style w:type="paragraph" w:customStyle="1" w:styleId="177">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178">
    <w:name w:val="正文-欣欣"/>
    <w:basedOn w:val="21"/>
    <w:next w:val="1"/>
    <w:qFormat/>
    <w:uiPriority w:val="0"/>
    <w:pPr>
      <w:widowControl w:val="0"/>
      <w:spacing w:after="0" w:line="360" w:lineRule="auto"/>
      <w:ind w:firstLine="200" w:firstLineChars="200"/>
    </w:pPr>
    <w:rPr>
      <w:rFonts w:ascii="Times New Roman" w:hAnsi="Times New Roman" w:eastAsia="宋体"/>
      <w:kern w:val="2"/>
      <w:sz w:val="24"/>
      <w:szCs w:val="30"/>
    </w:rPr>
  </w:style>
  <w:style w:type="paragraph" w:customStyle="1" w:styleId="1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81">
    <w:name w:val="1   正文   表头"/>
    <w:qFormat/>
    <w:uiPriority w:val="0"/>
    <w:pPr>
      <w:jc w:val="center"/>
    </w:pPr>
    <w:rPr>
      <w:rFonts w:ascii="Times New Roman" w:hAnsi="Times New Roman" w:eastAsia="宋体" w:cs="Times New Roman"/>
      <w:b/>
      <w:kern w:val="2"/>
      <w:sz w:val="21"/>
      <w:szCs w:val="21"/>
      <w:lang w:val="en-US" w:eastAsia="zh-CN" w:bidi="ar-SA"/>
    </w:rPr>
  </w:style>
  <w:style w:type="paragraph" w:customStyle="1" w:styleId="182">
    <w:name w:val="真·正文"/>
    <w:basedOn w:val="158"/>
    <w:next w:val="128"/>
    <w:qFormat/>
    <w:uiPriority w:val="0"/>
    <w:pPr>
      <w:widowControl w:val="0"/>
      <w:spacing w:after="0" w:line="360" w:lineRule="auto"/>
      <w:ind w:firstLine="200" w:firstLineChars="200"/>
      <w:jc w:val="both"/>
    </w:pPr>
    <w:rPr>
      <w:kern w:val="2"/>
      <w:szCs w:val="21"/>
    </w:rPr>
  </w:style>
  <w:style w:type="paragraph" w:customStyle="1" w:styleId="183">
    <w:name w:val="LRY正文"/>
    <w:basedOn w:val="38"/>
    <w:qFormat/>
    <w:uiPriority w:val="0"/>
    <w:pPr>
      <w:adjustRightInd w:val="0"/>
      <w:snapToGrid w:val="0"/>
      <w:spacing w:after="0" w:line="360" w:lineRule="auto"/>
      <w:ind w:left="0" w:leftChars="0" w:firstLine="480"/>
    </w:pPr>
    <w:rPr>
      <w:bCs/>
      <w:kern w:val="0"/>
      <w:sz w:val="24"/>
    </w:rPr>
  </w:style>
  <w:style w:type="paragraph" w:customStyle="1" w:styleId="184">
    <w:name w:val="报告表格"/>
    <w:basedOn w:val="1"/>
    <w:qFormat/>
    <w:uiPriority w:val="0"/>
    <w:pPr>
      <w:autoSpaceDE w:val="0"/>
      <w:autoSpaceDN w:val="0"/>
      <w:adjustRightInd w:val="0"/>
      <w:spacing w:before="20" w:after="20"/>
      <w:jc w:val="center"/>
      <w:textAlignment w:val="center"/>
    </w:pPr>
    <w:rPr>
      <w:kern w:val="0"/>
      <w:szCs w:val="20"/>
    </w:rPr>
  </w:style>
  <w:style w:type="paragraph" w:customStyle="1" w:styleId="185">
    <w:name w:val="表、图名"/>
    <w:basedOn w:val="1"/>
    <w:qFormat/>
    <w:uiPriority w:val="0"/>
    <w:pPr>
      <w:spacing w:beforeLines="50" w:line="360" w:lineRule="auto"/>
      <w:jc w:val="center"/>
    </w:pPr>
    <w:rPr>
      <w:b/>
      <w:szCs w:val="21"/>
    </w:rPr>
  </w:style>
  <w:style w:type="paragraph" w:customStyle="1" w:styleId="186">
    <w:name w:val="电镀正文"/>
    <w:basedOn w:val="6"/>
    <w:qFormat/>
    <w:uiPriority w:val="0"/>
    <w:pPr>
      <w:spacing w:line="400" w:lineRule="exact"/>
      <w:ind w:firstLine="200"/>
    </w:pPr>
    <w:rPr>
      <w:sz w:val="24"/>
    </w:rPr>
  </w:style>
  <w:style w:type="paragraph" w:customStyle="1" w:styleId="187">
    <w:name w:val="1表格标题"/>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188">
    <w:name w:val="表格文字"/>
    <w:basedOn w:val="13"/>
    <w:next w:val="1"/>
    <w:qFormat/>
    <w:uiPriority w:val="0"/>
    <w:pPr>
      <w:autoSpaceDE w:val="0"/>
      <w:autoSpaceDN w:val="0"/>
      <w:adjustRightInd w:val="0"/>
      <w:spacing w:before="60" w:after="60"/>
      <w:jc w:val="left"/>
      <w:textAlignment w:val="bottom"/>
    </w:pPr>
    <w:rPr>
      <w:kern w:val="0"/>
      <w:szCs w:val="20"/>
    </w:rPr>
  </w:style>
  <w:style w:type="paragraph" w:customStyle="1" w:styleId="189">
    <w:name w:val="样式12"/>
    <w:basedOn w:val="5"/>
    <w:qFormat/>
    <w:uiPriority w:val="0"/>
    <w:pPr>
      <w:tabs>
        <w:tab w:val="left" w:pos="360"/>
        <w:tab w:val="left" w:pos="851"/>
      </w:tabs>
      <w:spacing w:beforeAutospacing="1" w:after="100" w:afterAutospacing="1" w:line="480" w:lineRule="exact"/>
      <w:outlineLvl w:val="0"/>
    </w:pPr>
    <w:rPr>
      <w:bCs w:val="0"/>
      <w:color w:val="000000"/>
      <w:lang w:val="zh-CN"/>
    </w:rPr>
  </w:style>
  <w:style w:type="paragraph" w:customStyle="1" w:styleId="1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91">
    <w:name w:val="表格内容"/>
    <w:basedOn w:val="174"/>
    <w:next w:val="1"/>
    <w:qFormat/>
    <w:uiPriority w:val="0"/>
    <w:pPr>
      <w:spacing w:line="280" w:lineRule="exact"/>
      <w:jc w:val="center"/>
    </w:pPr>
    <w:rPr>
      <w:rFonts w:ascii="宋体" w:hAnsi="宋体"/>
      <w:snapToGrid w:val="0"/>
      <w:sz w:val="18"/>
      <w:szCs w:val="20"/>
    </w:rPr>
  </w:style>
  <w:style w:type="paragraph" w:customStyle="1" w:styleId="192">
    <w:name w:val="font6"/>
    <w:basedOn w:val="1"/>
    <w:next w:val="31"/>
    <w:qFormat/>
    <w:uiPriority w:val="0"/>
    <w:pPr>
      <w:widowControl/>
      <w:spacing w:before="100" w:beforeAutospacing="1" w:after="100" w:afterAutospacing="1" w:line="259" w:lineRule="auto"/>
      <w:jc w:val="left"/>
    </w:pPr>
    <w:rPr>
      <w:rFonts w:ascii="宋体" w:hAnsi="宋体" w:cs="宋体"/>
      <w:kern w:val="0"/>
      <w:sz w:val="20"/>
      <w:szCs w:val="20"/>
    </w:rPr>
  </w:style>
  <w:style w:type="paragraph" w:customStyle="1" w:styleId="193">
    <w:name w:val="列出段落1"/>
    <w:basedOn w:val="1"/>
    <w:qFormat/>
    <w:uiPriority w:val="0"/>
    <w:pPr>
      <w:ind w:firstLine="420"/>
    </w:pPr>
    <w:rPr>
      <w:szCs w:val="20"/>
    </w:rPr>
  </w:style>
  <w:style w:type="paragraph" w:customStyle="1" w:styleId="194">
    <w:name w:val="Table Paragraph"/>
    <w:basedOn w:val="1"/>
    <w:qFormat/>
    <w:uiPriority w:val="1"/>
    <w:pPr>
      <w:autoSpaceDE w:val="0"/>
      <w:autoSpaceDN w:val="0"/>
    </w:pPr>
    <w:rPr>
      <w:rFonts w:ascii="宋体" w:hAnsi="宋体" w:cs="宋体"/>
      <w:sz w:val="22"/>
      <w:szCs w:val="22"/>
      <w:lang w:eastAsia="en-US"/>
    </w:rPr>
  </w:style>
  <w:style w:type="paragraph" w:customStyle="1" w:styleId="195">
    <w:name w:val="正文一"/>
    <w:basedOn w:val="1"/>
    <w:qFormat/>
    <w:uiPriority w:val="0"/>
    <w:pPr>
      <w:spacing w:line="360" w:lineRule="auto"/>
      <w:ind w:firstLine="480" w:firstLineChars="200"/>
    </w:pPr>
    <w:rPr>
      <w:sz w:val="24"/>
      <w:szCs w:val="20"/>
    </w:rPr>
  </w:style>
  <w:style w:type="paragraph" w:customStyle="1" w:styleId="196">
    <w:name w:val="1、表内字"/>
    <w:basedOn w:val="1"/>
    <w:qFormat/>
    <w:uiPriority w:val="0"/>
    <w:pPr>
      <w:widowControl/>
      <w:jc w:val="center"/>
      <w:textAlignment w:val="baseline"/>
    </w:pPr>
    <w:rPr>
      <w:szCs w:val="21"/>
    </w:rPr>
  </w:style>
  <w:style w:type="paragraph" w:customStyle="1" w:styleId="197">
    <w:name w:val="表格填充1"/>
    <w:basedOn w:val="18"/>
    <w:qFormat/>
    <w:uiPriority w:val="0"/>
    <w:pPr>
      <w:snapToGrid w:val="0"/>
    </w:pPr>
    <w:rPr>
      <w:rFonts w:ascii="Times New Roman" w:hAnsi="Times New Roman" w:eastAsia="仿宋_GB2312" w:cs="Times New Roman"/>
      <w:snapToGrid w:val="0"/>
      <w:szCs w:val="20"/>
    </w:rPr>
  </w:style>
  <w:style w:type="paragraph" w:customStyle="1" w:styleId="198">
    <w:name w:val="二级无标题条"/>
    <w:basedOn w:val="1"/>
    <w:qFormat/>
    <w:uiPriority w:val="99"/>
  </w:style>
  <w:style w:type="paragraph" w:customStyle="1" w:styleId="199">
    <w:name w:val="表内容"/>
    <w:basedOn w:val="1"/>
    <w:qFormat/>
    <w:uiPriority w:val="0"/>
    <w:pPr>
      <w:snapToGrid w:val="0"/>
      <w:jc w:val="center"/>
    </w:pPr>
    <w:rPr>
      <w:rFonts w:ascii="Calibri" w:hAnsi="Calibri"/>
      <w:szCs w:val="22"/>
    </w:rPr>
  </w:style>
  <w:style w:type="paragraph" w:customStyle="1" w:styleId="200">
    <w:name w:val="表格文字2"/>
    <w:basedOn w:val="1"/>
    <w:qFormat/>
    <w:uiPriority w:val="0"/>
    <w:pPr>
      <w:adjustRightInd w:val="0"/>
      <w:spacing w:before="60"/>
      <w:jc w:val="center"/>
      <w:textAlignment w:val="baseline"/>
    </w:pPr>
    <w:rPr>
      <w:rFonts w:ascii="宋体"/>
      <w:kern w:val="0"/>
      <w:sz w:val="24"/>
      <w:szCs w:val="20"/>
    </w:rPr>
  </w:style>
  <w:style w:type="paragraph" w:customStyle="1" w:styleId="201">
    <w:name w:val="样式35"/>
    <w:basedOn w:val="149"/>
    <w:next w:val="192"/>
    <w:qFormat/>
    <w:uiPriority w:val="0"/>
    <w:pPr>
      <w:widowControl w:val="0"/>
      <w:spacing w:line="312" w:lineRule="auto"/>
      <w:ind w:firstLine="567"/>
      <w:jc w:val="both"/>
    </w:pPr>
    <w:rPr>
      <w:rFonts w:ascii="宋体" w:hAnsi="Times New Roman" w:eastAsia="宋体" w:cs="Times New Roman"/>
      <w:kern w:val="2"/>
      <w:sz w:val="21"/>
      <w:szCs w:val="22"/>
      <w:lang w:val="en-US"/>
    </w:rPr>
  </w:style>
  <w:style w:type="paragraph" w:customStyle="1" w:styleId="202">
    <w:name w:val="表中表格"/>
    <w:basedOn w:val="1"/>
    <w:qFormat/>
    <w:uiPriority w:val="0"/>
    <w:pPr>
      <w:widowControl/>
      <w:adjustRightInd w:val="0"/>
      <w:snapToGrid w:val="0"/>
      <w:spacing w:line="240" w:lineRule="auto"/>
      <w:ind w:firstLine="0" w:firstLineChars="0"/>
      <w:jc w:val="center"/>
    </w:pPr>
    <w:rPr>
      <w:kern w:val="0"/>
      <w:sz w:val="21"/>
      <w:szCs w:val="21"/>
    </w:rPr>
  </w:style>
  <w:style w:type="table" w:customStyle="1" w:styleId="203">
    <w:name w:val="康成报告表格"/>
    <w:basedOn w:val="39"/>
    <w:qFormat/>
    <w:uiPriority w:val="0"/>
    <w:pPr>
      <w:jc w:val="center"/>
    </w:pPr>
    <w:tblPr>
      <w:jc w:val="center"/>
      <w:tblBorders>
        <w:top w:val="single" w:color="auto" w:sz="12" w:space="0"/>
        <w:bottom w:val="single" w:color="auto" w:sz="12" w:space="0"/>
        <w:insideH w:val="single" w:color="auto" w:sz="6" w:space="0"/>
        <w:insideV w:val="single" w:color="auto" w:sz="6" w:space="0"/>
      </w:tblBorders>
      <w:tblLayout w:type="fixed"/>
    </w:tblPr>
    <w:trPr>
      <w:jc w:val="center"/>
    </w:trPr>
    <w:tcPr>
      <w:vAlign w:val="center"/>
    </w:tcPr>
    <w:tblStylePr w:type="firstRow">
      <w:rPr>
        <w:rFonts w:eastAsia="宋体"/>
        <w:b/>
        <w:color w:val="auto"/>
        <w:sz w:val="21"/>
      </w:rPr>
    </w:tblStylePr>
  </w:style>
  <w:style w:type="table" w:customStyle="1" w:styleId="204">
    <w:name w:val="Table Grid_0"/>
    <w:basedOn w:val="3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5">
    <w:name w:val="_Style 30"/>
    <w:basedOn w:val="1"/>
    <w:qFormat/>
    <w:uiPriority w:val="0"/>
    <w:pPr>
      <w:adjustRightInd/>
      <w:spacing w:line="360" w:lineRule="auto"/>
      <w:ind w:firstLine="200" w:firstLineChars="200"/>
      <w:jc w:val="both"/>
      <w:textAlignment w:val="auto"/>
    </w:pPr>
  </w:style>
  <w:style w:type="table" w:customStyle="1" w:styleId="206">
    <w:name w:val="Table Normal"/>
    <w:unhideWhenUsed/>
    <w:qFormat/>
    <w:uiPriority w:val="2"/>
    <w:tblPr>
      <w:tblLayout w:type="fixed"/>
      <w:tblCellMar>
        <w:top w:w="0" w:type="dxa"/>
        <w:left w:w="0" w:type="dxa"/>
        <w:bottom w:w="0" w:type="dxa"/>
        <w:right w:w="0" w:type="dxa"/>
      </w:tblCellMar>
    </w:tblPr>
  </w:style>
  <w:style w:type="paragraph" w:customStyle="1" w:styleId="207">
    <w:name w:val="Normal Indent"/>
    <w:basedOn w:val="1"/>
    <w:qFormat/>
    <w:uiPriority w:val="0"/>
    <w:pPr>
      <w:spacing w:line="360" w:lineRule="auto"/>
      <w:ind w:firstLine="200" w:firstLineChars="200"/>
    </w:pPr>
    <w:rPr>
      <w:rFonts w:ascii="宋体" w:hAnsi="宋体"/>
      <w:sz w:val="24"/>
    </w:rPr>
  </w:style>
  <w:style w:type="character" w:customStyle="1" w:styleId="208">
    <w:name w:val="Body text|2 + 10.5 pt2"/>
    <w:unhideWhenUsed/>
    <w:qFormat/>
    <w:uiPriority w:val="0"/>
    <w:rPr>
      <w:rFonts w:ascii="PMingLiU" w:hAnsi="PMingLiU" w:eastAsia="PMingLiU" w:cs="PMingLiU"/>
      <w:color w:val="000000"/>
      <w:spacing w:val="0"/>
      <w:w w:val="100"/>
      <w:position w:val="0"/>
      <w:sz w:val="21"/>
      <w:szCs w:val="21"/>
      <w:u w:val="none"/>
      <w:lang w:val="en-US" w:eastAsia="en-US" w:bidi="en-US"/>
    </w:rPr>
  </w:style>
  <w:style w:type="paragraph" w:customStyle="1" w:styleId="209">
    <w:name w:val="简单回函地址"/>
    <w:basedOn w:val="1"/>
    <w:next w:val="210"/>
    <w:qFormat/>
    <w:uiPriority w:val="0"/>
    <w:pPr>
      <w:spacing w:line="240" w:lineRule="auto"/>
    </w:pPr>
    <w:rPr>
      <w:sz w:val="21"/>
    </w:rPr>
  </w:style>
  <w:style w:type="paragraph" w:customStyle="1" w:styleId="210">
    <w:name w:val="正文2"/>
    <w:basedOn w:val="1"/>
    <w:qFormat/>
    <w:uiPriority w:val="0"/>
    <w:pPr>
      <w:autoSpaceDE w:val="0"/>
      <w:autoSpaceDN w:val="0"/>
      <w:spacing w:line="480" w:lineRule="exact"/>
      <w:ind w:left="556"/>
      <w:textAlignment w:val="bottom"/>
    </w:pPr>
    <w:rPr>
      <w:color w:val="000000"/>
      <w:sz w:val="28"/>
    </w:rPr>
  </w:style>
  <w:style w:type="character" w:customStyle="1" w:styleId="211">
    <w:name w:val="fontstyle41"/>
    <w:basedOn w:val="41"/>
    <w:qFormat/>
    <w:uiPriority w:val="0"/>
    <w:rPr>
      <w:rFonts w:ascii="TimesNewRomanPS-ItalicMT" w:hAnsi="TimesNewRomanPS-ItalicMT" w:eastAsia="TimesNewRomanPS-ItalicMT" w:cs="TimesNewRomanPS-ItalicMT"/>
      <w:i/>
      <w:iCs/>
      <w:color w:val="000000"/>
      <w:sz w:val="24"/>
      <w:szCs w:val="24"/>
    </w:rPr>
  </w:style>
  <w:style w:type="paragraph" w:customStyle="1" w:styleId="212">
    <w:name w:val="【表中文字】"/>
    <w:basedOn w:val="1"/>
    <w:qFormat/>
    <w:uiPriority w:val="0"/>
    <w:pPr>
      <w:widowControl/>
      <w:adjustRightInd w:val="0"/>
      <w:snapToGrid w:val="0"/>
      <w:spacing w:line="360" w:lineRule="auto"/>
      <w:jc w:val="center"/>
    </w:pPr>
    <w:rPr>
      <w:rFonts w:ascii="宋体" w:hAnsi="宋体" w:cs="宋体"/>
      <w:spacing w:val="4"/>
      <w:kern w:val="0"/>
      <w:sz w:val="20"/>
    </w:rPr>
  </w:style>
  <w:style w:type="paragraph" w:customStyle="1" w:styleId="213">
    <w:name w:val="1"/>
    <w:basedOn w:val="1"/>
    <w:next w:val="12"/>
    <w:qFormat/>
    <w:uiPriority w:val="0"/>
    <w:pPr>
      <w:adjustRightInd w:val="0"/>
      <w:snapToGrid w:val="0"/>
      <w:spacing w:line="360" w:lineRule="auto"/>
      <w:ind w:firstLine="200" w:firstLineChars="200"/>
    </w:pPr>
    <w:rPr>
      <w:rFonts w:ascii="宋体" w:hAnsi="宋体" w:cs="宋体"/>
      <w:sz w:val="24"/>
      <w:szCs w:val="26"/>
    </w:rPr>
  </w:style>
  <w:style w:type="paragraph" w:customStyle="1" w:styleId="214">
    <w:name w:val="表格格式"/>
    <w:basedOn w:val="215"/>
    <w:qFormat/>
    <w:uiPriority w:val="0"/>
    <w:pPr>
      <w:spacing w:line="360" w:lineRule="auto"/>
      <w:ind w:right="8"/>
    </w:pPr>
    <w:rPr>
      <w:rFonts w:eastAsia="仿宋"/>
    </w:rPr>
  </w:style>
  <w:style w:type="paragraph" w:customStyle="1" w:styleId="215">
    <w:name w:val="7表格(治)"/>
    <w:qFormat/>
    <w:uiPriority w:val="0"/>
    <w:pPr>
      <w:spacing w:line="360" w:lineRule="auto"/>
      <w:jc w:val="center"/>
    </w:pPr>
    <w:rPr>
      <w:rFonts w:ascii="宋体" w:hAnsi="宋体" w:eastAsia="宋体" w:cs="Times New Roman"/>
      <w:color w:val="0000FF"/>
      <w:sz w:val="21"/>
      <w:lang w:val="en-US" w:eastAsia="zh-CN" w:bidi="ar-SA"/>
    </w:rPr>
  </w:style>
  <w:style w:type="paragraph" w:customStyle="1" w:styleId="21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7">
    <w:name w:val="表中样式"/>
    <w:basedOn w:val="1"/>
    <w:qFormat/>
    <w:uiPriority w:val="0"/>
    <w:pPr>
      <w:widowControl/>
      <w:spacing w:line="240" w:lineRule="exact"/>
      <w:ind w:left="-25" w:leftChars="-25" w:right="-31" w:rightChars="-31"/>
      <w:jc w:val="center"/>
    </w:pPr>
    <w:rPr>
      <w:rFonts w:ascii="Verdana" w:hAnsi="Verdana" w:cs="Verdana"/>
      <w:bCs/>
      <w:kern w:val="0"/>
      <w:szCs w:val="32"/>
    </w:rPr>
  </w:style>
  <w:style w:type="character" w:customStyle="1" w:styleId="218">
    <w:name w:val="0正文 Char Char"/>
    <w:link w:val="139"/>
    <w:qFormat/>
    <w:uiPriority w:val="0"/>
    <w:rPr>
      <w:kern w:val="0"/>
      <w:szCs w:val="21"/>
    </w:rPr>
  </w:style>
  <w:style w:type="paragraph" w:customStyle="1" w:styleId="219">
    <w:name w:val="表头！！！！！！！！！！"/>
    <w:basedOn w:val="6"/>
    <w:qFormat/>
    <w:uiPriority w:val="0"/>
    <w:pPr>
      <w:widowControl w:val="0"/>
      <w:autoSpaceDE w:val="0"/>
      <w:autoSpaceDN w:val="0"/>
      <w:adjustRightInd w:val="0"/>
      <w:spacing w:after="0" w:line="500" w:lineRule="exact"/>
      <w:jc w:val="center"/>
      <w:textAlignment w:val="baseline"/>
    </w:pPr>
    <w:rPr>
      <w:rFonts w:ascii="楷体_GB2312" w:eastAsia="楷体_GB2312"/>
      <w:b/>
      <w:snapToGrid w:val="0"/>
      <w:sz w:val="24"/>
      <w:szCs w:val="24"/>
    </w:rPr>
  </w:style>
  <w:style w:type="paragraph" w:customStyle="1" w:styleId="220">
    <w:name w:val="标准正文"/>
    <w:qFormat/>
    <w:uiPriority w:val="0"/>
    <w:pPr>
      <w:keepNext/>
      <w:keepLines/>
      <w:snapToGrid w:val="0"/>
      <w:spacing w:beforeLines="50" w:afterLines="50" w:line="360" w:lineRule="auto"/>
      <w:ind w:firstLine="200" w:firstLineChars="200"/>
      <w:jc w:val="both"/>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wmf"/><Relationship Id="rId5" Type="http://schemas.openxmlformats.org/officeDocument/2006/relationships/footer" Target="footer3.xml"/><Relationship Id="rId49" Type="http://schemas.openxmlformats.org/officeDocument/2006/relationships/oleObject" Target="embeddings/oleObject12.bin"/><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image" Target="media/image23.wmf"/><Relationship Id="rId41" Type="http://schemas.openxmlformats.org/officeDocument/2006/relationships/image" Target="media/image22.wmf"/><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image" Target="media/image19.wmf"/><Relationship Id="rId37" Type="http://schemas.openxmlformats.org/officeDocument/2006/relationships/image" Target="media/image18.wmf"/><Relationship Id="rId36" Type="http://schemas.openxmlformats.org/officeDocument/2006/relationships/image" Target="media/image17.wmf"/><Relationship Id="rId35" Type="http://schemas.openxmlformats.org/officeDocument/2006/relationships/image" Target="media/image16.emf"/><Relationship Id="rId34" Type="http://schemas.openxmlformats.org/officeDocument/2006/relationships/oleObject" Target="embeddings/oleObject11.bin"/><Relationship Id="rId33" Type="http://schemas.openxmlformats.org/officeDocument/2006/relationships/image" Target="media/image15.emf"/><Relationship Id="rId32" Type="http://schemas.openxmlformats.org/officeDocument/2006/relationships/oleObject" Target="embeddings/oleObject10.bin"/><Relationship Id="rId31" Type="http://schemas.openxmlformats.org/officeDocument/2006/relationships/image" Target="media/image14.e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8.bin"/><Relationship Id="rId27" Type="http://schemas.openxmlformats.org/officeDocument/2006/relationships/image" Target="media/image12.emf"/><Relationship Id="rId26" Type="http://schemas.openxmlformats.org/officeDocument/2006/relationships/oleObject" Target="embeddings/oleObject7.bin"/><Relationship Id="rId25" Type="http://schemas.openxmlformats.org/officeDocument/2006/relationships/image" Target="media/image11.emf"/><Relationship Id="rId24" Type="http://schemas.openxmlformats.org/officeDocument/2006/relationships/oleObject" Target="embeddings/oleObject6.bin"/><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5.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14137</Words>
  <Characters>14719</Characters>
  <Lines>485</Lines>
  <Paragraphs>136</Paragraphs>
  <TotalTime>36</TotalTime>
  <ScaleCrop>false</ScaleCrop>
  <LinksUpToDate>false</LinksUpToDate>
  <CharactersWithSpaces>14815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2025-10-22T01:31:10Z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827929D3527144789F4205F1D242584F_13</vt:lpwstr>
  </property>
  <property fmtid="{D5CDD505-2E9C-101B-9397-08002B2CF9AE}" pid="4" name="KSOTemplateDocerSaveRecord">
    <vt:lpwstr>eyJoZGlkIjoiMjgyZjFhYjRjMDYzMGUwZGNhODY4ZWFmNjhiMDJiNTQiLCJ1c2VySWQiOiIzMDUxNzYzMjYifQ==</vt:lpwstr>
  </property>
</Properties>
</file>