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BE5A">
      <w:pPr>
        <w:pStyle w:val="5"/>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w:t>
      </w:r>
    </w:p>
    <w:p w14:paraId="2A981A65">
      <w:pPr>
        <w:spacing w:line="576" w:lineRule="exact"/>
        <w:jc w:val="center"/>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NC2312-6项目征地补偿安置方案</w:t>
      </w:r>
    </w:p>
    <w:p w14:paraId="2605403B">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center"/>
        <w:textAlignment w:val="auto"/>
        <w:rPr>
          <w:rFonts w:hint="default" w:ascii="黑体" w:hAnsi="黑体" w:eastAsia="黑体" w:cs="黑体"/>
          <w:b w:val="0"/>
          <w:bCs w:val="0"/>
          <w:color w:val="auto"/>
          <w:sz w:val="32"/>
          <w:szCs w:val="32"/>
          <w:lang w:val="en-US" w:eastAsia="zh-CN"/>
        </w:rPr>
      </w:pPr>
    </w:p>
    <w:p w14:paraId="47B78F65">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依据社会稳定风险评估结果，结合土地现状调查情况，按照《中华人民共和国土地管理法》《中华人民共和国土地管理法实施条例》等法律法规的规定，拟定本方案。本方案在拟征收土地所在的乡镇、村、村民小组范围内依法公告，听取被征地的农村集体经济组织及其成员、村民委员会和其他利害关系人的意见后确定。</w:t>
      </w:r>
    </w:p>
    <w:p w14:paraId="1765BD06">
      <w:pPr>
        <w:pStyle w:val="6"/>
        <w:widowControl/>
        <w:spacing w:before="0" w:beforeAutospacing="0" w:after="0" w:afterAutospacing="0" w:line="576" w:lineRule="exact"/>
        <w:ind w:firstLine="640" w:firstLineChars="200"/>
        <w:jc w:val="both"/>
        <w:rPr>
          <w:rFonts w:hint="eastAsia"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一、拟征收土地范围、现状及面积</w:t>
      </w:r>
    </w:p>
    <w:p w14:paraId="2629B6D1">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本次拟征收高升乡高升社区6组集体土地，合计0.1167公顷。其中，农用地0.1167公顷、建设用地0公顷、未利用地0公顷。</w:t>
      </w:r>
    </w:p>
    <w:p w14:paraId="4C1629C7">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本次拟征收高升乡高升社区7组集体土地，合计1.9386公顷。其中，农用地1.5123公顷、建设用地0.4263公顷、未利用地0公顷。</w:t>
      </w:r>
    </w:p>
    <w:p w14:paraId="676EFCE6">
      <w:pPr>
        <w:pStyle w:val="6"/>
        <w:widowControl/>
        <w:spacing w:before="0" w:beforeAutospacing="0" w:after="0" w:afterAutospacing="0" w:line="576" w:lineRule="exact"/>
        <w:ind w:firstLine="640" w:firstLineChars="200"/>
        <w:jc w:val="both"/>
        <w:rPr>
          <w:rFonts w:hint="eastAsia"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二、征收土地目的</w:t>
      </w:r>
      <w:bookmarkStart w:id="0" w:name="_GoBack"/>
      <w:bookmarkEnd w:id="0"/>
    </w:p>
    <w:p w14:paraId="0A7E6BDC">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本次拟征收土地用于NC2312-6项目建设用地，主要用途为：特殊用地，符合《中华人民共和国土地管理法》第四十五条规定。</w:t>
      </w:r>
    </w:p>
    <w:p w14:paraId="6A963347">
      <w:pPr>
        <w:pStyle w:val="6"/>
        <w:widowControl/>
        <w:spacing w:before="0" w:beforeAutospacing="0" w:after="0" w:afterAutospacing="0" w:line="576" w:lineRule="exact"/>
        <w:ind w:firstLine="640" w:firstLineChars="200"/>
        <w:jc w:val="both"/>
        <w:rPr>
          <w:rFonts w:hint="default"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 xml:space="preserve">三、补偿方式和标准 </w:t>
      </w:r>
    </w:p>
    <w:p w14:paraId="569C2E15">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（一）土地补偿费、安置补助费</w:t>
      </w:r>
    </w:p>
    <w:p w14:paraId="19528378">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按照《四川省人民政府关于同意各市（州）征收农用地区片综合地价标准的批复》（川府函〔2023〕222号）执行。高升社区征收农用地区片综合地价为4.78万元/亩，集体农用地以外的其他集体土地按照区片综合地价的0.5倍执行。按照《四川省人民政府办公厅关于进一步做好征地工作的通知》（川办发〔2024〕18号）规定，土地补偿费支付给被征地的农村集体经济组织，用于发展生产和安排生活补助。安置补助费支付给农村集体经济组织，用于被征地的农村集体经济组织成员的生产、生活安置，农村集体经济组织未统一安置的，安置补助费发放给被安置人员个人。</w:t>
      </w:r>
    </w:p>
    <w:p w14:paraId="64FED43B">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（二）青苗和地上附着物补偿</w:t>
      </w:r>
    </w:p>
    <w:p w14:paraId="22F08FD3">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按照《</w:t>
      </w:r>
      <w:r>
        <w:rPr>
          <w:rFonts w:hint="eastAsia" w:eastAsia="仿宋_GB2312"/>
          <w:color w:val="auto"/>
          <w:sz w:val="32"/>
          <w:szCs w:val="32"/>
        </w:rPr>
        <w:t>关于公布实施全</w:t>
      </w:r>
      <w:r>
        <w:rPr>
          <w:rFonts w:hint="eastAsia" w:eastAsia="仿宋_GB2312"/>
          <w:color w:val="auto"/>
          <w:sz w:val="32"/>
          <w:szCs w:val="32"/>
          <w:lang w:val="en-US" w:eastAsia="zh-CN"/>
        </w:rPr>
        <w:t>市</w:t>
      </w:r>
      <w:r>
        <w:rPr>
          <w:rFonts w:hint="eastAsia" w:eastAsia="仿宋_GB2312"/>
          <w:color w:val="auto"/>
          <w:sz w:val="32"/>
          <w:szCs w:val="32"/>
        </w:rPr>
        <w:t>征地青苗和地上附着物补偿标准的通知</w:t>
      </w:r>
      <w:r>
        <w:rPr>
          <w:rFonts w:hint="eastAsia" w:ascii="Times New Roman" w:hAnsi="Times New Roman" w:cs="仿宋_GB2312"/>
          <w:b w:val="0"/>
          <w:bCs w:val="0"/>
          <w:color w:val="auto"/>
          <w:sz w:val="32"/>
          <w:szCs w:val="32"/>
          <w:lang w:val="en-US" w:eastAsia="zh-CN"/>
        </w:rPr>
        <w:t>》（</w:t>
      </w:r>
      <w:r>
        <w:rPr>
          <w:rFonts w:hint="eastAsia" w:eastAsia="仿宋_GB2312"/>
          <w:color w:val="auto"/>
          <w:sz w:val="32"/>
          <w:szCs w:val="32"/>
        </w:rPr>
        <w:t>遂府函〔202</w:t>
      </w:r>
      <w:r>
        <w:rPr>
          <w:rFonts w:hint="eastAsia" w:eastAsia="仿宋_GB2312"/>
          <w:color w:val="auto"/>
          <w:sz w:val="32"/>
          <w:szCs w:val="32"/>
          <w:lang w:val="en-US" w:eastAsia="zh-CN"/>
        </w:rPr>
        <w:t>4</w:t>
      </w:r>
      <w:r>
        <w:rPr>
          <w:rFonts w:hint="eastAsia" w:eastAsia="仿宋_GB2312"/>
          <w:color w:val="auto"/>
          <w:sz w:val="32"/>
          <w:szCs w:val="32"/>
        </w:rPr>
        <w:t>〕</w:t>
      </w:r>
      <w:r>
        <w:rPr>
          <w:rFonts w:hint="eastAsia" w:eastAsia="仿宋_GB2312"/>
          <w:color w:val="auto"/>
          <w:sz w:val="32"/>
          <w:szCs w:val="32"/>
          <w:lang w:val="en-US" w:eastAsia="zh-CN"/>
        </w:rPr>
        <w:t>218</w:t>
      </w:r>
      <w:r>
        <w:rPr>
          <w:rFonts w:hint="eastAsia"/>
          <w:color w:val="auto"/>
          <w:sz w:val="32"/>
          <w:szCs w:val="32"/>
          <w:lang w:val="en-US" w:eastAsia="zh-CN"/>
        </w:rPr>
        <w:t>号</w:t>
      </w:r>
      <w:r>
        <w:rPr>
          <w:rFonts w:hint="eastAsia" w:ascii="Times New Roman" w:hAnsi="Times New Roman" w:cs="仿宋_GB2312"/>
          <w:b w:val="0"/>
          <w:bCs w:val="0"/>
          <w:color w:val="auto"/>
          <w:sz w:val="32"/>
          <w:szCs w:val="32"/>
          <w:lang w:val="en-US" w:eastAsia="zh-CN"/>
        </w:rPr>
        <w:t>）执行，支付给地上附着物、青苗的所有权人。</w:t>
      </w:r>
    </w:p>
    <w:p w14:paraId="503AF566">
      <w:pPr>
        <w:pStyle w:val="6"/>
        <w:widowControl/>
        <w:spacing w:before="0" w:beforeAutospacing="0" w:after="0" w:afterAutospacing="0" w:line="576" w:lineRule="exact"/>
        <w:ind w:firstLine="640" w:firstLineChars="200"/>
        <w:jc w:val="both"/>
        <w:rPr>
          <w:rFonts w:hint="default"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四、安置对象及安置方式</w:t>
      </w:r>
    </w:p>
    <w:p w14:paraId="55B5B9F1">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val="en-US" w:eastAsia="zh-CN"/>
        </w:rPr>
        <w:t>人员安置</w:t>
      </w:r>
    </w:p>
    <w:p w14:paraId="4EB49A3D">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本次征地共涉及安置人员12人，其中，高升乡高升社区6组安置对象人数为2人，拟通过社保安置2人，高升乡高升社区7组安置对象人数为10人，拟通过社保方式安置10人。</w:t>
      </w:r>
    </w:p>
    <w:p w14:paraId="630CD263">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w:t>
      </w:r>
      <w:r>
        <w:rPr>
          <w:rFonts w:hint="eastAsia" w:ascii="楷体_GB2312" w:hAnsi="楷体_GB2312" w:eastAsia="楷体_GB2312" w:cs="楷体_GB2312"/>
          <w:b w:val="0"/>
          <w:bCs w:val="0"/>
          <w:color w:val="auto"/>
          <w:sz w:val="32"/>
          <w:szCs w:val="32"/>
          <w:lang w:val="en-US" w:eastAsia="zh-CN"/>
        </w:rPr>
        <w:t>二）农村村民住宅安置</w:t>
      </w:r>
    </w:p>
    <w:p w14:paraId="00FE5A3B">
      <w:pPr>
        <w:pStyle w:val="5"/>
        <w:keepNext w:val="0"/>
        <w:keepLines w:val="0"/>
        <w:pageBreakBefore w:val="0"/>
        <w:widowControl/>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w:t>
      </w:r>
      <w:r>
        <w:rPr>
          <w:rFonts w:hint="eastAsia" w:ascii="Times New Roman" w:hAnsi="Times New Roman" w:eastAsia="仿宋_GB2312" w:cs="仿宋_GB2312"/>
          <w:b w:val="0"/>
          <w:bCs w:val="0"/>
          <w:color w:val="auto"/>
          <w:sz w:val="32"/>
          <w:szCs w:val="32"/>
          <w:lang w:val="en-US" w:eastAsia="zh-CN"/>
        </w:rPr>
        <w:t>次征</w:t>
      </w:r>
      <w:r>
        <w:rPr>
          <w:rFonts w:hint="eastAsia" w:ascii="Times New Roman" w:hAnsi="Times New Roman" w:eastAsia="仿宋_GB2312" w:cs="仿宋_GB2312"/>
          <w:b w:val="0"/>
          <w:bCs w:val="0"/>
          <w:color w:val="auto"/>
          <w:sz w:val="32"/>
          <w:szCs w:val="32"/>
          <w:highlight w:val="none"/>
          <w:lang w:val="en-US" w:eastAsia="zh-CN"/>
        </w:rPr>
        <w:t>地共</w:t>
      </w:r>
      <w:r>
        <w:rPr>
          <w:rFonts w:hint="eastAsia" w:ascii="Times New Roman" w:hAnsi="Times New Roman" w:cs="仿宋_GB2312"/>
          <w:b w:val="0"/>
          <w:bCs w:val="0"/>
          <w:color w:val="auto"/>
          <w:sz w:val="32"/>
          <w:szCs w:val="32"/>
          <w:highlight w:val="none"/>
          <w:lang w:val="en-US" w:eastAsia="zh-CN"/>
        </w:rPr>
        <w:t>涉及拆迁农村村民住宅</w:t>
      </w:r>
      <w:r>
        <w:rPr>
          <w:rFonts w:hint="eastAsia" w:ascii="Times New Roman" w:cs="仿宋_GB2312"/>
          <w:b w:val="0"/>
          <w:bCs w:val="0"/>
          <w:color w:val="auto"/>
          <w:sz w:val="32"/>
          <w:szCs w:val="32"/>
          <w:highlight w:val="none"/>
          <w:lang w:val="en-US" w:eastAsia="zh-CN"/>
        </w:rPr>
        <w:t>20户，其中，</w:t>
      </w:r>
      <w:r>
        <w:rPr>
          <w:rFonts w:hint="eastAsia" w:ascii="Times New Roman" w:hAnsi="Times New Roman" w:cs="仿宋_GB2312"/>
          <w:b w:val="0"/>
          <w:bCs w:val="0"/>
          <w:color w:val="auto"/>
          <w:sz w:val="32"/>
          <w:szCs w:val="32"/>
          <w:highlight w:val="none"/>
          <w:lang w:val="en-US" w:eastAsia="zh-CN"/>
        </w:rPr>
        <w:t>高升乡高升社区7组20户</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cs="仿宋_GB2312"/>
          <w:b w:val="0"/>
          <w:bCs w:val="0"/>
          <w:color w:val="auto"/>
          <w:sz w:val="32"/>
          <w:szCs w:val="32"/>
          <w:highlight w:val="none"/>
          <w:lang w:val="en-US" w:eastAsia="zh-CN"/>
        </w:rPr>
        <w:t>按照</w:t>
      </w:r>
      <w:r>
        <w:rPr>
          <w:rFonts w:hint="eastAsia" w:ascii="Times New Roman" w:hAnsi="Times New Roman" w:cs="仿宋_GB2312"/>
          <w:b w:val="0"/>
          <w:bCs w:val="0"/>
          <w:color w:val="auto"/>
          <w:sz w:val="32"/>
          <w:szCs w:val="32"/>
          <w:lang w:val="en-US" w:eastAsia="zh-CN"/>
        </w:rPr>
        <w:t>《四川省人民政府办公厅关于进一步做好征</w:t>
      </w:r>
      <w:r>
        <w:rPr>
          <w:rFonts w:hint="eastAsia" w:ascii="Times New Roman" w:hAnsi="Times New Roman" w:cs="仿宋_GB2312"/>
          <w:b w:val="0"/>
          <w:bCs w:val="0"/>
          <w:color w:val="auto"/>
          <w:sz w:val="32"/>
          <w:szCs w:val="32"/>
          <w:highlight w:val="none"/>
          <w:lang w:val="en-US" w:eastAsia="zh-CN"/>
        </w:rPr>
        <w:t>地工作的通知》（川办发〔2024〕18号）规定，拟</w:t>
      </w:r>
      <w:r>
        <w:rPr>
          <w:rFonts w:hint="eastAsia" w:ascii="Times New Roman" w:hAnsi="Times New Roman" w:eastAsia="仿宋_GB2312" w:cs="仿宋_GB2312"/>
          <w:b w:val="0"/>
          <w:bCs w:val="0"/>
          <w:color w:val="auto"/>
          <w:sz w:val="32"/>
          <w:szCs w:val="32"/>
          <w:highlight w:val="none"/>
          <w:lang w:val="en-US" w:eastAsia="zh-CN"/>
        </w:rPr>
        <w:t>采取重新安排宅基地建房方式安置。</w:t>
      </w:r>
    </w:p>
    <w:p w14:paraId="0BA1665A">
      <w:pPr>
        <w:pStyle w:val="6"/>
        <w:widowControl/>
        <w:spacing w:before="0" w:beforeAutospacing="0" w:after="0" w:afterAutospacing="0" w:line="576" w:lineRule="exact"/>
        <w:ind w:firstLine="640" w:firstLineChars="200"/>
        <w:jc w:val="both"/>
        <w:rPr>
          <w:rFonts w:hint="eastAsia" w:ascii="Times New Roman" w:hAnsi="Times New Roman" w:eastAsia="黑体"/>
          <w:color w:val="auto"/>
          <w:sz w:val="32"/>
          <w:szCs w:val="32"/>
          <w:shd w:val="clear" w:color="auto" w:fill="FFFFFF"/>
          <w:lang w:val="en-US" w:eastAsia="zh-CN"/>
        </w:rPr>
      </w:pPr>
      <w:r>
        <w:rPr>
          <w:rFonts w:hint="eastAsia" w:ascii="Times New Roman" w:hAnsi="Times New Roman" w:eastAsia="黑体"/>
          <w:color w:val="auto"/>
          <w:sz w:val="32"/>
          <w:szCs w:val="32"/>
          <w:shd w:val="clear" w:color="auto" w:fill="FFFFFF"/>
          <w:lang w:val="en-US" w:eastAsia="zh-CN"/>
        </w:rPr>
        <w:t>五、社会保障</w:t>
      </w:r>
    </w:p>
    <w:p w14:paraId="29F68F82">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r>
        <w:rPr>
          <w:rFonts w:hint="eastAsia" w:ascii="Times New Roman" w:hAnsi="Times New Roman" w:cs="仿宋_GB2312"/>
          <w:b w:val="0"/>
          <w:bCs w:val="0"/>
          <w:color w:val="auto"/>
          <w:sz w:val="32"/>
          <w:szCs w:val="32"/>
          <w:lang w:val="en-US" w:eastAsia="zh-CN"/>
        </w:rPr>
        <w:t>本次征地养老保障按《四川省人民政府办公厅关于加强企业职工养老保险基金收支管理有关问题的通知》（川办发〔2018〕59号）、《四川省人力资源和社会保障厅、四川省财政厅、四川省自然资源厅关于印发〈四川省被征地农民养老保障实施办法〉的通知》（川人社发〔2018〕46号）规定执行。</w:t>
      </w:r>
    </w:p>
    <w:p w14:paraId="07CD04B0">
      <w:pPr>
        <w:pStyle w:val="5"/>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p>
    <w:p w14:paraId="32E9C090">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814DC"/>
    <w:rsid w:val="1AE9220B"/>
    <w:rsid w:val="28C51138"/>
    <w:rsid w:val="2C4814DC"/>
    <w:rsid w:val="2E633005"/>
    <w:rsid w:val="35847960"/>
    <w:rsid w:val="5673343A"/>
    <w:rsid w:val="5EEB3C73"/>
    <w:rsid w:val="74277533"/>
    <w:rsid w:val="778154C2"/>
    <w:rsid w:val="79884A8B"/>
    <w:rsid w:val="7D68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Body Text Indent"/>
    <w:basedOn w:val="1"/>
    <w:next w:val="5"/>
    <w:qFormat/>
    <w:uiPriority w:val="0"/>
    <w:pPr>
      <w:spacing w:line="560" w:lineRule="exact"/>
      <w:ind w:right="-25" w:firstLine="630"/>
    </w:pPr>
    <w:rPr>
      <w:rFonts w:ascii="仿宋_GB2312" w:eastAsia="仿宋_GB2312"/>
      <w:sz w:val="32"/>
    </w:rPr>
  </w:style>
  <w:style w:type="paragraph" w:styleId="5">
    <w:name w:val="Body Text First Indent 2"/>
    <w:basedOn w:val="4"/>
    <w:qFormat/>
    <w:uiPriority w:val="0"/>
    <w:pPr>
      <w:ind w:firstLine="420" w:firstLine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1006</Words>
  <Characters>1081</Characters>
  <Lines>0</Lines>
  <Paragraphs>0</Paragraphs>
  <TotalTime>17</TotalTime>
  <ScaleCrop>false</ScaleCrop>
  <LinksUpToDate>false</LinksUpToDate>
  <CharactersWithSpaces>1082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2025-05-13T09:13:00Z</dcterms:created>
  <dc:creator>寻</dc:creator>
  <cp:lastModifiedBy>寻</cp:lastModifiedBy>
  <dcterms:modified xsi:type="dcterms:W3CDTF">2025-05-21T03:31:23Z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4959AF3AF11548BB853803E5D3FC9E9B_11</vt:lpwstr>
  </property>
  <property fmtid="{D5CDD505-2E9C-101B-9397-08002B2CF9AE}" pid="4" name="KSOTemplateDocerSaveRecord">
    <vt:lpwstr>eyJoZGlkIjoiNzczMjg2YWVlN2JjZmJhZWEwNzY0MmNmYzY5ZDE1ZmEiLCJ1c2VySWQiOiI0MTMzMzY1MDUifQ==</vt:lpwstr>
  </property>
</Properties>
</file>